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5CB8457E" w:rsidR="00B60939" w:rsidRPr="0098262F" w:rsidRDefault="003217B3" w:rsidP="00981E1B">
      <w:pPr>
        <w:pStyle w:val="1-MainHeading"/>
        <w:ind w:left="851" w:hanging="851"/>
      </w:pPr>
      <w:bookmarkStart w:id="0" w:name="_Toc177481896"/>
      <w:r>
        <w:t>6.02</w:t>
      </w:r>
      <w:bookmarkStart w:id="1" w:name="_Hlk177552897"/>
      <w:bookmarkStart w:id="2" w:name="_Hlk177552934"/>
      <w:r w:rsidR="001B38CD" w:rsidRPr="006A20FA">
        <w:rPr>
          <w:rFonts w:ascii="Calibri" w:eastAsia="Calibri" w:hAnsi="Calibri"/>
          <w:b w:val="0"/>
          <w:lang w:eastAsia="en-US"/>
        </w:rPr>
        <w:tab/>
      </w:r>
      <w:bookmarkEnd w:id="1"/>
      <w:bookmarkEnd w:id="2"/>
      <w:r w:rsidR="00C765C2">
        <w:t>ENFORTUMAB VEDOTIN</w:t>
      </w:r>
      <w:r w:rsidR="00C765C2" w:rsidRPr="0098262F">
        <w:t>,</w:t>
      </w:r>
      <w:r w:rsidR="00C765C2" w:rsidRPr="0098262F">
        <w:br/>
      </w:r>
      <w:r w:rsidR="00C765C2">
        <w:t>Powder for I.V</w:t>
      </w:r>
      <w:r w:rsidR="00D832B8">
        <w:t>.</w:t>
      </w:r>
      <w:r w:rsidR="00C765C2">
        <w:t xml:space="preserve"> infusion</w:t>
      </w:r>
      <w:r w:rsidR="00D832B8">
        <w:t xml:space="preserve"> 20</w:t>
      </w:r>
      <w:r w:rsidR="005F2C80">
        <w:t xml:space="preserve"> </w:t>
      </w:r>
      <w:r w:rsidR="00D832B8">
        <w:t>mg</w:t>
      </w:r>
      <w:r w:rsidR="00C765C2" w:rsidRPr="0098262F">
        <w:t>,</w:t>
      </w:r>
      <w:r w:rsidR="00C765C2" w:rsidRPr="0098262F">
        <w:br/>
      </w:r>
      <w:r w:rsidR="005F2C80">
        <w:t xml:space="preserve">Powder for I.V. infusion </w:t>
      </w:r>
      <w:r w:rsidR="00C765C2">
        <w:t>30mg</w:t>
      </w:r>
      <w:r w:rsidR="00C765C2" w:rsidRPr="0098262F">
        <w:t>,</w:t>
      </w:r>
      <w:r w:rsidR="00C765C2" w:rsidRPr="0098262F">
        <w:br/>
      </w:r>
      <w:r w:rsidR="00C765C2">
        <w:t>Padcev</w:t>
      </w:r>
      <w:r w:rsidR="00C765C2" w:rsidRPr="0098262F">
        <w:rPr>
          <w:vertAlign w:val="superscript"/>
        </w:rPr>
        <w:t>®</w:t>
      </w:r>
      <w:r w:rsidR="00C765C2" w:rsidRPr="0098262F">
        <w:t>,</w:t>
      </w:r>
      <w:r w:rsidR="00C765C2" w:rsidRPr="0098262F">
        <w:br/>
      </w:r>
      <w:r w:rsidR="00C765C2">
        <w:t>ASTELLAS PHARMA AUSTRALIA PTY LTD</w:t>
      </w:r>
      <w:r w:rsidR="00C765C2" w:rsidRPr="0098262F">
        <w:t>.</w:t>
      </w:r>
      <w:bookmarkEnd w:id="0"/>
      <w:r w:rsidR="00C765C2" w:rsidRPr="0098262F">
        <w:rPr>
          <w:rFonts w:ascii="Calibri" w:eastAsia="Times New Roman" w:hAnsi="Calibri" w:cs="Arial"/>
          <w:b w:val="0"/>
          <w:color w:val="0066FF"/>
          <w:spacing w:val="0"/>
          <w:kern w:val="0"/>
          <w:sz w:val="24"/>
          <w:szCs w:val="24"/>
        </w:rPr>
        <w:t xml:space="preserve"> </w:t>
      </w:r>
    </w:p>
    <w:p w14:paraId="62E8CD06" w14:textId="77777777" w:rsidR="0078241E" w:rsidRPr="0098262F" w:rsidRDefault="0078241E" w:rsidP="0078241E">
      <w:pPr>
        <w:pStyle w:val="2-SectionHeading"/>
      </w:pPr>
      <w:bookmarkStart w:id="3" w:name="_Toc177481898"/>
      <w:r w:rsidRPr="0098262F">
        <w:t>Purpose of submission</w:t>
      </w:r>
      <w:bookmarkEnd w:id="3"/>
    </w:p>
    <w:p w14:paraId="180E4AA1" w14:textId="0CE58ABF" w:rsidR="0078241E" w:rsidRPr="0098262F" w:rsidRDefault="0078241E" w:rsidP="0078241E">
      <w:pPr>
        <w:pStyle w:val="3-BodyText"/>
      </w:pPr>
      <w:r w:rsidRPr="0098262F">
        <w:t xml:space="preserve">The Category </w:t>
      </w:r>
      <w:r>
        <w:t>2</w:t>
      </w:r>
      <w:r w:rsidRPr="0098262F">
        <w:t xml:space="preserve"> submission </w:t>
      </w:r>
      <w:r>
        <w:t xml:space="preserve">requested </w:t>
      </w:r>
      <w:r w:rsidRPr="00551929">
        <w:t>Section 100 (Efficient Funding of Chemotherapy Program) Authority Required (STREAMLINED)</w:t>
      </w:r>
      <w:r w:rsidRPr="0098262F">
        <w:t xml:space="preserve"> listing for </w:t>
      </w:r>
      <w:r>
        <w:t>enfortumab vedotin in combination with pembrolizumab (EV+PEM)</w:t>
      </w:r>
      <w:r w:rsidRPr="0098262F">
        <w:t xml:space="preserve"> for the </w:t>
      </w:r>
      <w:r>
        <w:t xml:space="preserve">first line </w:t>
      </w:r>
      <w:r w:rsidRPr="0098262F">
        <w:t xml:space="preserve">treatment of </w:t>
      </w:r>
      <w:r>
        <w:t>locally advanced (Stage III) or metastatic (Stage IV) urothelial cancer (la/mUC)</w:t>
      </w:r>
      <w:r w:rsidRPr="0098262F">
        <w:t>.</w:t>
      </w:r>
      <w:r w:rsidRPr="0098262F">
        <w:rPr>
          <w:color w:val="0066FF"/>
        </w:rPr>
        <w:t xml:space="preserve"> </w:t>
      </w:r>
    </w:p>
    <w:p w14:paraId="7751C818" w14:textId="28EF647C" w:rsidR="0078241E" w:rsidRPr="0098262F" w:rsidRDefault="0078241E" w:rsidP="0078241E">
      <w:pPr>
        <w:pStyle w:val="3-BodyText"/>
      </w:pPr>
      <w:r w:rsidRPr="0098262F">
        <w:t xml:space="preserve">Listing was requested </w:t>
      </w:r>
      <w:proofErr w:type="gramStart"/>
      <w:r w:rsidRPr="0098262F">
        <w:t>on the basis of</w:t>
      </w:r>
      <w:proofErr w:type="gramEnd"/>
      <w:r w:rsidRPr="0098262F">
        <w:t xml:space="preserve"> a cost-effectiveness analysis versus </w:t>
      </w:r>
      <w:r>
        <w:t>platinum based chemotherapy with gemcitabine (</w:t>
      </w:r>
      <w:proofErr w:type="spellStart"/>
      <w:r>
        <w:t>Plat+Gem</w:t>
      </w:r>
      <w:proofErr w:type="spellEnd"/>
      <w:r>
        <w:t>)</w:t>
      </w:r>
      <w:r w:rsidRPr="0098262F">
        <w:t>.</w:t>
      </w:r>
      <w:r w:rsidR="004C53B1" w:rsidRPr="0043244E">
        <w:rPr>
          <w:color w:val="0066FF"/>
          <w:spacing w:val="-74"/>
          <w:shd w:val="solid" w:color="000000" w:fill="000000"/>
          <w:fitText w:val="-20" w:id="-761020160"/>
          <w14:textFill>
            <w14:solidFill>
              <w14:srgbClr w14:val="0066FF">
                <w14:alpha w14:val="100000"/>
              </w14:srgbClr>
            </w14:solidFill>
          </w14:textFill>
        </w:rPr>
        <w:t xml:space="preserve"> </w:t>
      </w:r>
    </w:p>
    <w:p w14:paraId="1776371C" w14:textId="4A8673F9" w:rsidR="0078241E" w:rsidRPr="0098262F" w:rsidRDefault="0078241E" w:rsidP="0078241E">
      <w:pPr>
        <w:pStyle w:val="TableFigureHeading"/>
        <w:rPr>
          <w:rStyle w:val="CommentReference"/>
          <w:b/>
          <w:szCs w:val="24"/>
        </w:rPr>
      </w:pPr>
      <w:r w:rsidRPr="0098262F">
        <w:t xml:space="preserve">Table </w:t>
      </w:r>
      <w:r>
        <w:fldChar w:fldCharType="begin" w:fldLock="1"/>
      </w:r>
      <w:r>
        <w:instrText xml:space="preserve"> SEQ Table \* ARABIC </w:instrText>
      </w:r>
      <w:r>
        <w:fldChar w:fldCharType="separate"/>
      </w:r>
      <w:r w:rsidR="00FE0BD6">
        <w:rPr>
          <w:noProof/>
        </w:rPr>
        <w:t>1</w:t>
      </w:r>
      <w:r>
        <w:rPr>
          <w:noProof/>
        </w:rPr>
        <w:fldChar w:fldCharType="end"/>
      </w:r>
      <w:r w:rsidRPr="0098262F">
        <w:t>:</w:t>
      </w:r>
      <w:r w:rsidRPr="0098262F">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78241E" w:rsidRPr="0098262F" w14:paraId="10ABD5A6" w14:textId="77777777" w:rsidTr="005E4D14">
        <w:tc>
          <w:tcPr>
            <w:tcW w:w="1668" w:type="dxa"/>
            <w:vAlign w:val="center"/>
          </w:tcPr>
          <w:p w14:paraId="2D2CE059" w14:textId="77777777" w:rsidR="0078241E" w:rsidRPr="0098262F" w:rsidRDefault="0078241E" w:rsidP="005E4D14">
            <w:pPr>
              <w:pStyle w:val="In-tableHeading"/>
            </w:pPr>
            <w:r w:rsidRPr="0098262F">
              <w:t>Component</w:t>
            </w:r>
          </w:p>
        </w:tc>
        <w:tc>
          <w:tcPr>
            <w:tcW w:w="7488" w:type="dxa"/>
            <w:vAlign w:val="center"/>
          </w:tcPr>
          <w:p w14:paraId="2DA7927F" w14:textId="77777777" w:rsidR="0078241E" w:rsidRPr="0098262F" w:rsidRDefault="0078241E" w:rsidP="005E4D14">
            <w:pPr>
              <w:pStyle w:val="In-tableHeading"/>
            </w:pPr>
            <w:r w:rsidRPr="0098262F">
              <w:t>Description</w:t>
            </w:r>
          </w:p>
        </w:tc>
      </w:tr>
      <w:tr w:rsidR="0078241E" w:rsidRPr="0098262F" w14:paraId="5A1CCB0F" w14:textId="77777777" w:rsidTr="005E4D14">
        <w:tc>
          <w:tcPr>
            <w:tcW w:w="1668" w:type="dxa"/>
            <w:vAlign w:val="center"/>
          </w:tcPr>
          <w:p w14:paraId="2B300E08" w14:textId="77777777" w:rsidR="0078241E" w:rsidRPr="0098262F" w:rsidRDefault="0078241E" w:rsidP="005E4D14">
            <w:pPr>
              <w:pStyle w:val="TableText0"/>
            </w:pPr>
            <w:r w:rsidRPr="0098262F">
              <w:t>Population</w:t>
            </w:r>
          </w:p>
        </w:tc>
        <w:tc>
          <w:tcPr>
            <w:tcW w:w="7488" w:type="dxa"/>
            <w:vAlign w:val="center"/>
          </w:tcPr>
          <w:p w14:paraId="6D9722BE" w14:textId="77777777" w:rsidR="0078241E" w:rsidRPr="0098262F" w:rsidRDefault="0078241E" w:rsidP="005E4D14">
            <w:pPr>
              <w:pStyle w:val="TableText0"/>
            </w:pPr>
            <w:r w:rsidRPr="00CA32F4">
              <w:t>Patients with previously untreated locally advanced or metastatic urothelial cancer</w:t>
            </w:r>
          </w:p>
        </w:tc>
      </w:tr>
      <w:tr w:rsidR="0078241E" w:rsidRPr="0098262F" w14:paraId="639F5969" w14:textId="77777777" w:rsidTr="005E4D14">
        <w:tc>
          <w:tcPr>
            <w:tcW w:w="1668" w:type="dxa"/>
            <w:vAlign w:val="center"/>
          </w:tcPr>
          <w:p w14:paraId="1DA6D7FE" w14:textId="77777777" w:rsidR="0078241E" w:rsidRPr="0098262F" w:rsidRDefault="0078241E" w:rsidP="005E4D14">
            <w:pPr>
              <w:pStyle w:val="TableText0"/>
            </w:pPr>
            <w:r w:rsidRPr="0098262F">
              <w:t>Intervention</w:t>
            </w:r>
          </w:p>
        </w:tc>
        <w:tc>
          <w:tcPr>
            <w:tcW w:w="7488" w:type="dxa"/>
            <w:vAlign w:val="center"/>
          </w:tcPr>
          <w:p w14:paraId="24B8E113" w14:textId="77777777" w:rsidR="0078241E" w:rsidRPr="0098262F" w:rsidRDefault="0078241E" w:rsidP="005E4D14">
            <w:pPr>
              <w:pStyle w:val="TableText0"/>
            </w:pPr>
            <w:r w:rsidRPr="00CA32F4">
              <w:t>Enfortumab vedotin 1.25 mg/kg IV on Days 1 and 8 with pembrolizumab 200 mg IV on Day 1 of each 3-week cycle, for up to 35 cycles for PEM (EV+PEM)</w:t>
            </w:r>
          </w:p>
        </w:tc>
      </w:tr>
      <w:tr w:rsidR="0078241E" w:rsidRPr="0098262F" w14:paraId="025B7DF7" w14:textId="77777777" w:rsidTr="005E4D14">
        <w:tc>
          <w:tcPr>
            <w:tcW w:w="1668" w:type="dxa"/>
            <w:vAlign w:val="center"/>
          </w:tcPr>
          <w:p w14:paraId="7336043B" w14:textId="77777777" w:rsidR="0078241E" w:rsidRPr="0098262F" w:rsidRDefault="0078241E" w:rsidP="005E4D14">
            <w:pPr>
              <w:pStyle w:val="TableText0"/>
            </w:pPr>
            <w:r w:rsidRPr="0098262F">
              <w:t>Comparator</w:t>
            </w:r>
          </w:p>
        </w:tc>
        <w:tc>
          <w:tcPr>
            <w:tcW w:w="7488" w:type="dxa"/>
            <w:vAlign w:val="center"/>
          </w:tcPr>
          <w:p w14:paraId="7A4D4BA2" w14:textId="77777777" w:rsidR="0078241E" w:rsidRPr="0098262F" w:rsidRDefault="0078241E" w:rsidP="005E4D14">
            <w:pPr>
              <w:pStyle w:val="TableText0"/>
            </w:pPr>
            <w:r w:rsidRPr="00CA32F4">
              <w:t>Platinum-based chemotherapy (gemcitabine 1000 mg/m</w:t>
            </w:r>
            <w:r w:rsidRPr="006765C1">
              <w:rPr>
                <w:vertAlign w:val="superscript"/>
              </w:rPr>
              <w:t>2</w:t>
            </w:r>
            <w:r w:rsidRPr="00CA32F4">
              <w:t xml:space="preserve"> IV on Days 1 and 8 with either cisplatin 70 mg/m</w:t>
            </w:r>
            <w:r w:rsidRPr="006765C1">
              <w:rPr>
                <w:vertAlign w:val="superscript"/>
              </w:rPr>
              <w:t>2</w:t>
            </w:r>
            <w:r w:rsidRPr="00CA32F4">
              <w:t xml:space="preserve"> IV or carboplatin AUC 4.5 IV on Day 1 of each 3-week cycle) for up to 6 cycles (</w:t>
            </w:r>
            <w:proofErr w:type="spellStart"/>
            <w:r w:rsidRPr="00CA32F4">
              <w:t>Plat+Gem</w:t>
            </w:r>
            <w:proofErr w:type="spellEnd"/>
            <w:r w:rsidRPr="00CA32F4">
              <w:t>)</w:t>
            </w:r>
          </w:p>
        </w:tc>
      </w:tr>
      <w:tr w:rsidR="0078241E" w:rsidRPr="0098262F" w14:paraId="125074DD" w14:textId="77777777" w:rsidTr="005E4D14">
        <w:tc>
          <w:tcPr>
            <w:tcW w:w="1668" w:type="dxa"/>
            <w:vAlign w:val="center"/>
          </w:tcPr>
          <w:p w14:paraId="0AFC26CE" w14:textId="77777777" w:rsidR="0078241E" w:rsidRPr="0098262F" w:rsidRDefault="0078241E" w:rsidP="005E4D14">
            <w:pPr>
              <w:pStyle w:val="TableText0"/>
            </w:pPr>
            <w:r w:rsidRPr="0098262F">
              <w:t>Outcomes</w:t>
            </w:r>
          </w:p>
        </w:tc>
        <w:tc>
          <w:tcPr>
            <w:tcW w:w="7488" w:type="dxa"/>
            <w:vAlign w:val="center"/>
          </w:tcPr>
          <w:p w14:paraId="0669578D" w14:textId="77777777" w:rsidR="0078241E" w:rsidRPr="0098262F" w:rsidRDefault="0078241E" w:rsidP="005E4D14">
            <w:pPr>
              <w:pStyle w:val="TableText0"/>
            </w:pPr>
            <w:r w:rsidRPr="00CA32F4">
              <w:t>Progression-free survival, overall survival, objective response rate, duration of response, patient-reported outcomes, safety</w:t>
            </w:r>
          </w:p>
        </w:tc>
      </w:tr>
      <w:tr w:rsidR="0078241E" w:rsidRPr="0098262F" w14:paraId="10B4B20C" w14:textId="77777777" w:rsidTr="005E4D14">
        <w:tc>
          <w:tcPr>
            <w:tcW w:w="1668" w:type="dxa"/>
            <w:vAlign w:val="center"/>
          </w:tcPr>
          <w:p w14:paraId="339FF2CB" w14:textId="77777777" w:rsidR="0078241E" w:rsidRPr="0098262F" w:rsidRDefault="0078241E" w:rsidP="005E4D14">
            <w:pPr>
              <w:pStyle w:val="TableText0"/>
            </w:pPr>
            <w:r w:rsidRPr="0098262F">
              <w:t>Clinical claim</w:t>
            </w:r>
          </w:p>
        </w:tc>
        <w:tc>
          <w:tcPr>
            <w:tcW w:w="7488" w:type="dxa"/>
            <w:vAlign w:val="center"/>
          </w:tcPr>
          <w:p w14:paraId="1A3224A6" w14:textId="77777777" w:rsidR="0078241E" w:rsidRPr="0098262F" w:rsidRDefault="0078241E" w:rsidP="005E4D14">
            <w:pPr>
              <w:pStyle w:val="TableText0"/>
            </w:pPr>
            <w:r w:rsidRPr="00CA32F4">
              <w:t xml:space="preserve">In patients with previously untreated locally advanced or metastatic urothelial cancer, EV+PEM is superior to </w:t>
            </w:r>
            <w:proofErr w:type="spellStart"/>
            <w:r w:rsidRPr="00CA32F4">
              <w:t>Plat+Gem</w:t>
            </w:r>
            <w:proofErr w:type="spellEnd"/>
            <w:r w:rsidRPr="00CA32F4">
              <w:t xml:space="preserve"> in terms of effectiveness and superior in terms of safety</w:t>
            </w:r>
          </w:p>
        </w:tc>
      </w:tr>
    </w:tbl>
    <w:p w14:paraId="7F1F439B" w14:textId="77777777" w:rsidR="0078241E" w:rsidRDefault="0078241E" w:rsidP="0078241E">
      <w:pPr>
        <w:pStyle w:val="TableFigureFooter"/>
      </w:pPr>
      <w:r>
        <w:t>Source: Table 1-1, p28 of the submission.</w:t>
      </w:r>
    </w:p>
    <w:p w14:paraId="6D719BEC" w14:textId="77777777" w:rsidR="0078241E" w:rsidRDefault="0078241E" w:rsidP="0078241E">
      <w:pPr>
        <w:pStyle w:val="TableFigureFooter"/>
      </w:pPr>
      <w:r>
        <w:t>AUC = area under the curve; EV = enfortumab vedotin; GEM = gemcitabine; IV = intravenous; PEM = pembrolizumab; plat = platinum.</w:t>
      </w:r>
    </w:p>
    <w:p w14:paraId="3A77AE70" w14:textId="77777777" w:rsidR="0078241E" w:rsidRPr="0098262F" w:rsidRDefault="0078241E" w:rsidP="0078241E">
      <w:pPr>
        <w:pStyle w:val="TableFigureFooter"/>
      </w:pPr>
      <w:r>
        <w:t xml:space="preserve">Note: EV is given until disease progression. </w:t>
      </w:r>
    </w:p>
    <w:p w14:paraId="38196317" w14:textId="77777777" w:rsidR="008D40C6" w:rsidRPr="0098262F" w:rsidRDefault="008D40C6" w:rsidP="008D40C6">
      <w:pPr>
        <w:pStyle w:val="2-SectionHeading"/>
      </w:pPr>
      <w:bookmarkStart w:id="4" w:name="_Toc177481899"/>
      <w:bookmarkStart w:id="5" w:name="_Toc22897645"/>
      <w:bookmarkStart w:id="6" w:name="_Toc107927631"/>
      <w:r w:rsidRPr="0098262F">
        <w:t>Background</w:t>
      </w:r>
      <w:bookmarkEnd w:id="4"/>
    </w:p>
    <w:p w14:paraId="40FB3DF3" w14:textId="77777777" w:rsidR="008D40C6" w:rsidRPr="0098262F" w:rsidRDefault="008D40C6" w:rsidP="008D40C6">
      <w:pPr>
        <w:pStyle w:val="4-SubsectionHeading"/>
      </w:pPr>
      <w:bookmarkStart w:id="7" w:name="_Toc22897638"/>
      <w:bookmarkStart w:id="8" w:name="_Toc177481900"/>
      <w:r w:rsidRPr="0098262F">
        <w:t>Registration status</w:t>
      </w:r>
      <w:bookmarkEnd w:id="7"/>
      <w:bookmarkEnd w:id="8"/>
    </w:p>
    <w:p w14:paraId="01846FE5" w14:textId="314A933F" w:rsidR="008D40C6" w:rsidRPr="005D3209" w:rsidRDefault="00432C49" w:rsidP="008D40C6">
      <w:pPr>
        <w:pStyle w:val="3-BodyText"/>
      </w:pPr>
      <w:r>
        <w:t>The submission was made under TGA/PBAC Parallel Process. E</w:t>
      </w:r>
      <w:r w:rsidR="008D40C6" w:rsidRPr="005D3209">
        <w:t>V</w:t>
      </w:r>
      <w:r>
        <w:t xml:space="preserve"> </w:t>
      </w:r>
      <w:r w:rsidR="008D40C6" w:rsidRPr="005D3209">
        <w:t xml:space="preserve">was submitted for the treatment of adult patients with la/mUC on 24 January 2024. </w:t>
      </w:r>
      <w:r>
        <w:t xml:space="preserve">At the time of PBAC consideration, the TGA Delegate’s Overview was available. The Delegate stated they were in a position to approve EV, in combination with pembrolizumab, for the treatment of adult patients with la/mUC who have not previously received systemic therapy for mUC.  </w:t>
      </w:r>
    </w:p>
    <w:p w14:paraId="50C544C9" w14:textId="4780ED67" w:rsidR="008D40C6" w:rsidRDefault="008D40C6" w:rsidP="008D40C6">
      <w:pPr>
        <w:pStyle w:val="3-BodyText"/>
      </w:pPr>
      <w:r>
        <w:t>Pembrolizumab was also submitted</w:t>
      </w:r>
      <w:r w:rsidR="000A3BEC">
        <w:t xml:space="preserve"> to the TGA</w:t>
      </w:r>
      <w:r>
        <w:t xml:space="preserve"> in February 2024 for the treatment of patients with la/mUC.</w:t>
      </w:r>
    </w:p>
    <w:p w14:paraId="3AECAD63" w14:textId="77777777" w:rsidR="008D40C6" w:rsidRDefault="008D40C6" w:rsidP="008D40C6">
      <w:pPr>
        <w:pStyle w:val="3-BodyText"/>
      </w:pPr>
      <w:r>
        <w:lastRenderedPageBreak/>
        <w:t>EV is currently registered in the ARTG for the treatment of adult patients with la/mUC who have previously received a platinum-containing chemotherapy and a PD-1 or PD-L1 inhibitor.</w:t>
      </w:r>
    </w:p>
    <w:p w14:paraId="24C47028" w14:textId="77777777" w:rsidR="008D40C6" w:rsidRDefault="008D40C6" w:rsidP="008D40C6">
      <w:pPr>
        <w:pStyle w:val="3-BodyText"/>
      </w:pPr>
      <w:r>
        <w:t>Pembrolizumab is listed on the ARTG for numerous indications. The current indications of relevance to urothelial cancer are:</w:t>
      </w:r>
    </w:p>
    <w:p w14:paraId="1F0F630F" w14:textId="77777777" w:rsidR="008D40C6" w:rsidRDefault="008D40C6" w:rsidP="00BC1C41">
      <w:pPr>
        <w:pStyle w:val="3-BodyText"/>
        <w:numPr>
          <w:ilvl w:val="0"/>
          <w:numId w:val="10"/>
        </w:numPr>
      </w:pPr>
      <w:r>
        <w:t>Monotherapy for the treatment of patients with locally advanced or metastatic urothelial carcinoma who are not eligible for any platinum-containing chemotherapy</w:t>
      </w:r>
    </w:p>
    <w:p w14:paraId="2C57F697" w14:textId="77777777" w:rsidR="008D40C6" w:rsidRDefault="008D40C6" w:rsidP="00BC1C41">
      <w:pPr>
        <w:pStyle w:val="3-BodyText"/>
        <w:numPr>
          <w:ilvl w:val="0"/>
          <w:numId w:val="10"/>
        </w:numPr>
      </w:pPr>
      <w:r>
        <w:t>Monotherapy for the treatment of patients with locally advanced or metastatic urothelial carcinoma who have received platinum-containing chemotherapy</w:t>
      </w:r>
    </w:p>
    <w:p w14:paraId="459BC4EA" w14:textId="77777777" w:rsidR="008D40C6" w:rsidRDefault="008D40C6" w:rsidP="00BC1C41">
      <w:pPr>
        <w:pStyle w:val="3-BodyText"/>
        <w:numPr>
          <w:ilvl w:val="0"/>
          <w:numId w:val="10"/>
        </w:numPr>
      </w:pPr>
      <w:r>
        <w:t>Treatment of patients with Bacillus Calmette-Guerin (BCG)-unresponsive, high-risk, non-muscle invasive bladder cancer (NMIBC) with carcinoma in-situ (CIS) with or without papillary tumours who are ineligible for or have elected not to undergo cystectomy.</w:t>
      </w:r>
    </w:p>
    <w:p w14:paraId="6A2D6857" w14:textId="57468CDC" w:rsidR="00696BC0" w:rsidRDefault="008D40C6" w:rsidP="00696BC0">
      <w:pPr>
        <w:pStyle w:val="3-BodyText"/>
      </w:pPr>
      <w:r>
        <w:t xml:space="preserve">On 3 </w:t>
      </w:r>
      <w:proofErr w:type="gramStart"/>
      <w:r>
        <w:t>April,</w:t>
      </w:r>
      <w:proofErr w:type="gramEnd"/>
      <w:r>
        <w:t xml:space="preserve"> 2023, the U.S. Food and Drug Administration (FDA) granted accelerated approval to EV+PEM for patients with la/mUC who are ineligible for cisplatin-containing chemotherapy. Following the evaluation of primary results from the EV-302 trial, EV+PEM was approved by the FDA on 15 December 2023 for the treatment of adult patients with la/mUC, without restriction by cisplatin eligibility.</w:t>
      </w:r>
    </w:p>
    <w:p w14:paraId="3358D366" w14:textId="71B2AE3E" w:rsidR="00696BC0" w:rsidRPr="00551929" w:rsidRDefault="00696BC0" w:rsidP="00696BC0">
      <w:pPr>
        <w:pStyle w:val="3-BodyText"/>
        <w:numPr>
          <w:ilvl w:val="0"/>
          <w:numId w:val="0"/>
        </w:numPr>
        <w:ind w:left="720"/>
      </w:pPr>
      <w:r w:rsidRPr="00C33D30">
        <w:rPr>
          <w:i/>
        </w:rPr>
        <w:t>For more detail on PBAC’s view, see section 7 PBAC outcome.</w:t>
      </w:r>
    </w:p>
    <w:p w14:paraId="7A5DE77E" w14:textId="77777777" w:rsidR="008D40C6" w:rsidRDefault="008D40C6" w:rsidP="008D40C6">
      <w:pPr>
        <w:pStyle w:val="2-SectionHeading"/>
      </w:pPr>
      <w:bookmarkStart w:id="9" w:name="_Toc107902078"/>
      <w:bookmarkStart w:id="10" w:name="_Toc177481901"/>
      <w:bookmarkEnd w:id="9"/>
      <w:r w:rsidRPr="0098262F">
        <w:t>Requested listing</w:t>
      </w:r>
      <w:bookmarkEnd w:id="10"/>
    </w:p>
    <w:p w14:paraId="2479EB02" w14:textId="135662D5" w:rsidR="00324F9E" w:rsidRPr="00324F9E" w:rsidRDefault="00324F9E" w:rsidP="00324F9E">
      <w:pPr>
        <w:pStyle w:val="3-BodyText"/>
      </w:pPr>
      <w:r w:rsidRPr="00F91542">
        <w:rPr>
          <w:rFonts w:cstheme="minorHAnsi"/>
          <w:iCs/>
        </w:rPr>
        <w:t>Suggestions and additions proposed by the Secretariat are added in italics and suggested deletions are crossed out with strikethrough</w:t>
      </w:r>
      <w:r>
        <w:rPr>
          <w:rFonts w:cstheme="minorHAnsi"/>
          <w:iCs/>
        </w:rPr>
        <w:t>.</w:t>
      </w:r>
    </w:p>
    <w:p w14:paraId="50D3B6E7" w14:textId="77777777" w:rsidR="00324F9E" w:rsidRPr="00324F9E" w:rsidRDefault="00324F9E" w:rsidP="00014CB1">
      <w:pPr>
        <w:pStyle w:val="3-BodyText"/>
        <w:numPr>
          <w:ilvl w:val="0"/>
          <w:numId w:val="0"/>
        </w:numPr>
        <w:spacing w:after="0"/>
        <w:rPr>
          <w:b/>
          <w:bCs/>
        </w:rPr>
      </w:pPr>
      <w:r w:rsidRPr="00324F9E">
        <w:rPr>
          <w:b/>
          <w:bCs/>
        </w:rPr>
        <w:t>Enfortumab vedotin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9"/>
        <w:gridCol w:w="1134"/>
        <w:gridCol w:w="2126"/>
        <w:gridCol w:w="1841"/>
        <w:gridCol w:w="1277"/>
        <w:gridCol w:w="1367"/>
      </w:tblGrid>
      <w:tr w:rsidR="00311F03" w:rsidRPr="00CB2322" w14:paraId="3556655F" w14:textId="77777777" w:rsidTr="00311F03">
        <w:trPr>
          <w:cantSplit/>
          <w:trHeight w:val="20"/>
        </w:trPr>
        <w:tc>
          <w:tcPr>
            <w:tcW w:w="1334" w:type="pct"/>
            <w:gridSpan w:val="3"/>
            <w:vAlign w:val="center"/>
          </w:tcPr>
          <w:p w14:paraId="651CA6C4" w14:textId="77777777" w:rsidR="00311F03" w:rsidRPr="00CB2322" w:rsidRDefault="00311F03" w:rsidP="005E4D14">
            <w:pPr>
              <w:keepNext/>
              <w:rPr>
                <w:rFonts w:ascii="Arial Narrow" w:hAnsi="Arial Narrow"/>
                <w:b/>
                <w:bCs/>
                <w:sz w:val="20"/>
                <w:szCs w:val="20"/>
              </w:rPr>
            </w:pPr>
            <w:r w:rsidRPr="00CB2322">
              <w:rPr>
                <w:rFonts w:ascii="Arial Narrow" w:hAnsi="Arial Narrow"/>
                <w:b/>
                <w:bCs/>
                <w:sz w:val="20"/>
                <w:szCs w:val="20"/>
              </w:rPr>
              <w:t>MEDICINAL PRODUCT</w:t>
            </w:r>
          </w:p>
          <w:p w14:paraId="173687CB" w14:textId="77777777" w:rsidR="00311F03" w:rsidRPr="00CB2322" w:rsidRDefault="00311F03" w:rsidP="005E4D14">
            <w:pPr>
              <w:keepNext/>
              <w:rPr>
                <w:rFonts w:ascii="Arial Narrow" w:hAnsi="Arial Narrow"/>
                <w:b/>
                <w:sz w:val="20"/>
                <w:szCs w:val="20"/>
              </w:rPr>
            </w:pPr>
            <w:r w:rsidRPr="00CB2322">
              <w:rPr>
                <w:rFonts w:ascii="Arial Narrow" w:hAnsi="Arial Narrow"/>
                <w:b/>
                <w:sz w:val="20"/>
                <w:szCs w:val="20"/>
              </w:rPr>
              <w:t>Form</w:t>
            </w:r>
          </w:p>
        </w:tc>
        <w:tc>
          <w:tcPr>
            <w:tcW w:w="1179" w:type="pct"/>
            <w:vAlign w:val="center"/>
          </w:tcPr>
          <w:p w14:paraId="4237B66D" w14:textId="4BB288D5" w:rsidR="00311F03" w:rsidRPr="00CB2322" w:rsidRDefault="00311F03" w:rsidP="00311F03">
            <w:pPr>
              <w:keepNext/>
              <w:rPr>
                <w:rFonts w:ascii="Arial Narrow" w:hAnsi="Arial Narrow"/>
                <w:b/>
                <w:sz w:val="20"/>
                <w:szCs w:val="20"/>
              </w:rPr>
            </w:pPr>
            <w:r w:rsidRPr="00311F03">
              <w:rPr>
                <w:rFonts w:ascii="Arial Narrow" w:hAnsi="Arial Narrow"/>
                <w:b/>
                <w:bCs/>
                <w:sz w:val="20"/>
                <w:szCs w:val="20"/>
              </w:rPr>
              <w:t>Dispensed Price Max Amt</w:t>
            </w:r>
          </w:p>
        </w:tc>
        <w:tc>
          <w:tcPr>
            <w:tcW w:w="1021" w:type="pct"/>
            <w:vAlign w:val="center"/>
          </w:tcPr>
          <w:p w14:paraId="22044160" w14:textId="0AEEAF91" w:rsidR="00311F03" w:rsidRPr="00CB2322" w:rsidRDefault="00311F03" w:rsidP="005E4D14">
            <w:pPr>
              <w:keepNext/>
              <w:jc w:val="center"/>
              <w:rPr>
                <w:rFonts w:ascii="Arial Narrow" w:hAnsi="Arial Narrow"/>
                <w:b/>
                <w:sz w:val="20"/>
                <w:szCs w:val="20"/>
              </w:rPr>
            </w:pPr>
            <w:r w:rsidRPr="00CB2322">
              <w:rPr>
                <w:rFonts w:ascii="Arial Narrow" w:hAnsi="Arial Narrow"/>
                <w:b/>
                <w:sz w:val="20"/>
                <w:szCs w:val="20"/>
              </w:rPr>
              <w:t>PBS item code</w:t>
            </w:r>
          </w:p>
        </w:tc>
        <w:tc>
          <w:tcPr>
            <w:tcW w:w="708" w:type="pct"/>
            <w:vAlign w:val="center"/>
          </w:tcPr>
          <w:p w14:paraId="184CD66C" w14:textId="77777777" w:rsidR="00311F03" w:rsidRPr="00CB2322" w:rsidRDefault="00311F03" w:rsidP="005E4D14">
            <w:pPr>
              <w:keepNext/>
              <w:jc w:val="center"/>
              <w:rPr>
                <w:rFonts w:ascii="Arial Narrow" w:hAnsi="Arial Narrow"/>
                <w:b/>
                <w:sz w:val="20"/>
                <w:szCs w:val="20"/>
              </w:rPr>
            </w:pPr>
            <w:r w:rsidRPr="00CB2322">
              <w:rPr>
                <w:rFonts w:ascii="Arial Narrow" w:hAnsi="Arial Narrow"/>
                <w:b/>
                <w:sz w:val="20"/>
                <w:szCs w:val="20"/>
              </w:rPr>
              <w:t>Max. Amount</w:t>
            </w:r>
          </w:p>
        </w:tc>
        <w:tc>
          <w:tcPr>
            <w:tcW w:w="758" w:type="pct"/>
            <w:vAlign w:val="center"/>
          </w:tcPr>
          <w:p w14:paraId="56CA98D7" w14:textId="77777777" w:rsidR="00311F03" w:rsidRPr="00CB2322" w:rsidRDefault="00311F03" w:rsidP="005E4D14">
            <w:pPr>
              <w:keepNext/>
              <w:jc w:val="center"/>
              <w:rPr>
                <w:rFonts w:ascii="Arial Narrow" w:hAnsi="Arial Narrow"/>
                <w:b/>
                <w:sz w:val="20"/>
                <w:szCs w:val="20"/>
              </w:rPr>
            </w:pPr>
            <w:r w:rsidRPr="00CB2322">
              <w:rPr>
                <w:rFonts w:ascii="Arial Narrow" w:hAnsi="Arial Narrow"/>
                <w:b/>
                <w:sz w:val="20"/>
                <w:szCs w:val="20"/>
              </w:rPr>
              <w:t>№.of Rpts</w:t>
            </w:r>
          </w:p>
        </w:tc>
      </w:tr>
      <w:tr w:rsidR="00311F03" w:rsidRPr="00CB2322" w14:paraId="14466D32" w14:textId="77777777" w:rsidTr="00E36DB9">
        <w:trPr>
          <w:cantSplit/>
          <w:trHeight w:val="360"/>
        </w:trPr>
        <w:tc>
          <w:tcPr>
            <w:tcW w:w="1334" w:type="pct"/>
            <w:gridSpan w:val="3"/>
            <w:vAlign w:val="center"/>
          </w:tcPr>
          <w:p w14:paraId="4E7BAB41" w14:textId="77777777" w:rsidR="00311F03" w:rsidRPr="00CB2322" w:rsidRDefault="00311F03" w:rsidP="005E4D14">
            <w:pPr>
              <w:keepNext/>
              <w:rPr>
                <w:rFonts w:ascii="Arial Narrow" w:hAnsi="Arial Narrow"/>
                <w:sz w:val="20"/>
                <w:szCs w:val="20"/>
              </w:rPr>
            </w:pPr>
            <w:r w:rsidRPr="00CB2322">
              <w:rPr>
                <w:rFonts w:ascii="Arial Narrow" w:hAnsi="Arial Narrow"/>
                <w:sz w:val="20"/>
                <w:szCs w:val="20"/>
              </w:rPr>
              <w:t>ENFORTUMAB VEDOTIN</w:t>
            </w:r>
          </w:p>
          <w:p w14:paraId="7965A9DC" w14:textId="77777777" w:rsidR="00311F03" w:rsidRPr="00CB2322" w:rsidRDefault="00311F03" w:rsidP="005E4D14">
            <w:pPr>
              <w:keepNext/>
              <w:rPr>
                <w:rFonts w:ascii="Arial Narrow" w:hAnsi="Arial Narrow"/>
                <w:sz w:val="20"/>
                <w:szCs w:val="20"/>
              </w:rPr>
            </w:pPr>
            <w:r w:rsidRPr="00CB2322">
              <w:rPr>
                <w:rFonts w:ascii="Arial Narrow" w:hAnsi="Arial Narrow"/>
                <w:sz w:val="20"/>
                <w:szCs w:val="20"/>
              </w:rPr>
              <w:t>Injection</w:t>
            </w:r>
          </w:p>
        </w:tc>
        <w:tc>
          <w:tcPr>
            <w:tcW w:w="1179" w:type="pct"/>
            <w:vAlign w:val="center"/>
          </w:tcPr>
          <w:p w14:paraId="0E85A0A7" w14:textId="0FCE2232" w:rsidR="00311F03" w:rsidRPr="00C0020F" w:rsidRDefault="00311F03" w:rsidP="00C0020F">
            <w:pPr>
              <w:keepNext/>
              <w:jc w:val="center"/>
              <w:rPr>
                <w:rFonts w:ascii="Arial Narrow" w:hAnsi="Arial Narrow"/>
                <w:sz w:val="20"/>
                <w:szCs w:val="20"/>
              </w:rPr>
            </w:pPr>
            <w:r w:rsidRPr="00C0020F">
              <w:rPr>
                <w:rFonts w:ascii="Arial Narrow" w:hAnsi="Arial Narrow"/>
                <w:sz w:val="20"/>
                <w:szCs w:val="20"/>
              </w:rPr>
              <w:t>$</w:t>
            </w:r>
            <w:r w:rsidR="004C53B1" w:rsidRPr="004102BD">
              <w:rPr>
                <w:rFonts w:ascii="Arial Narrow" w:hAnsi="Arial Narrow"/>
                <w:color w:val="000000"/>
                <w:spacing w:val="114"/>
                <w:sz w:val="20"/>
                <w:szCs w:val="20"/>
                <w:shd w:val="solid" w:color="000000" w:fill="000000"/>
                <w:fitText w:val="200" w:id="-761020159"/>
                <w14:textFill>
                  <w14:solidFill>
                    <w14:srgbClr w14:val="000000">
                      <w14:alpha w14:val="100000"/>
                    </w14:srgbClr>
                  </w14:solidFill>
                </w14:textFill>
              </w:rPr>
              <w:t>|</w:t>
            </w:r>
            <w:r w:rsidR="004C53B1" w:rsidRPr="004102BD">
              <w:rPr>
                <w:rFonts w:ascii="Arial Narrow" w:hAnsi="Arial Narrow"/>
                <w:color w:val="000000"/>
                <w:sz w:val="20"/>
                <w:szCs w:val="20"/>
                <w:shd w:val="solid" w:color="000000" w:fill="000000"/>
                <w:fitText w:val="200" w:id="-761020159"/>
                <w14:textFill>
                  <w14:solidFill>
                    <w14:srgbClr w14:val="000000">
                      <w14:alpha w14:val="100000"/>
                    </w14:srgbClr>
                  </w14:solidFill>
                </w14:textFill>
              </w:rPr>
              <w:t>|</w:t>
            </w:r>
            <w:r w:rsidR="00F25801" w:rsidRPr="00F25801" w:rsidDel="00F25801">
              <w:rPr>
                <w:rFonts w:ascii="Arial Narrow" w:hAnsi="Arial Narrow"/>
                <w:sz w:val="20"/>
                <w:szCs w:val="20"/>
              </w:rPr>
              <w:t xml:space="preserve"> </w:t>
            </w:r>
            <w:r w:rsidRPr="00C0020F">
              <w:rPr>
                <w:rFonts w:ascii="Arial Narrow" w:hAnsi="Arial Narrow"/>
                <w:sz w:val="20"/>
                <w:szCs w:val="20"/>
              </w:rPr>
              <w:t>published price (public)</w:t>
            </w:r>
          </w:p>
          <w:p w14:paraId="1EF05A81" w14:textId="18914AE0" w:rsidR="00311F03" w:rsidRPr="00CB2322" w:rsidRDefault="00311F03" w:rsidP="00311F03">
            <w:pPr>
              <w:keepNext/>
              <w:jc w:val="center"/>
              <w:rPr>
                <w:rFonts w:ascii="Arial Narrow" w:hAnsi="Arial Narrow"/>
                <w:sz w:val="20"/>
                <w:szCs w:val="20"/>
              </w:rPr>
            </w:pPr>
            <w:r w:rsidRPr="00311F03">
              <w:rPr>
                <w:rFonts w:ascii="Arial Narrow" w:hAnsi="Arial Narrow"/>
                <w:sz w:val="20"/>
                <w:szCs w:val="20"/>
              </w:rPr>
              <w:t>$</w:t>
            </w:r>
            <w:r w:rsidR="004C53B1" w:rsidRPr="004C53B1">
              <w:rPr>
                <w:rFonts w:ascii="Arial Narrow" w:hAnsi="Arial Narrow"/>
                <w:color w:val="000000"/>
                <w:spacing w:val="114"/>
                <w:sz w:val="20"/>
                <w:szCs w:val="20"/>
                <w:shd w:val="solid" w:color="000000" w:fill="000000"/>
                <w:fitText w:val="200" w:id="-761020158"/>
                <w14:textFill>
                  <w14:solidFill>
                    <w14:srgbClr w14:val="000000">
                      <w14:alpha w14:val="100000"/>
                    </w14:srgbClr>
                  </w14:solidFill>
                </w14:textFill>
              </w:rPr>
              <w:t>|</w:t>
            </w:r>
            <w:r w:rsidR="004C53B1" w:rsidRPr="004C53B1">
              <w:rPr>
                <w:rFonts w:ascii="Arial Narrow" w:hAnsi="Arial Narrow"/>
                <w:color w:val="000000"/>
                <w:sz w:val="20"/>
                <w:szCs w:val="20"/>
                <w:shd w:val="solid" w:color="000000" w:fill="000000"/>
                <w:fitText w:val="200" w:id="-761020158"/>
                <w14:textFill>
                  <w14:solidFill>
                    <w14:srgbClr w14:val="000000">
                      <w14:alpha w14:val="100000"/>
                    </w14:srgbClr>
                  </w14:solidFill>
                </w14:textFill>
              </w:rPr>
              <w:t>|</w:t>
            </w:r>
            <w:r w:rsidR="00FC72CE" w:rsidRPr="00FC72CE" w:rsidDel="00FC72CE">
              <w:rPr>
                <w:rFonts w:ascii="Arial Narrow" w:hAnsi="Arial Narrow"/>
                <w:sz w:val="20"/>
                <w:szCs w:val="20"/>
              </w:rPr>
              <w:t xml:space="preserve"> </w:t>
            </w:r>
            <w:r w:rsidRPr="00311F03">
              <w:rPr>
                <w:rFonts w:ascii="Arial Narrow" w:hAnsi="Arial Narrow"/>
                <w:sz w:val="20"/>
                <w:szCs w:val="20"/>
              </w:rPr>
              <w:t>published price (private)</w:t>
            </w:r>
          </w:p>
        </w:tc>
        <w:tc>
          <w:tcPr>
            <w:tcW w:w="1021" w:type="pct"/>
            <w:vAlign w:val="center"/>
          </w:tcPr>
          <w:p w14:paraId="4C32678A" w14:textId="73B7D7F3" w:rsidR="00311F03" w:rsidRPr="00CB2322" w:rsidRDefault="00311F03" w:rsidP="005E4D14">
            <w:pPr>
              <w:keepNext/>
              <w:jc w:val="center"/>
              <w:rPr>
                <w:rFonts w:ascii="Arial Narrow" w:hAnsi="Arial Narrow"/>
                <w:sz w:val="20"/>
                <w:szCs w:val="20"/>
              </w:rPr>
            </w:pPr>
            <w:r w:rsidRPr="00CB2322">
              <w:rPr>
                <w:rFonts w:ascii="Arial Narrow" w:hAnsi="Arial Narrow"/>
                <w:sz w:val="20"/>
                <w:szCs w:val="20"/>
              </w:rPr>
              <w:t>NEW (Public)</w:t>
            </w:r>
            <w:r w:rsidRPr="00CB2322">
              <w:rPr>
                <w:rFonts w:ascii="Arial Narrow" w:hAnsi="Arial Narrow"/>
                <w:sz w:val="20"/>
                <w:szCs w:val="20"/>
              </w:rPr>
              <w:br/>
              <w:t>NEW (Private)</w:t>
            </w:r>
          </w:p>
        </w:tc>
        <w:tc>
          <w:tcPr>
            <w:tcW w:w="708" w:type="pct"/>
            <w:vAlign w:val="center"/>
          </w:tcPr>
          <w:p w14:paraId="44BAF478" w14:textId="77777777" w:rsidR="00311F03" w:rsidRPr="00CB2322" w:rsidRDefault="00311F03" w:rsidP="005E4D14">
            <w:pPr>
              <w:keepNext/>
              <w:jc w:val="center"/>
              <w:rPr>
                <w:rFonts w:ascii="Arial Narrow" w:hAnsi="Arial Narrow"/>
                <w:sz w:val="20"/>
                <w:szCs w:val="20"/>
              </w:rPr>
            </w:pPr>
            <w:r w:rsidRPr="00CB2322">
              <w:rPr>
                <w:rFonts w:ascii="Arial Narrow" w:hAnsi="Arial Narrow"/>
                <w:sz w:val="20"/>
                <w:szCs w:val="20"/>
              </w:rPr>
              <w:t>125mg</w:t>
            </w:r>
          </w:p>
        </w:tc>
        <w:tc>
          <w:tcPr>
            <w:tcW w:w="758" w:type="pct"/>
            <w:vAlign w:val="center"/>
          </w:tcPr>
          <w:p w14:paraId="5341898B" w14:textId="77777777" w:rsidR="00311F03" w:rsidRPr="00CB2322" w:rsidRDefault="00311F03" w:rsidP="005E4D14">
            <w:pPr>
              <w:keepNext/>
              <w:jc w:val="center"/>
              <w:rPr>
                <w:rFonts w:ascii="Arial Narrow" w:hAnsi="Arial Narrow"/>
                <w:sz w:val="20"/>
                <w:szCs w:val="20"/>
              </w:rPr>
            </w:pPr>
            <w:r w:rsidRPr="00CB2322">
              <w:rPr>
                <w:rFonts w:ascii="Arial Narrow" w:hAnsi="Arial Narrow"/>
                <w:sz w:val="20"/>
                <w:szCs w:val="20"/>
              </w:rPr>
              <w:t>7</w:t>
            </w:r>
          </w:p>
        </w:tc>
      </w:tr>
      <w:tr w:rsidR="00324F9E" w:rsidRPr="00CB2322" w14:paraId="2CE7AE5D" w14:textId="77777777" w:rsidTr="005E4D14">
        <w:trPr>
          <w:cantSplit/>
          <w:trHeight w:val="20"/>
        </w:trPr>
        <w:tc>
          <w:tcPr>
            <w:tcW w:w="5000" w:type="pct"/>
            <w:gridSpan w:val="7"/>
            <w:vAlign w:val="center"/>
          </w:tcPr>
          <w:p w14:paraId="6CD7C684" w14:textId="77777777" w:rsidR="00324F9E" w:rsidRPr="00CB2322" w:rsidRDefault="00324F9E" w:rsidP="005E4D14">
            <w:pPr>
              <w:keepNext/>
              <w:rPr>
                <w:rFonts w:ascii="Arial Narrow" w:hAnsi="Arial Narrow"/>
                <w:b/>
                <w:sz w:val="20"/>
                <w:szCs w:val="20"/>
              </w:rPr>
            </w:pPr>
            <w:r w:rsidRPr="00CB2322">
              <w:rPr>
                <w:rFonts w:ascii="Arial Narrow" w:hAnsi="Arial Narrow"/>
                <w:b/>
                <w:sz w:val="20"/>
                <w:szCs w:val="20"/>
              </w:rPr>
              <w:t xml:space="preserve">Available brands </w:t>
            </w:r>
          </w:p>
        </w:tc>
      </w:tr>
      <w:tr w:rsidR="00324F9E" w:rsidRPr="00CB2322" w14:paraId="5740DF2F" w14:textId="77777777" w:rsidTr="005E4D14">
        <w:trPr>
          <w:cantSplit/>
          <w:trHeight w:val="20"/>
        </w:trPr>
        <w:tc>
          <w:tcPr>
            <w:tcW w:w="5000" w:type="pct"/>
            <w:gridSpan w:val="7"/>
            <w:vAlign w:val="center"/>
          </w:tcPr>
          <w:p w14:paraId="4F18FBBA" w14:textId="77777777" w:rsidR="00324F9E" w:rsidRPr="00214EA5" w:rsidRDefault="00324F9E" w:rsidP="005E4D14">
            <w:pPr>
              <w:keepNext/>
              <w:rPr>
                <w:rFonts w:ascii="Arial Narrow" w:hAnsi="Arial Narrow"/>
                <w:sz w:val="20"/>
                <w:szCs w:val="20"/>
              </w:rPr>
            </w:pPr>
            <w:r w:rsidRPr="00CB2322">
              <w:rPr>
                <w:rFonts w:ascii="Arial Narrow" w:hAnsi="Arial Narrow"/>
                <w:sz w:val="20"/>
                <w:szCs w:val="20"/>
              </w:rPr>
              <w:t>Padcev</w:t>
            </w:r>
          </w:p>
          <w:p w14:paraId="0C7DF586" w14:textId="77777777" w:rsidR="00324F9E" w:rsidRPr="00CB2322" w:rsidRDefault="00324F9E" w:rsidP="005E4D14">
            <w:pPr>
              <w:keepNext/>
              <w:rPr>
                <w:rFonts w:ascii="Arial Narrow" w:hAnsi="Arial Narrow"/>
                <w:sz w:val="20"/>
                <w:szCs w:val="20"/>
              </w:rPr>
            </w:pPr>
            <w:r w:rsidRPr="00CB2322">
              <w:rPr>
                <w:rFonts w:ascii="Arial Narrow" w:hAnsi="Arial Narrow"/>
                <w:sz w:val="20"/>
                <w:szCs w:val="20"/>
              </w:rPr>
              <w:t>(enfortumab vedotin 30 mg injection, 1 vial)</w:t>
            </w:r>
          </w:p>
        </w:tc>
      </w:tr>
      <w:tr w:rsidR="00324F9E" w:rsidRPr="00CB2322" w14:paraId="1D348512" w14:textId="77777777" w:rsidTr="005E4D14">
        <w:trPr>
          <w:cantSplit/>
          <w:trHeight w:val="20"/>
        </w:trPr>
        <w:tc>
          <w:tcPr>
            <w:tcW w:w="5000" w:type="pct"/>
            <w:gridSpan w:val="7"/>
            <w:vAlign w:val="center"/>
          </w:tcPr>
          <w:p w14:paraId="6EBEEF2E" w14:textId="77777777" w:rsidR="00324F9E" w:rsidRPr="00214EA5" w:rsidRDefault="00324F9E" w:rsidP="005E4D14">
            <w:pPr>
              <w:keepNext/>
              <w:rPr>
                <w:rFonts w:ascii="Arial Narrow" w:hAnsi="Arial Narrow"/>
                <w:i/>
                <w:iCs/>
                <w:sz w:val="20"/>
                <w:szCs w:val="20"/>
              </w:rPr>
            </w:pPr>
            <w:r w:rsidRPr="00214EA5">
              <w:rPr>
                <w:rFonts w:ascii="Arial Narrow" w:hAnsi="Arial Narrow"/>
                <w:i/>
                <w:iCs/>
                <w:sz w:val="20"/>
                <w:szCs w:val="20"/>
              </w:rPr>
              <w:t>Padcev</w:t>
            </w:r>
          </w:p>
          <w:p w14:paraId="2DEAA123" w14:textId="77777777" w:rsidR="00324F9E" w:rsidRPr="00214EA5" w:rsidRDefault="00324F9E" w:rsidP="005E4D14">
            <w:pPr>
              <w:keepNext/>
              <w:rPr>
                <w:rFonts w:ascii="Arial Narrow" w:hAnsi="Arial Narrow"/>
                <w:i/>
                <w:iCs/>
                <w:sz w:val="20"/>
                <w:szCs w:val="20"/>
              </w:rPr>
            </w:pPr>
            <w:r w:rsidRPr="00214EA5">
              <w:rPr>
                <w:rFonts w:ascii="Arial Narrow" w:hAnsi="Arial Narrow"/>
                <w:i/>
                <w:iCs/>
                <w:sz w:val="20"/>
                <w:szCs w:val="20"/>
              </w:rPr>
              <w:t>(enfortumab vedotin 20 mg injection, 1 vial)</w:t>
            </w:r>
          </w:p>
        </w:tc>
      </w:tr>
      <w:tr w:rsidR="00324F9E" w:rsidRPr="00CB2322" w14:paraId="2CF6CF6C" w14:textId="77777777" w:rsidTr="005E4D14">
        <w:trPr>
          <w:cantSplit/>
          <w:trHeight w:val="20"/>
        </w:trPr>
        <w:tc>
          <w:tcPr>
            <w:tcW w:w="5000" w:type="pct"/>
            <w:gridSpan w:val="7"/>
            <w:vAlign w:val="center"/>
          </w:tcPr>
          <w:p w14:paraId="02E1D6B7" w14:textId="77777777" w:rsidR="00324F9E" w:rsidRPr="00CB2322" w:rsidRDefault="00324F9E" w:rsidP="005E4D14">
            <w:pPr>
              <w:rPr>
                <w:rFonts w:ascii="Arial Narrow" w:hAnsi="Arial Narrow"/>
                <w:color w:val="FF0000"/>
                <w:sz w:val="20"/>
                <w:szCs w:val="20"/>
              </w:rPr>
            </w:pPr>
          </w:p>
        </w:tc>
      </w:tr>
      <w:tr w:rsidR="00324F9E" w:rsidRPr="00CB2322" w14:paraId="36F58B74" w14:textId="77777777" w:rsidTr="005E4D14">
        <w:trPr>
          <w:cantSplit/>
          <w:trHeight w:val="20"/>
        </w:trPr>
        <w:tc>
          <w:tcPr>
            <w:tcW w:w="5000" w:type="pct"/>
            <w:gridSpan w:val="7"/>
            <w:vAlign w:val="center"/>
          </w:tcPr>
          <w:p w14:paraId="13802AC5" w14:textId="77777777" w:rsidR="00324F9E" w:rsidRPr="00CB2322" w:rsidRDefault="00324F9E" w:rsidP="005E4D14">
            <w:pPr>
              <w:keepNext/>
              <w:rPr>
                <w:rFonts w:ascii="Arial Narrow" w:hAnsi="Arial Narrow"/>
                <w:color w:val="FF0000"/>
                <w:sz w:val="20"/>
                <w:szCs w:val="20"/>
              </w:rPr>
            </w:pPr>
            <w:r w:rsidRPr="00CB2322">
              <w:rPr>
                <w:rFonts w:ascii="Arial Narrow" w:hAnsi="Arial Narrow"/>
                <w:b/>
                <w:sz w:val="20"/>
                <w:szCs w:val="20"/>
              </w:rPr>
              <w:t>Restriction Summary [new]</w:t>
            </w:r>
            <w:r w:rsidRPr="00CB2322">
              <w:rPr>
                <w:rFonts w:ascii="Arial Narrow" w:hAnsi="Arial Narrow"/>
                <w:b/>
                <w:color w:val="FF0000"/>
                <w:sz w:val="20"/>
                <w:szCs w:val="20"/>
              </w:rPr>
              <w:t xml:space="preserve"> </w:t>
            </w:r>
            <w:r w:rsidRPr="00CB2322">
              <w:rPr>
                <w:rFonts w:ascii="Arial Narrow" w:hAnsi="Arial Narrow"/>
                <w:b/>
                <w:sz w:val="20"/>
                <w:szCs w:val="20"/>
              </w:rPr>
              <w:t>/ Treatment of Concept: [new]</w:t>
            </w:r>
          </w:p>
        </w:tc>
      </w:tr>
      <w:tr w:rsidR="00324F9E" w:rsidRPr="00CB2322" w14:paraId="7172D73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04F3AA59" w14:textId="6F1EEF5E" w:rsidR="00324F9E" w:rsidRPr="00CB2322" w:rsidRDefault="00324F9E" w:rsidP="005E4D14">
            <w:pPr>
              <w:keepNext/>
              <w:jc w:val="center"/>
              <w:rPr>
                <w:rFonts w:ascii="Arial Narrow" w:hAnsi="Arial Narrow"/>
                <w:b/>
                <w:sz w:val="20"/>
                <w:szCs w:val="20"/>
              </w:rPr>
            </w:pPr>
          </w:p>
        </w:tc>
        <w:tc>
          <w:tcPr>
            <w:tcW w:w="4295" w:type="pct"/>
            <w:gridSpan w:val="5"/>
          </w:tcPr>
          <w:p w14:paraId="12DADD92" w14:textId="77777777" w:rsidR="00324F9E" w:rsidRPr="00CB2322" w:rsidRDefault="00324F9E" w:rsidP="005E4D14">
            <w:pPr>
              <w:keepNext/>
              <w:rPr>
                <w:rFonts w:ascii="Arial Narrow" w:hAnsi="Arial Narrow"/>
                <w:sz w:val="20"/>
                <w:szCs w:val="20"/>
              </w:rPr>
            </w:pPr>
            <w:r w:rsidRPr="00CB2322">
              <w:rPr>
                <w:rFonts w:ascii="Arial Narrow" w:hAnsi="Arial Narrow"/>
                <w:b/>
                <w:sz w:val="20"/>
                <w:szCs w:val="20"/>
              </w:rPr>
              <w:t xml:space="preserve">Category / Program: </w:t>
            </w:r>
            <w:r w:rsidRPr="00CB2322">
              <w:rPr>
                <w:rFonts w:ascii="Arial Narrow" w:hAnsi="Arial Narrow"/>
                <w:sz w:val="20"/>
                <w:szCs w:val="20"/>
              </w:rPr>
              <w:t>Section 100 – Efficient Funding of Chemotherapy Public/Private hospitals</w:t>
            </w:r>
          </w:p>
        </w:tc>
      </w:tr>
      <w:tr w:rsidR="00324F9E" w:rsidRPr="00CB2322" w14:paraId="79421DE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5DB76D7D" w14:textId="77777777" w:rsidR="00324F9E" w:rsidRPr="00CB2322" w:rsidRDefault="00324F9E" w:rsidP="005E4D14">
            <w:pPr>
              <w:keepNext/>
              <w:rPr>
                <w:rFonts w:ascii="Arial Narrow" w:hAnsi="Arial Narrow"/>
                <w:sz w:val="20"/>
                <w:szCs w:val="20"/>
              </w:rPr>
            </w:pPr>
          </w:p>
        </w:tc>
        <w:tc>
          <w:tcPr>
            <w:tcW w:w="4295" w:type="pct"/>
            <w:gridSpan w:val="5"/>
          </w:tcPr>
          <w:p w14:paraId="60F02ED9" w14:textId="77777777" w:rsidR="00324F9E" w:rsidRPr="00CB2322" w:rsidRDefault="00324F9E" w:rsidP="005E4D14">
            <w:pPr>
              <w:keepNext/>
              <w:rPr>
                <w:rFonts w:ascii="Arial Narrow" w:hAnsi="Arial Narrow"/>
                <w:b/>
                <w:sz w:val="20"/>
                <w:szCs w:val="20"/>
              </w:rPr>
            </w:pPr>
            <w:r w:rsidRPr="00CB2322">
              <w:rPr>
                <w:rFonts w:ascii="Arial Narrow" w:hAnsi="Arial Narrow"/>
                <w:b/>
                <w:sz w:val="20"/>
                <w:szCs w:val="20"/>
              </w:rPr>
              <w:t>Prescriber type:</w:t>
            </w:r>
            <w:r w:rsidRPr="00CB2322">
              <w:rPr>
                <w:rFonts w:ascii="Arial Narrow" w:hAnsi="Arial Narrow"/>
                <w:sz w:val="20"/>
                <w:szCs w:val="20"/>
              </w:rPr>
              <w:t xml:space="preserve"> </w:t>
            </w:r>
            <w:r w:rsidRPr="00CB2322">
              <w:rPr>
                <w:rFonts w:ascii="Arial Narrow" w:hAnsi="Arial Narrow"/>
                <w:sz w:val="20"/>
                <w:szCs w:val="20"/>
              </w:rPr>
              <w:fldChar w:fldCharType="begin" w:fldLock="1">
                <w:ffData>
                  <w:name w:val=""/>
                  <w:enabled/>
                  <w:calcOnExit w:val="0"/>
                  <w:checkBox>
                    <w:sizeAuto/>
                    <w:default w:val="1"/>
                  </w:checkBox>
                </w:ffData>
              </w:fldChar>
            </w:r>
            <w:r w:rsidRPr="00CB2322">
              <w:rPr>
                <w:rFonts w:ascii="Arial Narrow" w:hAnsi="Arial Narrow"/>
                <w:sz w:val="20"/>
                <w:szCs w:val="20"/>
              </w:rPr>
              <w:instrText xml:space="preserve"> FORMCHECKBOX </w:instrText>
            </w:r>
            <w:r w:rsidRPr="00CB2322">
              <w:rPr>
                <w:rFonts w:ascii="Arial Narrow" w:hAnsi="Arial Narrow"/>
                <w:sz w:val="20"/>
                <w:szCs w:val="20"/>
              </w:rPr>
            </w:r>
            <w:r w:rsidRPr="00CB2322">
              <w:rPr>
                <w:rFonts w:ascii="Arial Narrow" w:hAnsi="Arial Narrow"/>
                <w:sz w:val="20"/>
                <w:szCs w:val="20"/>
              </w:rPr>
              <w:fldChar w:fldCharType="separate"/>
            </w:r>
            <w:r w:rsidRPr="00CB2322">
              <w:rPr>
                <w:rFonts w:ascii="Arial Narrow" w:hAnsi="Arial Narrow"/>
                <w:sz w:val="20"/>
                <w:szCs w:val="20"/>
              </w:rPr>
              <w:fldChar w:fldCharType="end"/>
            </w:r>
            <w:r w:rsidRPr="00CB2322">
              <w:rPr>
                <w:rFonts w:ascii="Arial Narrow" w:hAnsi="Arial Narrow"/>
                <w:sz w:val="20"/>
                <w:szCs w:val="20"/>
              </w:rPr>
              <w:t xml:space="preserve">Medical Practitioners </w:t>
            </w:r>
          </w:p>
        </w:tc>
      </w:tr>
      <w:tr w:rsidR="00324F9E" w:rsidRPr="00CB2322" w14:paraId="040F6BD9"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78816C3F" w14:textId="77777777" w:rsidR="00324F9E" w:rsidRPr="00CB2322" w:rsidRDefault="00324F9E" w:rsidP="005E4D14">
            <w:pPr>
              <w:rPr>
                <w:rFonts w:ascii="Arial Narrow" w:hAnsi="Arial Narrow"/>
                <w:sz w:val="20"/>
                <w:szCs w:val="20"/>
              </w:rPr>
            </w:pPr>
          </w:p>
        </w:tc>
        <w:tc>
          <w:tcPr>
            <w:tcW w:w="4295" w:type="pct"/>
            <w:gridSpan w:val="5"/>
          </w:tcPr>
          <w:p w14:paraId="1822A48D" w14:textId="77777777" w:rsidR="00324F9E" w:rsidRPr="00CB2322" w:rsidRDefault="00324F9E" w:rsidP="00324F9E">
            <w:pPr>
              <w:jc w:val="left"/>
              <w:rPr>
                <w:rFonts w:ascii="Arial Narrow" w:eastAsia="Calibri" w:hAnsi="Arial Narrow"/>
                <w:sz w:val="20"/>
                <w:szCs w:val="20"/>
              </w:rPr>
            </w:pPr>
            <w:r w:rsidRPr="00CB2322">
              <w:rPr>
                <w:rFonts w:ascii="Arial Narrow" w:hAnsi="Arial Narrow"/>
                <w:b/>
                <w:sz w:val="20"/>
                <w:szCs w:val="20"/>
              </w:rPr>
              <w:t xml:space="preserve">Restriction type: </w:t>
            </w:r>
            <w:r w:rsidRPr="00CB2322">
              <w:rPr>
                <w:rFonts w:ascii="Arial Narrow" w:eastAsia="Calibri" w:hAnsi="Arial Narrow"/>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CB2322">
              <w:rPr>
                <w:rFonts w:ascii="Arial Narrow" w:eastAsia="Calibri" w:hAnsi="Arial Narrow"/>
                <w:sz w:val="20"/>
                <w:szCs w:val="20"/>
              </w:rPr>
              <w:t>Authority Required (STREAMLINED) [new]</w:t>
            </w:r>
          </w:p>
        </w:tc>
      </w:tr>
      <w:tr w:rsidR="00324F9E" w:rsidRPr="00CB2322" w14:paraId="724C2354" w14:textId="77777777" w:rsidTr="005E4D14">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5EA92744" w14:textId="5EBB8168" w:rsidR="00324F9E" w:rsidRPr="00CB2322" w:rsidRDefault="00324F9E" w:rsidP="005E4D14">
            <w:pPr>
              <w:keepLines/>
              <w:ind w:right="113"/>
              <w:jc w:val="center"/>
              <w:rPr>
                <w:rFonts w:ascii="Arial Narrow" w:hAnsi="Arial Narrow"/>
                <w:color w:val="333333"/>
                <w:sz w:val="20"/>
                <w:szCs w:val="20"/>
              </w:rPr>
            </w:pPr>
          </w:p>
        </w:tc>
        <w:tc>
          <w:tcPr>
            <w:tcW w:w="393" w:type="pct"/>
            <w:vAlign w:val="center"/>
          </w:tcPr>
          <w:p w14:paraId="1A5447D4" w14:textId="5A606A37" w:rsidR="00324F9E" w:rsidRPr="004300CD" w:rsidRDefault="00324F9E" w:rsidP="005E4D14">
            <w:pPr>
              <w:keepLines/>
              <w:ind w:hanging="35"/>
              <w:jc w:val="center"/>
              <w:rPr>
                <w:rFonts w:ascii="Arial Narrow" w:hAnsi="Arial Narrow"/>
                <w:i/>
                <w:iCs/>
                <w:color w:val="333333"/>
                <w:sz w:val="20"/>
                <w:szCs w:val="20"/>
              </w:rPr>
            </w:pPr>
          </w:p>
        </w:tc>
        <w:tc>
          <w:tcPr>
            <w:tcW w:w="4295" w:type="pct"/>
            <w:gridSpan w:val="5"/>
          </w:tcPr>
          <w:p w14:paraId="2E54479D" w14:textId="77777777" w:rsidR="00324F9E" w:rsidRPr="00CB2322" w:rsidRDefault="00324F9E" w:rsidP="005E4D14">
            <w:pPr>
              <w:keepLines/>
              <w:rPr>
                <w:rFonts w:ascii="Arial Narrow" w:hAnsi="Arial Narrow"/>
                <w:color w:val="333333"/>
                <w:sz w:val="20"/>
                <w:szCs w:val="20"/>
              </w:rPr>
            </w:pPr>
            <w:r w:rsidRPr="00CB2322">
              <w:rPr>
                <w:rFonts w:ascii="Arial Narrow" w:hAnsi="Arial Narrow"/>
                <w:b/>
                <w:bCs/>
                <w:sz w:val="20"/>
                <w:szCs w:val="20"/>
              </w:rPr>
              <w:t>Administrative Advice:</w:t>
            </w:r>
            <w:r w:rsidRPr="00CB2322">
              <w:rPr>
                <w:rFonts w:ascii="Arial Narrow" w:hAnsi="Arial Narrow"/>
                <w:sz w:val="20"/>
                <w:szCs w:val="20"/>
              </w:rPr>
              <w:t xml:space="preserve"> No increase in the maximum amount or number of units may be authorised.</w:t>
            </w:r>
          </w:p>
        </w:tc>
      </w:tr>
      <w:tr w:rsidR="00324F9E" w:rsidRPr="00CB2322" w14:paraId="0E8E3862" w14:textId="77777777" w:rsidTr="005E4D14">
        <w:tblPrEx>
          <w:tblCellMar>
            <w:top w:w="15" w:type="dxa"/>
            <w:bottom w:w="15" w:type="dxa"/>
          </w:tblCellMar>
          <w:tblLook w:val="04A0" w:firstRow="1" w:lastRow="0" w:firstColumn="1" w:lastColumn="0" w:noHBand="0" w:noVBand="1"/>
        </w:tblPrEx>
        <w:trPr>
          <w:trHeight w:val="20"/>
        </w:trPr>
        <w:tc>
          <w:tcPr>
            <w:tcW w:w="312" w:type="pct"/>
            <w:vMerge/>
            <w:vAlign w:val="center"/>
          </w:tcPr>
          <w:p w14:paraId="6DF450CA" w14:textId="77777777" w:rsidR="00324F9E" w:rsidRPr="00CB2322" w:rsidRDefault="00324F9E" w:rsidP="005E4D14">
            <w:pPr>
              <w:keepLines/>
              <w:jc w:val="center"/>
              <w:rPr>
                <w:rFonts w:ascii="Arial Narrow" w:hAnsi="Arial Narrow"/>
                <w:color w:val="333333"/>
                <w:sz w:val="20"/>
                <w:szCs w:val="20"/>
              </w:rPr>
            </w:pPr>
          </w:p>
        </w:tc>
        <w:tc>
          <w:tcPr>
            <w:tcW w:w="393" w:type="pct"/>
            <w:vAlign w:val="center"/>
          </w:tcPr>
          <w:p w14:paraId="50CC3836" w14:textId="3FD7AE5A" w:rsidR="00324F9E" w:rsidRPr="004300CD" w:rsidRDefault="00324F9E" w:rsidP="005E4D14">
            <w:pPr>
              <w:keepLines/>
              <w:ind w:hanging="35"/>
              <w:jc w:val="center"/>
              <w:rPr>
                <w:rFonts w:ascii="Arial Narrow" w:hAnsi="Arial Narrow"/>
                <w:i/>
                <w:iCs/>
                <w:color w:val="333333"/>
                <w:sz w:val="20"/>
                <w:szCs w:val="20"/>
              </w:rPr>
            </w:pPr>
          </w:p>
        </w:tc>
        <w:tc>
          <w:tcPr>
            <w:tcW w:w="4295" w:type="pct"/>
            <w:gridSpan w:val="5"/>
          </w:tcPr>
          <w:p w14:paraId="45955FEF" w14:textId="77777777" w:rsidR="00324F9E" w:rsidRPr="00CB2322" w:rsidRDefault="00324F9E" w:rsidP="005E4D14">
            <w:pPr>
              <w:keepLines/>
              <w:rPr>
                <w:rFonts w:ascii="Arial Narrow" w:hAnsi="Arial Narrow"/>
                <w:b/>
                <w:bCs/>
                <w:color w:val="333333"/>
                <w:sz w:val="20"/>
                <w:szCs w:val="20"/>
              </w:rPr>
            </w:pPr>
            <w:r w:rsidRPr="00CB2322">
              <w:rPr>
                <w:rFonts w:ascii="Arial Narrow" w:hAnsi="Arial Narrow"/>
                <w:b/>
                <w:bCs/>
                <w:sz w:val="20"/>
                <w:szCs w:val="20"/>
              </w:rPr>
              <w:t>Administrative Advice:</w:t>
            </w:r>
            <w:r w:rsidRPr="00CB2322">
              <w:rPr>
                <w:rFonts w:ascii="Arial Narrow" w:hAnsi="Arial Narrow"/>
                <w:sz w:val="20"/>
                <w:szCs w:val="20"/>
              </w:rPr>
              <w:t xml:space="preserve"> No increase in the maximum number of repeats may be authorised.</w:t>
            </w:r>
          </w:p>
        </w:tc>
      </w:tr>
      <w:tr w:rsidR="00324F9E" w:rsidRPr="00CB2322" w14:paraId="64DF55B7" w14:textId="77777777" w:rsidTr="005E4D14">
        <w:tblPrEx>
          <w:tblCellMar>
            <w:top w:w="15" w:type="dxa"/>
            <w:bottom w:w="15" w:type="dxa"/>
          </w:tblCellMar>
          <w:tblLook w:val="04A0" w:firstRow="1" w:lastRow="0" w:firstColumn="1" w:lastColumn="0" w:noHBand="0" w:noVBand="1"/>
        </w:tblPrEx>
        <w:trPr>
          <w:trHeight w:val="20"/>
        </w:trPr>
        <w:tc>
          <w:tcPr>
            <w:tcW w:w="312" w:type="pct"/>
            <w:vMerge/>
            <w:vAlign w:val="center"/>
          </w:tcPr>
          <w:p w14:paraId="0115B1F1" w14:textId="77777777" w:rsidR="00324F9E" w:rsidRPr="00CB2322" w:rsidRDefault="00324F9E" w:rsidP="005E4D14">
            <w:pPr>
              <w:keepLines/>
              <w:jc w:val="center"/>
              <w:rPr>
                <w:rFonts w:ascii="Arial Narrow" w:hAnsi="Arial Narrow"/>
                <w:color w:val="333333"/>
                <w:sz w:val="20"/>
                <w:szCs w:val="20"/>
              </w:rPr>
            </w:pPr>
          </w:p>
        </w:tc>
        <w:tc>
          <w:tcPr>
            <w:tcW w:w="393" w:type="pct"/>
            <w:vAlign w:val="center"/>
          </w:tcPr>
          <w:p w14:paraId="38580FB7" w14:textId="50487B86" w:rsidR="00324F9E" w:rsidRPr="008851E0" w:rsidRDefault="00324F9E" w:rsidP="005E4D14">
            <w:pPr>
              <w:keepLines/>
              <w:ind w:hanging="35"/>
              <w:jc w:val="center"/>
              <w:rPr>
                <w:rFonts w:ascii="Arial Narrow" w:hAnsi="Arial Narrow"/>
                <w:i/>
                <w:iCs/>
                <w:color w:val="333333"/>
                <w:sz w:val="20"/>
                <w:szCs w:val="20"/>
              </w:rPr>
            </w:pPr>
          </w:p>
        </w:tc>
        <w:tc>
          <w:tcPr>
            <w:tcW w:w="4295" w:type="pct"/>
            <w:gridSpan w:val="5"/>
            <w:vAlign w:val="center"/>
          </w:tcPr>
          <w:p w14:paraId="255FBCEB" w14:textId="77777777" w:rsidR="00324F9E" w:rsidRPr="008851E0" w:rsidRDefault="00324F9E" w:rsidP="005E4D14">
            <w:pPr>
              <w:pStyle w:val="pf0"/>
              <w:rPr>
                <w:rFonts w:ascii="Arial" w:hAnsi="Arial" w:cs="Arial"/>
                <w:i/>
                <w:iCs/>
                <w:sz w:val="20"/>
                <w:szCs w:val="20"/>
              </w:rPr>
            </w:pPr>
            <w:r w:rsidRPr="008851E0">
              <w:rPr>
                <w:rFonts w:ascii="Arial Narrow" w:hAnsi="Arial Narrow"/>
                <w:b/>
                <w:bCs/>
                <w:i/>
                <w:iCs/>
                <w:color w:val="333333"/>
                <w:sz w:val="20"/>
                <w:szCs w:val="20"/>
              </w:rPr>
              <w:t xml:space="preserve">Administrative Advice: </w:t>
            </w:r>
            <w:r w:rsidRPr="008851E0">
              <w:rPr>
                <w:rFonts w:ascii="Arial Narrow" w:eastAsiaTheme="minorHAnsi" w:hAnsi="Arial Narrow"/>
                <w:i/>
                <w:iCs/>
                <w:sz w:val="20"/>
                <w:szCs w:val="20"/>
                <w:lang w:eastAsia="en-US"/>
              </w:rPr>
              <w:t>Special Pricing Arrangements apply.</w:t>
            </w:r>
          </w:p>
        </w:tc>
      </w:tr>
      <w:tr w:rsidR="00324F9E" w:rsidRPr="00CB2322" w14:paraId="610EE96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66E83F38" w14:textId="77777777" w:rsidR="00324F9E" w:rsidRPr="005E7371" w:rsidRDefault="00324F9E" w:rsidP="005E4D14">
            <w:pPr>
              <w:keepLines/>
              <w:jc w:val="center"/>
              <w:rPr>
                <w:rFonts w:ascii="Arial Narrow" w:hAnsi="Arial Narrow"/>
                <w:i/>
                <w:iCs/>
                <w:color w:val="333333"/>
                <w:sz w:val="20"/>
                <w:szCs w:val="20"/>
              </w:rPr>
            </w:pPr>
          </w:p>
        </w:tc>
        <w:tc>
          <w:tcPr>
            <w:tcW w:w="4295" w:type="pct"/>
            <w:gridSpan w:val="5"/>
            <w:vAlign w:val="center"/>
          </w:tcPr>
          <w:p w14:paraId="76CE3D34" w14:textId="77777777" w:rsidR="00324F9E" w:rsidRPr="00CB2322" w:rsidRDefault="00324F9E" w:rsidP="005E4D14">
            <w:pPr>
              <w:keepLines/>
              <w:rPr>
                <w:rFonts w:ascii="Arial Narrow" w:hAnsi="Arial Narrow"/>
                <w:bCs/>
                <w:sz w:val="20"/>
                <w:szCs w:val="20"/>
              </w:rPr>
            </w:pPr>
            <w:r w:rsidRPr="00CB2322">
              <w:rPr>
                <w:rFonts w:ascii="Arial Narrow" w:hAnsi="Arial Narrow"/>
                <w:b/>
                <w:bCs/>
                <w:sz w:val="20"/>
                <w:szCs w:val="20"/>
              </w:rPr>
              <w:t xml:space="preserve">Episodicity: </w:t>
            </w:r>
            <w:r w:rsidRPr="00CB2322">
              <w:rPr>
                <w:rFonts w:ascii="Arial Narrow" w:hAnsi="Arial Narrow"/>
                <w:bCs/>
                <w:sz w:val="20"/>
                <w:szCs w:val="20"/>
              </w:rPr>
              <w:t>n/a</w:t>
            </w:r>
          </w:p>
        </w:tc>
      </w:tr>
      <w:tr w:rsidR="00324F9E" w:rsidRPr="00CB2322" w14:paraId="6251F31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141C00E3" w14:textId="77777777" w:rsidR="00324F9E" w:rsidRPr="005E7371" w:rsidRDefault="00324F9E" w:rsidP="005E4D14">
            <w:pPr>
              <w:keepLines/>
              <w:jc w:val="center"/>
              <w:rPr>
                <w:rFonts w:ascii="Arial Narrow" w:hAnsi="Arial Narrow"/>
                <w:i/>
                <w:iCs/>
                <w:color w:val="333333"/>
                <w:sz w:val="20"/>
                <w:szCs w:val="20"/>
              </w:rPr>
            </w:pPr>
          </w:p>
        </w:tc>
        <w:tc>
          <w:tcPr>
            <w:tcW w:w="4295" w:type="pct"/>
            <w:gridSpan w:val="5"/>
            <w:vAlign w:val="center"/>
          </w:tcPr>
          <w:p w14:paraId="115AC55B" w14:textId="77777777" w:rsidR="00324F9E" w:rsidRPr="00CB2322" w:rsidRDefault="00324F9E" w:rsidP="005E4D14">
            <w:pPr>
              <w:keepLines/>
              <w:rPr>
                <w:rFonts w:ascii="Arial Narrow" w:hAnsi="Arial Narrow"/>
                <w:b/>
                <w:bCs/>
                <w:sz w:val="20"/>
                <w:szCs w:val="20"/>
              </w:rPr>
            </w:pPr>
            <w:r w:rsidRPr="00CB2322">
              <w:rPr>
                <w:rFonts w:ascii="Arial Narrow" w:hAnsi="Arial Narrow"/>
                <w:b/>
                <w:bCs/>
                <w:sz w:val="20"/>
                <w:szCs w:val="20"/>
              </w:rPr>
              <w:t xml:space="preserve">Severity: </w:t>
            </w:r>
            <w:r w:rsidRPr="00CB2322">
              <w:rPr>
                <w:rFonts w:ascii="Arial Narrow" w:hAnsi="Arial Narrow"/>
                <w:bCs/>
                <w:sz w:val="20"/>
                <w:szCs w:val="20"/>
              </w:rPr>
              <w:t>Locally advanced (Stage III) or metastatic (Stage IV)</w:t>
            </w:r>
          </w:p>
        </w:tc>
      </w:tr>
      <w:tr w:rsidR="00324F9E" w:rsidRPr="00CB2322" w14:paraId="7C7D0893"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7CE6F086" w14:textId="77777777" w:rsidR="00324F9E" w:rsidRPr="005E7371" w:rsidRDefault="00324F9E" w:rsidP="005E4D14">
            <w:pPr>
              <w:keepLines/>
              <w:jc w:val="center"/>
              <w:rPr>
                <w:rFonts w:ascii="Arial Narrow" w:hAnsi="Arial Narrow"/>
                <w:i/>
                <w:iCs/>
                <w:color w:val="333333"/>
                <w:sz w:val="20"/>
                <w:szCs w:val="20"/>
              </w:rPr>
            </w:pPr>
          </w:p>
        </w:tc>
        <w:tc>
          <w:tcPr>
            <w:tcW w:w="4295" w:type="pct"/>
            <w:gridSpan w:val="5"/>
            <w:vAlign w:val="center"/>
          </w:tcPr>
          <w:p w14:paraId="42A62F9A" w14:textId="77777777" w:rsidR="00324F9E" w:rsidRPr="00CB2322" w:rsidRDefault="00324F9E" w:rsidP="005E4D14">
            <w:pPr>
              <w:keepLines/>
              <w:rPr>
                <w:rFonts w:ascii="Arial Narrow" w:hAnsi="Arial Narrow"/>
                <w:b/>
                <w:bCs/>
                <w:color w:val="333333"/>
                <w:sz w:val="20"/>
                <w:szCs w:val="20"/>
              </w:rPr>
            </w:pPr>
            <w:r w:rsidRPr="00CB2322">
              <w:rPr>
                <w:rFonts w:ascii="Arial Narrow" w:hAnsi="Arial Narrow"/>
                <w:b/>
                <w:bCs/>
                <w:color w:val="333333"/>
                <w:sz w:val="20"/>
                <w:szCs w:val="20"/>
              </w:rPr>
              <w:t xml:space="preserve">Condition: </w:t>
            </w:r>
            <w:r w:rsidRPr="00CB2322">
              <w:rPr>
                <w:rFonts w:ascii="Arial Narrow" w:hAnsi="Arial Narrow"/>
                <w:bCs/>
                <w:color w:val="333333"/>
                <w:sz w:val="20"/>
                <w:szCs w:val="20"/>
              </w:rPr>
              <w:t>Urothelial cancer</w:t>
            </w:r>
          </w:p>
        </w:tc>
      </w:tr>
      <w:tr w:rsidR="00324F9E" w:rsidRPr="00CB2322" w14:paraId="55EC9C5B" w14:textId="77777777" w:rsidTr="00E36DB9">
        <w:tblPrEx>
          <w:tblCellMar>
            <w:top w:w="15" w:type="dxa"/>
            <w:bottom w:w="15" w:type="dxa"/>
          </w:tblCellMar>
        </w:tblPrEx>
        <w:trPr>
          <w:cantSplit/>
          <w:trHeight w:val="20"/>
        </w:trPr>
        <w:tc>
          <w:tcPr>
            <w:tcW w:w="705" w:type="pct"/>
            <w:gridSpan w:val="2"/>
            <w:vAlign w:val="center"/>
          </w:tcPr>
          <w:p w14:paraId="63BEE33D" w14:textId="07B7B2CD" w:rsidR="00324F9E" w:rsidRPr="005E7371" w:rsidRDefault="00324F9E" w:rsidP="005E4D14">
            <w:pPr>
              <w:keepLines/>
              <w:jc w:val="center"/>
              <w:rPr>
                <w:rFonts w:ascii="Arial Narrow" w:hAnsi="Arial Narrow"/>
                <w:i/>
                <w:iCs/>
                <w:color w:val="333333"/>
                <w:sz w:val="20"/>
                <w:szCs w:val="20"/>
              </w:rPr>
            </w:pPr>
          </w:p>
        </w:tc>
        <w:tc>
          <w:tcPr>
            <w:tcW w:w="4295" w:type="pct"/>
            <w:gridSpan w:val="5"/>
            <w:vAlign w:val="center"/>
            <w:hideMark/>
          </w:tcPr>
          <w:p w14:paraId="2D209478" w14:textId="77777777" w:rsidR="00324F9E" w:rsidRPr="00CB2322" w:rsidRDefault="00324F9E" w:rsidP="005E4D14">
            <w:pPr>
              <w:keepLines/>
              <w:rPr>
                <w:rFonts w:ascii="Arial Narrow" w:hAnsi="Arial Narrow"/>
                <w:color w:val="333333"/>
                <w:sz w:val="20"/>
                <w:szCs w:val="20"/>
              </w:rPr>
            </w:pPr>
            <w:r w:rsidRPr="00CB2322">
              <w:rPr>
                <w:rFonts w:ascii="Arial Narrow" w:hAnsi="Arial Narrow"/>
                <w:b/>
                <w:bCs/>
                <w:color w:val="333333"/>
                <w:sz w:val="20"/>
                <w:szCs w:val="20"/>
              </w:rPr>
              <w:t>Indication:</w:t>
            </w:r>
            <w:r w:rsidRPr="00CB2322">
              <w:rPr>
                <w:rFonts w:ascii="Arial Narrow" w:hAnsi="Arial Narrow"/>
                <w:color w:val="333333"/>
                <w:sz w:val="20"/>
                <w:szCs w:val="20"/>
              </w:rPr>
              <w:t xml:space="preserve"> Locally advanced (Stage III) or metastatic (Stage IV) urothelial cancer</w:t>
            </w:r>
          </w:p>
        </w:tc>
      </w:tr>
      <w:tr w:rsidR="00324F9E" w:rsidRPr="00CB2322" w14:paraId="06C82AAE" w14:textId="77777777" w:rsidTr="00E36DB9">
        <w:tblPrEx>
          <w:tblCellMar>
            <w:top w:w="15" w:type="dxa"/>
            <w:bottom w:w="15" w:type="dxa"/>
          </w:tblCellMar>
        </w:tblPrEx>
        <w:trPr>
          <w:cantSplit/>
          <w:trHeight w:val="20"/>
        </w:trPr>
        <w:tc>
          <w:tcPr>
            <w:tcW w:w="705" w:type="pct"/>
            <w:gridSpan w:val="2"/>
            <w:vAlign w:val="center"/>
          </w:tcPr>
          <w:p w14:paraId="713723F3" w14:textId="77777777"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6B6B19C2" w14:textId="77777777" w:rsidR="00324F9E" w:rsidRPr="00CB2322" w:rsidRDefault="00324F9E" w:rsidP="005E4D14">
            <w:pPr>
              <w:rPr>
                <w:rFonts w:ascii="Arial Narrow" w:hAnsi="Arial Narrow"/>
                <w:color w:val="FF0000"/>
                <w:sz w:val="20"/>
                <w:szCs w:val="20"/>
              </w:rPr>
            </w:pPr>
            <w:r w:rsidRPr="00CB2322">
              <w:rPr>
                <w:rFonts w:ascii="Arial Narrow" w:hAnsi="Arial Narrow"/>
                <w:b/>
                <w:bCs/>
                <w:color w:val="333333"/>
                <w:sz w:val="20"/>
                <w:szCs w:val="20"/>
              </w:rPr>
              <w:t>Treatment Phase</w:t>
            </w:r>
            <w:r w:rsidRPr="00CB2322">
              <w:rPr>
                <w:rFonts w:ascii="Arial Narrow" w:hAnsi="Arial Narrow"/>
                <w:b/>
                <w:bCs/>
                <w:sz w:val="20"/>
                <w:szCs w:val="20"/>
              </w:rPr>
              <w:t>:</w:t>
            </w:r>
            <w:r w:rsidRPr="00CB2322">
              <w:rPr>
                <w:rFonts w:ascii="Arial Narrow" w:hAnsi="Arial Narrow"/>
                <w:sz w:val="20"/>
                <w:szCs w:val="20"/>
              </w:rPr>
              <w:t xml:space="preserve"> </w:t>
            </w:r>
            <w:r w:rsidRPr="00597408">
              <w:rPr>
                <w:rFonts w:ascii="Arial Narrow" w:hAnsi="Arial Narrow"/>
                <w:strike/>
                <w:sz w:val="20"/>
                <w:szCs w:val="20"/>
              </w:rPr>
              <w:t>Initial and continuing treatment</w:t>
            </w:r>
          </w:p>
        </w:tc>
      </w:tr>
      <w:tr w:rsidR="00324F9E" w:rsidRPr="00CB2322" w14:paraId="25B2E400" w14:textId="77777777" w:rsidTr="00E36DB9">
        <w:tblPrEx>
          <w:tblCellMar>
            <w:top w:w="15" w:type="dxa"/>
            <w:bottom w:w="15" w:type="dxa"/>
          </w:tblCellMar>
        </w:tblPrEx>
        <w:trPr>
          <w:cantSplit/>
          <w:trHeight w:val="20"/>
        </w:trPr>
        <w:tc>
          <w:tcPr>
            <w:tcW w:w="705" w:type="pct"/>
            <w:gridSpan w:val="2"/>
            <w:vAlign w:val="center"/>
          </w:tcPr>
          <w:p w14:paraId="481A0AC9" w14:textId="77777777"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2A1C95FD" w14:textId="77777777" w:rsidR="00324F9E" w:rsidRPr="00CB2322" w:rsidRDefault="00324F9E" w:rsidP="005E4D14">
            <w:pPr>
              <w:rPr>
                <w:rFonts w:ascii="Arial Narrow" w:hAnsi="Arial Narrow"/>
                <w:color w:val="FF0000"/>
                <w:sz w:val="20"/>
                <w:szCs w:val="20"/>
              </w:rPr>
            </w:pPr>
            <w:r w:rsidRPr="00CB2322">
              <w:rPr>
                <w:rFonts w:ascii="Arial Narrow" w:hAnsi="Arial Narrow"/>
                <w:b/>
                <w:bCs/>
                <w:sz w:val="20"/>
                <w:szCs w:val="20"/>
              </w:rPr>
              <w:t>Clinical criteria:</w:t>
            </w:r>
          </w:p>
        </w:tc>
      </w:tr>
      <w:tr w:rsidR="00324F9E" w:rsidRPr="00CB2322" w14:paraId="3EA69153" w14:textId="77777777" w:rsidTr="00E36DB9">
        <w:tblPrEx>
          <w:tblCellMar>
            <w:top w:w="15" w:type="dxa"/>
            <w:bottom w:w="15" w:type="dxa"/>
          </w:tblCellMar>
        </w:tblPrEx>
        <w:trPr>
          <w:cantSplit/>
          <w:trHeight w:val="20"/>
        </w:trPr>
        <w:tc>
          <w:tcPr>
            <w:tcW w:w="705" w:type="pct"/>
            <w:gridSpan w:val="2"/>
            <w:vAlign w:val="center"/>
          </w:tcPr>
          <w:p w14:paraId="5AE1ACB7" w14:textId="2D532443"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1EABC4B8" w14:textId="77777777" w:rsidR="00324F9E" w:rsidRPr="00CB2322" w:rsidRDefault="00324F9E" w:rsidP="005E4D14">
            <w:pPr>
              <w:rPr>
                <w:rFonts w:ascii="Arial Narrow" w:hAnsi="Arial Narrow"/>
                <w:color w:val="333333"/>
                <w:sz w:val="20"/>
                <w:szCs w:val="20"/>
              </w:rPr>
            </w:pPr>
            <w:r w:rsidRPr="00CB2322">
              <w:rPr>
                <w:rFonts w:ascii="Arial Narrow" w:hAnsi="Arial Narrow"/>
                <w:sz w:val="20"/>
                <w:szCs w:val="20"/>
              </w:rPr>
              <w:t>Patient must not have received prior systemic therapy for this condition, with the exception of neoadjuvant/adjuvant chemotherapy</w:t>
            </w:r>
            <w:r>
              <w:rPr>
                <w:rFonts w:ascii="Arial Narrow" w:hAnsi="Arial Narrow"/>
                <w:sz w:val="20"/>
                <w:szCs w:val="20"/>
              </w:rPr>
              <w:t>.</w:t>
            </w:r>
          </w:p>
        </w:tc>
      </w:tr>
      <w:tr w:rsidR="00324F9E" w:rsidRPr="00CB2322" w14:paraId="3D17DD7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721E5C3" w14:textId="77777777" w:rsidR="00324F9E" w:rsidRPr="005E7371" w:rsidRDefault="00324F9E" w:rsidP="005E4D14">
            <w:pPr>
              <w:jc w:val="center"/>
              <w:rPr>
                <w:rFonts w:ascii="Arial Narrow" w:hAnsi="Arial Narrow"/>
                <w:i/>
                <w:iCs/>
                <w:color w:val="333333"/>
                <w:sz w:val="20"/>
                <w:szCs w:val="20"/>
              </w:rPr>
            </w:pPr>
          </w:p>
        </w:tc>
        <w:tc>
          <w:tcPr>
            <w:tcW w:w="4295" w:type="pct"/>
            <w:gridSpan w:val="5"/>
            <w:vAlign w:val="center"/>
          </w:tcPr>
          <w:p w14:paraId="0A781DB2" w14:textId="77777777" w:rsidR="00324F9E" w:rsidRPr="00CB2322" w:rsidRDefault="00324F9E" w:rsidP="005E4D14">
            <w:pPr>
              <w:rPr>
                <w:rFonts w:ascii="Arial Narrow" w:hAnsi="Arial Narrow"/>
                <w:b/>
                <w:bCs/>
                <w:sz w:val="20"/>
                <w:szCs w:val="20"/>
              </w:rPr>
            </w:pPr>
            <w:r w:rsidRPr="00CB2322">
              <w:rPr>
                <w:rFonts w:ascii="Arial Narrow" w:hAnsi="Arial Narrow"/>
                <w:b/>
                <w:bCs/>
                <w:sz w:val="20"/>
                <w:szCs w:val="20"/>
              </w:rPr>
              <w:t>AND</w:t>
            </w:r>
          </w:p>
        </w:tc>
      </w:tr>
      <w:tr w:rsidR="00324F9E" w:rsidRPr="00CB2322" w14:paraId="0BF409AD" w14:textId="77777777" w:rsidTr="00E36DB9">
        <w:tblPrEx>
          <w:tblCellMar>
            <w:top w:w="15" w:type="dxa"/>
            <w:bottom w:w="15" w:type="dxa"/>
          </w:tblCellMar>
        </w:tblPrEx>
        <w:trPr>
          <w:cantSplit/>
          <w:trHeight w:val="20"/>
        </w:trPr>
        <w:tc>
          <w:tcPr>
            <w:tcW w:w="705" w:type="pct"/>
            <w:gridSpan w:val="2"/>
            <w:vAlign w:val="center"/>
          </w:tcPr>
          <w:p w14:paraId="57976FEC" w14:textId="77777777"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67ADA732" w14:textId="77777777" w:rsidR="00324F9E" w:rsidRPr="00CB2322" w:rsidRDefault="00324F9E" w:rsidP="005E4D14">
            <w:pPr>
              <w:rPr>
                <w:rFonts w:ascii="Arial Narrow" w:hAnsi="Arial Narrow"/>
                <w:color w:val="333333"/>
                <w:sz w:val="20"/>
                <w:szCs w:val="20"/>
              </w:rPr>
            </w:pPr>
            <w:r w:rsidRPr="00CB2322">
              <w:rPr>
                <w:rFonts w:ascii="Arial Narrow" w:hAnsi="Arial Narrow"/>
                <w:b/>
                <w:bCs/>
                <w:sz w:val="20"/>
                <w:szCs w:val="20"/>
              </w:rPr>
              <w:t>Clinical criteria:</w:t>
            </w:r>
          </w:p>
        </w:tc>
      </w:tr>
      <w:tr w:rsidR="00324F9E" w:rsidRPr="00CB2322" w14:paraId="5FA4F4AA"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C23E387" w14:textId="69A2E43F"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77DC75ED" w14:textId="77777777" w:rsidR="00324F9E" w:rsidRPr="00CB2322" w:rsidRDefault="00324F9E" w:rsidP="005E4D14">
            <w:pPr>
              <w:rPr>
                <w:rFonts w:ascii="Arial Narrow" w:hAnsi="Arial Narrow"/>
                <w:color w:val="333333"/>
                <w:sz w:val="20"/>
                <w:szCs w:val="20"/>
              </w:rPr>
            </w:pPr>
            <w:r w:rsidRPr="00CB2322">
              <w:rPr>
                <w:rFonts w:ascii="Arial Narrow" w:hAnsi="Arial Narrow"/>
                <w:sz w:val="20"/>
                <w:szCs w:val="20"/>
              </w:rPr>
              <w:t>Patient must have/have had a WHO performance status score of no greater than 2 at treatment initiation with this drug.</w:t>
            </w:r>
          </w:p>
        </w:tc>
      </w:tr>
      <w:tr w:rsidR="00324F9E" w:rsidRPr="00CB2322" w14:paraId="2D1A5AF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64B096E" w14:textId="77777777"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17B59B7A" w14:textId="77777777" w:rsidR="00324F9E" w:rsidRPr="00CB2322" w:rsidRDefault="00324F9E" w:rsidP="005E4D14">
            <w:pPr>
              <w:rPr>
                <w:rFonts w:ascii="Arial Narrow" w:hAnsi="Arial Narrow"/>
                <w:color w:val="FF0000"/>
                <w:sz w:val="20"/>
                <w:szCs w:val="20"/>
              </w:rPr>
            </w:pPr>
            <w:r w:rsidRPr="00CB2322">
              <w:rPr>
                <w:rFonts w:ascii="Arial Narrow" w:hAnsi="Arial Narrow"/>
                <w:b/>
                <w:bCs/>
                <w:sz w:val="20"/>
                <w:szCs w:val="20"/>
              </w:rPr>
              <w:t>Treatment criteria</w:t>
            </w:r>
            <w:r w:rsidRPr="00CB2322">
              <w:rPr>
                <w:rFonts w:ascii="Arial Narrow" w:hAnsi="Arial Narrow"/>
                <w:sz w:val="20"/>
                <w:szCs w:val="20"/>
              </w:rPr>
              <w:t>:</w:t>
            </w:r>
          </w:p>
        </w:tc>
      </w:tr>
      <w:tr w:rsidR="00324F9E" w:rsidRPr="00CB2322" w14:paraId="40A7BD6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72129D8" w14:textId="291B30C9"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7E4F3B6D" w14:textId="77777777" w:rsidR="00324F9E" w:rsidRPr="00CB2322" w:rsidRDefault="00324F9E" w:rsidP="005E4D14">
            <w:pPr>
              <w:pStyle w:val="Tabletext8pt"/>
              <w:rPr>
                <w:rFonts w:ascii="Arial Narrow" w:hAnsi="Arial Narrow"/>
                <w:sz w:val="20"/>
                <w:szCs w:val="20"/>
              </w:rPr>
            </w:pPr>
            <w:r w:rsidRPr="00CB2322">
              <w:rPr>
                <w:rFonts w:ascii="Arial Narrow" w:hAnsi="Arial Narrow"/>
                <w:sz w:val="20"/>
                <w:szCs w:val="20"/>
              </w:rPr>
              <w:t>Patient must be undergoing combination therapy consisting of</w:t>
            </w:r>
            <w:r>
              <w:rPr>
                <w:rFonts w:ascii="Arial Narrow" w:hAnsi="Arial Narrow"/>
                <w:sz w:val="20"/>
                <w:szCs w:val="20"/>
              </w:rPr>
              <w:t xml:space="preserve"> </w:t>
            </w:r>
            <w:r w:rsidRPr="0082609B">
              <w:rPr>
                <w:rFonts w:ascii="Arial Narrow" w:hAnsi="Arial Narrow"/>
                <w:i/>
                <w:iCs/>
                <w:sz w:val="20"/>
                <w:szCs w:val="20"/>
              </w:rPr>
              <w:t>no more than 24 months of</w:t>
            </w:r>
            <w:r w:rsidRPr="00CB2322">
              <w:rPr>
                <w:rFonts w:ascii="Arial Narrow" w:hAnsi="Arial Narrow"/>
                <w:sz w:val="20"/>
                <w:szCs w:val="20"/>
              </w:rPr>
              <w:t>: (i) enfortumab vedotin, (ii) pembrolizumab; OR</w:t>
            </w:r>
          </w:p>
        </w:tc>
      </w:tr>
      <w:tr w:rsidR="00324F9E" w:rsidRPr="00CB2322" w14:paraId="35A837AE"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E192AF2" w14:textId="132B5814" w:rsidR="00324F9E" w:rsidRPr="005E7371" w:rsidRDefault="00324F9E" w:rsidP="005E4D14">
            <w:pPr>
              <w:jc w:val="center"/>
              <w:rPr>
                <w:rFonts w:ascii="Arial Narrow" w:hAnsi="Arial Narrow"/>
                <w:i/>
                <w:iCs/>
                <w:color w:val="333333"/>
                <w:sz w:val="20"/>
                <w:szCs w:val="20"/>
              </w:rPr>
            </w:pPr>
          </w:p>
        </w:tc>
        <w:tc>
          <w:tcPr>
            <w:tcW w:w="4295" w:type="pct"/>
            <w:gridSpan w:val="5"/>
            <w:vAlign w:val="center"/>
          </w:tcPr>
          <w:p w14:paraId="269177A8" w14:textId="77777777" w:rsidR="00324F9E" w:rsidRPr="00CB2322" w:rsidRDefault="00324F9E" w:rsidP="005E4D14">
            <w:pPr>
              <w:pStyle w:val="Tabletext8pt"/>
              <w:rPr>
                <w:rFonts w:ascii="Arial Narrow" w:hAnsi="Arial Narrow"/>
                <w:sz w:val="20"/>
                <w:szCs w:val="20"/>
              </w:rPr>
            </w:pPr>
            <w:r w:rsidRPr="00CB2322">
              <w:rPr>
                <w:rFonts w:ascii="Arial Narrow" w:hAnsi="Arial Narrow"/>
                <w:sz w:val="20"/>
                <w:szCs w:val="20"/>
              </w:rPr>
              <w:t xml:space="preserve">Patient must be undergoing monotherapy with this drug after </w:t>
            </w:r>
            <w:r>
              <w:rPr>
                <w:rFonts w:ascii="Arial Narrow" w:hAnsi="Arial Narrow"/>
                <w:i/>
                <w:iCs/>
                <w:sz w:val="20"/>
                <w:szCs w:val="20"/>
              </w:rPr>
              <w:t xml:space="preserve">exceeding a total of </w:t>
            </w:r>
            <w:r w:rsidRPr="00DE4EDC">
              <w:rPr>
                <w:rFonts w:ascii="Arial Narrow" w:hAnsi="Arial Narrow"/>
                <w:strike/>
                <w:sz w:val="20"/>
                <w:szCs w:val="20"/>
              </w:rPr>
              <w:t>receiving no longer than</w:t>
            </w:r>
            <w:r w:rsidRPr="00CB2322">
              <w:rPr>
                <w:rFonts w:ascii="Arial Narrow" w:hAnsi="Arial Narrow"/>
                <w:sz w:val="20"/>
                <w:szCs w:val="20"/>
              </w:rPr>
              <w:t xml:space="preserve"> 24 </w:t>
            </w:r>
            <w:r>
              <w:rPr>
                <w:rFonts w:ascii="Arial Narrow" w:hAnsi="Arial Narrow"/>
                <w:i/>
                <w:iCs/>
                <w:sz w:val="20"/>
                <w:szCs w:val="20"/>
              </w:rPr>
              <w:t xml:space="preserve">cumulative </w:t>
            </w:r>
            <w:r w:rsidRPr="00CB2322">
              <w:rPr>
                <w:rFonts w:ascii="Arial Narrow" w:hAnsi="Arial Narrow"/>
                <w:sz w:val="20"/>
                <w:szCs w:val="20"/>
              </w:rPr>
              <w:t xml:space="preserve">months of </w:t>
            </w:r>
            <w:r w:rsidRPr="00DE4EDC">
              <w:rPr>
                <w:rFonts w:ascii="Arial Narrow" w:hAnsi="Arial Narrow"/>
                <w:strike/>
                <w:sz w:val="20"/>
                <w:szCs w:val="20"/>
              </w:rPr>
              <w:t>the</w:t>
            </w:r>
            <w:r w:rsidRPr="00CB2322">
              <w:rPr>
                <w:rFonts w:ascii="Arial Narrow" w:hAnsi="Arial Narrow"/>
                <w:sz w:val="20"/>
                <w:szCs w:val="20"/>
              </w:rPr>
              <w:t xml:space="preserve"> combination therapy</w:t>
            </w:r>
            <w:r>
              <w:rPr>
                <w:rFonts w:ascii="Arial Narrow" w:hAnsi="Arial Narrow"/>
                <w:sz w:val="20"/>
                <w:szCs w:val="20"/>
              </w:rPr>
              <w:t xml:space="preserve"> </w:t>
            </w:r>
            <w:r w:rsidRPr="00DE4EDC">
              <w:rPr>
                <w:rFonts w:ascii="Arial Narrow" w:hAnsi="Arial Narrow"/>
                <w:i/>
                <w:iCs/>
                <w:sz w:val="20"/>
                <w:szCs w:val="20"/>
              </w:rPr>
              <w:t>consisting of: (i) enfortumab vedotin, (ii) pembrolizumab</w:t>
            </w:r>
            <w:r>
              <w:rPr>
                <w:rFonts w:ascii="Arial Narrow" w:hAnsi="Arial Narrow"/>
                <w:i/>
                <w:iCs/>
                <w:sz w:val="20"/>
                <w:szCs w:val="20"/>
              </w:rPr>
              <w:t>, from the first administered dose, once in a lifetime</w:t>
            </w:r>
            <w:r w:rsidRPr="00CB2322">
              <w:rPr>
                <w:rFonts w:ascii="Arial Narrow" w:hAnsi="Arial Narrow"/>
                <w:sz w:val="20"/>
                <w:szCs w:val="20"/>
              </w:rPr>
              <w:t xml:space="preserve"> </w:t>
            </w:r>
            <w:r w:rsidRPr="00DE4EDC">
              <w:rPr>
                <w:rFonts w:ascii="Arial Narrow" w:hAnsi="Arial Narrow"/>
                <w:strike/>
                <w:sz w:val="20"/>
                <w:szCs w:val="20"/>
              </w:rPr>
              <w:t>mentioned above</w:t>
            </w:r>
            <w:r w:rsidRPr="00CB2322">
              <w:rPr>
                <w:rFonts w:ascii="Arial Narrow" w:hAnsi="Arial Narrow"/>
                <w:sz w:val="20"/>
                <w:szCs w:val="20"/>
              </w:rPr>
              <w:t>; OR</w:t>
            </w:r>
          </w:p>
        </w:tc>
      </w:tr>
      <w:tr w:rsidR="00324F9E" w:rsidRPr="00CB2322" w14:paraId="542F216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16CEB46" w14:textId="00DEAE91" w:rsidR="00324F9E" w:rsidRPr="005E7371" w:rsidRDefault="00324F9E" w:rsidP="005E4D14">
            <w:pPr>
              <w:jc w:val="center"/>
              <w:rPr>
                <w:rFonts w:ascii="Arial Narrow" w:hAnsi="Arial Narrow"/>
                <w:i/>
                <w:iCs/>
                <w:color w:val="333333"/>
                <w:sz w:val="20"/>
                <w:szCs w:val="20"/>
              </w:rPr>
            </w:pPr>
          </w:p>
        </w:tc>
        <w:tc>
          <w:tcPr>
            <w:tcW w:w="4295" w:type="pct"/>
            <w:gridSpan w:val="5"/>
            <w:vAlign w:val="center"/>
          </w:tcPr>
          <w:p w14:paraId="1A8AA6D6" w14:textId="77777777" w:rsidR="00324F9E" w:rsidRPr="00CB2322" w:rsidRDefault="00324F9E" w:rsidP="005E4D14">
            <w:pPr>
              <w:pStyle w:val="Tabletext8pt"/>
              <w:rPr>
                <w:rFonts w:ascii="Arial Narrow" w:hAnsi="Arial Narrow"/>
                <w:sz w:val="20"/>
                <w:szCs w:val="20"/>
              </w:rPr>
            </w:pPr>
            <w:r w:rsidRPr="00CB2322">
              <w:rPr>
                <w:rFonts w:ascii="Arial Narrow" w:hAnsi="Arial Narrow"/>
                <w:sz w:val="20"/>
                <w:szCs w:val="20"/>
              </w:rPr>
              <w:t>Patient must be undergoing monotherapy with this drug due to a contraindication/intolerance to pembrolizumab, requiring temporary/permanent discontinuation; document the details in the patient's medical records</w:t>
            </w:r>
            <w:r>
              <w:rPr>
                <w:rFonts w:ascii="Arial Narrow" w:hAnsi="Arial Narrow"/>
                <w:sz w:val="20"/>
                <w:szCs w:val="20"/>
              </w:rPr>
              <w:t>.</w:t>
            </w:r>
          </w:p>
        </w:tc>
      </w:tr>
      <w:tr w:rsidR="00324F9E" w:rsidRPr="00CB2322" w14:paraId="289B9205"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F206493" w14:textId="77777777"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08BF292E" w14:textId="77777777" w:rsidR="00324F9E" w:rsidRPr="00CB2322" w:rsidRDefault="00324F9E" w:rsidP="005E4D14">
            <w:pPr>
              <w:rPr>
                <w:rFonts w:ascii="Arial Narrow" w:hAnsi="Arial Narrow"/>
                <w:b/>
                <w:bCs/>
                <w:color w:val="333333"/>
                <w:sz w:val="20"/>
                <w:szCs w:val="20"/>
              </w:rPr>
            </w:pPr>
            <w:r w:rsidRPr="00CB2322">
              <w:rPr>
                <w:rStyle w:val="CommentReference"/>
                <w:bCs/>
                <w:szCs w:val="20"/>
              </w:rPr>
              <w:t>AND</w:t>
            </w:r>
          </w:p>
        </w:tc>
      </w:tr>
      <w:tr w:rsidR="00324F9E" w:rsidRPr="00CB2322" w14:paraId="1E7345FC"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33D8827" w14:textId="79DBA619" w:rsidR="00324F9E" w:rsidRPr="005E7371" w:rsidRDefault="00324F9E" w:rsidP="005E4D14">
            <w:pPr>
              <w:jc w:val="center"/>
              <w:rPr>
                <w:rFonts w:ascii="Arial Narrow" w:hAnsi="Arial Narrow"/>
                <w:i/>
                <w:iCs/>
                <w:color w:val="333333"/>
                <w:sz w:val="20"/>
                <w:szCs w:val="20"/>
              </w:rPr>
            </w:pPr>
          </w:p>
        </w:tc>
        <w:tc>
          <w:tcPr>
            <w:tcW w:w="4295" w:type="pct"/>
            <w:gridSpan w:val="5"/>
            <w:vAlign w:val="center"/>
          </w:tcPr>
          <w:p w14:paraId="1A9D452B" w14:textId="77777777" w:rsidR="00324F9E" w:rsidRPr="00CB2322" w:rsidRDefault="00324F9E" w:rsidP="005E4D14">
            <w:pPr>
              <w:rPr>
                <w:rStyle w:val="CommentReference"/>
                <w:szCs w:val="20"/>
              </w:rPr>
            </w:pPr>
            <w:r w:rsidRPr="00CB2322">
              <w:rPr>
                <w:rFonts w:ascii="Arial Narrow" w:hAnsi="Arial Narrow"/>
                <w:b/>
                <w:bCs/>
                <w:color w:val="333333"/>
                <w:sz w:val="20"/>
                <w:szCs w:val="20"/>
              </w:rPr>
              <w:t>Treatment criteria:</w:t>
            </w:r>
          </w:p>
        </w:tc>
      </w:tr>
      <w:tr w:rsidR="00324F9E" w:rsidRPr="00CB2322" w14:paraId="6E7E3D13"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7509356" w14:textId="7A7FFA7A"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79312C52" w14:textId="77777777" w:rsidR="00324F9E" w:rsidRPr="00CB2322" w:rsidRDefault="00324F9E" w:rsidP="005E4D14">
            <w:pPr>
              <w:pStyle w:val="Tabletext8pt"/>
              <w:rPr>
                <w:rFonts w:ascii="Arial Narrow" w:hAnsi="Arial Narrow"/>
                <w:sz w:val="20"/>
                <w:szCs w:val="20"/>
              </w:rPr>
            </w:pPr>
            <w:r w:rsidRPr="00CB2322">
              <w:rPr>
                <w:rFonts w:ascii="Arial Narrow" w:hAnsi="Arial Narrow"/>
                <w:sz w:val="20"/>
                <w:szCs w:val="20"/>
              </w:rPr>
              <w:t>Patient must be undergoing treatment with this drug for the first time; OR</w:t>
            </w:r>
          </w:p>
        </w:tc>
      </w:tr>
      <w:tr w:rsidR="00324F9E" w:rsidRPr="00CB2322" w14:paraId="3536A16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BF9E255" w14:textId="1AB90732" w:rsidR="00324F9E" w:rsidRPr="005E7371" w:rsidRDefault="00324F9E" w:rsidP="005E4D14">
            <w:pPr>
              <w:jc w:val="center"/>
              <w:rPr>
                <w:rFonts w:ascii="Arial Narrow" w:hAnsi="Arial Narrow"/>
                <w:i/>
                <w:iCs/>
                <w:color w:val="333333"/>
                <w:sz w:val="20"/>
                <w:szCs w:val="20"/>
              </w:rPr>
            </w:pPr>
          </w:p>
        </w:tc>
        <w:tc>
          <w:tcPr>
            <w:tcW w:w="4295" w:type="pct"/>
            <w:gridSpan w:val="5"/>
            <w:vAlign w:val="center"/>
            <w:hideMark/>
          </w:tcPr>
          <w:p w14:paraId="3C6CCE64" w14:textId="77777777" w:rsidR="00324F9E" w:rsidRPr="00CB2322" w:rsidRDefault="00324F9E" w:rsidP="005E4D14">
            <w:pPr>
              <w:rPr>
                <w:rFonts w:ascii="Arial Narrow" w:hAnsi="Arial Narrow"/>
                <w:color w:val="333333"/>
                <w:sz w:val="20"/>
                <w:szCs w:val="20"/>
              </w:rPr>
            </w:pPr>
            <w:r w:rsidRPr="00CB2322">
              <w:rPr>
                <w:rFonts w:ascii="Arial Narrow" w:hAnsi="Arial Narrow"/>
                <w:sz w:val="20"/>
                <w:szCs w:val="20"/>
              </w:rPr>
              <w:t>Patient must be undergoing continuing treatment with this drug, with each of the following being true: (i) all other PBS eligibility criteria in this restriction are met, (ii) disease progression is absent.</w:t>
            </w:r>
          </w:p>
        </w:tc>
      </w:tr>
      <w:tr w:rsidR="00324F9E" w:rsidRPr="00CB2322" w14:paraId="3E56E961" w14:textId="77777777" w:rsidTr="005E4D1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BD9D1EB" w14:textId="77777777" w:rsidR="00324F9E" w:rsidRPr="00CB2322" w:rsidRDefault="00324F9E" w:rsidP="005E4D14">
            <w:pPr>
              <w:rPr>
                <w:rFonts w:ascii="Arial Narrow" w:hAnsi="Arial Narrow"/>
                <w:bCs/>
                <w:color w:val="FF0000"/>
                <w:sz w:val="20"/>
                <w:szCs w:val="20"/>
              </w:rPr>
            </w:pPr>
          </w:p>
        </w:tc>
      </w:tr>
      <w:tr w:rsidR="00324F9E" w:rsidRPr="00CB2322" w14:paraId="79A305AA" w14:textId="77777777" w:rsidTr="005E4D1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2744133E" w14:textId="77777777" w:rsidR="00324F9E" w:rsidRPr="00CB2322" w:rsidRDefault="00324F9E" w:rsidP="005E4D14">
            <w:pPr>
              <w:keepLines/>
              <w:rPr>
                <w:rFonts w:ascii="Arial Narrow" w:hAnsi="Arial Narrow"/>
                <w:b/>
                <w:bCs/>
                <w:color w:val="333333"/>
                <w:sz w:val="20"/>
                <w:szCs w:val="20"/>
              </w:rPr>
            </w:pPr>
            <w:r w:rsidRPr="00CB2322">
              <w:rPr>
                <w:rFonts w:ascii="Arial Narrow" w:hAnsi="Arial Narrow"/>
                <w:b/>
                <w:bCs/>
                <w:color w:val="333333"/>
                <w:sz w:val="20"/>
                <w:szCs w:val="20"/>
              </w:rPr>
              <w:t>Restriction Summary [new]</w:t>
            </w:r>
            <w:r w:rsidRPr="00CB2322">
              <w:rPr>
                <w:rFonts w:ascii="Arial Narrow" w:hAnsi="Arial Narrow"/>
                <w:b/>
                <w:bCs/>
                <w:color w:val="FF0000"/>
                <w:sz w:val="20"/>
                <w:szCs w:val="20"/>
              </w:rPr>
              <w:t xml:space="preserve"> </w:t>
            </w:r>
            <w:r w:rsidRPr="00CB2322">
              <w:rPr>
                <w:rFonts w:ascii="Arial Narrow" w:hAnsi="Arial Narrow"/>
                <w:b/>
                <w:bCs/>
                <w:color w:val="333333"/>
                <w:sz w:val="20"/>
                <w:szCs w:val="20"/>
              </w:rPr>
              <w:t xml:space="preserve">/ Treatment of Concept: [new] </w:t>
            </w:r>
          </w:p>
        </w:tc>
      </w:tr>
      <w:tr w:rsidR="00324F9E" w:rsidRPr="00CB2322" w14:paraId="56420CD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7E1D4A48" w14:textId="77777777" w:rsidR="00324F9E" w:rsidRPr="00CB2322" w:rsidRDefault="00324F9E" w:rsidP="005E4D14">
            <w:pPr>
              <w:jc w:val="center"/>
              <w:rPr>
                <w:rFonts w:ascii="Arial Narrow" w:hAnsi="Arial Narrow"/>
                <w:sz w:val="20"/>
                <w:szCs w:val="20"/>
              </w:rPr>
            </w:pPr>
            <w:r w:rsidRPr="00CB2322">
              <w:rPr>
                <w:rFonts w:ascii="Arial Narrow" w:hAnsi="Arial Narrow"/>
                <w:b/>
                <w:sz w:val="20"/>
                <w:szCs w:val="20"/>
              </w:rPr>
              <w:t xml:space="preserve">Concept ID </w:t>
            </w:r>
            <w:r w:rsidRPr="00CB2322">
              <w:rPr>
                <w:rFonts w:ascii="Arial Narrow" w:hAnsi="Arial Narrow"/>
                <w:sz w:val="20"/>
                <w:szCs w:val="20"/>
              </w:rPr>
              <w:t>(for internal Dept. use)</w:t>
            </w:r>
          </w:p>
        </w:tc>
        <w:tc>
          <w:tcPr>
            <w:tcW w:w="4295" w:type="pct"/>
            <w:gridSpan w:val="5"/>
            <w:vAlign w:val="center"/>
          </w:tcPr>
          <w:p w14:paraId="44B7B25A" w14:textId="77777777" w:rsidR="00324F9E" w:rsidRPr="00CB2322" w:rsidRDefault="00324F9E" w:rsidP="005E4D14">
            <w:pPr>
              <w:keepLines/>
              <w:rPr>
                <w:rFonts w:ascii="Arial Narrow" w:hAnsi="Arial Narrow"/>
                <w:sz w:val="20"/>
                <w:szCs w:val="20"/>
              </w:rPr>
            </w:pPr>
            <w:r w:rsidRPr="00CB2322">
              <w:rPr>
                <w:rFonts w:ascii="Arial Narrow" w:hAnsi="Arial Narrow"/>
                <w:b/>
                <w:sz w:val="20"/>
                <w:szCs w:val="20"/>
              </w:rPr>
              <w:t xml:space="preserve">Category / Program: </w:t>
            </w:r>
            <w:r w:rsidRPr="00CB2322">
              <w:rPr>
                <w:rFonts w:ascii="Arial Narrow" w:hAnsi="Arial Narrow"/>
                <w:sz w:val="20"/>
                <w:szCs w:val="20"/>
              </w:rPr>
              <w:t xml:space="preserve">Section 100 – Efficient Funding of Chemotherapy Public/Private hospitals </w:t>
            </w:r>
          </w:p>
        </w:tc>
      </w:tr>
      <w:tr w:rsidR="00324F9E" w:rsidRPr="00CB2322" w14:paraId="0FB0A78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EF2C43B" w14:textId="77777777" w:rsidR="00324F9E" w:rsidRPr="00CB2322" w:rsidRDefault="00324F9E" w:rsidP="005E4D14">
            <w:pPr>
              <w:rPr>
                <w:rFonts w:ascii="Arial Narrow" w:hAnsi="Arial Narrow"/>
                <w:sz w:val="20"/>
                <w:szCs w:val="20"/>
              </w:rPr>
            </w:pPr>
          </w:p>
        </w:tc>
        <w:tc>
          <w:tcPr>
            <w:tcW w:w="4295" w:type="pct"/>
            <w:gridSpan w:val="5"/>
            <w:vAlign w:val="center"/>
          </w:tcPr>
          <w:p w14:paraId="025EF383" w14:textId="77777777" w:rsidR="00324F9E" w:rsidRPr="00CB2322" w:rsidRDefault="00324F9E" w:rsidP="005E4D14">
            <w:pPr>
              <w:keepLines/>
              <w:rPr>
                <w:rFonts w:ascii="Arial Narrow" w:hAnsi="Arial Narrow"/>
                <w:b/>
                <w:sz w:val="20"/>
                <w:szCs w:val="20"/>
              </w:rPr>
            </w:pPr>
            <w:r w:rsidRPr="00CB2322">
              <w:rPr>
                <w:rFonts w:ascii="Arial Narrow" w:hAnsi="Arial Narrow"/>
                <w:b/>
                <w:sz w:val="20"/>
                <w:szCs w:val="20"/>
              </w:rPr>
              <w:t xml:space="preserve">Prescriber type: </w:t>
            </w:r>
            <w:r w:rsidRPr="00CB2322">
              <w:rPr>
                <w:rFonts w:ascii="Arial Narrow" w:hAnsi="Arial Narrow"/>
                <w:sz w:val="20"/>
                <w:szCs w:val="20"/>
              </w:rPr>
              <w:fldChar w:fldCharType="begin" w:fldLock="1">
                <w:ffData>
                  <w:name w:val=""/>
                  <w:enabled/>
                  <w:calcOnExit w:val="0"/>
                  <w:checkBox>
                    <w:sizeAuto/>
                    <w:default w:val="1"/>
                  </w:checkBox>
                </w:ffData>
              </w:fldChar>
            </w:r>
            <w:r w:rsidRPr="00CB2322">
              <w:rPr>
                <w:rFonts w:ascii="Arial Narrow" w:hAnsi="Arial Narrow"/>
                <w:sz w:val="20"/>
                <w:szCs w:val="20"/>
              </w:rPr>
              <w:instrText xml:space="preserve"> FORMCHECKBOX </w:instrText>
            </w:r>
            <w:r w:rsidRPr="00CB2322">
              <w:rPr>
                <w:rFonts w:ascii="Arial Narrow" w:hAnsi="Arial Narrow"/>
                <w:sz w:val="20"/>
                <w:szCs w:val="20"/>
              </w:rPr>
            </w:r>
            <w:r w:rsidRPr="00CB2322">
              <w:rPr>
                <w:rFonts w:ascii="Arial Narrow" w:hAnsi="Arial Narrow"/>
                <w:sz w:val="20"/>
                <w:szCs w:val="20"/>
              </w:rPr>
              <w:fldChar w:fldCharType="separate"/>
            </w:r>
            <w:r w:rsidRPr="00CB2322">
              <w:rPr>
                <w:rFonts w:ascii="Arial Narrow" w:hAnsi="Arial Narrow"/>
                <w:sz w:val="20"/>
                <w:szCs w:val="20"/>
              </w:rPr>
              <w:fldChar w:fldCharType="end"/>
            </w:r>
            <w:r w:rsidRPr="00CB2322">
              <w:rPr>
                <w:rFonts w:ascii="Arial Narrow" w:hAnsi="Arial Narrow"/>
                <w:sz w:val="20"/>
                <w:szCs w:val="20"/>
              </w:rPr>
              <w:t xml:space="preserve">Medical Practitioners </w:t>
            </w:r>
          </w:p>
        </w:tc>
      </w:tr>
      <w:tr w:rsidR="00324F9E" w:rsidRPr="00CB2322" w14:paraId="089EF74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0717D611" w14:textId="77777777" w:rsidR="00324F9E" w:rsidRPr="00CB2322" w:rsidRDefault="00324F9E" w:rsidP="005E4D14">
            <w:pPr>
              <w:rPr>
                <w:rFonts w:ascii="Arial Narrow" w:hAnsi="Arial Narrow"/>
                <w:sz w:val="20"/>
                <w:szCs w:val="20"/>
              </w:rPr>
            </w:pPr>
          </w:p>
        </w:tc>
        <w:tc>
          <w:tcPr>
            <w:tcW w:w="4295" w:type="pct"/>
            <w:gridSpan w:val="5"/>
            <w:vAlign w:val="center"/>
          </w:tcPr>
          <w:p w14:paraId="387C037F" w14:textId="77777777" w:rsidR="00324F9E" w:rsidRPr="00CB2322" w:rsidRDefault="00324F9E" w:rsidP="00D56338">
            <w:pPr>
              <w:keepLines/>
              <w:jc w:val="left"/>
              <w:rPr>
                <w:rFonts w:ascii="Arial Narrow" w:eastAsia="Calibri" w:hAnsi="Arial Narrow"/>
                <w:color w:val="FF0000"/>
                <w:sz w:val="20"/>
                <w:szCs w:val="20"/>
              </w:rPr>
            </w:pPr>
            <w:r w:rsidRPr="00CB2322">
              <w:rPr>
                <w:rFonts w:ascii="Arial Narrow" w:hAnsi="Arial Narrow"/>
                <w:b/>
                <w:sz w:val="20"/>
                <w:szCs w:val="20"/>
              </w:rPr>
              <w:t xml:space="preserve">Restriction type: </w:t>
            </w:r>
            <w:r w:rsidRPr="00CB2322">
              <w:rPr>
                <w:rFonts w:ascii="Arial Narrow" w:eastAsia="Calibri" w:hAnsi="Arial Narrow"/>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CB2322">
              <w:rPr>
                <w:rFonts w:ascii="Arial Narrow" w:eastAsia="Calibri" w:hAnsi="Arial Narrow"/>
                <w:sz w:val="20"/>
                <w:szCs w:val="20"/>
              </w:rPr>
              <w:t>Authority Required (STREAMLINED) [new]</w:t>
            </w:r>
          </w:p>
        </w:tc>
      </w:tr>
      <w:tr w:rsidR="00324F9E" w:rsidRPr="00CB2322" w14:paraId="55FE33D1" w14:textId="77777777" w:rsidTr="00E36DB9">
        <w:tblPrEx>
          <w:tblCellMar>
            <w:top w:w="15" w:type="dxa"/>
            <w:bottom w:w="15" w:type="dxa"/>
          </w:tblCellMar>
        </w:tblPrEx>
        <w:trPr>
          <w:cantSplit/>
          <w:trHeight w:val="20"/>
        </w:trPr>
        <w:tc>
          <w:tcPr>
            <w:tcW w:w="705" w:type="pct"/>
            <w:gridSpan w:val="2"/>
            <w:vAlign w:val="center"/>
          </w:tcPr>
          <w:p w14:paraId="55804377" w14:textId="4755B9CB" w:rsidR="00324F9E" w:rsidRPr="00D32755" w:rsidRDefault="00324F9E" w:rsidP="005E4D14">
            <w:pPr>
              <w:jc w:val="center"/>
              <w:rPr>
                <w:rFonts w:ascii="Arial Narrow" w:hAnsi="Arial Narrow"/>
                <w:i/>
                <w:iCs/>
                <w:color w:val="333333"/>
                <w:sz w:val="20"/>
                <w:szCs w:val="20"/>
              </w:rPr>
            </w:pPr>
          </w:p>
        </w:tc>
        <w:tc>
          <w:tcPr>
            <w:tcW w:w="4295" w:type="pct"/>
            <w:gridSpan w:val="5"/>
            <w:vAlign w:val="center"/>
            <w:hideMark/>
          </w:tcPr>
          <w:p w14:paraId="34A917AE" w14:textId="77777777" w:rsidR="00324F9E" w:rsidRPr="00CB2322" w:rsidRDefault="00324F9E" w:rsidP="005E4D14">
            <w:pPr>
              <w:rPr>
                <w:rFonts w:ascii="Arial Narrow" w:hAnsi="Arial Narrow"/>
                <w:color w:val="333333"/>
                <w:sz w:val="20"/>
                <w:szCs w:val="20"/>
              </w:rPr>
            </w:pPr>
            <w:r w:rsidRPr="00CB2322">
              <w:rPr>
                <w:rFonts w:ascii="Arial Narrow" w:hAnsi="Arial Narrow"/>
                <w:b/>
                <w:bCs/>
                <w:color w:val="333333"/>
                <w:sz w:val="20"/>
                <w:szCs w:val="20"/>
              </w:rPr>
              <w:t>Indication:</w:t>
            </w:r>
            <w:r w:rsidRPr="00CB2322">
              <w:rPr>
                <w:rFonts w:ascii="Arial Narrow" w:hAnsi="Arial Narrow"/>
                <w:color w:val="333333"/>
                <w:sz w:val="20"/>
                <w:szCs w:val="20"/>
              </w:rPr>
              <w:t xml:space="preserve"> Locally advanced (Stage III) or metastatic (Stage IV) urothelial cancer</w:t>
            </w:r>
          </w:p>
        </w:tc>
      </w:tr>
      <w:tr w:rsidR="00324F9E" w:rsidRPr="00CB2322" w14:paraId="30A9351C" w14:textId="77777777" w:rsidTr="00E36DB9">
        <w:tblPrEx>
          <w:tblCellMar>
            <w:top w:w="15" w:type="dxa"/>
            <w:bottom w:w="15" w:type="dxa"/>
          </w:tblCellMar>
        </w:tblPrEx>
        <w:trPr>
          <w:cantSplit/>
          <w:trHeight w:val="20"/>
        </w:trPr>
        <w:tc>
          <w:tcPr>
            <w:tcW w:w="705" w:type="pct"/>
            <w:gridSpan w:val="2"/>
            <w:vAlign w:val="center"/>
          </w:tcPr>
          <w:p w14:paraId="1416CF51" w14:textId="77777777" w:rsidR="00324F9E" w:rsidRPr="00D32755" w:rsidRDefault="00324F9E" w:rsidP="005E4D14">
            <w:pPr>
              <w:jc w:val="center"/>
              <w:rPr>
                <w:rFonts w:ascii="Arial Narrow" w:hAnsi="Arial Narrow"/>
                <w:i/>
                <w:iCs/>
                <w:color w:val="333333"/>
                <w:sz w:val="20"/>
                <w:szCs w:val="20"/>
              </w:rPr>
            </w:pPr>
          </w:p>
        </w:tc>
        <w:tc>
          <w:tcPr>
            <w:tcW w:w="4295" w:type="pct"/>
            <w:gridSpan w:val="5"/>
            <w:vAlign w:val="center"/>
            <w:hideMark/>
          </w:tcPr>
          <w:p w14:paraId="4A1C099A" w14:textId="77777777" w:rsidR="00324F9E" w:rsidRPr="00CB2322" w:rsidRDefault="00324F9E" w:rsidP="005E4D14">
            <w:pPr>
              <w:rPr>
                <w:rFonts w:ascii="Arial Narrow" w:hAnsi="Arial Narrow"/>
                <w:color w:val="FF0000"/>
                <w:sz w:val="20"/>
                <w:szCs w:val="20"/>
              </w:rPr>
            </w:pPr>
            <w:r w:rsidRPr="00CB2322">
              <w:rPr>
                <w:rFonts w:ascii="Arial Narrow" w:hAnsi="Arial Narrow"/>
                <w:b/>
                <w:bCs/>
                <w:color w:val="333333"/>
                <w:sz w:val="20"/>
                <w:szCs w:val="20"/>
              </w:rPr>
              <w:t>Treatment Phase</w:t>
            </w:r>
            <w:r w:rsidRPr="00CB2322">
              <w:rPr>
                <w:rFonts w:ascii="Arial Narrow" w:hAnsi="Arial Narrow"/>
                <w:b/>
                <w:bCs/>
                <w:sz w:val="20"/>
                <w:szCs w:val="20"/>
              </w:rPr>
              <w:t>:</w:t>
            </w:r>
            <w:r w:rsidRPr="00CB2322">
              <w:rPr>
                <w:rFonts w:ascii="Arial Narrow" w:hAnsi="Arial Narrow"/>
                <w:sz w:val="20"/>
                <w:szCs w:val="20"/>
              </w:rPr>
              <w:t xml:space="preserve"> </w:t>
            </w:r>
            <w:r w:rsidRPr="009005C4">
              <w:rPr>
                <w:rFonts w:ascii="Arial Narrow" w:hAnsi="Arial Narrow"/>
                <w:sz w:val="20"/>
                <w:szCs w:val="20"/>
              </w:rPr>
              <w:t>Transitioning from non-PBS to PBS subsided treatment – ‘Grandfather’ arrangement</w:t>
            </w:r>
          </w:p>
        </w:tc>
      </w:tr>
      <w:tr w:rsidR="00324F9E" w:rsidRPr="00CB2322" w14:paraId="2710F7D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66736AE" w14:textId="77777777"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20A9A44E" w14:textId="77777777" w:rsidR="00324F9E" w:rsidRPr="00CB2322" w:rsidRDefault="00324F9E" w:rsidP="005E4D14">
            <w:pPr>
              <w:rPr>
                <w:rFonts w:ascii="Arial Narrow" w:hAnsi="Arial Narrow"/>
                <w:b/>
                <w:bCs/>
                <w:color w:val="333333"/>
                <w:sz w:val="20"/>
                <w:szCs w:val="20"/>
              </w:rPr>
            </w:pPr>
            <w:r w:rsidRPr="00CB2322">
              <w:rPr>
                <w:rFonts w:ascii="Arial Narrow" w:hAnsi="Arial Narrow"/>
                <w:b/>
                <w:bCs/>
                <w:sz w:val="20"/>
                <w:szCs w:val="20"/>
              </w:rPr>
              <w:t>Clinical criteria:</w:t>
            </w:r>
          </w:p>
        </w:tc>
      </w:tr>
      <w:tr w:rsidR="00324F9E" w:rsidRPr="00CB2322" w14:paraId="5B8C92A9"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0FFB83C" w14:textId="3EC5762A"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7D4BAF2F" w14:textId="77777777" w:rsidR="00324F9E" w:rsidRPr="00CB2322" w:rsidRDefault="00324F9E" w:rsidP="005E4D14">
            <w:pPr>
              <w:rPr>
                <w:rFonts w:ascii="Arial Narrow" w:hAnsi="Arial Narrow"/>
                <w:b/>
                <w:bCs/>
                <w:sz w:val="20"/>
                <w:szCs w:val="20"/>
              </w:rPr>
            </w:pPr>
            <w:r w:rsidRPr="00CB2322">
              <w:rPr>
                <w:rFonts w:ascii="Arial Narrow" w:hAnsi="Arial Narrow"/>
                <w:sz w:val="20"/>
                <w:szCs w:val="20"/>
              </w:rPr>
              <w:t>Patient must have received non-PBS-subsidised treatment with this drug for this indication prior to [date of PBS listing],</w:t>
            </w:r>
          </w:p>
        </w:tc>
      </w:tr>
      <w:tr w:rsidR="00324F9E" w:rsidRPr="00CB2322" w14:paraId="44E43B8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AE34F83" w14:textId="77777777"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3D6E2091" w14:textId="77777777" w:rsidR="00324F9E" w:rsidRPr="00CB2322" w:rsidRDefault="00324F9E" w:rsidP="005E4D14">
            <w:pPr>
              <w:rPr>
                <w:rFonts w:ascii="Arial Narrow" w:hAnsi="Arial Narrow"/>
                <w:sz w:val="20"/>
                <w:szCs w:val="20"/>
              </w:rPr>
            </w:pPr>
            <w:r w:rsidRPr="00CB2322">
              <w:rPr>
                <w:rFonts w:ascii="Arial Narrow" w:hAnsi="Arial Narrow"/>
                <w:b/>
                <w:bCs/>
                <w:sz w:val="20"/>
                <w:szCs w:val="20"/>
              </w:rPr>
              <w:t>AND</w:t>
            </w:r>
          </w:p>
        </w:tc>
      </w:tr>
      <w:tr w:rsidR="00324F9E" w:rsidRPr="00CB2322" w14:paraId="267AD53E"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2CDB179" w14:textId="77777777"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281E1E3D" w14:textId="77777777" w:rsidR="00324F9E" w:rsidRPr="00CB2322" w:rsidRDefault="00324F9E" w:rsidP="005E4D14">
            <w:pPr>
              <w:rPr>
                <w:rFonts w:ascii="Arial Narrow" w:hAnsi="Arial Narrow"/>
                <w:b/>
                <w:bCs/>
                <w:sz w:val="20"/>
                <w:szCs w:val="20"/>
              </w:rPr>
            </w:pPr>
            <w:r w:rsidRPr="00CB2322">
              <w:rPr>
                <w:rFonts w:ascii="Arial Narrow" w:hAnsi="Arial Narrow"/>
                <w:b/>
                <w:bCs/>
                <w:sz w:val="20"/>
                <w:szCs w:val="20"/>
              </w:rPr>
              <w:t>Clinical criteria:</w:t>
            </w:r>
          </w:p>
        </w:tc>
      </w:tr>
      <w:tr w:rsidR="00324F9E" w:rsidRPr="00CB2322" w14:paraId="396AF417"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1537627" w14:textId="385305CC"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09E88CB7" w14:textId="77777777" w:rsidR="00324F9E" w:rsidRPr="00CB2322" w:rsidRDefault="00324F9E" w:rsidP="005E4D14">
            <w:pPr>
              <w:rPr>
                <w:rFonts w:ascii="Arial Narrow" w:hAnsi="Arial Narrow"/>
                <w:b/>
                <w:bCs/>
                <w:sz w:val="20"/>
                <w:szCs w:val="20"/>
              </w:rPr>
            </w:pPr>
            <w:r w:rsidRPr="00CB2322">
              <w:rPr>
                <w:rFonts w:ascii="Arial Narrow" w:hAnsi="Arial Narrow"/>
                <w:sz w:val="20"/>
                <w:szCs w:val="20"/>
              </w:rPr>
              <w:t>Patient must have/have had a WHO performance status score of no greater than 2 prior to initiation of non-PBS-subsidised treatment with this drug for this condition,</w:t>
            </w:r>
          </w:p>
        </w:tc>
      </w:tr>
      <w:tr w:rsidR="00324F9E" w:rsidRPr="00CB2322" w14:paraId="56BDAA1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722E541" w14:textId="77777777"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70C1D2B7" w14:textId="77777777" w:rsidR="00324F9E" w:rsidRPr="00CB2322" w:rsidRDefault="00324F9E" w:rsidP="005E4D14">
            <w:pPr>
              <w:rPr>
                <w:rFonts w:ascii="Arial Narrow" w:hAnsi="Arial Narrow"/>
                <w:sz w:val="20"/>
                <w:szCs w:val="20"/>
              </w:rPr>
            </w:pPr>
            <w:r w:rsidRPr="00CB2322">
              <w:rPr>
                <w:rFonts w:ascii="Arial Narrow" w:hAnsi="Arial Narrow"/>
                <w:b/>
                <w:bCs/>
                <w:sz w:val="20"/>
                <w:szCs w:val="20"/>
              </w:rPr>
              <w:t>AND</w:t>
            </w:r>
          </w:p>
        </w:tc>
      </w:tr>
      <w:tr w:rsidR="00324F9E" w:rsidRPr="00CB2322" w14:paraId="49094CD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5333F0C" w14:textId="77777777"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5A069184" w14:textId="77777777" w:rsidR="00324F9E" w:rsidRPr="00CB2322" w:rsidRDefault="00324F9E" w:rsidP="005E4D14">
            <w:pPr>
              <w:rPr>
                <w:rFonts w:ascii="Arial Narrow" w:hAnsi="Arial Narrow"/>
                <w:sz w:val="20"/>
                <w:szCs w:val="20"/>
              </w:rPr>
            </w:pPr>
            <w:r w:rsidRPr="00CB2322">
              <w:rPr>
                <w:rFonts w:ascii="Arial Narrow" w:hAnsi="Arial Narrow"/>
                <w:b/>
                <w:bCs/>
                <w:sz w:val="20"/>
                <w:szCs w:val="20"/>
              </w:rPr>
              <w:t>Clinical criteria:</w:t>
            </w:r>
          </w:p>
        </w:tc>
      </w:tr>
      <w:tr w:rsidR="00324F9E" w:rsidRPr="00CB2322" w14:paraId="287B384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4D5D6C9" w14:textId="64122319"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1A9D881B" w14:textId="77777777" w:rsidR="00324F9E" w:rsidRPr="00CB2322" w:rsidRDefault="00324F9E" w:rsidP="005E4D14">
            <w:pPr>
              <w:rPr>
                <w:rFonts w:ascii="Arial Narrow" w:hAnsi="Arial Narrow"/>
                <w:sz w:val="20"/>
                <w:szCs w:val="20"/>
              </w:rPr>
            </w:pPr>
            <w:r w:rsidRPr="00CB2322">
              <w:rPr>
                <w:rFonts w:ascii="Arial Narrow" w:hAnsi="Arial Narrow"/>
                <w:sz w:val="20"/>
                <w:szCs w:val="20"/>
              </w:rPr>
              <w:t>Patient must not have developed disease progression while being treated with this drug for this condition.</w:t>
            </w:r>
          </w:p>
        </w:tc>
      </w:tr>
      <w:tr w:rsidR="00324F9E" w:rsidRPr="00CB2322" w14:paraId="111C260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A2B6FD6" w14:textId="77777777"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0F6E2F60" w14:textId="77777777" w:rsidR="00324F9E" w:rsidRPr="00CB2322" w:rsidRDefault="00324F9E" w:rsidP="005E4D14">
            <w:pPr>
              <w:rPr>
                <w:rFonts w:ascii="Arial Narrow" w:hAnsi="Arial Narrow"/>
                <w:sz w:val="20"/>
                <w:szCs w:val="20"/>
              </w:rPr>
            </w:pPr>
            <w:r w:rsidRPr="00CB2322">
              <w:rPr>
                <w:rFonts w:ascii="Arial Narrow" w:hAnsi="Arial Narrow"/>
                <w:b/>
                <w:bCs/>
                <w:sz w:val="20"/>
                <w:szCs w:val="20"/>
              </w:rPr>
              <w:t>Treatment criteria</w:t>
            </w:r>
            <w:r w:rsidRPr="00CB2322">
              <w:rPr>
                <w:rFonts w:ascii="Arial Narrow" w:hAnsi="Arial Narrow"/>
                <w:sz w:val="20"/>
                <w:szCs w:val="20"/>
              </w:rPr>
              <w:t>:</w:t>
            </w:r>
          </w:p>
        </w:tc>
      </w:tr>
      <w:tr w:rsidR="00324F9E" w:rsidRPr="00CB2322" w14:paraId="6818918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FECB90E" w14:textId="26D95492"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37844359" w14:textId="77777777" w:rsidR="00324F9E" w:rsidRPr="00CB2322" w:rsidRDefault="00324F9E" w:rsidP="005E4D14">
            <w:pPr>
              <w:rPr>
                <w:rFonts w:ascii="Arial Narrow" w:hAnsi="Arial Narrow"/>
                <w:b/>
                <w:bCs/>
                <w:sz w:val="20"/>
                <w:szCs w:val="20"/>
              </w:rPr>
            </w:pPr>
            <w:r w:rsidRPr="00CB2322">
              <w:rPr>
                <w:rFonts w:ascii="Arial Narrow" w:hAnsi="Arial Narrow"/>
                <w:sz w:val="20"/>
                <w:szCs w:val="20"/>
              </w:rPr>
              <w:t>Patient must be undergoing combination therapy consisting of</w:t>
            </w:r>
            <w:r>
              <w:rPr>
                <w:rFonts w:ascii="Arial Narrow" w:hAnsi="Arial Narrow"/>
                <w:sz w:val="20"/>
                <w:szCs w:val="20"/>
              </w:rPr>
              <w:t xml:space="preserve"> </w:t>
            </w:r>
            <w:r w:rsidRPr="0082609B">
              <w:rPr>
                <w:rFonts w:ascii="Arial Narrow" w:hAnsi="Arial Narrow"/>
                <w:i/>
                <w:iCs/>
                <w:sz w:val="20"/>
                <w:szCs w:val="20"/>
              </w:rPr>
              <w:t>no more than 24 months of</w:t>
            </w:r>
            <w:r w:rsidRPr="00CB2322">
              <w:rPr>
                <w:rFonts w:ascii="Arial Narrow" w:hAnsi="Arial Narrow"/>
                <w:sz w:val="20"/>
                <w:szCs w:val="20"/>
              </w:rPr>
              <w:t>: (i) enfortumab vedotin, (ii) pembrolizumab; OR</w:t>
            </w:r>
          </w:p>
        </w:tc>
      </w:tr>
      <w:tr w:rsidR="00324F9E" w:rsidRPr="00CB2322" w14:paraId="48A97B7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19322D0" w14:textId="7A8E1A62"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54AB3F55" w14:textId="77777777" w:rsidR="00324F9E" w:rsidRPr="00CB2322" w:rsidRDefault="00324F9E" w:rsidP="005E4D14">
            <w:pPr>
              <w:rPr>
                <w:rFonts w:ascii="Arial Narrow" w:hAnsi="Arial Narrow"/>
                <w:sz w:val="20"/>
                <w:szCs w:val="20"/>
              </w:rPr>
            </w:pPr>
            <w:r w:rsidRPr="00CB2322">
              <w:rPr>
                <w:rFonts w:ascii="Arial Narrow" w:hAnsi="Arial Narrow"/>
                <w:sz w:val="20"/>
                <w:szCs w:val="20"/>
              </w:rPr>
              <w:t xml:space="preserve">Patient must be undergoing monotherapy with this drug after </w:t>
            </w:r>
            <w:r>
              <w:rPr>
                <w:rFonts w:ascii="Arial Narrow" w:hAnsi="Arial Narrow"/>
                <w:i/>
                <w:iCs/>
                <w:sz w:val="20"/>
                <w:szCs w:val="20"/>
              </w:rPr>
              <w:t xml:space="preserve">exceeding a total of </w:t>
            </w:r>
            <w:r w:rsidRPr="00DE4EDC">
              <w:rPr>
                <w:rFonts w:ascii="Arial Narrow" w:hAnsi="Arial Narrow"/>
                <w:strike/>
                <w:sz w:val="20"/>
                <w:szCs w:val="20"/>
              </w:rPr>
              <w:t>receiving no longer than</w:t>
            </w:r>
            <w:r w:rsidRPr="00CB2322">
              <w:rPr>
                <w:rFonts w:ascii="Arial Narrow" w:hAnsi="Arial Narrow"/>
                <w:sz w:val="20"/>
                <w:szCs w:val="20"/>
              </w:rPr>
              <w:t xml:space="preserve"> 24 </w:t>
            </w:r>
            <w:r>
              <w:rPr>
                <w:rFonts w:ascii="Arial Narrow" w:hAnsi="Arial Narrow"/>
                <w:i/>
                <w:iCs/>
                <w:sz w:val="20"/>
                <w:szCs w:val="20"/>
              </w:rPr>
              <w:t xml:space="preserve">cumulative </w:t>
            </w:r>
            <w:r w:rsidRPr="00CB2322">
              <w:rPr>
                <w:rFonts w:ascii="Arial Narrow" w:hAnsi="Arial Narrow"/>
                <w:sz w:val="20"/>
                <w:szCs w:val="20"/>
              </w:rPr>
              <w:t xml:space="preserve">months of </w:t>
            </w:r>
            <w:r w:rsidRPr="00DE4EDC">
              <w:rPr>
                <w:rFonts w:ascii="Arial Narrow" w:hAnsi="Arial Narrow"/>
                <w:strike/>
                <w:sz w:val="20"/>
                <w:szCs w:val="20"/>
              </w:rPr>
              <w:t>the</w:t>
            </w:r>
            <w:r w:rsidRPr="00CB2322">
              <w:rPr>
                <w:rFonts w:ascii="Arial Narrow" w:hAnsi="Arial Narrow"/>
                <w:sz w:val="20"/>
                <w:szCs w:val="20"/>
              </w:rPr>
              <w:t xml:space="preserve"> combination therapy</w:t>
            </w:r>
            <w:r>
              <w:rPr>
                <w:rFonts w:ascii="Arial Narrow" w:hAnsi="Arial Narrow"/>
                <w:sz w:val="20"/>
                <w:szCs w:val="20"/>
              </w:rPr>
              <w:t xml:space="preserve"> </w:t>
            </w:r>
            <w:r w:rsidRPr="00DE4EDC">
              <w:rPr>
                <w:rFonts w:ascii="Arial Narrow" w:hAnsi="Arial Narrow"/>
                <w:i/>
                <w:iCs/>
                <w:sz w:val="20"/>
                <w:szCs w:val="20"/>
              </w:rPr>
              <w:t>consisting of: (i) enfortumab vedotin, (ii) pembrolizumab</w:t>
            </w:r>
            <w:r>
              <w:rPr>
                <w:rFonts w:ascii="Arial Narrow" w:hAnsi="Arial Narrow"/>
                <w:i/>
                <w:iCs/>
                <w:sz w:val="20"/>
                <w:szCs w:val="20"/>
              </w:rPr>
              <w:t>, from the first administered dose, once in a lifetime</w:t>
            </w:r>
            <w:r w:rsidRPr="00CB2322">
              <w:rPr>
                <w:rFonts w:ascii="Arial Narrow" w:hAnsi="Arial Narrow"/>
                <w:sz w:val="20"/>
                <w:szCs w:val="20"/>
              </w:rPr>
              <w:t xml:space="preserve"> </w:t>
            </w:r>
            <w:r w:rsidRPr="00DE4EDC">
              <w:rPr>
                <w:rFonts w:ascii="Arial Narrow" w:hAnsi="Arial Narrow"/>
                <w:strike/>
                <w:sz w:val="20"/>
                <w:szCs w:val="20"/>
              </w:rPr>
              <w:t>mentioned above</w:t>
            </w:r>
            <w:r w:rsidRPr="00CB2322">
              <w:rPr>
                <w:rFonts w:ascii="Arial Narrow" w:hAnsi="Arial Narrow"/>
                <w:sz w:val="20"/>
                <w:szCs w:val="20"/>
              </w:rPr>
              <w:t>; OR</w:t>
            </w:r>
          </w:p>
        </w:tc>
      </w:tr>
      <w:tr w:rsidR="00324F9E" w:rsidRPr="00CB2322" w14:paraId="671790D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8F1768B" w14:textId="38972E65" w:rsidR="00324F9E" w:rsidRPr="00D32755" w:rsidRDefault="00324F9E" w:rsidP="005E4D14">
            <w:pPr>
              <w:jc w:val="center"/>
              <w:rPr>
                <w:rFonts w:ascii="Arial Narrow" w:hAnsi="Arial Narrow"/>
                <w:i/>
                <w:iCs/>
                <w:color w:val="333333"/>
                <w:sz w:val="20"/>
                <w:szCs w:val="20"/>
              </w:rPr>
            </w:pPr>
          </w:p>
        </w:tc>
        <w:tc>
          <w:tcPr>
            <w:tcW w:w="4295" w:type="pct"/>
            <w:gridSpan w:val="5"/>
            <w:vAlign w:val="center"/>
          </w:tcPr>
          <w:p w14:paraId="525D79D4" w14:textId="77777777" w:rsidR="00324F9E" w:rsidRPr="00CB2322" w:rsidRDefault="00324F9E" w:rsidP="005E4D14">
            <w:pPr>
              <w:rPr>
                <w:rFonts w:ascii="Arial Narrow" w:hAnsi="Arial Narrow"/>
                <w:sz w:val="20"/>
                <w:szCs w:val="20"/>
              </w:rPr>
            </w:pPr>
            <w:r w:rsidRPr="00CB2322">
              <w:rPr>
                <w:rFonts w:ascii="Arial Narrow" w:hAnsi="Arial Narrow"/>
                <w:sz w:val="20"/>
                <w:szCs w:val="20"/>
              </w:rPr>
              <w:t>Patient must be undergoing monotherapy with this drug due to a contraindication/intolerance to pembrolizumab, requiring temporary/permanent discontinuation; document the details in the patient's medical records;</w:t>
            </w:r>
          </w:p>
        </w:tc>
      </w:tr>
      <w:tr w:rsidR="00324F9E" w:rsidRPr="000D5965" w14:paraId="62BAAEC4" w14:textId="77777777" w:rsidTr="005E4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20"/>
        </w:trPr>
        <w:tc>
          <w:tcPr>
            <w:tcW w:w="705" w:type="pct"/>
            <w:gridSpan w:val="2"/>
            <w:tcBorders>
              <w:top w:val="single" w:sz="4" w:space="0" w:color="auto"/>
              <w:left w:val="single" w:sz="4" w:space="0" w:color="auto"/>
              <w:bottom w:val="single" w:sz="4" w:space="0" w:color="auto"/>
              <w:right w:val="single" w:sz="4" w:space="0" w:color="auto"/>
            </w:tcBorders>
          </w:tcPr>
          <w:p w14:paraId="0E1D0F68" w14:textId="1ADB97DC" w:rsidR="00324F9E" w:rsidRPr="00205B05" w:rsidRDefault="00324F9E" w:rsidP="005E4D14">
            <w:pPr>
              <w:jc w:val="center"/>
              <w:rPr>
                <w:rFonts w:ascii="Arial Narrow" w:hAnsi="Arial Narrow"/>
                <w:i/>
                <w:iCs/>
                <w:color w:val="333333"/>
                <w:sz w:val="20"/>
                <w:szCs w:val="20"/>
              </w:rPr>
            </w:pPr>
          </w:p>
        </w:tc>
        <w:tc>
          <w:tcPr>
            <w:tcW w:w="4295" w:type="pct"/>
            <w:gridSpan w:val="5"/>
            <w:tcBorders>
              <w:top w:val="single" w:sz="4" w:space="0" w:color="auto"/>
              <w:left w:val="single" w:sz="4" w:space="0" w:color="auto"/>
              <w:bottom w:val="single" w:sz="4" w:space="0" w:color="auto"/>
              <w:right w:val="single" w:sz="4" w:space="0" w:color="auto"/>
            </w:tcBorders>
          </w:tcPr>
          <w:p w14:paraId="0BE4C733" w14:textId="77777777" w:rsidR="00324F9E" w:rsidRPr="00205B05" w:rsidRDefault="00324F9E" w:rsidP="005E4D14">
            <w:pPr>
              <w:rPr>
                <w:rFonts w:ascii="Arial Narrow" w:hAnsi="Arial Narrow"/>
                <w:i/>
                <w:iCs/>
                <w:sz w:val="20"/>
                <w:szCs w:val="20"/>
              </w:rPr>
            </w:pPr>
            <w:r w:rsidRPr="00205B05">
              <w:rPr>
                <w:rFonts w:ascii="Arial Narrow" w:hAnsi="Arial Narrow"/>
                <w:b/>
                <w:bCs/>
                <w:i/>
                <w:iCs/>
                <w:sz w:val="20"/>
                <w:szCs w:val="20"/>
              </w:rPr>
              <w:t>Administrative Advice:</w:t>
            </w:r>
            <w:r w:rsidRPr="00205B05">
              <w:rPr>
                <w:rFonts w:ascii="Arial Narrow" w:hAnsi="Arial Narrow"/>
                <w:i/>
                <w:iCs/>
                <w:sz w:val="20"/>
                <w:szCs w:val="20"/>
              </w:rPr>
              <w:t xml:space="preserve"> Patients may qualify for PBS-subsidised treatment under this restriction once only. For continuing PBS-subsidised treatment, a 'Grandfathered' patient must qualify under the '</w:t>
            </w:r>
            <w:r>
              <w:rPr>
                <w:rFonts w:ascii="Arial Narrow" w:hAnsi="Arial Narrow"/>
                <w:i/>
                <w:iCs/>
                <w:sz w:val="20"/>
                <w:szCs w:val="20"/>
              </w:rPr>
              <w:t xml:space="preserve">Initial and </w:t>
            </w:r>
            <w:r w:rsidRPr="00205B05">
              <w:rPr>
                <w:rFonts w:ascii="Arial Narrow" w:hAnsi="Arial Narrow"/>
                <w:i/>
                <w:iCs/>
                <w:sz w:val="20"/>
                <w:szCs w:val="20"/>
              </w:rPr>
              <w:t>Continuing treatment' criteria.</w:t>
            </w:r>
          </w:p>
        </w:tc>
      </w:tr>
      <w:tr w:rsidR="00324F9E" w:rsidRPr="000D5965" w14:paraId="7ECB6273" w14:textId="77777777" w:rsidTr="005E4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20"/>
        </w:trPr>
        <w:tc>
          <w:tcPr>
            <w:tcW w:w="705" w:type="pct"/>
            <w:gridSpan w:val="2"/>
            <w:tcBorders>
              <w:top w:val="single" w:sz="4" w:space="0" w:color="auto"/>
              <w:left w:val="single" w:sz="4" w:space="0" w:color="auto"/>
              <w:bottom w:val="single" w:sz="4" w:space="0" w:color="auto"/>
              <w:right w:val="single" w:sz="4" w:space="0" w:color="auto"/>
            </w:tcBorders>
          </w:tcPr>
          <w:p w14:paraId="2ECF7ABB" w14:textId="755D8B1D" w:rsidR="00324F9E" w:rsidRPr="00205B05" w:rsidRDefault="00324F9E" w:rsidP="005E4D14">
            <w:pPr>
              <w:jc w:val="center"/>
              <w:rPr>
                <w:rFonts w:ascii="Arial Narrow" w:hAnsi="Arial Narrow"/>
                <w:i/>
                <w:iCs/>
                <w:color w:val="333333"/>
                <w:sz w:val="20"/>
                <w:szCs w:val="20"/>
              </w:rPr>
            </w:pPr>
          </w:p>
        </w:tc>
        <w:tc>
          <w:tcPr>
            <w:tcW w:w="4295" w:type="pct"/>
            <w:gridSpan w:val="5"/>
            <w:tcBorders>
              <w:top w:val="single" w:sz="4" w:space="0" w:color="auto"/>
              <w:left w:val="single" w:sz="4" w:space="0" w:color="auto"/>
              <w:bottom w:val="single" w:sz="4" w:space="0" w:color="auto"/>
              <w:right w:val="single" w:sz="4" w:space="0" w:color="auto"/>
            </w:tcBorders>
          </w:tcPr>
          <w:p w14:paraId="68A4367E" w14:textId="77777777" w:rsidR="00324F9E" w:rsidRPr="00205B05" w:rsidRDefault="00324F9E" w:rsidP="005E4D14">
            <w:pPr>
              <w:rPr>
                <w:rFonts w:ascii="Arial Narrow" w:hAnsi="Arial Narrow"/>
                <w:i/>
                <w:iCs/>
                <w:sz w:val="20"/>
                <w:szCs w:val="20"/>
              </w:rPr>
            </w:pPr>
            <w:r w:rsidRPr="00205B05">
              <w:rPr>
                <w:rFonts w:ascii="Arial Narrow" w:hAnsi="Arial Narrow"/>
                <w:b/>
                <w:bCs/>
                <w:i/>
                <w:iCs/>
                <w:sz w:val="20"/>
                <w:szCs w:val="20"/>
              </w:rPr>
              <w:t>Administrative Advice:</w:t>
            </w:r>
            <w:r w:rsidRPr="00205B05">
              <w:rPr>
                <w:rFonts w:ascii="Arial Narrow" w:hAnsi="Arial Narrow"/>
                <w:i/>
                <w:iCs/>
                <w:sz w:val="20"/>
                <w:szCs w:val="20"/>
              </w:rPr>
              <w:t xml:space="preserve"> This grandfather restriction will cease to operate from 12 months after the date specified in the clinical criteria.</w:t>
            </w:r>
          </w:p>
        </w:tc>
      </w:tr>
    </w:tbl>
    <w:p w14:paraId="463EA13E" w14:textId="5381D91E" w:rsidR="00324F9E" w:rsidRPr="00F76287" w:rsidRDefault="00324F9E" w:rsidP="00014CB1">
      <w:pPr>
        <w:pStyle w:val="3-BodyText"/>
        <w:keepNext/>
        <w:numPr>
          <w:ilvl w:val="0"/>
          <w:numId w:val="0"/>
        </w:numPr>
        <w:spacing w:after="0"/>
        <w:rPr>
          <w:b/>
          <w:bCs/>
        </w:rPr>
      </w:pPr>
      <w:r w:rsidRPr="00F76287">
        <w:rPr>
          <w:b/>
          <w:bCs/>
        </w:rPr>
        <w:t>Pembrolizumab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9"/>
        <w:gridCol w:w="709"/>
        <w:gridCol w:w="2124"/>
        <w:gridCol w:w="2126"/>
        <w:gridCol w:w="1417"/>
        <w:gridCol w:w="1369"/>
      </w:tblGrid>
      <w:tr w:rsidR="00C0020F" w:rsidRPr="001428E9" w14:paraId="283DD483" w14:textId="77777777" w:rsidTr="00C0020F">
        <w:trPr>
          <w:cantSplit/>
          <w:trHeight w:val="20"/>
        </w:trPr>
        <w:tc>
          <w:tcPr>
            <w:tcW w:w="1098" w:type="pct"/>
            <w:gridSpan w:val="3"/>
            <w:vAlign w:val="center"/>
          </w:tcPr>
          <w:p w14:paraId="6BBC9B97" w14:textId="77777777" w:rsidR="00C0020F" w:rsidRPr="001428E9" w:rsidRDefault="00C0020F" w:rsidP="005E4D14">
            <w:pPr>
              <w:keepNext/>
              <w:rPr>
                <w:rFonts w:ascii="Arial Narrow" w:hAnsi="Arial Narrow"/>
                <w:b/>
                <w:bCs/>
                <w:sz w:val="20"/>
                <w:szCs w:val="20"/>
              </w:rPr>
            </w:pPr>
            <w:r w:rsidRPr="001428E9">
              <w:rPr>
                <w:rFonts w:ascii="Arial Narrow" w:hAnsi="Arial Narrow"/>
                <w:b/>
                <w:bCs/>
                <w:sz w:val="20"/>
                <w:szCs w:val="20"/>
              </w:rPr>
              <w:t>MEDICINAL PRODUCT</w:t>
            </w:r>
          </w:p>
          <w:p w14:paraId="3DA9E86A" w14:textId="77777777" w:rsidR="00C0020F" w:rsidRPr="001428E9" w:rsidRDefault="00C0020F" w:rsidP="005E4D14">
            <w:pPr>
              <w:keepNext/>
              <w:rPr>
                <w:rFonts w:ascii="Arial Narrow" w:hAnsi="Arial Narrow"/>
                <w:b/>
                <w:sz w:val="20"/>
                <w:szCs w:val="20"/>
              </w:rPr>
            </w:pPr>
            <w:r w:rsidRPr="001428E9">
              <w:rPr>
                <w:rFonts w:ascii="Arial Narrow" w:hAnsi="Arial Narrow"/>
                <w:b/>
                <w:sz w:val="20"/>
                <w:szCs w:val="20"/>
              </w:rPr>
              <w:t>Form</w:t>
            </w:r>
          </w:p>
        </w:tc>
        <w:tc>
          <w:tcPr>
            <w:tcW w:w="1178" w:type="pct"/>
            <w:vAlign w:val="center"/>
          </w:tcPr>
          <w:p w14:paraId="703023D4" w14:textId="0CA964AD" w:rsidR="00C0020F" w:rsidRPr="001428E9" w:rsidRDefault="00C0020F" w:rsidP="005E4D14">
            <w:pPr>
              <w:keepNext/>
              <w:jc w:val="center"/>
              <w:rPr>
                <w:rFonts w:ascii="Arial Narrow" w:hAnsi="Arial Narrow"/>
                <w:b/>
                <w:sz w:val="20"/>
                <w:szCs w:val="20"/>
              </w:rPr>
            </w:pPr>
            <w:r w:rsidRPr="00C0020F">
              <w:rPr>
                <w:rFonts w:ascii="Arial Narrow" w:hAnsi="Arial Narrow"/>
                <w:b/>
                <w:sz w:val="20"/>
                <w:szCs w:val="20"/>
              </w:rPr>
              <w:t>Dispensed Price for Max. Qty</w:t>
            </w:r>
          </w:p>
        </w:tc>
        <w:tc>
          <w:tcPr>
            <w:tcW w:w="1179" w:type="pct"/>
            <w:vAlign w:val="center"/>
          </w:tcPr>
          <w:p w14:paraId="3A460E63" w14:textId="2ADE3C79" w:rsidR="00C0020F" w:rsidRPr="001428E9" w:rsidRDefault="00C0020F" w:rsidP="005E4D14">
            <w:pPr>
              <w:keepNext/>
              <w:jc w:val="center"/>
              <w:rPr>
                <w:rFonts w:ascii="Arial Narrow" w:hAnsi="Arial Narrow"/>
                <w:b/>
                <w:sz w:val="20"/>
                <w:szCs w:val="20"/>
              </w:rPr>
            </w:pPr>
            <w:r w:rsidRPr="001428E9">
              <w:rPr>
                <w:rFonts w:ascii="Arial Narrow" w:hAnsi="Arial Narrow"/>
                <w:b/>
                <w:sz w:val="20"/>
                <w:szCs w:val="20"/>
              </w:rPr>
              <w:t>PBS item code</w:t>
            </w:r>
          </w:p>
        </w:tc>
        <w:tc>
          <w:tcPr>
            <w:tcW w:w="786" w:type="pct"/>
            <w:vAlign w:val="center"/>
          </w:tcPr>
          <w:p w14:paraId="2CA2CAAD" w14:textId="77777777" w:rsidR="00C0020F" w:rsidRPr="001428E9" w:rsidRDefault="00C0020F" w:rsidP="005E4D14">
            <w:pPr>
              <w:keepNext/>
              <w:jc w:val="center"/>
              <w:rPr>
                <w:rFonts w:ascii="Arial Narrow" w:hAnsi="Arial Narrow"/>
                <w:b/>
                <w:sz w:val="20"/>
                <w:szCs w:val="20"/>
              </w:rPr>
            </w:pPr>
            <w:r w:rsidRPr="001428E9">
              <w:rPr>
                <w:rFonts w:ascii="Arial Narrow" w:hAnsi="Arial Narrow"/>
                <w:b/>
                <w:sz w:val="20"/>
                <w:szCs w:val="20"/>
              </w:rPr>
              <w:t>Max.</w:t>
            </w:r>
            <w:r>
              <w:rPr>
                <w:rFonts w:ascii="Arial Narrow" w:hAnsi="Arial Narrow"/>
                <w:b/>
                <w:sz w:val="20"/>
                <w:szCs w:val="20"/>
              </w:rPr>
              <w:t xml:space="preserve"> </w:t>
            </w:r>
            <w:r w:rsidRPr="001428E9">
              <w:rPr>
                <w:rFonts w:ascii="Arial Narrow" w:hAnsi="Arial Narrow"/>
                <w:b/>
                <w:sz w:val="20"/>
                <w:szCs w:val="20"/>
              </w:rPr>
              <w:t>Amount</w:t>
            </w:r>
          </w:p>
        </w:tc>
        <w:tc>
          <w:tcPr>
            <w:tcW w:w="759" w:type="pct"/>
            <w:vAlign w:val="center"/>
          </w:tcPr>
          <w:p w14:paraId="7C461919" w14:textId="77777777" w:rsidR="00C0020F" w:rsidRPr="001428E9" w:rsidRDefault="00C0020F" w:rsidP="005E4D14">
            <w:pPr>
              <w:keepNext/>
              <w:jc w:val="center"/>
              <w:rPr>
                <w:rFonts w:ascii="Arial Narrow" w:hAnsi="Arial Narrow"/>
                <w:b/>
                <w:sz w:val="20"/>
                <w:szCs w:val="20"/>
              </w:rPr>
            </w:pPr>
            <w:r w:rsidRPr="001428E9">
              <w:rPr>
                <w:rFonts w:ascii="Arial Narrow" w:hAnsi="Arial Narrow"/>
                <w:b/>
                <w:sz w:val="20"/>
                <w:szCs w:val="20"/>
              </w:rPr>
              <w:t>№.of Rpts</w:t>
            </w:r>
          </w:p>
        </w:tc>
      </w:tr>
      <w:tr w:rsidR="00C0020F" w:rsidRPr="001428E9" w14:paraId="4E4FD9BA" w14:textId="77777777" w:rsidTr="00C0020F">
        <w:trPr>
          <w:cantSplit/>
          <w:trHeight w:val="20"/>
        </w:trPr>
        <w:tc>
          <w:tcPr>
            <w:tcW w:w="1098" w:type="pct"/>
            <w:gridSpan w:val="3"/>
            <w:vAlign w:val="center"/>
          </w:tcPr>
          <w:p w14:paraId="670E65F4" w14:textId="77777777" w:rsidR="00C0020F" w:rsidRDefault="00C0020F" w:rsidP="005E4D14">
            <w:pPr>
              <w:keepNext/>
              <w:rPr>
                <w:rFonts w:ascii="Arial Narrow" w:hAnsi="Arial Narrow"/>
                <w:sz w:val="20"/>
                <w:szCs w:val="20"/>
              </w:rPr>
            </w:pPr>
            <w:r>
              <w:rPr>
                <w:rFonts w:ascii="Arial Narrow" w:hAnsi="Arial Narrow"/>
                <w:sz w:val="20"/>
                <w:szCs w:val="20"/>
              </w:rPr>
              <w:t>PEMBROLIZUMAB</w:t>
            </w:r>
          </w:p>
          <w:p w14:paraId="2E6A1C9B" w14:textId="77777777" w:rsidR="00C0020F" w:rsidRPr="001428E9" w:rsidRDefault="00C0020F" w:rsidP="005E4D14">
            <w:pPr>
              <w:keepNext/>
              <w:rPr>
                <w:rFonts w:ascii="Arial Narrow" w:hAnsi="Arial Narrow"/>
                <w:sz w:val="20"/>
                <w:szCs w:val="20"/>
              </w:rPr>
            </w:pPr>
            <w:r>
              <w:rPr>
                <w:rFonts w:ascii="Arial Narrow" w:hAnsi="Arial Narrow"/>
                <w:sz w:val="20"/>
                <w:szCs w:val="20"/>
              </w:rPr>
              <w:t>Injection</w:t>
            </w:r>
          </w:p>
        </w:tc>
        <w:tc>
          <w:tcPr>
            <w:tcW w:w="1178" w:type="pct"/>
            <w:vAlign w:val="center"/>
          </w:tcPr>
          <w:p w14:paraId="0BF46810" w14:textId="77777777" w:rsidR="00C0020F" w:rsidRPr="00C0020F" w:rsidRDefault="00C0020F" w:rsidP="00C0020F">
            <w:pPr>
              <w:keepNext/>
              <w:jc w:val="center"/>
              <w:rPr>
                <w:rFonts w:ascii="Arial Narrow" w:hAnsi="Arial Narrow"/>
                <w:sz w:val="20"/>
                <w:szCs w:val="20"/>
              </w:rPr>
            </w:pPr>
            <w:r w:rsidRPr="00C0020F">
              <w:rPr>
                <w:rFonts w:ascii="Arial Narrow" w:hAnsi="Arial Narrow"/>
                <w:sz w:val="20"/>
                <w:szCs w:val="20"/>
              </w:rPr>
              <w:t>$7,737.63 published price (public)</w:t>
            </w:r>
          </w:p>
          <w:p w14:paraId="1760B539" w14:textId="3A48E376" w:rsidR="00C0020F" w:rsidRPr="001428E9" w:rsidRDefault="00C0020F" w:rsidP="00C0020F">
            <w:pPr>
              <w:keepNext/>
              <w:jc w:val="center"/>
              <w:rPr>
                <w:rFonts w:ascii="Arial Narrow" w:hAnsi="Arial Narrow"/>
                <w:sz w:val="20"/>
                <w:szCs w:val="20"/>
              </w:rPr>
            </w:pPr>
            <w:r w:rsidRPr="00C0020F">
              <w:rPr>
                <w:rFonts w:ascii="Arial Narrow" w:hAnsi="Arial Narrow"/>
                <w:sz w:val="20"/>
                <w:szCs w:val="20"/>
              </w:rPr>
              <w:t>$7,889.37 published price (private)</w:t>
            </w:r>
          </w:p>
        </w:tc>
        <w:tc>
          <w:tcPr>
            <w:tcW w:w="1178" w:type="pct"/>
            <w:vAlign w:val="center"/>
          </w:tcPr>
          <w:p w14:paraId="37D82D6B" w14:textId="52CA0D59" w:rsidR="00C0020F" w:rsidRPr="001428E9" w:rsidRDefault="00C0020F" w:rsidP="00C0020F">
            <w:pPr>
              <w:keepNext/>
              <w:jc w:val="center"/>
              <w:rPr>
                <w:rFonts w:ascii="Arial Narrow" w:hAnsi="Arial Narrow"/>
                <w:sz w:val="20"/>
                <w:szCs w:val="20"/>
              </w:rPr>
            </w:pPr>
            <w:r w:rsidRPr="001428E9">
              <w:rPr>
                <w:rFonts w:ascii="Arial Narrow" w:hAnsi="Arial Narrow"/>
                <w:sz w:val="20"/>
                <w:szCs w:val="20"/>
              </w:rPr>
              <w:t>NEW (Public)</w:t>
            </w:r>
            <w:r>
              <w:rPr>
                <w:rFonts w:ascii="Arial Narrow" w:hAnsi="Arial Narrow"/>
                <w:sz w:val="20"/>
                <w:szCs w:val="20"/>
              </w:rPr>
              <w:br/>
            </w:r>
            <w:r w:rsidRPr="001428E9">
              <w:rPr>
                <w:rFonts w:ascii="Arial Narrow" w:hAnsi="Arial Narrow"/>
                <w:sz w:val="20"/>
                <w:szCs w:val="20"/>
              </w:rPr>
              <w:t>NEW (Private)</w:t>
            </w:r>
          </w:p>
        </w:tc>
        <w:tc>
          <w:tcPr>
            <w:tcW w:w="786" w:type="pct"/>
            <w:vAlign w:val="center"/>
          </w:tcPr>
          <w:p w14:paraId="7B5323CE" w14:textId="77777777" w:rsidR="00C0020F" w:rsidRPr="001428E9" w:rsidRDefault="00C0020F" w:rsidP="005E4D14">
            <w:pPr>
              <w:keepNext/>
              <w:jc w:val="center"/>
              <w:rPr>
                <w:rFonts w:ascii="Arial Narrow" w:hAnsi="Arial Narrow"/>
                <w:sz w:val="20"/>
                <w:szCs w:val="20"/>
              </w:rPr>
            </w:pPr>
            <w:r w:rsidRPr="0030485C">
              <w:rPr>
                <w:rFonts w:ascii="Arial Narrow" w:hAnsi="Arial Narrow"/>
                <w:i/>
                <w:iCs/>
                <w:sz w:val="20"/>
                <w:szCs w:val="20"/>
              </w:rPr>
              <w:t xml:space="preserve">200 </w:t>
            </w:r>
            <w:r w:rsidRPr="0030485C">
              <w:rPr>
                <w:rFonts w:ascii="Arial Narrow" w:hAnsi="Arial Narrow"/>
                <w:strike/>
                <w:sz w:val="20"/>
                <w:szCs w:val="20"/>
              </w:rPr>
              <w:t>400</w:t>
            </w:r>
            <w:r>
              <w:rPr>
                <w:rFonts w:ascii="Arial Narrow" w:hAnsi="Arial Narrow"/>
                <w:sz w:val="20"/>
                <w:szCs w:val="20"/>
              </w:rPr>
              <w:t>mg</w:t>
            </w:r>
          </w:p>
        </w:tc>
        <w:tc>
          <w:tcPr>
            <w:tcW w:w="759" w:type="pct"/>
            <w:vAlign w:val="center"/>
          </w:tcPr>
          <w:p w14:paraId="3F91900B" w14:textId="77777777" w:rsidR="00C0020F" w:rsidRPr="001428E9" w:rsidRDefault="00C0020F" w:rsidP="005E4D14">
            <w:pPr>
              <w:keepNext/>
              <w:jc w:val="center"/>
              <w:rPr>
                <w:rFonts w:ascii="Arial Narrow" w:hAnsi="Arial Narrow"/>
                <w:sz w:val="20"/>
                <w:szCs w:val="20"/>
              </w:rPr>
            </w:pPr>
            <w:r>
              <w:rPr>
                <w:rFonts w:ascii="Arial Narrow" w:hAnsi="Arial Narrow"/>
                <w:sz w:val="20"/>
                <w:szCs w:val="20"/>
              </w:rPr>
              <w:t>3</w:t>
            </w:r>
          </w:p>
        </w:tc>
      </w:tr>
      <w:tr w:rsidR="00324F9E" w:rsidRPr="001428E9" w14:paraId="59E85377" w14:textId="77777777" w:rsidTr="005E4D14">
        <w:trPr>
          <w:cantSplit/>
          <w:trHeight w:val="20"/>
        </w:trPr>
        <w:tc>
          <w:tcPr>
            <w:tcW w:w="5000" w:type="pct"/>
            <w:gridSpan w:val="7"/>
            <w:vAlign w:val="center"/>
          </w:tcPr>
          <w:p w14:paraId="68608557" w14:textId="77777777" w:rsidR="00324F9E" w:rsidRPr="001428E9" w:rsidRDefault="00324F9E" w:rsidP="005E4D14">
            <w:pPr>
              <w:keepNext/>
              <w:rPr>
                <w:rFonts w:ascii="Arial Narrow" w:hAnsi="Arial Narrow"/>
                <w:b/>
                <w:sz w:val="20"/>
                <w:szCs w:val="20"/>
              </w:rPr>
            </w:pPr>
            <w:r w:rsidRPr="001428E9">
              <w:rPr>
                <w:rFonts w:ascii="Arial Narrow" w:hAnsi="Arial Narrow"/>
                <w:b/>
                <w:sz w:val="20"/>
                <w:szCs w:val="20"/>
              </w:rPr>
              <w:t xml:space="preserve">Available brands </w:t>
            </w:r>
          </w:p>
        </w:tc>
      </w:tr>
      <w:tr w:rsidR="00324F9E" w:rsidRPr="001428E9" w14:paraId="680F05C5" w14:textId="77777777" w:rsidTr="005E4D14">
        <w:trPr>
          <w:cantSplit/>
          <w:trHeight w:val="20"/>
        </w:trPr>
        <w:tc>
          <w:tcPr>
            <w:tcW w:w="5000" w:type="pct"/>
            <w:gridSpan w:val="7"/>
            <w:vAlign w:val="center"/>
          </w:tcPr>
          <w:p w14:paraId="40D6D58C" w14:textId="77777777" w:rsidR="00324F9E" w:rsidRDefault="00324F9E" w:rsidP="005E4D14">
            <w:pPr>
              <w:keepNext/>
              <w:rPr>
                <w:rFonts w:ascii="Arial Narrow" w:hAnsi="Arial Narrow"/>
                <w:sz w:val="20"/>
                <w:szCs w:val="20"/>
              </w:rPr>
            </w:pPr>
            <w:r>
              <w:rPr>
                <w:rFonts w:ascii="Arial Narrow" w:hAnsi="Arial Narrow"/>
                <w:sz w:val="20"/>
                <w:szCs w:val="20"/>
              </w:rPr>
              <w:t>Keytruda</w:t>
            </w:r>
          </w:p>
          <w:p w14:paraId="0CCB231F" w14:textId="77777777" w:rsidR="00324F9E" w:rsidRPr="001428E9" w:rsidRDefault="00324F9E" w:rsidP="005E4D14">
            <w:pPr>
              <w:keepNext/>
              <w:rPr>
                <w:rFonts w:ascii="Arial Narrow" w:hAnsi="Arial Narrow"/>
                <w:sz w:val="20"/>
                <w:szCs w:val="20"/>
              </w:rPr>
            </w:pPr>
            <w:r w:rsidRPr="004A638D">
              <w:rPr>
                <w:rFonts w:ascii="Arial Narrow" w:hAnsi="Arial Narrow"/>
                <w:sz w:val="20"/>
                <w:szCs w:val="20"/>
              </w:rPr>
              <w:t>(pembrolizumab 100 mg/4 mL injection, 4 mL vial)</w:t>
            </w:r>
          </w:p>
        </w:tc>
      </w:tr>
      <w:tr w:rsidR="00324F9E" w:rsidRPr="001428E9" w14:paraId="4CB46DCF" w14:textId="77777777" w:rsidTr="005E4D14">
        <w:trPr>
          <w:cantSplit/>
          <w:trHeight w:val="20"/>
        </w:trPr>
        <w:tc>
          <w:tcPr>
            <w:tcW w:w="5000" w:type="pct"/>
            <w:gridSpan w:val="7"/>
            <w:vAlign w:val="center"/>
          </w:tcPr>
          <w:p w14:paraId="235D4889" w14:textId="77777777" w:rsidR="00324F9E" w:rsidRPr="001428E9" w:rsidRDefault="00324F9E" w:rsidP="005E4D14">
            <w:pPr>
              <w:rPr>
                <w:rFonts w:ascii="Arial Narrow" w:hAnsi="Arial Narrow"/>
                <w:color w:val="FF0000"/>
                <w:sz w:val="20"/>
                <w:szCs w:val="20"/>
              </w:rPr>
            </w:pPr>
          </w:p>
        </w:tc>
      </w:tr>
      <w:tr w:rsidR="00324F9E" w:rsidRPr="001428E9" w14:paraId="40854EEC" w14:textId="77777777" w:rsidTr="005E4D14">
        <w:trPr>
          <w:cantSplit/>
          <w:trHeight w:val="20"/>
        </w:trPr>
        <w:tc>
          <w:tcPr>
            <w:tcW w:w="5000" w:type="pct"/>
            <w:gridSpan w:val="7"/>
            <w:vAlign w:val="center"/>
          </w:tcPr>
          <w:p w14:paraId="40E58753" w14:textId="77777777" w:rsidR="00324F9E" w:rsidRPr="001428E9" w:rsidRDefault="00324F9E" w:rsidP="005E4D14">
            <w:pPr>
              <w:keepNext/>
              <w:rPr>
                <w:rFonts w:ascii="Arial Narrow" w:hAnsi="Arial Narrow"/>
                <w:color w:val="FF0000"/>
                <w:sz w:val="20"/>
                <w:szCs w:val="20"/>
              </w:rPr>
            </w:pPr>
            <w:r w:rsidRPr="001428E9">
              <w:rPr>
                <w:rFonts w:ascii="Arial Narrow" w:hAnsi="Arial Narrow"/>
                <w:b/>
                <w:sz w:val="20"/>
                <w:szCs w:val="20"/>
              </w:rPr>
              <w:t>Restriction Summary [new]</w:t>
            </w:r>
            <w:r w:rsidRPr="001428E9">
              <w:rPr>
                <w:rFonts w:ascii="Arial Narrow" w:hAnsi="Arial Narrow"/>
                <w:b/>
                <w:color w:val="FF0000"/>
                <w:sz w:val="20"/>
                <w:szCs w:val="20"/>
              </w:rPr>
              <w:t xml:space="preserve"> </w:t>
            </w:r>
            <w:r w:rsidRPr="001428E9">
              <w:rPr>
                <w:rFonts w:ascii="Arial Narrow" w:hAnsi="Arial Narrow"/>
                <w:b/>
                <w:sz w:val="20"/>
                <w:szCs w:val="20"/>
              </w:rPr>
              <w:t>/ Treatment of Concept: [new]</w:t>
            </w:r>
          </w:p>
        </w:tc>
      </w:tr>
      <w:tr w:rsidR="00324F9E" w:rsidRPr="001428E9" w14:paraId="2D62F423"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5531906B" w14:textId="6FEA7025" w:rsidR="00324F9E" w:rsidRPr="001428E9" w:rsidRDefault="00324F9E" w:rsidP="005E4D14">
            <w:pPr>
              <w:keepNext/>
              <w:jc w:val="center"/>
              <w:rPr>
                <w:rFonts w:ascii="Arial Narrow" w:hAnsi="Arial Narrow"/>
                <w:b/>
                <w:sz w:val="20"/>
                <w:szCs w:val="20"/>
              </w:rPr>
            </w:pPr>
          </w:p>
        </w:tc>
        <w:tc>
          <w:tcPr>
            <w:tcW w:w="4295" w:type="pct"/>
            <w:gridSpan w:val="5"/>
          </w:tcPr>
          <w:p w14:paraId="697E4D28" w14:textId="77777777" w:rsidR="00324F9E" w:rsidRPr="001428E9" w:rsidRDefault="00324F9E" w:rsidP="005E4D14">
            <w:pPr>
              <w:keepNext/>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Efficient Funding of Chemotherapy Public/Private hospitals</w:t>
            </w:r>
          </w:p>
        </w:tc>
      </w:tr>
      <w:tr w:rsidR="00324F9E" w:rsidRPr="001428E9" w14:paraId="6C4BE889"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483CBF2D" w14:textId="77777777" w:rsidR="00324F9E" w:rsidRPr="001428E9" w:rsidRDefault="00324F9E" w:rsidP="005E4D14">
            <w:pPr>
              <w:keepNext/>
              <w:rPr>
                <w:rFonts w:ascii="Arial Narrow" w:hAnsi="Arial Narrow"/>
                <w:sz w:val="20"/>
                <w:szCs w:val="20"/>
              </w:rPr>
            </w:pPr>
          </w:p>
        </w:tc>
        <w:tc>
          <w:tcPr>
            <w:tcW w:w="4295" w:type="pct"/>
            <w:gridSpan w:val="5"/>
          </w:tcPr>
          <w:p w14:paraId="5D7F00BB" w14:textId="77777777" w:rsidR="00324F9E" w:rsidRPr="001428E9" w:rsidRDefault="00324F9E" w:rsidP="005E4D14">
            <w:pPr>
              <w:keepNext/>
              <w:rPr>
                <w:rFonts w:ascii="Arial Narrow" w:hAnsi="Arial Narrow"/>
                <w:b/>
                <w:sz w:val="20"/>
                <w:szCs w:val="20"/>
              </w:rPr>
            </w:pPr>
            <w:r w:rsidRPr="001428E9">
              <w:rPr>
                <w:rFonts w:ascii="Arial Narrow" w:hAnsi="Arial Narrow"/>
                <w:b/>
                <w:sz w:val="20"/>
                <w:szCs w:val="20"/>
              </w:rPr>
              <w:t>Prescriber type:</w:t>
            </w:r>
            <w:r w:rsidRPr="001428E9">
              <w:rPr>
                <w:rFonts w:ascii="Arial Narrow" w:hAnsi="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324F9E" w:rsidRPr="001428E9" w14:paraId="7490D20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724D179" w14:textId="77777777" w:rsidR="00324F9E" w:rsidRPr="001428E9" w:rsidRDefault="00324F9E" w:rsidP="005E4D14">
            <w:pPr>
              <w:rPr>
                <w:rFonts w:ascii="Arial Narrow" w:hAnsi="Arial Narrow"/>
                <w:sz w:val="20"/>
                <w:szCs w:val="20"/>
              </w:rPr>
            </w:pPr>
          </w:p>
        </w:tc>
        <w:tc>
          <w:tcPr>
            <w:tcW w:w="4295" w:type="pct"/>
            <w:gridSpan w:val="5"/>
          </w:tcPr>
          <w:p w14:paraId="1A84D29F" w14:textId="77777777" w:rsidR="00324F9E" w:rsidRPr="001428E9" w:rsidRDefault="00324F9E" w:rsidP="00D56338">
            <w:pPr>
              <w:jc w:val="left"/>
              <w:rPr>
                <w:rFonts w:ascii="Arial Narrow" w:eastAsia="Calibri" w:hAnsi="Arial Narrow"/>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 xml:space="preserve">Authority Required (STREAMLINED) </w:t>
            </w:r>
            <w:r>
              <w:rPr>
                <w:rFonts w:ascii="Arial Narrow" w:eastAsia="Calibri" w:hAnsi="Arial Narrow"/>
                <w:sz w:val="20"/>
                <w:szCs w:val="20"/>
              </w:rPr>
              <w:t>[new]</w:t>
            </w:r>
          </w:p>
        </w:tc>
      </w:tr>
      <w:tr w:rsidR="00324F9E" w:rsidRPr="001428E9" w14:paraId="44113752" w14:textId="77777777" w:rsidTr="005E4D14">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72D78168" w14:textId="0FDD283E" w:rsidR="00324F9E" w:rsidRPr="001428E9" w:rsidRDefault="00324F9E" w:rsidP="005E4D14">
            <w:pPr>
              <w:keepLines/>
              <w:ind w:right="113"/>
              <w:jc w:val="center"/>
              <w:rPr>
                <w:rFonts w:ascii="Arial Narrow" w:hAnsi="Arial Narrow"/>
                <w:color w:val="333333"/>
                <w:sz w:val="20"/>
                <w:szCs w:val="20"/>
              </w:rPr>
            </w:pPr>
          </w:p>
        </w:tc>
        <w:tc>
          <w:tcPr>
            <w:tcW w:w="393" w:type="pct"/>
            <w:vAlign w:val="center"/>
          </w:tcPr>
          <w:p w14:paraId="508C6BA4" w14:textId="325D7C1C" w:rsidR="00324F9E" w:rsidRPr="00B32189" w:rsidRDefault="00324F9E" w:rsidP="005E4D14">
            <w:pPr>
              <w:keepLines/>
              <w:ind w:hanging="35"/>
              <w:jc w:val="center"/>
              <w:rPr>
                <w:rFonts w:ascii="Arial Narrow" w:hAnsi="Arial Narrow"/>
                <w:i/>
                <w:iCs/>
                <w:color w:val="333333"/>
                <w:sz w:val="20"/>
                <w:szCs w:val="20"/>
              </w:rPr>
            </w:pPr>
          </w:p>
        </w:tc>
        <w:tc>
          <w:tcPr>
            <w:tcW w:w="4295" w:type="pct"/>
            <w:gridSpan w:val="5"/>
          </w:tcPr>
          <w:p w14:paraId="360A4BF8" w14:textId="77777777" w:rsidR="00324F9E" w:rsidRPr="00CA56DB" w:rsidRDefault="00324F9E" w:rsidP="005E4D14">
            <w:pPr>
              <w:keepLines/>
              <w:rPr>
                <w:rFonts w:ascii="Arial Narrow" w:hAnsi="Arial Narrow"/>
                <w:color w:val="333333"/>
                <w:sz w:val="20"/>
                <w:szCs w:val="20"/>
              </w:rPr>
            </w:pPr>
            <w:r w:rsidRPr="00CA56DB">
              <w:rPr>
                <w:rFonts w:ascii="Arial Narrow" w:hAnsi="Arial Narrow"/>
                <w:b/>
                <w:bCs/>
                <w:sz w:val="20"/>
                <w:szCs w:val="20"/>
              </w:rPr>
              <w:t>Administrative Advice:</w:t>
            </w:r>
            <w:r w:rsidRPr="00CA56DB">
              <w:rPr>
                <w:rFonts w:ascii="Arial Narrow" w:hAnsi="Arial Narrow"/>
                <w:sz w:val="20"/>
                <w:szCs w:val="20"/>
              </w:rPr>
              <w:t xml:space="preserve"> No increase in the maximum amount or number of units may be authorised.</w:t>
            </w:r>
          </w:p>
        </w:tc>
      </w:tr>
      <w:tr w:rsidR="00324F9E" w:rsidRPr="001428E9" w14:paraId="5E57B6A0" w14:textId="77777777" w:rsidTr="005E4D14">
        <w:tblPrEx>
          <w:tblCellMar>
            <w:top w:w="15" w:type="dxa"/>
            <w:bottom w:w="15" w:type="dxa"/>
          </w:tblCellMar>
          <w:tblLook w:val="04A0" w:firstRow="1" w:lastRow="0" w:firstColumn="1" w:lastColumn="0" w:noHBand="0" w:noVBand="1"/>
        </w:tblPrEx>
        <w:trPr>
          <w:trHeight w:val="20"/>
        </w:trPr>
        <w:tc>
          <w:tcPr>
            <w:tcW w:w="312" w:type="pct"/>
            <w:vMerge/>
            <w:vAlign w:val="center"/>
          </w:tcPr>
          <w:p w14:paraId="6384108A" w14:textId="77777777" w:rsidR="00324F9E" w:rsidRPr="001428E9" w:rsidRDefault="00324F9E" w:rsidP="005E4D14">
            <w:pPr>
              <w:keepLines/>
              <w:jc w:val="center"/>
              <w:rPr>
                <w:rFonts w:ascii="Arial Narrow" w:hAnsi="Arial Narrow"/>
                <w:color w:val="333333"/>
                <w:sz w:val="20"/>
                <w:szCs w:val="20"/>
              </w:rPr>
            </w:pPr>
          </w:p>
        </w:tc>
        <w:tc>
          <w:tcPr>
            <w:tcW w:w="393" w:type="pct"/>
            <w:vAlign w:val="center"/>
          </w:tcPr>
          <w:p w14:paraId="5C7B7079" w14:textId="476F10BE" w:rsidR="00324F9E" w:rsidRPr="00B32189" w:rsidRDefault="00324F9E" w:rsidP="005E4D14">
            <w:pPr>
              <w:keepLines/>
              <w:ind w:hanging="35"/>
              <w:jc w:val="center"/>
              <w:rPr>
                <w:rFonts w:ascii="Arial Narrow" w:hAnsi="Arial Narrow"/>
                <w:i/>
                <w:iCs/>
                <w:color w:val="333333"/>
                <w:sz w:val="20"/>
                <w:szCs w:val="20"/>
              </w:rPr>
            </w:pPr>
          </w:p>
        </w:tc>
        <w:tc>
          <w:tcPr>
            <w:tcW w:w="4295" w:type="pct"/>
            <w:gridSpan w:val="5"/>
          </w:tcPr>
          <w:p w14:paraId="0696B2D8" w14:textId="77777777" w:rsidR="00324F9E" w:rsidRPr="00CA56DB" w:rsidRDefault="00324F9E" w:rsidP="005E4D14">
            <w:pPr>
              <w:keepLines/>
              <w:rPr>
                <w:rFonts w:ascii="Arial Narrow" w:hAnsi="Arial Narrow"/>
                <w:b/>
                <w:bCs/>
                <w:color w:val="333333"/>
                <w:sz w:val="20"/>
                <w:szCs w:val="20"/>
              </w:rPr>
            </w:pPr>
            <w:r w:rsidRPr="00CA56DB">
              <w:rPr>
                <w:rFonts w:ascii="Arial Narrow" w:hAnsi="Arial Narrow"/>
                <w:b/>
                <w:bCs/>
                <w:sz w:val="20"/>
                <w:szCs w:val="20"/>
              </w:rPr>
              <w:t>Administrative Advice:</w:t>
            </w:r>
            <w:r w:rsidRPr="00CA56DB">
              <w:rPr>
                <w:rFonts w:ascii="Arial Narrow" w:hAnsi="Arial Narrow"/>
                <w:sz w:val="20"/>
                <w:szCs w:val="20"/>
              </w:rPr>
              <w:t xml:space="preserve"> No increase in the maximum number of repeats may be authorised.</w:t>
            </w:r>
          </w:p>
        </w:tc>
      </w:tr>
      <w:tr w:rsidR="00324F9E" w:rsidRPr="001428E9" w14:paraId="43376212" w14:textId="77777777" w:rsidTr="005E4D14">
        <w:tblPrEx>
          <w:tblCellMar>
            <w:top w:w="15" w:type="dxa"/>
            <w:bottom w:w="15" w:type="dxa"/>
          </w:tblCellMar>
          <w:tblLook w:val="04A0" w:firstRow="1" w:lastRow="0" w:firstColumn="1" w:lastColumn="0" w:noHBand="0" w:noVBand="1"/>
        </w:tblPrEx>
        <w:trPr>
          <w:trHeight w:val="20"/>
        </w:trPr>
        <w:tc>
          <w:tcPr>
            <w:tcW w:w="312" w:type="pct"/>
            <w:vMerge/>
            <w:vAlign w:val="center"/>
          </w:tcPr>
          <w:p w14:paraId="6605EDC4" w14:textId="77777777" w:rsidR="00324F9E" w:rsidRPr="001428E9" w:rsidRDefault="00324F9E" w:rsidP="005E4D14">
            <w:pPr>
              <w:keepLines/>
              <w:jc w:val="center"/>
              <w:rPr>
                <w:rFonts w:ascii="Arial Narrow" w:hAnsi="Arial Narrow"/>
                <w:color w:val="333333"/>
                <w:sz w:val="20"/>
                <w:szCs w:val="20"/>
              </w:rPr>
            </w:pPr>
          </w:p>
        </w:tc>
        <w:tc>
          <w:tcPr>
            <w:tcW w:w="393" w:type="pct"/>
            <w:vAlign w:val="center"/>
          </w:tcPr>
          <w:p w14:paraId="0C7F69A6" w14:textId="0AE2294F" w:rsidR="00324F9E" w:rsidRPr="008851E0" w:rsidRDefault="00324F9E" w:rsidP="005E4D14">
            <w:pPr>
              <w:keepLines/>
              <w:ind w:hanging="35"/>
              <w:jc w:val="center"/>
              <w:rPr>
                <w:rFonts w:ascii="Arial Narrow" w:hAnsi="Arial Narrow"/>
                <w:i/>
                <w:iCs/>
                <w:color w:val="333333"/>
                <w:sz w:val="20"/>
                <w:szCs w:val="20"/>
              </w:rPr>
            </w:pPr>
          </w:p>
        </w:tc>
        <w:tc>
          <w:tcPr>
            <w:tcW w:w="4295" w:type="pct"/>
            <w:gridSpan w:val="5"/>
            <w:vAlign w:val="center"/>
          </w:tcPr>
          <w:p w14:paraId="0F04B8EF" w14:textId="77777777" w:rsidR="00324F9E" w:rsidRPr="008851E0" w:rsidRDefault="00324F9E" w:rsidP="005E4D14">
            <w:pPr>
              <w:keepLines/>
              <w:rPr>
                <w:rFonts w:ascii="Arial Narrow" w:hAnsi="Arial Narrow"/>
                <w:b/>
                <w:bCs/>
                <w:i/>
                <w:iCs/>
                <w:color w:val="333333"/>
                <w:sz w:val="20"/>
                <w:szCs w:val="20"/>
              </w:rPr>
            </w:pPr>
            <w:r w:rsidRPr="008851E0">
              <w:rPr>
                <w:rFonts w:ascii="Arial Narrow" w:hAnsi="Arial Narrow"/>
                <w:b/>
                <w:bCs/>
                <w:i/>
                <w:iCs/>
                <w:color w:val="333333"/>
                <w:sz w:val="20"/>
                <w:szCs w:val="20"/>
              </w:rPr>
              <w:t xml:space="preserve">Administrative Advice: </w:t>
            </w:r>
            <w:r w:rsidRPr="008851E0">
              <w:rPr>
                <w:rFonts w:ascii="Arial Narrow" w:hAnsi="Arial Narrow"/>
                <w:i/>
                <w:iCs/>
                <w:sz w:val="20"/>
                <w:szCs w:val="20"/>
              </w:rPr>
              <w:t>Special Pricing Arrangements apply.</w:t>
            </w:r>
          </w:p>
        </w:tc>
      </w:tr>
      <w:tr w:rsidR="00324F9E" w:rsidRPr="001428E9" w14:paraId="2D2A6BFA" w14:textId="77777777" w:rsidTr="005E4D14">
        <w:tblPrEx>
          <w:tblCellMar>
            <w:top w:w="15" w:type="dxa"/>
            <w:bottom w:w="15" w:type="dxa"/>
          </w:tblCellMar>
          <w:tblLook w:val="04A0" w:firstRow="1" w:lastRow="0" w:firstColumn="1" w:lastColumn="0" w:noHBand="0" w:noVBand="1"/>
        </w:tblPrEx>
        <w:trPr>
          <w:trHeight w:val="20"/>
        </w:trPr>
        <w:tc>
          <w:tcPr>
            <w:tcW w:w="312" w:type="pct"/>
            <w:vMerge/>
            <w:vAlign w:val="center"/>
          </w:tcPr>
          <w:p w14:paraId="3EBA1DB0" w14:textId="77777777" w:rsidR="00324F9E" w:rsidRPr="001428E9" w:rsidRDefault="00324F9E" w:rsidP="005E4D14">
            <w:pPr>
              <w:keepLines/>
              <w:jc w:val="center"/>
              <w:rPr>
                <w:rFonts w:ascii="Arial Narrow" w:hAnsi="Arial Narrow"/>
                <w:color w:val="333333"/>
                <w:sz w:val="20"/>
                <w:szCs w:val="20"/>
              </w:rPr>
            </w:pPr>
          </w:p>
        </w:tc>
        <w:tc>
          <w:tcPr>
            <w:tcW w:w="393" w:type="pct"/>
            <w:vAlign w:val="center"/>
          </w:tcPr>
          <w:p w14:paraId="0511B7EA" w14:textId="21577ED6" w:rsidR="00324F9E" w:rsidRPr="008851E0" w:rsidRDefault="00324F9E" w:rsidP="005E4D14">
            <w:pPr>
              <w:keepLines/>
              <w:ind w:hanging="35"/>
              <w:jc w:val="center"/>
              <w:rPr>
                <w:rFonts w:ascii="Arial Narrow" w:hAnsi="Arial Narrow"/>
                <w:i/>
                <w:iCs/>
                <w:color w:val="333333"/>
                <w:sz w:val="20"/>
                <w:szCs w:val="20"/>
              </w:rPr>
            </w:pPr>
          </w:p>
        </w:tc>
        <w:tc>
          <w:tcPr>
            <w:tcW w:w="4295" w:type="pct"/>
            <w:gridSpan w:val="5"/>
            <w:vAlign w:val="center"/>
          </w:tcPr>
          <w:p w14:paraId="13C950B8" w14:textId="77777777" w:rsidR="00324F9E" w:rsidRPr="008C1309" w:rsidRDefault="00324F9E" w:rsidP="005E4D14">
            <w:pPr>
              <w:pStyle w:val="pf0"/>
              <w:rPr>
                <w:rFonts w:ascii="Arial" w:hAnsi="Arial" w:cs="Arial"/>
                <w:sz w:val="20"/>
                <w:szCs w:val="20"/>
              </w:rPr>
            </w:pPr>
            <w:r>
              <w:rPr>
                <w:rFonts w:ascii="Arial Narrow" w:hAnsi="Arial Narrow"/>
                <w:b/>
                <w:bCs/>
                <w:i/>
                <w:iCs/>
                <w:color w:val="333333"/>
                <w:sz w:val="20"/>
                <w:szCs w:val="20"/>
              </w:rPr>
              <w:t xml:space="preserve">Administrative Advice: </w:t>
            </w:r>
            <w:r w:rsidRPr="008C1309">
              <w:rPr>
                <w:rFonts w:ascii="Arial Narrow" w:eastAsiaTheme="minorHAnsi" w:hAnsi="Arial Narrow"/>
                <w:i/>
                <w:iCs/>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324F9E" w:rsidRPr="001428E9" w14:paraId="022D85CE"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4F7D1416" w14:textId="77777777" w:rsidR="00324F9E" w:rsidRPr="00F857EA" w:rsidRDefault="00324F9E" w:rsidP="005E4D14">
            <w:pPr>
              <w:keepLines/>
              <w:jc w:val="center"/>
              <w:rPr>
                <w:rFonts w:ascii="Arial Narrow" w:hAnsi="Arial Narrow"/>
                <w:i/>
                <w:iCs/>
                <w:color w:val="333333"/>
                <w:sz w:val="20"/>
                <w:szCs w:val="20"/>
              </w:rPr>
            </w:pPr>
          </w:p>
        </w:tc>
        <w:tc>
          <w:tcPr>
            <w:tcW w:w="4295" w:type="pct"/>
            <w:gridSpan w:val="5"/>
            <w:vAlign w:val="center"/>
          </w:tcPr>
          <w:p w14:paraId="0C7867A9" w14:textId="77777777" w:rsidR="00324F9E" w:rsidRPr="00F4015E" w:rsidRDefault="00324F9E" w:rsidP="005E4D14">
            <w:pPr>
              <w:keepLines/>
              <w:rPr>
                <w:rFonts w:ascii="Arial Narrow" w:hAnsi="Arial Narrow"/>
                <w:bCs/>
                <w:sz w:val="20"/>
                <w:szCs w:val="20"/>
              </w:rPr>
            </w:pPr>
            <w:r w:rsidRPr="00F4015E">
              <w:rPr>
                <w:rFonts w:ascii="Arial Narrow" w:hAnsi="Arial Narrow"/>
                <w:b/>
                <w:bCs/>
                <w:sz w:val="20"/>
                <w:szCs w:val="20"/>
              </w:rPr>
              <w:t xml:space="preserve">Episodicity: </w:t>
            </w:r>
            <w:r w:rsidRPr="00F4015E">
              <w:rPr>
                <w:rFonts w:ascii="Arial Narrow" w:hAnsi="Arial Narrow"/>
                <w:bCs/>
                <w:sz w:val="20"/>
                <w:szCs w:val="20"/>
              </w:rPr>
              <w:t>n/a</w:t>
            </w:r>
          </w:p>
        </w:tc>
      </w:tr>
      <w:tr w:rsidR="00324F9E" w:rsidRPr="001428E9" w14:paraId="1E1F19E6"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2772E749" w14:textId="77777777" w:rsidR="00324F9E" w:rsidRPr="00F857EA" w:rsidRDefault="00324F9E" w:rsidP="005E4D14">
            <w:pPr>
              <w:keepLines/>
              <w:jc w:val="center"/>
              <w:rPr>
                <w:rFonts w:ascii="Arial Narrow" w:hAnsi="Arial Narrow"/>
                <w:i/>
                <w:iCs/>
                <w:color w:val="333333"/>
                <w:sz w:val="20"/>
                <w:szCs w:val="20"/>
              </w:rPr>
            </w:pPr>
          </w:p>
        </w:tc>
        <w:tc>
          <w:tcPr>
            <w:tcW w:w="4295" w:type="pct"/>
            <w:gridSpan w:val="5"/>
            <w:vAlign w:val="center"/>
          </w:tcPr>
          <w:p w14:paraId="7E1F9EE1" w14:textId="77777777" w:rsidR="00324F9E" w:rsidRPr="00F4015E" w:rsidRDefault="00324F9E" w:rsidP="005E4D14">
            <w:pPr>
              <w:keepLines/>
              <w:rPr>
                <w:rFonts w:ascii="Arial Narrow" w:hAnsi="Arial Narrow"/>
                <w:b/>
                <w:bCs/>
                <w:sz w:val="20"/>
                <w:szCs w:val="20"/>
              </w:rPr>
            </w:pPr>
            <w:r w:rsidRPr="00F4015E">
              <w:rPr>
                <w:rFonts w:ascii="Arial Narrow" w:hAnsi="Arial Narrow"/>
                <w:b/>
                <w:bCs/>
                <w:sz w:val="20"/>
                <w:szCs w:val="20"/>
              </w:rPr>
              <w:t xml:space="preserve">Severity: </w:t>
            </w:r>
            <w:r w:rsidRPr="00F4015E">
              <w:rPr>
                <w:rFonts w:ascii="Arial Narrow" w:hAnsi="Arial Narrow"/>
                <w:bCs/>
                <w:sz w:val="20"/>
                <w:szCs w:val="20"/>
              </w:rPr>
              <w:t>Locally advanced (Stage III) or metastatic (Stage IV)</w:t>
            </w:r>
          </w:p>
        </w:tc>
      </w:tr>
      <w:tr w:rsidR="00324F9E" w:rsidRPr="001428E9" w14:paraId="71FD983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2A313F48" w14:textId="77777777" w:rsidR="00324F9E" w:rsidRPr="00F857EA" w:rsidRDefault="00324F9E" w:rsidP="005E4D14">
            <w:pPr>
              <w:keepLines/>
              <w:jc w:val="center"/>
              <w:rPr>
                <w:rFonts w:ascii="Arial Narrow" w:hAnsi="Arial Narrow"/>
                <w:i/>
                <w:iCs/>
                <w:color w:val="333333"/>
                <w:sz w:val="20"/>
                <w:szCs w:val="20"/>
              </w:rPr>
            </w:pPr>
          </w:p>
        </w:tc>
        <w:tc>
          <w:tcPr>
            <w:tcW w:w="4295" w:type="pct"/>
            <w:gridSpan w:val="5"/>
            <w:vAlign w:val="center"/>
          </w:tcPr>
          <w:p w14:paraId="3E5585DF" w14:textId="77777777" w:rsidR="00324F9E" w:rsidRPr="001428E9" w:rsidRDefault="00324F9E" w:rsidP="005E4D14">
            <w:pPr>
              <w:keepLines/>
              <w:rPr>
                <w:rFonts w:ascii="Arial Narrow" w:hAnsi="Arial Narrow"/>
                <w:b/>
                <w:bCs/>
                <w:color w:val="333333"/>
                <w:sz w:val="20"/>
                <w:szCs w:val="20"/>
              </w:rPr>
            </w:pPr>
            <w:r w:rsidRPr="001428E9">
              <w:rPr>
                <w:rFonts w:ascii="Arial Narrow" w:hAnsi="Arial Narrow"/>
                <w:b/>
                <w:bCs/>
                <w:color w:val="333333"/>
                <w:sz w:val="20"/>
                <w:szCs w:val="20"/>
              </w:rPr>
              <w:t xml:space="preserve">Condition: </w:t>
            </w:r>
            <w:r w:rsidRPr="004556B9">
              <w:rPr>
                <w:rFonts w:ascii="Arial Narrow" w:hAnsi="Arial Narrow"/>
                <w:bCs/>
                <w:color w:val="333333"/>
                <w:sz w:val="20"/>
                <w:szCs w:val="20"/>
              </w:rPr>
              <w:t>Urothelial cancer</w:t>
            </w:r>
          </w:p>
        </w:tc>
      </w:tr>
      <w:tr w:rsidR="00324F9E" w:rsidRPr="001428E9" w14:paraId="51713F16" w14:textId="77777777" w:rsidTr="00E36DB9">
        <w:tblPrEx>
          <w:tblCellMar>
            <w:top w:w="15" w:type="dxa"/>
            <w:bottom w:w="15" w:type="dxa"/>
          </w:tblCellMar>
        </w:tblPrEx>
        <w:trPr>
          <w:cantSplit/>
          <w:trHeight w:val="20"/>
        </w:trPr>
        <w:tc>
          <w:tcPr>
            <w:tcW w:w="705" w:type="pct"/>
            <w:gridSpan w:val="2"/>
            <w:vAlign w:val="center"/>
          </w:tcPr>
          <w:p w14:paraId="28C699BB" w14:textId="34A9A7FE" w:rsidR="00324F9E" w:rsidRPr="00F857EA" w:rsidRDefault="00324F9E" w:rsidP="005E4D14">
            <w:pPr>
              <w:keepLines/>
              <w:jc w:val="center"/>
              <w:rPr>
                <w:rFonts w:ascii="Arial Narrow" w:hAnsi="Arial Narrow"/>
                <w:i/>
                <w:iCs/>
                <w:color w:val="333333"/>
                <w:sz w:val="20"/>
                <w:szCs w:val="20"/>
              </w:rPr>
            </w:pPr>
          </w:p>
        </w:tc>
        <w:tc>
          <w:tcPr>
            <w:tcW w:w="4295" w:type="pct"/>
            <w:gridSpan w:val="5"/>
            <w:vAlign w:val="center"/>
            <w:hideMark/>
          </w:tcPr>
          <w:p w14:paraId="660463B0" w14:textId="77777777" w:rsidR="00324F9E" w:rsidRPr="001428E9" w:rsidRDefault="00324F9E" w:rsidP="005E4D14">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F4015E">
              <w:rPr>
                <w:rFonts w:ascii="Arial Narrow" w:hAnsi="Arial Narrow"/>
                <w:color w:val="333333"/>
                <w:sz w:val="20"/>
                <w:szCs w:val="20"/>
              </w:rPr>
              <w:t>Locally advanced (Stage III) or metastatic (Stage IV) urothelial cancer</w:t>
            </w:r>
          </w:p>
        </w:tc>
      </w:tr>
      <w:tr w:rsidR="00324F9E" w:rsidRPr="001428E9" w14:paraId="59737E37" w14:textId="77777777" w:rsidTr="00E36DB9">
        <w:tblPrEx>
          <w:tblCellMar>
            <w:top w:w="15" w:type="dxa"/>
            <w:bottom w:w="15" w:type="dxa"/>
          </w:tblCellMar>
        </w:tblPrEx>
        <w:trPr>
          <w:cantSplit/>
          <w:trHeight w:val="20"/>
        </w:trPr>
        <w:tc>
          <w:tcPr>
            <w:tcW w:w="705" w:type="pct"/>
            <w:gridSpan w:val="2"/>
            <w:vAlign w:val="center"/>
          </w:tcPr>
          <w:p w14:paraId="008E1B45"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66B8C53C" w14:textId="77777777" w:rsidR="00324F9E" w:rsidRPr="001428E9" w:rsidRDefault="00324F9E" w:rsidP="005E4D14">
            <w:pPr>
              <w:rPr>
                <w:rFonts w:ascii="Arial Narrow" w:hAnsi="Arial Narrow"/>
                <w:color w:val="FF0000"/>
                <w:sz w:val="20"/>
                <w:szCs w:val="20"/>
              </w:rPr>
            </w:pPr>
            <w:r w:rsidRPr="001428E9">
              <w:rPr>
                <w:rFonts w:ascii="Arial Narrow" w:hAnsi="Arial Narrow"/>
                <w:b/>
                <w:bCs/>
                <w:color w:val="333333"/>
                <w:sz w:val="20"/>
                <w:szCs w:val="20"/>
              </w:rPr>
              <w:t>Treatment Phase</w:t>
            </w:r>
            <w:r w:rsidRPr="00B61730">
              <w:rPr>
                <w:rFonts w:ascii="Arial Narrow" w:hAnsi="Arial Narrow"/>
                <w:b/>
                <w:bCs/>
                <w:sz w:val="20"/>
                <w:szCs w:val="20"/>
              </w:rPr>
              <w:t>:</w:t>
            </w:r>
            <w:r w:rsidRPr="00B61730">
              <w:rPr>
                <w:rFonts w:ascii="Arial Narrow" w:hAnsi="Arial Narrow"/>
                <w:sz w:val="20"/>
                <w:szCs w:val="20"/>
              </w:rPr>
              <w:t xml:space="preserve"> </w:t>
            </w:r>
            <w:r w:rsidRPr="00597408">
              <w:rPr>
                <w:rFonts w:ascii="Arial Narrow" w:hAnsi="Arial Narrow"/>
                <w:strike/>
                <w:sz w:val="20"/>
                <w:szCs w:val="20"/>
              </w:rPr>
              <w:t>Initial and continuing treatment</w:t>
            </w:r>
          </w:p>
        </w:tc>
      </w:tr>
      <w:tr w:rsidR="00324F9E" w:rsidRPr="001428E9" w14:paraId="3F762274" w14:textId="77777777" w:rsidTr="00E36DB9">
        <w:tblPrEx>
          <w:tblCellMar>
            <w:top w:w="15" w:type="dxa"/>
            <w:bottom w:w="15" w:type="dxa"/>
          </w:tblCellMar>
        </w:tblPrEx>
        <w:trPr>
          <w:cantSplit/>
          <w:trHeight w:val="20"/>
        </w:trPr>
        <w:tc>
          <w:tcPr>
            <w:tcW w:w="705" w:type="pct"/>
            <w:gridSpan w:val="2"/>
            <w:vAlign w:val="center"/>
          </w:tcPr>
          <w:p w14:paraId="3EBDED1B"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173DF895" w14:textId="77777777" w:rsidR="00324F9E" w:rsidRPr="00F10B52" w:rsidRDefault="00324F9E" w:rsidP="005E4D14">
            <w:pPr>
              <w:rPr>
                <w:rFonts w:ascii="Arial Narrow" w:hAnsi="Arial Narrow"/>
                <w:color w:val="FF0000"/>
                <w:sz w:val="20"/>
                <w:szCs w:val="20"/>
              </w:rPr>
            </w:pPr>
            <w:r w:rsidRPr="00F10B52">
              <w:rPr>
                <w:rFonts w:ascii="Arial Narrow" w:hAnsi="Arial Narrow"/>
                <w:b/>
                <w:bCs/>
                <w:sz w:val="20"/>
                <w:szCs w:val="20"/>
              </w:rPr>
              <w:t>Clinical criteria:</w:t>
            </w:r>
          </w:p>
        </w:tc>
      </w:tr>
      <w:tr w:rsidR="00324F9E" w:rsidRPr="001428E9" w14:paraId="2A41D956" w14:textId="77777777" w:rsidTr="00E36DB9">
        <w:tblPrEx>
          <w:tblCellMar>
            <w:top w:w="15" w:type="dxa"/>
            <w:bottom w:w="15" w:type="dxa"/>
          </w:tblCellMar>
        </w:tblPrEx>
        <w:trPr>
          <w:cantSplit/>
          <w:trHeight w:val="20"/>
        </w:trPr>
        <w:tc>
          <w:tcPr>
            <w:tcW w:w="705" w:type="pct"/>
            <w:gridSpan w:val="2"/>
            <w:vAlign w:val="center"/>
          </w:tcPr>
          <w:p w14:paraId="32148A11" w14:textId="6B9E835A"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5901846B" w14:textId="77777777" w:rsidR="00324F9E" w:rsidRPr="00F10B52" w:rsidRDefault="00324F9E" w:rsidP="005E4D14">
            <w:pPr>
              <w:rPr>
                <w:rFonts w:ascii="Arial Narrow" w:hAnsi="Arial Narrow"/>
                <w:color w:val="333333"/>
                <w:sz w:val="20"/>
                <w:szCs w:val="20"/>
              </w:rPr>
            </w:pPr>
            <w:r w:rsidRPr="006B0C51">
              <w:rPr>
                <w:rFonts w:ascii="Arial Narrow" w:hAnsi="Arial Narrow"/>
                <w:sz w:val="20"/>
                <w:szCs w:val="20"/>
              </w:rPr>
              <w:t>Patient must not have received prior systemic therapy for this condition, with the exception of neoadjuvant/adjuvant chemotherapy,</w:t>
            </w:r>
          </w:p>
        </w:tc>
      </w:tr>
      <w:tr w:rsidR="00324F9E" w:rsidRPr="001428E9" w14:paraId="0CA5944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B3B7143"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7274F9F1" w14:textId="77777777" w:rsidR="00324F9E" w:rsidRPr="00F10B52" w:rsidRDefault="00324F9E" w:rsidP="005E4D14">
            <w:pPr>
              <w:rPr>
                <w:rFonts w:ascii="Arial Narrow" w:hAnsi="Arial Narrow"/>
                <w:b/>
                <w:bCs/>
                <w:sz w:val="20"/>
                <w:szCs w:val="20"/>
              </w:rPr>
            </w:pPr>
            <w:r w:rsidRPr="00F10B52">
              <w:rPr>
                <w:rFonts w:ascii="Arial Narrow" w:hAnsi="Arial Narrow"/>
                <w:b/>
                <w:bCs/>
                <w:sz w:val="20"/>
                <w:szCs w:val="20"/>
              </w:rPr>
              <w:t>AND</w:t>
            </w:r>
          </w:p>
        </w:tc>
      </w:tr>
      <w:tr w:rsidR="00324F9E" w:rsidRPr="001428E9" w14:paraId="215F8F51" w14:textId="77777777" w:rsidTr="00E36DB9">
        <w:tblPrEx>
          <w:tblCellMar>
            <w:top w:w="15" w:type="dxa"/>
            <w:bottom w:w="15" w:type="dxa"/>
          </w:tblCellMar>
        </w:tblPrEx>
        <w:trPr>
          <w:cantSplit/>
          <w:trHeight w:val="20"/>
        </w:trPr>
        <w:tc>
          <w:tcPr>
            <w:tcW w:w="705" w:type="pct"/>
            <w:gridSpan w:val="2"/>
            <w:vAlign w:val="center"/>
          </w:tcPr>
          <w:p w14:paraId="47354546"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61AF6917" w14:textId="77777777" w:rsidR="00324F9E" w:rsidRPr="00F10B52" w:rsidRDefault="00324F9E" w:rsidP="005E4D14">
            <w:pPr>
              <w:rPr>
                <w:rFonts w:ascii="Arial Narrow" w:hAnsi="Arial Narrow"/>
                <w:color w:val="333333"/>
                <w:sz w:val="20"/>
                <w:szCs w:val="20"/>
              </w:rPr>
            </w:pPr>
            <w:r w:rsidRPr="00F10B52">
              <w:rPr>
                <w:rFonts w:ascii="Arial Narrow" w:hAnsi="Arial Narrow"/>
                <w:b/>
                <w:bCs/>
                <w:sz w:val="20"/>
                <w:szCs w:val="20"/>
              </w:rPr>
              <w:t>Clinical criteria:</w:t>
            </w:r>
          </w:p>
        </w:tc>
      </w:tr>
      <w:tr w:rsidR="00324F9E" w:rsidRPr="001428E9" w14:paraId="5F857316"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A09E8D8" w14:textId="3B2209DC"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19369F2E" w14:textId="77777777" w:rsidR="00324F9E" w:rsidRPr="00F10B52" w:rsidRDefault="00324F9E" w:rsidP="005E4D14">
            <w:pPr>
              <w:rPr>
                <w:rFonts w:ascii="Arial Narrow" w:hAnsi="Arial Narrow"/>
                <w:color w:val="333333"/>
                <w:sz w:val="20"/>
                <w:szCs w:val="20"/>
              </w:rPr>
            </w:pPr>
            <w:r w:rsidRPr="0013116C">
              <w:rPr>
                <w:rFonts w:ascii="Arial Narrow" w:hAnsi="Arial Narrow"/>
                <w:sz w:val="20"/>
                <w:szCs w:val="20"/>
              </w:rPr>
              <w:t>Patient must have/have had a WHO performance status score of no greater than 2 at treatment initiation with this drug.</w:t>
            </w:r>
          </w:p>
        </w:tc>
      </w:tr>
      <w:tr w:rsidR="00324F9E" w:rsidRPr="001428E9" w14:paraId="67AD743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D9D08DB"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2C6988AF" w14:textId="77777777" w:rsidR="00324F9E" w:rsidRPr="00F10B52" w:rsidRDefault="00324F9E" w:rsidP="005E4D14">
            <w:pPr>
              <w:rPr>
                <w:rFonts w:ascii="Arial Narrow" w:hAnsi="Arial Narrow"/>
                <w:color w:val="FF0000"/>
                <w:sz w:val="20"/>
                <w:szCs w:val="20"/>
              </w:rPr>
            </w:pPr>
            <w:r w:rsidRPr="00F10B52">
              <w:rPr>
                <w:rFonts w:ascii="Arial Narrow" w:hAnsi="Arial Narrow"/>
                <w:b/>
                <w:bCs/>
                <w:sz w:val="20"/>
                <w:szCs w:val="20"/>
              </w:rPr>
              <w:t>Treatment criteria</w:t>
            </w:r>
            <w:r w:rsidRPr="00F10B52">
              <w:rPr>
                <w:rFonts w:ascii="Arial Narrow" w:hAnsi="Arial Narrow"/>
                <w:sz w:val="20"/>
                <w:szCs w:val="20"/>
              </w:rPr>
              <w:t>:</w:t>
            </w:r>
          </w:p>
        </w:tc>
      </w:tr>
      <w:tr w:rsidR="00324F9E" w:rsidRPr="001428E9" w14:paraId="58BB613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4506F99" w14:textId="23E101A2"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1CD5FF99" w14:textId="77777777" w:rsidR="00324F9E" w:rsidRPr="00E90110" w:rsidRDefault="00324F9E" w:rsidP="005E4D14">
            <w:pPr>
              <w:pStyle w:val="Tabletext8pt"/>
              <w:rPr>
                <w:rFonts w:ascii="Arial Narrow" w:hAnsi="Arial Narrow"/>
                <w:sz w:val="20"/>
                <w:szCs w:val="20"/>
              </w:rPr>
            </w:pPr>
            <w:r w:rsidRPr="00F10B52">
              <w:rPr>
                <w:rFonts w:ascii="Arial Narrow" w:hAnsi="Arial Narrow"/>
                <w:sz w:val="20"/>
                <w:szCs w:val="20"/>
              </w:rPr>
              <w:t>Patient must be undergoing combination therapy consisting of</w:t>
            </w:r>
            <w:r>
              <w:rPr>
                <w:rFonts w:ascii="Arial Narrow" w:hAnsi="Arial Narrow"/>
                <w:sz w:val="20"/>
                <w:szCs w:val="20"/>
              </w:rPr>
              <w:t xml:space="preserve"> </w:t>
            </w:r>
            <w:r w:rsidRPr="0082609B">
              <w:rPr>
                <w:rFonts w:ascii="Arial Narrow" w:hAnsi="Arial Narrow"/>
                <w:i/>
                <w:iCs/>
                <w:sz w:val="20"/>
                <w:szCs w:val="20"/>
              </w:rPr>
              <w:t>no more than 24 months of</w:t>
            </w:r>
            <w:r w:rsidRPr="00F10B52">
              <w:rPr>
                <w:rFonts w:ascii="Arial Narrow" w:hAnsi="Arial Narrow"/>
                <w:sz w:val="20"/>
                <w:szCs w:val="20"/>
              </w:rPr>
              <w:t>: (i) enfortumab vedotin, (ii) pembrolizumab; OR</w:t>
            </w:r>
          </w:p>
        </w:tc>
      </w:tr>
      <w:tr w:rsidR="00324F9E" w:rsidRPr="001428E9" w14:paraId="2E5426C5"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78CF2D1" w14:textId="0A086CFC"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654BF71E" w14:textId="77777777" w:rsidR="00324F9E" w:rsidRPr="00F10B52" w:rsidRDefault="00324F9E" w:rsidP="005E4D14">
            <w:pPr>
              <w:pStyle w:val="Tabletext8pt"/>
              <w:rPr>
                <w:rFonts w:ascii="Arial Narrow" w:hAnsi="Arial Narrow"/>
                <w:sz w:val="20"/>
                <w:szCs w:val="20"/>
              </w:rPr>
            </w:pPr>
            <w:r w:rsidRPr="004E7A5E">
              <w:rPr>
                <w:rFonts w:ascii="Arial Narrow" w:hAnsi="Arial Narrow"/>
                <w:sz w:val="20"/>
                <w:szCs w:val="20"/>
              </w:rPr>
              <w:t>Patient must be undergoing monotherapy with this drug due to intolerance to enfortumab vedotin, requiring temporary/permanent discontinuation; document the details in the patient's medical records,</w:t>
            </w:r>
          </w:p>
        </w:tc>
      </w:tr>
      <w:tr w:rsidR="00324F9E" w:rsidRPr="001428E9" w14:paraId="53BBD9DE"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D602A7B"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1D4AA580" w14:textId="77777777" w:rsidR="00324F9E" w:rsidRPr="004E7A5E" w:rsidRDefault="00324F9E" w:rsidP="005E4D14">
            <w:pPr>
              <w:pStyle w:val="Tabletext8pt"/>
              <w:rPr>
                <w:rFonts w:ascii="Arial Narrow" w:hAnsi="Arial Narrow"/>
                <w:sz w:val="20"/>
                <w:szCs w:val="20"/>
              </w:rPr>
            </w:pPr>
            <w:r w:rsidRPr="00E90110">
              <w:rPr>
                <w:rStyle w:val="CommentReference"/>
                <w:bCs/>
                <w:szCs w:val="20"/>
              </w:rPr>
              <w:t>AND</w:t>
            </w:r>
          </w:p>
        </w:tc>
      </w:tr>
      <w:tr w:rsidR="00324F9E" w:rsidRPr="001428E9" w14:paraId="01267D2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8A20698" w14:textId="0049BDD1"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2AE3D31B" w14:textId="77777777" w:rsidR="00324F9E" w:rsidRPr="004E7A5E" w:rsidRDefault="00324F9E" w:rsidP="005E4D14">
            <w:pPr>
              <w:pStyle w:val="Tabletext8pt"/>
              <w:rPr>
                <w:rFonts w:ascii="Arial Narrow" w:hAnsi="Arial Narrow"/>
                <w:sz w:val="20"/>
                <w:szCs w:val="20"/>
              </w:rPr>
            </w:pPr>
            <w:r w:rsidRPr="001428E9">
              <w:rPr>
                <w:rFonts w:ascii="Arial Narrow" w:eastAsia="Times New Roman" w:hAnsi="Arial Narrow"/>
                <w:b/>
                <w:bCs/>
                <w:color w:val="333333"/>
                <w:sz w:val="20"/>
                <w:szCs w:val="20"/>
                <w:lang w:eastAsia="en-AU"/>
              </w:rPr>
              <w:t>Treatment criteria:</w:t>
            </w:r>
          </w:p>
        </w:tc>
      </w:tr>
      <w:tr w:rsidR="00324F9E" w:rsidRPr="001428E9" w14:paraId="03ECDC56"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C9B88BF" w14:textId="2803AC3B"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35D9E9D8" w14:textId="77777777" w:rsidR="00324F9E" w:rsidRPr="0030485C" w:rsidRDefault="00324F9E" w:rsidP="005E4D14">
            <w:pPr>
              <w:pStyle w:val="Tabletext8pt"/>
              <w:rPr>
                <w:rFonts w:ascii="Arial Narrow" w:hAnsi="Arial Narrow"/>
                <w:i/>
                <w:iCs/>
                <w:sz w:val="20"/>
                <w:szCs w:val="20"/>
              </w:rPr>
            </w:pPr>
            <w:r w:rsidRPr="001648A2">
              <w:rPr>
                <w:rFonts w:ascii="Arial Narrow" w:hAnsi="Arial Narrow"/>
                <w:sz w:val="20"/>
                <w:szCs w:val="20"/>
              </w:rPr>
              <w:t xml:space="preserve">Patient must not be undergoing </w:t>
            </w:r>
            <w:r>
              <w:rPr>
                <w:rFonts w:ascii="Arial Narrow" w:hAnsi="Arial Narrow"/>
                <w:i/>
                <w:iCs/>
                <w:sz w:val="20"/>
                <w:szCs w:val="20"/>
              </w:rPr>
              <w:t xml:space="preserve">continuous PBS-subsidised </w:t>
            </w:r>
            <w:r w:rsidRPr="001648A2">
              <w:rPr>
                <w:rFonts w:ascii="Arial Narrow" w:hAnsi="Arial Narrow"/>
                <w:sz w:val="20"/>
                <w:szCs w:val="20"/>
              </w:rPr>
              <w:t>treatment</w:t>
            </w:r>
            <w:r>
              <w:rPr>
                <w:rFonts w:ascii="Arial Narrow" w:hAnsi="Arial Narrow"/>
                <w:sz w:val="20"/>
                <w:szCs w:val="20"/>
              </w:rPr>
              <w:t xml:space="preserve"> </w:t>
            </w:r>
            <w:r>
              <w:rPr>
                <w:rFonts w:ascii="Arial Narrow" w:hAnsi="Arial Narrow"/>
                <w:i/>
                <w:iCs/>
                <w:sz w:val="20"/>
                <w:szCs w:val="20"/>
              </w:rPr>
              <w:t>where this benefit is extending treatment beyond</w:t>
            </w:r>
            <w:r w:rsidRPr="001648A2">
              <w:rPr>
                <w:rFonts w:ascii="Arial Narrow" w:hAnsi="Arial Narrow"/>
                <w:sz w:val="20"/>
                <w:szCs w:val="20"/>
              </w:rPr>
              <w:t xml:space="preserve"> </w:t>
            </w:r>
            <w:r w:rsidRPr="0030485C">
              <w:rPr>
                <w:rFonts w:ascii="Arial Narrow" w:hAnsi="Arial Narrow"/>
                <w:strike/>
                <w:sz w:val="20"/>
                <w:szCs w:val="20"/>
              </w:rPr>
              <w:t>with</w:t>
            </w:r>
            <w:r w:rsidRPr="001648A2">
              <w:rPr>
                <w:rFonts w:ascii="Arial Narrow" w:hAnsi="Arial Narrow"/>
                <w:sz w:val="20"/>
                <w:szCs w:val="20"/>
              </w:rPr>
              <w:t xml:space="preserve"> </w:t>
            </w:r>
            <w:r w:rsidRPr="0030485C">
              <w:rPr>
                <w:rFonts w:ascii="Arial Narrow" w:hAnsi="Arial Narrow"/>
                <w:strike/>
                <w:sz w:val="20"/>
                <w:szCs w:val="20"/>
              </w:rPr>
              <w:t>this drug beyond</w:t>
            </w:r>
            <w:r w:rsidRPr="001648A2">
              <w:rPr>
                <w:rFonts w:ascii="Arial Narrow" w:hAnsi="Arial Narrow"/>
                <w:sz w:val="20"/>
                <w:szCs w:val="20"/>
              </w:rPr>
              <w:t xml:space="preserve"> 24 </w:t>
            </w:r>
            <w:r>
              <w:rPr>
                <w:rFonts w:ascii="Arial Narrow" w:hAnsi="Arial Narrow"/>
                <w:i/>
                <w:iCs/>
                <w:sz w:val="20"/>
                <w:szCs w:val="20"/>
              </w:rPr>
              <w:t xml:space="preserve">cumulative </w:t>
            </w:r>
            <w:r w:rsidRPr="001648A2">
              <w:rPr>
                <w:rFonts w:ascii="Arial Narrow" w:hAnsi="Arial Narrow"/>
                <w:sz w:val="20"/>
                <w:szCs w:val="20"/>
              </w:rPr>
              <w:t>months from the first administered dose,</w:t>
            </w:r>
            <w:r>
              <w:rPr>
                <w:rFonts w:ascii="Arial Narrow" w:hAnsi="Arial Narrow"/>
                <w:sz w:val="20"/>
                <w:szCs w:val="20"/>
              </w:rPr>
              <w:t xml:space="preserve"> </w:t>
            </w:r>
            <w:r>
              <w:rPr>
                <w:rFonts w:ascii="Arial Narrow" w:hAnsi="Arial Narrow"/>
                <w:i/>
                <w:iCs/>
                <w:sz w:val="20"/>
                <w:szCs w:val="20"/>
              </w:rPr>
              <w:t xml:space="preserve">once in a lifetime. </w:t>
            </w:r>
          </w:p>
        </w:tc>
      </w:tr>
      <w:tr w:rsidR="00324F9E" w:rsidRPr="001428E9" w14:paraId="67F0338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0CD930E"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598F4252" w14:textId="77777777" w:rsidR="00324F9E" w:rsidRPr="00E90110" w:rsidRDefault="00324F9E" w:rsidP="005E4D14">
            <w:pPr>
              <w:rPr>
                <w:rFonts w:ascii="Arial Narrow" w:hAnsi="Arial Narrow"/>
                <w:b/>
                <w:bCs/>
                <w:color w:val="333333"/>
                <w:sz w:val="20"/>
                <w:szCs w:val="20"/>
              </w:rPr>
            </w:pPr>
            <w:r w:rsidRPr="00E90110">
              <w:rPr>
                <w:rStyle w:val="CommentReference"/>
                <w:bCs/>
                <w:szCs w:val="20"/>
              </w:rPr>
              <w:t>AND</w:t>
            </w:r>
          </w:p>
        </w:tc>
      </w:tr>
      <w:tr w:rsidR="00324F9E" w:rsidRPr="001428E9" w14:paraId="2FC212F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4F4D567"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3FAB755C" w14:textId="77777777" w:rsidR="00324F9E" w:rsidRPr="00F10B52" w:rsidRDefault="00324F9E" w:rsidP="005E4D14">
            <w:pPr>
              <w:rPr>
                <w:rStyle w:val="CommentReference"/>
                <w:szCs w:val="20"/>
              </w:rPr>
            </w:pPr>
            <w:r w:rsidRPr="001428E9">
              <w:rPr>
                <w:rFonts w:ascii="Arial Narrow" w:hAnsi="Arial Narrow"/>
                <w:b/>
                <w:bCs/>
                <w:color w:val="333333"/>
                <w:sz w:val="20"/>
                <w:szCs w:val="20"/>
              </w:rPr>
              <w:t>Treatment criteria:</w:t>
            </w:r>
          </w:p>
        </w:tc>
      </w:tr>
      <w:tr w:rsidR="00324F9E" w:rsidRPr="001428E9" w14:paraId="7EA8EA1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35DEDE3" w14:textId="2FF31AD8"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057BEFBD" w14:textId="77777777" w:rsidR="00324F9E" w:rsidRPr="00E90110" w:rsidRDefault="00324F9E" w:rsidP="005E4D14">
            <w:pPr>
              <w:pStyle w:val="Tabletext8pt"/>
              <w:rPr>
                <w:rFonts w:ascii="Arial Narrow" w:hAnsi="Arial Narrow"/>
                <w:sz w:val="20"/>
                <w:szCs w:val="20"/>
              </w:rPr>
            </w:pPr>
            <w:r w:rsidRPr="00F10B52">
              <w:rPr>
                <w:rFonts w:ascii="Arial Narrow" w:hAnsi="Arial Narrow"/>
                <w:sz w:val="20"/>
                <w:szCs w:val="20"/>
              </w:rPr>
              <w:t>Patient must be undergoing treatment with this drug for the first time; OR</w:t>
            </w:r>
          </w:p>
        </w:tc>
      </w:tr>
      <w:tr w:rsidR="00324F9E" w:rsidRPr="001428E9" w14:paraId="3E549F1C"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1288829" w14:textId="77777777" w:rsidR="00324F9E" w:rsidRPr="00F857EA" w:rsidRDefault="00324F9E" w:rsidP="005E4D14">
            <w:pPr>
              <w:jc w:val="center"/>
              <w:rPr>
                <w:rFonts w:ascii="Arial Narrow" w:hAnsi="Arial Narrow"/>
                <w:i/>
                <w:iCs/>
                <w:color w:val="333333"/>
                <w:sz w:val="20"/>
                <w:szCs w:val="20"/>
              </w:rPr>
            </w:pPr>
            <w:r>
              <w:rPr>
                <w:rFonts w:ascii="Arial Narrow" w:hAnsi="Arial Narrow"/>
                <w:i/>
                <w:iCs/>
                <w:color w:val="333333"/>
                <w:sz w:val="20"/>
                <w:szCs w:val="20"/>
              </w:rPr>
              <w:t>31068</w:t>
            </w:r>
          </w:p>
        </w:tc>
        <w:tc>
          <w:tcPr>
            <w:tcW w:w="4295" w:type="pct"/>
            <w:gridSpan w:val="5"/>
            <w:vAlign w:val="center"/>
            <w:hideMark/>
          </w:tcPr>
          <w:p w14:paraId="7AFC5BA4" w14:textId="77777777" w:rsidR="00324F9E" w:rsidRPr="001428E9" w:rsidRDefault="00324F9E" w:rsidP="005E4D14">
            <w:pPr>
              <w:rPr>
                <w:rFonts w:ascii="Arial Narrow" w:hAnsi="Arial Narrow"/>
                <w:color w:val="333333"/>
                <w:sz w:val="20"/>
                <w:szCs w:val="20"/>
              </w:rPr>
            </w:pPr>
            <w:r w:rsidRPr="00F10B52">
              <w:rPr>
                <w:rFonts w:ascii="Arial Narrow" w:hAnsi="Arial Narrow"/>
                <w:sz w:val="20"/>
                <w:szCs w:val="20"/>
              </w:rPr>
              <w:t>Patient must be undergoing continuing treatment with this drug, with each of the following being true: (i) all other PBS eligibility criteria in this restriction are met, (ii) disease progression is absent.</w:t>
            </w:r>
          </w:p>
        </w:tc>
      </w:tr>
      <w:tr w:rsidR="00324F9E" w:rsidRPr="001428E9" w14:paraId="02397F02" w14:textId="77777777" w:rsidTr="005E4D1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4F68CAD0" w14:textId="77777777" w:rsidR="00324F9E" w:rsidRPr="001428E9" w:rsidRDefault="00324F9E" w:rsidP="005E4D14">
            <w:pPr>
              <w:rPr>
                <w:rFonts w:ascii="Arial Narrow" w:hAnsi="Arial Narrow"/>
                <w:bCs/>
                <w:color w:val="FF0000"/>
                <w:sz w:val="20"/>
                <w:szCs w:val="20"/>
              </w:rPr>
            </w:pPr>
          </w:p>
        </w:tc>
      </w:tr>
      <w:tr w:rsidR="00324F9E" w:rsidRPr="001428E9" w14:paraId="4FBB134E" w14:textId="77777777" w:rsidTr="005E4D1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2CA2359" w14:textId="77777777" w:rsidR="00324F9E" w:rsidRPr="001428E9" w:rsidRDefault="00324F9E" w:rsidP="005E4D14">
            <w:pPr>
              <w:keepLines/>
              <w:rPr>
                <w:rFonts w:ascii="Arial Narrow" w:hAnsi="Arial Narrow"/>
                <w:b/>
                <w:bCs/>
                <w:color w:val="333333"/>
                <w:sz w:val="20"/>
                <w:szCs w:val="20"/>
              </w:rPr>
            </w:pPr>
            <w:r w:rsidRPr="001428E9">
              <w:rPr>
                <w:rFonts w:ascii="Arial Narrow" w:hAnsi="Arial Narrow"/>
                <w:b/>
                <w:bCs/>
                <w:color w:val="333333"/>
                <w:sz w:val="20"/>
                <w:szCs w:val="20"/>
              </w:rPr>
              <w:t>Restriction Summary [new]</w:t>
            </w:r>
            <w:r w:rsidRPr="001428E9">
              <w:rPr>
                <w:rFonts w:ascii="Arial Narrow" w:hAnsi="Arial Narrow"/>
                <w:b/>
                <w:bCs/>
                <w:color w:val="FF0000"/>
                <w:sz w:val="20"/>
                <w:szCs w:val="20"/>
              </w:rPr>
              <w:t xml:space="preserve"> </w:t>
            </w:r>
            <w:r w:rsidRPr="001428E9">
              <w:rPr>
                <w:rFonts w:ascii="Arial Narrow" w:hAnsi="Arial Narrow"/>
                <w:b/>
                <w:bCs/>
                <w:color w:val="333333"/>
                <w:sz w:val="20"/>
                <w:szCs w:val="20"/>
              </w:rPr>
              <w:t xml:space="preserve">/ Treatment of Concept: [new] </w:t>
            </w:r>
          </w:p>
        </w:tc>
      </w:tr>
      <w:tr w:rsidR="00324F9E" w:rsidRPr="001428E9" w14:paraId="45FE0D37"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56E07F8F" w14:textId="63782718" w:rsidR="00324F9E" w:rsidRPr="001428E9" w:rsidRDefault="00324F9E" w:rsidP="005E4D14">
            <w:pPr>
              <w:jc w:val="center"/>
              <w:rPr>
                <w:rFonts w:ascii="Arial Narrow" w:hAnsi="Arial Narrow"/>
                <w:sz w:val="20"/>
                <w:szCs w:val="20"/>
              </w:rPr>
            </w:pPr>
          </w:p>
        </w:tc>
        <w:tc>
          <w:tcPr>
            <w:tcW w:w="4295" w:type="pct"/>
            <w:gridSpan w:val="5"/>
            <w:vAlign w:val="center"/>
          </w:tcPr>
          <w:p w14:paraId="7D8A842F" w14:textId="77777777" w:rsidR="00324F9E" w:rsidRPr="001428E9" w:rsidRDefault="00324F9E" w:rsidP="005E4D14">
            <w:pPr>
              <w:keepLines/>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 xml:space="preserve">Section 100 – Efficient Funding of Chemotherapy Public/Private hospitals </w:t>
            </w:r>
          </w:p>
        </w:tc>
      </w:tr>
      <w:tr w:rsidR="00324F9E" w:rsidRPr="001428E9" w14:paraId="32D05F9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E4DC07C" w14:textId="77777777" w:rsidR="00324F9E" w:rsidRPr="001428E9" w:rsidRDefault="00324F9E" w:rsidP="005E4D14">
            <w:pPr>
              <w:rPr>
                <w:rFonts w:ascii="Arial Narrow" w:hAnsi="Arial Narrow"/>
                <w:sz w:val="20"/>
                <w:szCs w:val="20"/>
              </w:rPr>
            </w:pPr>
          </w:p>
        </w:tc>
        <w:tc>
          <w:tcPr>
            <w:tcW w:w="4295" w:type="pct"/>
            <w:gridSpan w:val="5"/>
            <w:vAlign w:val="center"/>
          </w:tcPr>
          <w:p w14:paraId="47DE3627" w14:textId="77777777" w:rsidR="00324F9E" w:rsidRPr="001428E9" w:rsidRDefault="00324F9E" w:rsidP="005E4D14">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324F9E" w:rsidRPr="001428E9" w14:paraId="4A6785E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7EF0137F" w14:textId="77777777" w:rsidR="00324F9E" w:rsidRPr="001428E9" w:rsidRDefault="00324F9E" w:rsidP="005E4D14">
            <w:pPr>
              <w:rPr>
                <w:rFonts w:ascii="Arial Narrow" w:hAnsi="Arial Narrow"/>
                <w:sz w:val="20"/>
                <w:szCs w:val="20"/>
              </w:rPr>
            </w:pPr>
          </w:p>
        </w:tc>
        <w:tc>
          <w:tcPr>
            <w:tcW w:w="4295" w:type="pct"/>
            <w:gridSpan w:val="5"/>
            <w:vAlign w:val="center"/>
          </w:tcPr>
          <w:p w14:paraId="5B28E1B3" w14:textId="77777777" w:rsidR="00324F9E" w:rsidRPr="00D56F94" w:rsidRDefault="00324F9E" w:rsidP="00D56338">
            <w:pPr>
              <w:keepLines/>
              <w:jc w:val="left"/>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sz w:val="20"/>
                <w:szCs w:val="20"/>
              </w:rPr>
              <w:br/>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(STREAMLINED) [new</w:t>
            </w:r>
            <w:r>
              <w:rPr>
                <w:rFonts w:ascii="Arial Narrow" w:eastAsia="Calibri" w:hAnsi="Arial Narrow"/>
                <w:sz w:val="20"/>
                <w:szCs w:val="20"/>
              </w:rPr>
              <w:t>]</w:t>
            </w:r>
          </w:p>
        </w:tc>
      </w:tr>
      <w:tr w:rsidR="00324F9E" w:rsidRPr="001428E9" w14:paraId="105EE8C6" w14:textId="77777777" w:rsidTr="00E36DB9">
        <w:tblPrEx>
          <w:tblCellMar>
            <w:top w:w="15" w:type="dxa"/>
            <w:bottom w:w="15" w:type="dxa"/>
          </w:tblCellMar>
        </w:tblPrEx>
        <w:trPr>
          <w:cantSplit/>
          <w:trHeight w:val="20"/>
        </w:trPr>
        <w:tc>
          <w:tcPr>
            <w:tcW w:w="705" w:type="pct"/>
            <w:gridSpan w:val="2"/>
            <w:vAlign w:val="center"/>
          </w:tcPr>
          <w:p w14:paraId="00884AF5" w14:textId="1380A102"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07B0454A" w14:textId="77777777" w:rsidR="00324F9E" w:rsidRPr="001428E9" w:rsidRDefault="00324F9E" w:rsidP="005E4D14">
            <w:pPr>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F4015E">
              <w:rPr>
                <w:rFonts w:ascii="Arial Narrow" w:hAnsi="Arial Narrow"/>
                <w:color w:val="333333"/>
                <w:sz w:val="20"/>
                <w:szCs w:val="20"/>
              </w:rPr>
              <w:t>Locally advanced (Stage III) or metastatic (Stage IV) urothelial cancer</w:t>
            </w:r>
          </w:p>
        </w:tc>
      </w:tr>
      <w:tr w:rsidR="00324F9E" w:rsidRPr="001428E9" w14:paraId="4DCFF6E9" w14:textId="77777777" w:rsidTr="00E36DB9">
        <w:tblPrEx>
          <w:tblCellMar>
            <w:top w:w="15" w:type="dxa"/>
            <w:bottom w:w="15" w:type="dxa"/>
          </w:tblCellMar>
        </w:tblPrEx>
        <w:trPr>
          <w:cantSplit/>
          <w:trHeight w:val="20"/>
        </w:trPr>
        <w:tc>
          <w:tcPr>
            <w:tcW w:w="705" w:type="pct"/>
            <w:gridSpan w:val="2"/>
            <w:vAlign w:val="center"/>
          </w:tcPr>
          <w:p w14:paraId="2414BE73"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hideMark/>
          </w:tcPr>
          <w:p w14:paraId="4ADAFAAF" w14:textId="77777777" w:rsidR="00324F9E" w:rsidRPr="00D56F94" w:rsidRDefault="00324F9E" w:rsidP="005E4D14">
            <w:pPr>
              <w:rPr>
                <w:rFonts w:ascii="Arial Narrow" w:hAnsi="Arial Narrow"/>
                <w:color w:val="FF0000"/>
                <w:sz w:val="20"/>
                <w:szCs w:val="20"/>
              </w:rPr>
            </w:pPr>
            <w:r w:rsidRPr="001428E9">
              <w:rPr>
                <w:rFonts w:ascii="Arial Narrow" w:hAnsi="Arial Narrow"/>
                <w:b/>
                <w:bCs/>
                <w:color w:val="333333"/>
                <w:sz w:val="20"/>
                <w:szCs w:val="20"/>
              </w:rPr>
              <w:t>Treatment Phase</w:t>
            </w:r>
            <w:r w:rsidRPr="00B61730">
              <w:rPr>
                <w:rFonts w:ascii="Arial Narrow" w:hAnsi="Arial Narrow"/>
                <w:b/>
                <w:bCs/>
                <w:sz w:val="20"/>
                <w:szCs w:val="20"/>
              </w:rPr>
              <w:t>:</w:t>
            </w:r>
            <w:r w:rsidRPr="00B61730">
              <w:rPr>
                <w:rFonts w:ascii="Arial Narrow" w:hAnsi="Arial Narrow"/>
                <w:sz w:val="20"/>
                <w:szCs w:val="20"/>
              </w:rPr>
              <w:t xml:space="preserve"> </w:t>
            </w:r>
            <w:r w:rsidRPr="009005C4">
              <w:rPr>
                <w:rFonts w:ascii="Arial Narrow" w:hAnsi="Arial Narrow"/>
                <w:sz w:val="20"/>
                <w:szCs w:val="20"/>
              </w:rPr>
              <w:t>Transitioning from non-PBS to PBS subsided treatment – ‘Grandfather’ arrangement</w:t>
            </w:r>
          </w:p>
        </w:tc>
      </w:tr>
      <w:tr w:rsidR="00324F9E" w:rsidRPr="001428E9" w14:paraId="4E13E2F6"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E401705"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3BBFF482" w14:textId="77777777" w:rsidR="00324F9E" w:rsidRPr="001428E9" w:rsidRDefault="00324F9E" w:rsidP="005E4D14">
            <w:pPr>
              <w:rPr>
                <w:rFonts w:ascii="Arial Narrow" w:hAnsi="Arial Narrow"/>
                <w:b/>
                <w:bCs/>
                <w:color w:val="333333"/>
                <w:sz w:val="20"/>
                <w:szCs w:val="20"/>
              </w:rPr>
            </w:pPr>
            <w:r w:rsidRPr="00F10B52">
              <w:rPr>
                <w:rFonts w:ascii="Arial Narrow" w:hAnsi="Arial Narrow"/>
                <w:b/>
                <w:bCs/>
                <w:sz w:val="20"/>
                <w:szCs w:val="20"/>
              </w:rPr>
              <w:t>Clinical criteria:</w:t>
            </w:r>
          </w:p>
        </w:tc>
      </w:tr>
      <w:tr w:rsidR="00324F9E" w:rsidRPr="001428E9" w14:paraId="07260E8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7EFA279" w14:textId="5B5B70B8"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3F38F544" w14:textId="77777777" w:rsidR="00324F9E" w:rsidRPr="00F10B52" w:rsidRDefault="00324F9E" w:rsidP="005E4D14">
            <w:pPr>
              <w:rPr>
                <w:rFonts w:ascii="Arial Narrow" w:hAnsi="Arial Narrow"/>
                <w:b/>
                <w:bCs/>
                <w:sz w:val="20"/>
                <w:szCs w:val="20"/>
              </w:rPr>
            </w:pPr>
            <w:r w:rsidRPr="00607217">
              <w:rPr>
                <w:rFonts w:ascii="Arial Narrow" w:hAnsi="Arial Narrow"/>
                <w:sz w:val="20"/>
                <w:szCs w:val="20"/>
              </w:rPr>
              <w:t>Patient must have received non-PBS-subsidised treatment with this drug for this indication prior to [date of PBS listing],</w:t>
            </w:r>
          </w:p>
        </w:tc>
      </w:tr>
      <w:tr w:rsidR="00324F9E" w:rsidRPr="001428E9" w14:paraId="3E6D956D"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A089FFE"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17EEC7A4" w14:textId="77777777" w:rsidR="00324F9E" w:rsidRPr="00F10B52" w:rsidRDefault="00324F9E" w:rsidP="005E4D14">
            <w:pPr>
              <w:rPr>
                <w:rFonts w:ascii="Arial Narrow" w:hAnsi="Arial Narrow"/>
                <w:sz w:val="20"/>
                <w:szCs w:val="20"/>
              </w:rPr>
            </w:pPr>
            <w:r w:rsidRPr="00F10B52">
              <w:rPr>
                <w:rFonts w:ascii="Arial Narrow" w:hAnsi="Arial Narrow"/>
                <w:b/>
                <w:bCs/>
                <w:sz w:val="20"/>
                <w:szCs w:val="20"/>
              </w:rPr>
              <w:t>AND</w:t>
            </w:r>
          </w:p>
        </w:tc>
      </w:tr>
      <w:tr w:rsidR="00324F9E" w:rsidRPr="001428E9" w14:paraId="46601EF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D0A4EF1"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5F832CF2" w14:textId="77777777" w:rsidR="00324F9E" w:rsidRPr="00F10B52" w:rsidRDefault="00324F9E" w:rsidP="005E4D14">
            <w:pPr>
              <w:rPr>
                <w:rFonts w:ascii="Arial Narrow" w:hAnsi="Arial Narrow"/>
                <w:b/>
                <w:bCs/>
                <w:sz w:val="20"/>
                <w:szCs w:val="20"/>
              </w:rPr>
            </w:pPr>
            <w:r w:rsidRPr="00F10B52">
              <w:rPr>
                <w:rFonts w:ascii="Arial Narrow" w:hAnsi="Arial Narrow"/>
                <w:b/>
                <w:bCs/>
                <w:sz w:val="20"/>
                <w:szCs w:val="20"/>
              </w:rPr>
              <w:t>Clinical criteria:</w:t>
            </w:r>
          </w:p>
        </w:tc>
      </w:tr>
      <w:tr w:rsidR="00324F9E" w:rsidRPr="001428E9" w14:paraId="771D72A3"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09209BB" w14:textId="5E002C6B"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2D8C36C2" w14:textId="77777777" w:rsidR="00324F9E" w:rsidRPr="00F10B52" w:rsidRDefault="00324F9E" w:rsidP="005E4D14">
            <w:pPr>
              <w:rPr>
                <w:rFonts w:ascii="Arial Narrow" w:hAnsi="Arial Narrow"/>
                <w:b/>
                <w:bCs/>
                <w:sz w:val="20"/>
                <w:szCs w:val="20"/>
              </w:rPr>
            </w:pPr>
            <w:r w:rsidRPr="00D843A4">
              <w:rPr>
                <w:rFonts w:ascii="Arial Narrow" w:hAnsi="Arial Narrow"/>
                <w:sz w:val="20"/>
                <w:szCs w:val="20"/>
              </w:rPr>
              <w:t>Patient must have/have had a WHO performance status score of no greater than 2 prior to initiation of non-PBS-subsidised treatment with this drug for this condition,</w:t>
            </w:r>
          </w:p>
        </w:tc>
      </w:tr>
      <w:tr w:rsidR="00324F9E" w:rsidRPr="001428E9" w14:paraId="7865F6D9"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FC3BFF7"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53A83E2C" w14:textId="77777777" w:rsidR="00324F9E" w:rsidRPr="00D843A4" w:rsidRDefault="00324F9E" w:rsidP="005E4D14">
            <w:pPr>
              <w:rPr>
                <w:rFonts w:ascii="Arial Narrow" w:hAnsi="Arial Narrow"/>
                <w:sz w:val="20"/>
                <w:szCs w:val="20"/>
              </w:rPr>
            </w:pPr>
            <w:r w:rsidRPr="00F10B52">
              <w:rPr>
                <w:rFonts w:ascii="Arial Narrow" w:hAnsi="Arial Narrow"/>
                <w:b/>
                <w:bCs/>
                <w:sz w:val="20"/>
                <w:szCs w:val="20"/>
              </w:rPr>
              <w:t>AND</w:t>
            </w:r>
          </w:p>
        </w:tc>
      </w:tr>
      <w:tr w:rsidR="00324F9E" w:rsidRPr="001428E9" w14:paraId="55D3B80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ABBCD01" w14:textId="47B4DC16"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11B4880B" w14:textId="77777777" w:rsidR="00324F9E" w:rsidRPr="00D843A4" w:rsidRDefault="00324F9E" w:rsidP="005E4D14">
            <w:pPr>
              <w:rPr>
                <w:rFonts w:ascii="Arial Narrow" w:hAnsi="Arial Narrow"/>
                <w:sz w:val="20"/>
                <w:szCs w:val="20"/>
              </w:rPr>
            </w:pPr>
            <w:r w:rsidRPr="00F10B52">
              <w:rPr>
                <w:rFonts w:ascii="Arial Narrow" w:hAnsi="Arial Narrow"/>
                <w:b/>
                <w:bCs/>
                <w:sz w:val="20"/>
                <w:szCs w:val="20"/>
              </w:rPr>
              <w:t>Clinical criteria:</w:t>
            </w:r>
          </w:p>
        </w:tc>
      </w:tr>
      <w:tr w:rsidR="00324F9E" w:rsidRPr="001428E9" w14:paraId="75A21169"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647E0ED" w14:textId="006C2252"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7E8CABA7" w14:textId="77777777" w:rsidR="00324F9E" w:rsidRPr="00D843A4" w:rsidRDefault="00324F9E" w:rsidP="005E4D14">
            <w:pPr>
              <w:rPr>
                <w:rFonts w:ascii="Arial Narrow" w:hAnsi="Arial Narrow"/>
                <w:sz w:val="20"/>
                <w:szCs w:val="20"/>
              </w:rPr>
            </w:pPr>
            <w:r w:rsidRPr="00FF0E9D">
              <w:rPr>
                <w:rFonts w:ascii="Arial Narrow" w:hAnsi="Arial Narrow"/>
                <w:sz w:val="20"/>
                <w:szCs w:val="20"/>
              </w:rPr>
              <w:t>Patient must not have developed disease progression while being treated with this drug for this condition.</w:t>
            </w:r>
          </w:p>
        </w:tc>
      </w:tr>
      <w:tr w:rsidR="00324F9E" w:rsidRPr="001428E9" w14:paraId="52E95D4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582F123"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6B69BFA0" w14:textId="77777777" w:rsidR="00324F9E" w:rsidRPr="00F10B52" w:rsidRDefault="00324F9E" w:rsidP="005E4D14">
            <w:pPr>
              <w:rPr>
                <w:rFonts w:ascii="Arial Narrow" w:hAnsi="Arial Narrow"/>
                <w:sz w:val="20"/>
                <w:szCs w:val="20"/>
              </w:rPr>
            </w:pPr>
            <w:r w:rsidRPr="00F10B52">
              <w:rPr>
                <w:rFonts w:ascii="Arial Narrow" w:hAnsi="Arial Narrow"/>
                <w:b/>
                <w:bCs/>
                <w:sz w:val="20"/>
                <w:szCs w:val="20"/>
              </w:rPr>
              <w:t>Treatment criteria</w:t>
            </w:r>
            <w:r w:rsidRPr="00F10B52">
              <w:rPr>
                <w:rFonts w:ascii="Arial Narrow" w:hAnsi="Arial Narrow"/>
                <w:sz w:val="20"/>
                <w:szCs w:val="20"/>
              </w:rPr>
              <w:t>:</w:t>
            </w:r>
          </w:p>
        </w:tc>
      </w:tr>
      <w:tr w:rsidR="00324F9E" w:rsidRPr="001428E9" w14:paraId="7B2231D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DAB5177" w14:textId="4F6D4D99"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10612DAE" w14:textId="77777777" w:rsidR="00324F9E" w:rsidRPr="00F10B52" w:rsidRDefault="00324F9E" w:rsidP="005E4D14">
            <w:pPr>
              <w:rPr>
                <w:rFonts w:ascii="Arial Narrow" w:hAnsi="Arial Narrow"/>
                <w:b/>
                <w:bCs/>
                <w:sz w:val="20"/>
                <w:szCs w:val="20"/>
              </w:rPr>
            </w:pPr>
            <w:r w:rsidRPr="00F10B52">
              <w:rPr>
                <w:rFonts w:ascii="Arial Narrow" w:hAnsi="Arial Narrow"/>
                <w:sz w:val="20"/>
                <w:szCs w:val="20"/>
              </w:rPr>
              <w:t>Patient must be undergoing combination therapy consisting of</w:t>
            </w:r>
            <w:r>
              <w:rPr>
                <w:rFonts w:ascii="Arial Narrow" w:hAnsi="Arial Narrow"/>
                <w:sz w:val="20"/>
                <w:szCs w:val="20"/>
              </w:rPr>
              <w:t xml:space="preserve"> </w:t>
            </w:r>
            <w:r w:rsidRPr="0082609B">
              <w:rPr>
                <w:rFonts w:ascii="Arial Narrow" w:hAnsi="Arial Narrow"/>
                <w:i/>
                <w:iCs/>
                <w:sz w:val="20"/>
                <w:szCs w:val="20"/>
              </w:rPr>
              <w:t>no more than 24 months of</w:t>
            </w:r>
            <w:r w:rsidRPr="00F10B52">
              <w:rPr>
                <w:rFonts w:ascii="Arial Narrow" w:hAnsi="Arial Narrow"/>
                <w:sz w:val="20"/>
                <w:szCs w:val="20"/>
              </w:rPr>
              <w:t>: (i) enfortumab vedotin, (ii) pembrolizumab; OR</w:t>
            </w:r>
          </w:p>
        </w:tc>
      </w:tr>
      <w:tr w:rsidR="00324F9E" w:rsidRPr="001428E9" w14:paraId="62CD2B1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9DE154F" w14:textId="2F46CE0F"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07E4779B" w14:textId="77777777" w:rsidR="00324F9E" w:rsidRPr="00F10B52" w:rsidRDefault="00324F9E" w:rsidP="005E4D14">
            <w:pPr>
              <w:rPr>
                <w:rFonts w:ascii="Arial Narrow" w:hAnsi="Arial Narrow"/>
                <w:sz w:val="20"/>
                <w:szCs w:val="20"/>
              </w:rPr>
            </w:pPr>
            <w:r w:rsidRPr="00294E71">
              <w:rPr>
                <w:rFonts w:ascii="Arial Narrow" w:hAnsi="Arial Narrow"/>
                <w:sz w:val="20"/>
                <w:szCs w:val="20"/>
              </w:rPr>
              <w:t>Patient must be undergoing monotherapy with this drug due to intolerance to enfortumab vedotin, requiring temporary/permanent discontinuation; document the details in the patient's medical records,</w:t>
            </w:r>
          </w:p>
        </w:tc>
      </w:tr>
      <w:tr w:rsidR="00324F9E" w:rsidRPr="001428E9" w14:paraId="7BF4C5C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3FB94AE"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1583CA4E" w14:textId="77777777" w:rsidR="00324F9E" w:rsidRPr="00C12B79" w:rsidRDefault="00324F9E" w:rsidP="005E4D14">
            <w:pPr>
              <w:rPr>
                <w:rFonts w:ascii="Arial Narrow" w:hAnsi="Arial Narrow"/>
                <w:b/>
                <w:bCs/>
                <w:sz w:val="20"/>
                <w:szCs w:val="20"/>
              </w:rPr>
            </w:pPr>
            <w:r w:rsidRPr="00C12B79">
              <w:rPr>
                <w:rFonts w:ascii="Arial Narrow" w:hAnsi="Arial Narrow"/>
                <w:b/>
                <w:bCs/>
                <w:sz w:val="20"/>
                <w:szCs w:val="20"/>
              </w:rPr>
              <w:t xml:space="preserve">AND </w:t>
            </w:r>
          </w:p>
        </w:tc>
      </w:tr>
      <w:tr w:rsidR="00324F9E" w:rsidRPr="001428E9" w14:paraId="46F5587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8558E3B" w14:textId="77777777"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053E6D57" w14:textId="77777777" w:rsidR="00324F9E" w:rsidRPr="00C12B79" w:rsidRDefault="00324F9E" w:rsidP="005E4D14">
            <w:pPr>
              <w:rPr>
                <w:rFonts w:ascii="Arial Narrow" w:hAnsi="Arial Narrow"/>
                <w:b/>
                <w:bCs/>
                <w:sz w:val="20"/>
                <w:szCs w:val="20"/>
              </w:rPr>
            </w:pPr>
            <w:r w:rsidRPr="00C12B79">
              <w:rPr>
                <w:rFonts w:ascii="Arial Narrow" w:hAnsi="Arial Narrow"/>
                <w:b/>
                <w:bCs/>
                <w:sz w:val="20"/>
                <w:szCs w:val="20"/>
              </w:rPr>
              <w:t>Treatment Criteria:</w:t>
            </w:r>
          </w:p>
        </w:tc>
      </w:tr>
      <w:tr w:rsidR="00324F9E" w:rsidRPr="001428E9" w14:paraId="3D11588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D503129" w14:textId="4A5BF4D5" w:rsidR="00324F9E" w:rsidRPr="00F857EA" w:rsidRDefault="00324F9E" w:rsidP="005E4D14">
            <w:pPr>
              <w:jc w:val="center"/>
              <w:rPr>
                <w:rFonts w:ascii="Arial Narrow" w:hAnsi="Arial Narrow"/>
                <w:i/>
                <w:iCs/>
                <w:color w:val="333333"/>
                <w:sz w:val="20"/>
                <w:szCs w:val="20"/>
              </w:rPr>
            </w:pPr>
          </w:p>
        </w:tc>
        <w:tc>
          <w:tcPr>
            <w:tcW w:w="4295" w:type="pct"/>
            <w:gridSpan w:val="5"/>
            <w:vAlign w:val="center"/>
          </w:tcPr>
          <w:p w14:paraId="187AE0DE" w14:textId="77777777" w:rsidR="00324F9E" w:rsidRPr="00F10B52" w:rsidRDefault="00324F9E" w:rsidP="005E4D14">
            <w:pPr>
              <w:rPr>
                <w:rFonts w:ascii="Arial Narrow" w:hAnsi="Arial Narrow"/>
                <w:sz w:val="20"/>
                <w:szCs w:val="20"/>
              </w:rPr>
            </w:pPr>
            <w:r w:rsidRPr="00C12B79">
              <w:rPr>
                <w:rFonts w:ascii="Arial Narrow" w:hAnsi="Arial Narrow"/>
                <w:sz w:val="20"/>
                <w:szCs w:val="20"/>
              </w:rPr>
              <w:t xml:space="preserve">Patient must not be undergoing treatment with this drug beyond 24 </w:t>
            </w:r>
            <w:r>
              <w:rPr>
                <w:rFonts w:ascii="Arial Narrow" w:hAnsi="Arial Narrow"/>
                <w:i/>
                <w:iCs/>
                <w:sz w:val="20"/>
                <w:szCs w:val="20"/>
              </w:rPr>
              <w:t xml:space="preserve">cumulative </w:t>
            </w:r>
            <w:r w:rsidRPr="00C12B79">
              <w:rPr>
                <w:rFonts w:ascii="Arial Narrow" w:hAnsi="Arial Narrow"/>
                <w:sz w:val="20"/>
                <w:szCs w:val="20"/>
              </w:rPr>
              <w:t>months from the first administered dose</w:t>
            </w:r>
            <w:r>
              <w:rPr>
                <w:rFonts w:ascii="Arial Narrow" w:hAnsi="Arial Narrow"/>
                <w:sz w:val="20"/>
                <w:szCs w:val="20"/>
              </w:rPr>
              <w:t xml:space="preserve">, </w:t>
            </w:r>
            <w:r>
              <w:rPr>
                <w:rFonts w:ascii="Arial Narrow" w:hAnsi="Arial Narrow"/>
                <w:i/>
                <w:iCs/>
                <w:sz w:val="20"/>
                <w:szCs w:val="20"/>
              </w:rPr>
              <w:t>once in a lifetime</w:t>
            </w:r>
            <w:r w:rsidRPr="00C12B79">
              <w:rPr>
                <w:rFonts w:ascii="Arial Narrow" w:hAnsi="Arial Narrow"/>
                <w:sz w:val="20"/>
                <w:szCs w:val="20"/>
              </w:rPr>
              <w:t>.</w:t>
            </w:r>
          </w:p>
        </w:tc>
      </w:tr>
      <w:tr w:rsidR="00324F9E" w:rsidRPr="00205B05" w14:paraId="473A853D"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5D7CF4A6" w14:textId="44CC71FC" w:rsidR="00324F9E" w:rsidRPr="00205B05" w:rsidRDefault="00324F9E" w:rsidP="005E4D14">
            <w:pPr>
              <w:jc w:val="center"/>
              <w:rPr>
                <w:rFonts w:ascii="Arial Narrow" w:hAnsi="Arial Narrow"/>
                <w:i/>
                <w:iCs/>
                <w:color w:val="333333"/>
                <w:sz w:val="20"/>
                <w:szCs w:val="20"/>
              </w:rPr>
            </w:pPr>
          </w:p>
        </w:tc>
        <w:tc>
          <w:tcPr>
            <w:tcW w:w="4295" w:type="pct"/>
            <w:gridSpan w:val="5"/>
            <w:tcBorders>
              <w:top w:val="single" w:sz="4" w:space="0" w:color="auto"/>
              <w:left w:val="single" w:sz="4" w:space="0" w:color="auto"/>
              <w:bottom w:val="single" w:sz="4" w:space="0" w:color="auto"/>
              <w:right w:val="single" w:sz="4" w:space="0" w:color="auto"/>
            </w:tcBorders>
            <w:vAlign w:val="center"/>
          </w:tcPr>
          <w:p w14:paraId="1DC26F74" w14:textId="77777777" w:rsidR="00324F9E" w:rsidRPr="00205B05" w:rsidRDefault="00324F9E" w:rsidP="005E4D14">
            <w:pPr>
              <w:rPr>
                <w:rFonts w:ascii="Arial Narrow" w:hAnsi="Arial Narrow"/>
                <w:i/>
                <w:iCs/>
                <w:sz w:val="20"/>
                <w:szCs w:val="20"/>
              </w:rPr>
            </w:pPr>
            <w:r w:rsidRPr="00205B05">
              <w:rPr>
                <w:rFonts w:ascii="Arial Narrow" w:hAnsi="Arial Narrow"/>
                <w:b/>
                <w:bCs/>
                <w:i/>
                <w:iCs/>
                <w:sz w:val="20"/>
                <w:szCs w:val="20"/>
              </w:rPr>
              <w:t>Administrative Advice:</w:t>
            </w:r>
            <w:r w:rsidRPr="00205B05">
              <w:rPr>
                <w:rFonts w:ascii="Arial Narrow" w:hAnsi="Arial Narrow"/>
                <w:i/>
                <w:iCs/>
                <w:sz w:val="20"/>
                <w:szCs w:val="20"/>
              </w:rPr>
              <w:t xml:space="preserve"> Patients may qualify for PBS-subsidised treatment under this restriction once only. For continuing PBS-subsidised treatment, a 'Grandfathered' patient must qualify under the 'Initial and Continuing treatment' criteria.</w:t>
            </w:r>
          </w:p>
        </w:tc>
      </w:tr>
      <w:tr w:rsidR="00324F9E" w:rsidRPr="000D5965" w14:paraId="6A26642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2B1655AB" w14:textId="723DABE2" w:rsidR="00324F9E" w:rsidRPr="00205B05" w:rsidRDefault="00324F9E" w:rsidP="005E4D14">
            <w:pPr>
              <w:jc w:val="center"/>
              <w:rPr>
                <w:rFonts w:ascii="Arial Narrow" w:hAnsi="Arial Narrow"/>
                <w:i/>
                <w:iCs/>
                <w:color w:val="333333"/>
                <w:sz w:val="20"/>
                <w:szCs w:val="20"/>
              </w:rPr>
            </w:pPr>
          </w:p>
        </w:tc>
        <w:tc>
          <w:tcPr>
            <w:tcW w:w="4295" w:type="pct"/>
            <w:gridSpan w:val="5"/>
            <w:tcBorders>
              <w:top w:val="single" w:sz="4" w:space="0" w:color="auto"/>
              <w:left w:val="single" w:sz="4" w:space="0" w:color="auto"/>
              <w:bottom w:val="single" w:sz="4" w:space="0" w:color="auto"/>
              <w:right w:val="single" w:sz="4" w:space="0" w:color="auto"/>
            </w:tcBorders>
            <w:vAlign w:val="center"/>
          </w:tcPr>
          <w:p w14:paraId="12E1592A" w14:textId="77777777" w:rsidR="00324F9E" w:rsidRPr="00205B05" w:rsidRDefault="00324F9E" w:rsidP="005E4D14">
            <w:pPr>
              <w:rPr>
                <w:rFonts w:ascii="Arial Narrow" w:hAnsi="Arial Narrow"/>
                <w:i/>
                <w:iCs/>
                <w:sz w:val="20"/>
                <w:szCs w:val="20"/>
              </w:rPr>
            </w:pPr>
            <w:r w:rsidRPr="00205B05">
              <w:rPr>
                <w:rFonts w:ascii="Arial Narrow" w:hAnsi="Arial Narrow"/>
                <w:b/>
                <w:bCs/>
                <w:i/>
                <w:iCs/>
                <w:sz w:val="20"/>
                <w:szCs w:val="20"/>
              </w:rPr>
              <w:t>Administrative Advice:</w:t>
            </w:r>
            <w:r w:rsidRPr="00205B05">
              <w:rPr>
                <w:rFonts w:ascii="Arial Narrow" w:hAnsi="Arial Narrow"/>
                <w:i/>
                <w:iCs/>
                <w:sz w:val="20"/>
                <w:szCs w:val="20"/>
              </w:rPr>
              <w:t xml:space="preserve"> This grandfather restriction will cease to operate from 12 months after the date specified in the clinical criteria.</w:t>
            </w:r>
          </w:p>
        </w:tc>
      </w:tr>
    </w:tbl>
    <w:p w14:paraId="1BA50606" w14:textId="77777777" w:rsidR="008D40C6" w:rsidRPr="00DC3667" w:rsidRDefault="008D40C6" w:rsidP="006C6911">
      <w:pPr>
        <w:pStyle w:val="3-BodyText"/>
        <w:spacing w:before="240"/>
        <w:rPr>
          <w:color w:val="0066FF"/>
        </w:rPr>
      </w:pPr>
      <w:r>
        <w:t xml:space="preserve">As EV and PEM are marketed by two separate companies, an effective price for each product, as well as the </w:t>
      </w:r>
      <w:r w:rsidRPr="00F76287">
        <w:t>combination</w:t>
      </w:r>
      <w:r>
        <w:t xml:space="preserve">, was not proposed. The submission states that it is anticipated that the sponsor of each product will undergo negotiation with the </w:t>
      </w:r>
      <w:r>
        <w:lastRenderedPageBreak/>
        <w:t>Department following a positive recommendation to determine an appropriate effective price for each drug.</w:t>
      </w:r>
    </w:p>
    <w:p w14:paraId="2B4E3C67" w14:textId="3C6E46FB" w:rsidR="00A957F4" w:rsidRPr="00F053B5" w:rsidRDefault="008D40C6" w:rsidP="00A957F4">
      <w:pPr>
        <w:pStyle w:val="3-BodyText"/>
      </w:pPr>
      <w:r w:rsidRPr="00C11145">
        <w:t xml:space="preserve">The proposed PBS restriction aligns with the proposed TGA indication. </w:t>
      </w:r>
      <w:bookmarkStart w:id="11" w:name="_Ref182298462"/>
      <w:r w:rsidR="00A957F4" w:rsidRPr="00A957F4">
        <w:rPr>
          <w:rFonts w:ascii="Calibri" w:eastAsia="Calibri" w:hAnsi="Calibri" w:cs="Calibri"/>
        </w:rPr>
        <w:t xml:space="preserve">The clinical criteria are consistent with the EV-302 trial in that patients with an ECOG performance status score of 0, 1 or 2 were eligible as were patients who had not received prior systemic therapy for la/mUC with the exception of neoadjuvant chemotherapy or adjuvant chemotherapy. However, in the EV-302 trial, patients who had received neoadjuvant chemotherapy were only eligible if they had recurrence </w:t>
      </w:r>
      <w:r w:rsidR="00BF054D">
        <w:rPr>
          <w:rFonts w:ascii="Calibri" w:eastAsia="Calibri" w:hAnsi="Calibri" w:cs="Calibri"/>
        </w:rPr>
        <w:t xml:space="preserve">more than </w:t>
      </w:r>
      <w:r w:rsidR="00A957F4" w:rsidRPr="00A957F4">
        <w:rPr>
          <w:rFonts w:ascii="Calibri" w:eastAsia="Calibri" w:hAnsi="Calibri" w:cs="Calibri"/>
        </w:rPr>
        <w:t xml:space="preserve">12 months from completion of therapy. In addition, patients who had received adjuvant chemotherapy were eligible if it was following cystectomy with recurrence </w:t>
      </w:r>
      <w:r w:rsidR="00BF054D">
        <w:rPr>
          <w:rFonts w:ascii="Calibri" w:eastAsia="Calibri" w:hAnsi="Calibri" w:cs="Calibri"/>
        </w:rPr>
        <w:t>more than</w:t>
      </w:r>
      <w:r w:rsidR="00A957F4" w:rsidRPr="00A957F4">
        <w:rPr>
          <w:rFonts w:ascii="Calibri" w:eastAsia="Calibri" w:hAnsi="Calibri" w:cs="Calibri"/>
        </w:rPr>
        <w:t xml:space="preserve"> 12 months from completion of therapy.</w:t>
      </w:r>
      <w:bookmarkEnd w:id="11"/>
      <w:r w:rsidR="00A957F4">
        <w:rPr>
          <w:rFonts w:ascii="Calibri" w:eastAsia="Calibri" w:hAnsi="Calibri" w:cs="Calibri"/>
        </w:rPr>
        <w:t xml:space="preserve"> </w:t>
      </w:r>
      <w:r w:rsidR="006E0CBF">
        <w:rPr>
          <w:rFonts w:ascii="Calibri" w:eastAsia="Calibri" w:hAnsi="Calibri" w:cs="Calibri"/>
        </w:rPr>
        <w:t xml:space="preserve">The </w:t>
      </w:r>
      <w:r w:rsidR="006E0CBF" w:rsidRPr="00C11145">
        <w:rPr>
          <w:rFonts w:ascii="Calibri" w:eastAsia="Calibri" w:hAnsi="Calibri" w:cs="Calibri"/>
        </w:rPr>
        <w:t xml:space="preserve">clinical criteria referring to neoadjuvant/adjuvant chemotherapy </w:t>
      </w:r>
      <w:r w:rsidR="006E0CBF">
        <w:rPr>
          <w:rFonts w:ascii="Calibri" w:eastAsia="Calibri" w:hAnsi="Calibri" w:cs="Calibri"/>
        </w:rPr>
        <w:t xml:space="preserve">does not </w:t>
      </w:r>
      <w:r w:rsidR="006E0CBF" w:rsidRPr="00C11145">
        <w:rPr>
          <w:rFonts w:ascii="Calibri" w:eastAsia="Calibri" w:hAnsi="Calibri" w:cs="Calibri"/>
        </w:rPr>
        <w:t>specify that recurrence needs to be</w:t>
      </w:r>
      <w:r w:rsidR="00BF054D">
        <w:rPr>
          <w:rFonts w:ascii="Calibri" w:eastAsia="Calibri" w:hAnsi="Calibri" w:cs="Calibri"/>
        </w:rPr>
        <w:t xml:space="preserve"> more than </w:t>
      </w:r>
      <w:r w:rsidR="006E0CBF" w:rsidRPr="00C11145">
        <w:rPr>
          <w:rFonts w:ascii="Calibri" w:eastAsia="Calibri" w:hAnsi="Calibri" w:cs="Calibri"/>
        </w:rPr>
        <w:t>12 months from completion of therapy.</w:t>
      </w:r>
      <w:r w:rsidR="00EF6A85">
        <w:rPr>
          <w:rFonts w:ascii="Calibri" w:eastAsia="Calibri" w:hAnsi="Calibri" w:cs="Calibri"/>
        </w:rPr>
        <w:t xml:space="preserve"> The PBAC noted 96% of patients in EV-302 had a performance status of 0 or 1 and considered this might be higher than would be observed in the Australian treatment setting. </w:t>
      </w:r>
    </w:p>
    <w:p w14:paraId="58471B7E" w14:textId="3AF69733" w:rsidR="00696BC0" w:rsidRPr="00C11145" w:rsidRDefault="00696BC0" w:rsidP="00696BC0">
      <w:pPr>
        <w:pStyle w:val="3-BodyText"/>
        <w:numPr>
          <w:ilvl w:val="0"/>
          <w:numId w:val="0"/>
        </w:numPr>
        <w:ind w:left="720"/>
      </w:pPr>
      <w:r w:rsidRPr="00C33D30">
        <w:rPr>
          <w:i/>
        </w:rPr>
        <w:t>For more detail on PBAC’s view, see section 7 PBAC outcome.</w:t>
      </w:r>
    </w:p>
    <w:p w14:paraId="3F52E7FB" w14:textId="77777777" w:rsidR="008D40C6" w:rsidRPr="0098262F" w:rsidDel="00195452" w:rsidRDefault="008D40C6" w:rsidP="008D40C6">
      <w:pPr>
        <w:pStyle w:val="2-SectionHeading"/>
      </w:pPr>
      <w:bookmarkStart w:id="12" w:name="_Toc177481902"/>
      <w:r w:rsidRPr="0098262F" w:rsidDel="00195452">
        <w:t>Population and disease</w:t>
      </w:r>
      <w:bookmarkEnd w:id="12"/>
    </w:p>
    <w:p w14:paraId="6A9A6BC3" w14:textId="77777777" w:rsidR="008D40C6" w:rsidRDefault="008D40C6" w:rsidP="008D40C6">
      <w:pPr>
        <w:pStyle w:val="3-BodyText"/>
      </w:pPr>
      <w:r>
        <w:t>U</w:t>
      </w:r>
      <w:r w:rsidRPr="003D3D62">
        <w:t>rothelial carcinoma</w:t>
      </w:r>
      <w:r>
        <w:t xml:space="preserve">s are cancers </w:t>
      </w:r>
      <w:r w:rsidRPr="003D3D62">
        <w:t xml:space="preserve">which </w:t>
      </w:r>
      <w:r>
        <w:t>arise</w:t>
      </w:r>
      <w:r w:rsidRPr="003D3D62">
        <w:t xml:space="preserve"> from the urothelial cells lining the bladder, ureters, urethra, and renal pelvis</w:t>
      </w:r>
      <w:r>
        <w:rPr>
          <w:rStyle w:val="FootnoteReference"/>
        </w:rPr>
        <w:footnoteReference w:id="2"/>
      </w:r>
      <w:r w:rsidRPr="003D3D62">
        <w:t>. In its locally advanced stage, the cancer has extended beyond the primary site to nearby tissues, organs, or lymph nodes, while in the metastatic stage, it has spread to distant parts of the body, such as the lungs, liver, or bones</w:t>
      </w:r>
      <w:r>
        <w:rPr>
          <w:rStyle w:val="FootnoteReference"/>
        </w:rPr>
        <w:footnoteReference w:id="3"/>
      </w:r>
      <w:r w:rsidRPr="003D3D62">
        <w:t xml:space="preserve">. </w:t>
      </w:r>
      <w:r>
        <w:t>La/mUC</w:t>
      </w:r>
      <w:r w:rsidRPr="003D3D62">
        <w:t xml:space="preserve"> is particularly challenging to manage due to its aggressive progression and resistance to conventional treatments</w:t>
      </w:r>
      <w:r>
        <w:rPr>
          <w:rStyle w:val="FootnoteReference"/>
        </w:rPr>
        <w:footnoteReference w:id="4"/>
      </w:r>
      <w:r w:rsidRPr="003D3D62">
        <w:t>.</w:t>
      </w:r>
      <w:r w:rsidRPr="003D3D62" w:rsidDel="00195452">
        <w:t xml:space="preserve"> </w:t>
      </w:r>
    </w:p>
    <w:p w14:paraId="4125010A" w14:textId="77777777" w:rsidR="008D40C6" w:rsidRDefault="008D40C6" w:rsidP="008D40C6">
      <w:pPr>
        <w:pStyle w:val="3-BodyText"/>
      </w:pPr>
      <w:r w:rsidRPr="003D3D62">
        <w:t>Bladder cancer, primarily urothelial carcinoma, is the ninth most common cancer in Australia. Each year, around 3,000 new cases are diagnosed, with the disease predominantly affecting older adults, particularly those over the age of 65</w:t>
      </w:r>
      <w:r>
        <w:rPr>
          <w:rStyle w:val="FootnoteReference"/>
        </w:rPr>
        <w:footnoteReference w:id="5"/>
      </w:r>
      <w:r>
        <w:rPr>
          <w:vertAlign w:val="superscript"/>
        </w:rPr>
        <w:t>,</w:t>
      </w:r>
      <w:r>
        <w:rPr>
          <w:rStyle w:val="FootnoteReference"/>
        </w:rPr>
        <w:footnoteReference w:id="6"/>
      </w:r>
      <w:r w:rsidRPr="003D3D62">
        <w:t>. The incidence is significantly higher in men, with a male-to-female ratio of approximately 3:1.</w:t>
      </w:r>
      <w:r>
        <w:t xml:space="preserve"> </w:t>
      </w:r>
      <w:r w:rsidRPr="003D3D62">
        <w:t>Risk factors include smoking (the most significant risk factor), exposure to certain chemicals (such as those used in the dye and rubber industries), and chronic bladder inflammation</w:t>
      </w:r>
      <w:r>
        <w:rPr>
          <w:rStyle w:val="FootnoteReference"/>
        </w:rPr>
        <w:footnoteReference w:id="7"/>
      </w:r>
      <w:r w:rsidRPr="003D3D62">
        <w:t xml:space="preserve">. Although the incidence of bladder cancer has been stable or slightly decreasing, the prognosis for those with </w:t>
      </w:r>
      <w:r>
        <w:t>la</w:t>
      </w:r>
      <w:r w:rsidRPr="003D3D62">
        <w:t>/</w:t>
      </w:r>
      <w:r>
        <w:t>m</w:t>
      </w:r>
      <w:r w:rsidRPr="003D3D62">
        <w:t>UC remains poor</w:t>
      </w:r>
      <w:r>
        <w:t>.</w:t>
      </w:r>
    </w:p>
    <w:p w14:paraId="43A5B75F" w14:textId="77777777" w:rsidR="008D40C6" w:rsidRPr="003D3D62" w:rsidDel="00195452" w:rsidRDefault="008D40C6" w:rsidP="008D40C6">
      <w:pPr>
        <w:pStyle w:val="3-BodyText"/>
      </w:pPr>
      <w:r w:rsidRPr="003D3D62">
        <w:lastRenderedPageBreak/>
        <w:t>For patients with locali</w:t>
      </w:r>
      <w:r>
        <w:t>s</w:t>
      </w:r>
      <w:r w:rsidRPr="003D3D62">
        <w:t>ed urothelial cancer (confined to the bladder), the five-year survival rate is relatively favourable, typically exceeding 70-80%</w:t>
      </w:r>
      <w:r>
        <w:rPr>
          <w:rStyle w:val="FootnoteReference"/>
        </w:rPr>
        <w:footnoteReference w:id="8"/>
      </w:r>
      <w:r w:rsidRPr="003D3D62">
        <w:t xml:space="preserve">. However, survival rates with locally advanced </w:t>
      </w:r>
      <w:r>
        <w:t>disease are around 30%-50%</w:t>
      </w:r>
      <w:r w:rsidRPr="003D3D62">
        <w:t xml:space="preserve"> </w:t>
      </w:r>
      <w:r>
        <w:t xml:space="preserve">and patients with </w:t>
      </w:r>
      <w:r w:rsidRPr="003D3D62">
        <w:t>metastatic disease</w:t>
      </w:r>
      <w:r>
        <w:t xml:space="preserve"> have a 5-year survival rate of approximately 5-15%</w:t>
      </w:r>
      <w:r>
        <w:rPr>
          <w:rStyle w:val="FootnoteReference"/>
        </w:rPr>
        <w:footnoteReference w:id="9"/>
      </w:r>
      <w:r w:rsidRPr="003D3D62">
        <w:t>.</w:t>
      </w:r>
    </w:p>
    <w:p w14:paraId="47789014" w14:textId="4C2BF434" w:rsidR="008D40C6" w:rsidRPr="003D3D62" w:rsidDel="00195452" w:rsidRDefault="008D40C6" w:rsidP="008D40C6">
      <w:pPr>
        <w:pStyle w:val="3-BodyText"/>
      </w:pPr>
      <w:r w:rsidRPr="003D3D62">
        <w:t>The proposed clinical management algorithm would place EV+</w:t>
      </w:r>
      <w:r>
        <w:t>PEM</w:t>
      </w:r>
      <w:r w:rsidRPr="003D3D62">
        <w:t xml:space="preserve"> as the preferred first line treatment for la/mUC. Patient</w:t>
      </w:r>
      <w:r>
        <w:t>s</w:t>
      </w:r>
      <w:r w:rsidRPr="003D3D62">
        <w:t xml:space="preserve"> who cannot receive EV+</w:t>
      </w:r>
      <w:r>
        <w:t>PEM</w:t>
      </w:r>
      <w:r w:rsidRPr="003D3D62">
        <w:t xml:space="preserve"> would be able to receive the current </w:t>
      </w:r>
      <w:r>
        <w:t>standard of care (SoC)</w:t>
      </w:r>
      <w:r w:rsidRPr="003D3D62">
        <w:t xml:space="preserve"> instead. Upon progression on EV+</w:t>
      </w:r>
      <w:r>
        <w:t>PEM</w:t>
      </w:r>
      <w:r w:rsidRPr="003D3D62">
        <w:t xml:space="preserve">, patients would </w:t>
      </w:r>
      <w:r w:rsidR="00671683">
        <w:t>be treated with</w:t>
      </w:r>
      <w:r w:rsidRPr="003D3D62">
        <w:t xml:space="preserve"> </w:t>
      </w:r>
      <w:proofErr w:type="spellStart"/>
      <w:r>
        <w:t>P</w:t>
      </w:r>
      <w:r w:rsidRPr="003D3D62">
        <w:t>lat+</w:t>
      </w:r>
      <w:r>
        <w:t>G</w:t>
      </w:r>
      <w:r w:rsidRPr="003D3D62">
        <w:t>em</w:t>
      </w:r>
      <w:proofErr w:type="spellEnd"/>
      <w:r w:rsidRPr="003D3D62">
        <w:t>.</w:t>
      </w:r>
      <w:r w:rsidR="0065141E">
        <w:t xml:space="preserve"> </w:t>
      </w:r>
      <w:r w:rsidR="0065141E" w:rsidRPr="005D3209">
        <w:t>The ESC noted the NCCN Clinical Practice Guidelines</w:t>
      </w:r>
      <w:r w:rsidR="0065141E" w:rsidRPr="0053312D">
        <w:rPr>
          <w:vertAlign w:val="superscript"/>
        </w:rPr>
        <w:footnoteReference w:id="10"/>
      </w:r>
      <w:r w:rsidR="0065141E" w:rsidRPr="005D3209">
        <w:t xml:space="preserve"> include EV+PEM as the preferred regimen for all la/mUC patients.</w:t>
      </w:r>
      <w:r w:rsidR="0065141E">
        <w:rPr>
          <w:color w:val="0066FF"/>
        </w:rPr>
        <w:t xml:space="preserve">   </w:t>
      </w:r>
    </w:p>
    <w:p w14:paraId="773C1D90" w14:textId="77777777" w:rsidR="008D40C6" w:rsidRPr="00696BC0" w:rsidRDefault="008D40C6" w:rsidP="008D40C6">
      <w:pPr>
        <w:pStyle w:val="3-BodyText"/>
        <w:rPr>
          <w:color w:val="0066FF"/>
        </w:rPr>
      </w:pPr>
      <w:r>
        <w:t>EV is an antibody drug conjugate comprising an IgG1-kappa antibody targeted to nectin-4 and the microtubule-disrupting agent, monomethyl auristatin E (MMAE)</w:t>
      </w:r>
      <w:r>
        <w:rPr>
          <w:rStyle w:val="FootnoteReference"/>
        </w:rPr>
        <w:footnoteReference w:id="11"/>
      </w:r>
      <w:r>
        <w:t>. Because nectin-4 displays limited expression in normal tissues compared with cancerous tissues</w:t>
      </w:r>
      <w:r>
        <w:rPr>
          <w:rStyle w:val="FootnoteReference"/>
        </w:rPr>
        <w:footnoteReference w:id="12"/>
      </w:r>
      <w:r>
        <w:t>, this allows EV to target the delivery of MMAE to cancerous cells.</w:t>
      </w:r>
    </w:p>
    <w:p w14:paraId="43D15754" w14:textId="31975F09" w:rsidR="00696BC0" w:rsidRPr="0098262F" w:rsidDel="00195452" w:rsidRDefault="00696BC0" w:rsidP="00696BC0">
      <w:pPr>
        <w:pStyle w:val="3-BodyText"/>
        <w:numPr>
          <w:ilvl w:val="0"/>
          <w:numId w:val="0"/>
        </w:numPr>
        <w:ind w:left="720"/>
        <w:rPr>
          <w:color w:val="0066FF"/>
        </w:rPr>
      </w:pPr>
      <w:r w:rsidRPr="00C33D30">
        <w:rPr>
          <w:i/>
        </w:rPr>
        <w:t>For more detail on PBAC’s view, see section 7 PBAC outcome.</w:t>
      </w:r>
    </w:p>
    <w:p w14:paraId="58471665" w14:textId="77777777" w:rsidR="008D40C6" w:rsidRPr="0098262F" w:rsidRDefault="008D40C6" w:rsidP="008D40C6">
      <w:pPr>
        <w:pStyle w:val="2-SectionHeading"/>
      </w:pPr>
      <w:bookmarkStart w:id="13" w:name="_Toc177481903"/>
      <w:r w:rsidRPr="0098262F">
        <w:t>Comparator</w:t>
      </w:r>
      <w:bookmarkEnd w:id="13"/>
    </w:p>
    <w:p w14:paraId="3A330EE9" w14:textId="77777777" w:rsidR="008D40C6" w:rsidRDefault="008D40C6" w:rsidP="008D40C6">
      <w:pPr>
        <w:pStyle w:val="3-BodyText"/>
      </w:pPr>
      <w:r w:rsidRPr="00347F93">
        <w:t xml:space="preserve">The submission nominated </w:t>
      </w:r>
      <w:r>
        <w:t>SoC</w:t>
      </w:r>
      <w:r w:rsidRPr="00347F93">
        <w:t xml:space="preserve"> consisting of </w:t>
      </w:r>
      <w:proofErr w:type="spellStart"/>
      <w:r>
        <w:t>P</w:t>
      </w:r>
      <w:r w:rsidRPr="00347F93">
        <w:t>lat+</w:t>
      </w:r>
      <w:r>
        <w:t>G</w:t>
      </w:r>
      <w:r w:rsidRPr="00347F93">
        <w:t>em</w:t>
      </w:r>
      <w:proofErr w:type="spellEnd"/>
      <w:r>
        <w:t xml:space="preserve"> as the comparator</w:t>
      </w:r>
      <w:r w:rsidRPr="00347F93">
        <w:t xml:space="preserve">. The main arguments provided in support of this nomination were that </w:t>
      </w:r>
      <w:proofErr w:type="spellStart"/>
      <w:r>
        <w:t>P</w:t>
      </w:r>
      <w:r w:rsidRPr="00347F93">
        <w:t>lat+</w:t>
      </w:r>
      <w:r>
        <w:t>G</w:t>
      </w:r>
      <w:r w:rsidRPr="00347F93">
        <w:t>em</w:t>
      </w:r>
      <w:proofErr w:type="spellEnd"/>
      <w:r w:rsidRPr="00347F93">
        <w:t xml:space="preserve"> is the recommended </w:t>
      </w:r>
      <w:r>
        <w:t>SoC</w:t>
      </w:r>
      <w:r w:rsidRPr="00347F93">
        <w:t xml:space="preserve"> for the first line treatment of la/mUC in Australia.</w:t>
      </w:r>
      <w:r w:rsidRPr="0098262F">
        <w:t xml:space="preserve"> </w:t>
      </w:r>
    </w:p>
    <w:p w14:paraId="53CFE1E7" w14:textId="1C570483" w:rsidR="008D40C6" w:rsidRPr="00347F93" w:rsidRDefault="008D40C6" w:rsidP="008D40C6">
      <w:pPr>
        <w:pStyle w:val="3-BodyText"/>
      </w:pPr>
      <w:r>
        <w:t>Although the nominated comparator is reasonable, p</w:t>
      </w:r>
      <w:r w:rsidRPr="000E6727">
        <w:t xml:space="preserve">atients who do not progress on </w:t>
      </w:r>
      <w:proofErr w:type="spellStart"/>
      <w:r>
        <w:t>P</w:t>
      </w:r>
      <w:r w:rsidRPr="000E6727">
        <w:t>lat+</w:t>
      </w:r>
      <w:r>
        <w:t>G</w:t>
      </w:r>
      <w:r w:rsidRPr="000E6727">
        <w:t>em</w:t>
      </w:r>
      <w:proofErr w:type="spellEnd"/>
      <w:r w:rsidRPr="000E6727">
        <w:t xml:space="preserve"> are eligible to receive avelumab maintenance therapy</w:t>
      </w:r>
      <w:r>
        <w:t xml:space="preserve"> in Australia. As EV+PEM is administered until disease progression, avelumab maintenance therapy could be included as a component of the main comparator. </w:t>
      </w:r>
      <w:r w:rsidRPr="003162B0">
        <w:t>This would create two comparator populations: Those who progress w</w:t>
      </w:r>
      <w:r>
        <w:t>hile</w:t>
      </w:r>
      <w:r w:rsidRPr="003162B0">
        <w:t xml:space="preserve"> on platinum-based chemotherapy and those who do not progress and receive avelumab maintenance therapy</w:t>
      </w:r>
      <w:r>
        <w:t>. It should be noted that although the submission did not include avelumab in the main comparator, approximately 30% of the patients in the key EV-302 trial did receive subsequent avelumab maintenance therapy.</w:t>
      </w:r>
    </w:p>
    <w:p w14:paraId="691A2BEA" w14:textId="42F7E70D" w:rsidR="008D40C6" w:rsidRDefault="008D40C6" w:rsidP="008D40C6">
      <w:pPr>
        <w:pStyle w:val="3-BodyText"/>
      </w:pPr>
      <w:r>
        <w:t>Nivolumab in combination with cisplatin (</w:t>
      </w:r>
      <w:proofErr w:type="spellStart"/>
      <w:r w:rsidR="00F316B0">
        <w:t>N</w:t>
      </w:r>
      <w:r>
        <w:t>ivo+</w:t>
      </w:r>
      <w:r w:rsidR="00F316B0">
        <w:t>C</w:t>
      </w:r>
      <w:r>
        <w:t>is</w:t>
      </w:r>
      <w:proofErr w:type="spellEnd"/>
      <w:r>
        <w:t xml:space="preserve">) chemotherapy should be considered as a near market comparator. </w:t>
      </w:r>
      <w:proofErr w:type="spellStart"/>
      <w:r>
        <w:t>Nivo+</w:t>
      </w:r>
      <w:r w:rsidR="00F316B0">
        <w:t>C</w:t>
      </w:r>
      <w:r>
        <w:t>is</w:t>
      </w:r>
      <w:proofErr w:type="spellEnd"/>
      <w:r>
        <w:t xml:space="preserve"> was submitted to the PBAC for consideration at the November 2024 PBAC meeting for the first line treatment of </w:t>
      </w:r>
      <w:r>
        <w:lastRenderedPageBreak/>
        <w:t>unresectable or metastatic urothelial cancer</w:t>
      </w:r>
      <w:r w:rsidRPr="006373C9">
        <w:rPr>
          <w:rStyle w:val="FootnoteReference"/>
        </w:rPr>
        <w:footnoteReference w:id="13"/>
      </w:r>
      <w:r>
        <w:t>.</w:t>
      </w:r>
      <w:r w:rsidR="00671683">
        <w:t xml:space="preserve"> </w:t>
      </w:r>
      <w:r w:rsidR="00671683" w:rsidRPr="005D3209">
        <w:t xml:space="preserve">The </w:t>
      </w:r>
      <w:r w:rsidR="00F316B0" w:rsidRPr="005D3209">
        <w:t>Pre-Sub-Committee Response (</w:t>
      </w:r>
      <w:r w:rsidR="00671683" w:rsidRPr="005D3209">
        <w:t>PSCR</w:t>
      </w:r>
      <w:r w:rsidR="00F316B0" w:rsidRPr="005D3209">
        <w:t>)</w:t>
      </w:r>
      <w:r w:rsidR="002513E8">
        <w:t xml:space="preserve"> </w:t>
      </w:r>
      <w:r w:rsidR="00671683" w:rsidRPr="005D3209">
        <w:t xml:space="preserve"> noted that </w:t>
      </w:r>
      <w:proofErr w:type="spellStart"/>
      <w:r w:rsidR="00F316B0" w:rsidRPr="005D3209">
        <w:t>N</w:t>
      </w:r>
      <w:r w:rsidR="00671683" w:rsidRPr="005D3209">
        <w:t>ivo+Cis</w:t>
      </w:r>
      <w:proofErr w:type="spellEnd"/>
      <w:r w:rsidR="00671683" w:rsidRPr="005D3209">
        <w:t xml:space="preserve"> will only be suitable for patients who are cisplatin-eligible </w:t>
      </w:r>
      <w:r w:rsidR="00F316B0" w:rsidRPr="005D3209">
        <w:t>and stated that this</w:t>
      </w:r>
      <w:r w:rsidR="00671683" w:rsidRPr="005D3209">
        <w:t xml:space="preserve"> is expected to represent only half of the la/mUC population</w:t>
      </w:r>
      <w:r w:rsidR="00F316B0" w:rsidRPr="005D3209">
        <w:t xml:space="preserve"> (</w:t>
      </w:r>
      <w:r w:rsidR="00671683" w:rsidRPr="005D3209">
        <w:t>remainder unable to receive cisplatin due to poor performance status, renal impairment, or other comorbidities</w:t>
      </w:r>
      <w:r w:rsidR="00F316B0" w:rsidRPr="005D3209">
        <w:t>)</w:t>
      </w:r>
      <w:r w:rsidR="00671683" w:rsidRPr="005D3209">
        <w:t xml:space="preserve">. </w:t>
      </w:r>
      <w:r w:rsidR="009129D0" w:rsidRPr="005D3209">
        <w:t xml:space="preserve">The ESC agreed with the PSCR argument that </w:t>
      </w:r>
      <w:proofErr w:type="spellStart"/>
      <w:r w:rsidR="00F316B0" w:rsidRPr="005D3209">
        <w:t>N</w:t>
      </w:r>
      <w:r w:rsidR="00671683" w:rsidRPr="005D3209">
        <w:t>ivo+Cis</w:t>
      </w:r>
      <w:proofErr w:type="spellEnd"/>
      <w:r w:rsidR="00671683" w:rsidRPr="005D3209">
        <w:t xml:space="preserve"> </w:t>
      </w:r>
      <w:r w:rsidR="000049B8" w:rsidRPr="005D3209">
        <w:t xml:space="preserve">would </w:t>
      </w:r>
      <w:r w:rsidR="00671683" w:rsidRPr="005D3209">
        <w:t xml:space="preserve">not </w:t>
      </w:r>
      <w:r w:rsidR="000049B8" w:rsidRPr="005D3209">
        <w:t>be a relevant comparator for patients ineligible for cisplatin.</w:t>
      </w:r>
    </w:p>
    <w:p w14:paraId="780E4350" w14:textId="2F85B8AF" w:rsidR="00696BC0" w:rsidRPr="00347F93" w:rsidRDefault="00696BC0" w:rsidP="00696BC0">
      <w:pPr>
        <w:pStyle w:val="3-BodyText"/>
        <w:numPr>
          <w:ilvl w:val="0"/>
          <w:numId w:val="0"/>
        </w:numPr>
        <w:ind w:left="720"/>
      </w:pPr>
      <w:r w:rsidRPr="00C33D30">
        <w:rPr>
          <w:i/>
        </w:rPr>
        <w:t>For more detail on PBAC’s view, see section 7 PBAC outcome.</w:t>
      </w:r>
    </w:p>
    <w:p w14:paraId="2C139769" w14:textId="77777777" w:rsidR="008D40C6" w:rsidRPr="0098262F" w:rsidRDefault="008D40C6" w:rsidP="008D40C6">
      <w:pPr>
        <w:pStyle w:val="2-SectionHeading"/>
        <w:numPr>
          <w:ilvl w:val="0"/>
          <w:numId w:val="1"/>
        </w:numPr>
      </w:pPr>
      <w:bookmarkStart w:id="14" w:name="_Toc177481904"/>
      <w:bookmarkStart w:id="15" w:name="_Toc22897640"/>
      <w:r w:rsidRPr="0098262F">
        <w:t>Consideration of the evidence</w:t>
      </w:r>
      <w:bookmarkEnd w:id="14"/>
    </w:p>
    <w:p w14:paraId="100E9218" w14:textId="77777777" w:rsidR="00696BC0" w:rsidRPr="006E1229" w:rsidRDefault="00696BC0" w:rsidP="0060047F">
      <w:pPr>
        <w:pStyle w:val="4-SubsectionHeading"/>
      </w:pPr>
      <w:bookmarkStart w:id="16" w:name="_Toc177481905"/>
      <w:r w:rsidRPr="006E1229">
        <w:t>Sponsor hearing</w:t>
      </w:r>
    </w:p>
    <w:p w14:paraId="1A0751DA" w14:textId="124EAD64" w:rsidR="00696BC0" w:rsidRDefault="00763E59" w:rsidP="00696BC0">
      <w:pPr>
        <w:widowControl w:val="0"/>
        <w:numPr>
          <w:ilvl w:val="1"/>
          <w:numId w:val="1"/>
        </w:numPr>
        <w:spacing w:after="120"/>
        <w:rPr>
          <w:rFonts w:asciiTheme="minorHAnsi" w:hAnsiTheme="minorHAnsi"/>
          <w:bCs/>
          <w:snapToGrid w:val="0"/>
        </w:rPr>
      </w:pPr>
      <w:bookmarkStart w:id="17" w:name="_Hlk76382586"/>
      <w:r>
        <w:rPr>
          <w:rFonts w:asciiTheme="minorHAnsi" w:hAnsiTheme="minorHAnsi"/>
          <w:bCs/>
          <w:snapToGrid w:val="0"/>
        </w:rPr>
        <w:t xml:space="preserve">There was no hearing for this item. </w:t>
      </w:r>
    </w:p>
    <w:p w14:paraId="5C245EA0" w14:textId="77777777" w:rsidR="00763E59" w:rsidRPr="0060047F" w:rsidRDefault="00763E59" w:rsidP="0060047F">
      <w:pPr>
        <w:pStyle w:val="4-SubsectionHeading"/>
      </w:pPr>
      <w:r w:rsidRPr="00763E59">
        <w:t>Consumer comments</w:t>
      </w:r>
    </w:p>
    <w:p w14:paraId="5DBF2003" w14:textId="40F353C9" w:rsidR="008C1E51" w:rsidRPr="008C1E51" w:rsidRDefault="00763E59" w:rsidP="008C1E51">
      <w:pPr>
        <w:widowControl w:val="0"/>
        <w:numPr>
          <w:ilvl w:val="1"/>
          <w:numId w:val="1"/>
        </w:numPr>
        <w:spacing w:after="120"/>
        <w:rPr>
          <w:rFonts w:asciiTheme="minorHAnsi" w:hAnsiTheme="minorHAnsi"/>
          <w:bCs/>
          <w:snapToGrid w:val="0"/>
          <w:lang w:eastAsia="en-US"/>
        </w:rPr>
      </w:pPr>
      <w:bookmarkStart w:id="18" w:name="_Hlk76382618"/>
      <w:r w:rsidRPr="00763E59">
        <w:rPr>
          <w:rFonts w:asciiTheme="minorHAnsi" w:hAnsiTheme="minorHAnsi"/>
          <w:bCs/>
          <w:snapToGrid w:val="0"/>
          <w:lang w:eastAsia="en-US"/>
        </w:rPr>
        <w:t>The PBAC noted and welcomed the input from individuals (</w:t>
      </w:r>
      <w:r w:rsidR="0053312D">
        <w:rPr>
          <w:rFonts w:asciiTheme="minorHAnsi" w:hAnsiTheme="minorHAnsi"/>
          <w:bCs/>
          <w:snapToGrid w:val="0"/>
          <w:lang w:eastAsia="en-US"/>
        </w:rPr>
        <w:t>11</w:t>
      </w:r>
      <w:r w:rsidRPr="00763E59">
        <w:rPr>
          <w:rFonts w:asciiTheme="minorHAnsi" w:hAnsiTheme="minorHAnsi"/>
          <w:bCs/>
          <w:snapToGrid w:val="0"/>
          <w:lang w:eastAsia="en-US"/>
        </w:rPr>
        <w:t>), health care professionals (</w:t>
      </w:r>
      <w:r w:rsidR="0053312D">
        <w:rPr>
          <w:rFonts w:asciiTheme="minorHAnsi" w:hAnsiTheme="minorHAnsi"/>
          <w:bCs/>
          <w:snapToGrid w:val="0"/>
          <w:lang w:eastAsia="en-US"/>
        </w:rPr>
        <w:t>4</w:t>
      </w:r>
      <w:r w:rsidRPr="00763E59">
        <w:rPr>
          <w:rFonts w:asciiTheme="minorHAnsi" w:hAnsiTheme="minorHAnsi"/>
          <w:bCs/>
          <w:snapToGrid w:val="0"/>
          <w:lang w:eastAsia="en-US"/>
        </w:rPr>
        <w:t>) and organisations (</w:t>
      </w:r>
      <w:r w:rsidR="0053312D">
        <w:rPr>
          <w:rFonts w:asciiTheme="minorHAnsi" w:hAnsiTheme="minorHAnsi"/>
          <w:bCs/>
          <w:snapToGrid w:val="0"/>
          <w:lang w:eastAsia="en-US"/>
        </w:rPr>
        <w:t>3</w:t>
      </w:r>
      <w:r w:rsidRPr="00763E59">
        <w:rPr>
          <w:rFonts w:asciiTheme="minorHAnsi" w:hAnsiTheme="minorHAnsi"/>
          <w:bCs/>
          <w:snapToGrid w:val="0"/>
          <w:lang w:eastAsia="en-US"/>
        </w:rPr>
        <w:t xml:space="preserve">) via the Consumer Comments facility on the PBS website.  The </w:t>
      </w:r>
      <w:r w:rsidR="00283E2C">
        <w:rPr>
          <w:rFonts w:asciiTheme="minorHAnsi" w:hAnsiTheme="minorHAnsi"/>
          <w:bCs/>
          <w:snapToGrid w:val="0"/>
          <w:lang w:eastAsia="en-US"/>
        </w:rPr>
        <w:t>input from individuals who have used this medicine for their own health a</w:t>
      </w:r>
      <w:r w:rsidR="00044C50">
        <w:rPr>
          <w:rFonts w:asciiTheme="minorHAnsi" w:hAnsiTheme="minorHAnsi"/>
          <w:bCs/>
          <w:snapToGrid w:val="0"/>
          <w:lang w:eastAsia="en-US"/>
        </w:rPr>
        <w:t>long with input from</w:t>
      </w:r>
      <w:r w:rsidR="00283E2C">
        <w:rPr>
          <w:rFonts w:asciiTheme="minorHAnsi" w:hAnsiTheme="minorHAnsi"/>
          <w:bCs/>
          <w:snapToGrid w:val="0"/>
          <w:lang w:eastAsia="en-US"/>
        </w:rPr>
        <w:t xml:space="preserve"> their partners</w:t>
      </w:r>
      <w:r w:rsidR="00044C50">
        <w:rPr>
          <w:rFonts w:asciiTheme="minorHAnsi" w:hAnsiTheme="minorHAnsi"/>
          <w:bCs/>
          <w:snapToGrid w:val="0"/>
          <w:lang w:eastAsia="en-US"/>
        </w:rPr>
        <w:t xml:space="preserve"> or family members </w:t>
      </w:r>
      <w:r w:rsidRPr="00763E59">
        <w:rPr>
          <w:rFonts w:asciiTheme="minorHAnsi" w:hAnsiTheme="minorHAnsi"/>
          <w:bCs/>
          <w:snapToGrid w:val="0"/>
          <w:lang w:eastAsia="en-US"/>
        </w:rPr>
        <w:t xml:space="preserve">described </w:t>
      </w:r>
      <w:r w:rsidR="00E4777B">
        <w:rPr>
          <w:rFonts w:asciiTheme="minorHAnsi" w:hAnsiTheme="minorHAnsi"/>
          <w:bCs/>
          <w:snapToGrid w:val="0"/>
          <w:lang w:eastAsia="en-US"/>
        </w:rPr>
        <w:t>benefits</w:t>
      </w:r>
      <w:r w:rsidR="00283E2C">
        <w:rPr>
          <w:rFonts w:asciiTheme="minorHAnsi" w:hAnsiTheme="minorHAnsi"/>
          <w:bCs/>
          <w:snapToGrid w:val="0"/>
          <w:lang w:eastAsia="en-US"/>
        </w:rPr>
        <w:t xml:space="preserve"> </w:t>
      </w:r>
      <w:r w:rsidR="00E4777B">
        <w:rPr>
          <w:rFonts w:asciiTheme="minorHAnsi" w:hAnsiTheme="minorHAnsi"/>
          <w:bCs/>
          <w:snapToGrid w:val="0"/>
          <w:lang w:eastAsia="en-US"/>
        </w:rPr>
        <w:t xml:space="preserve">of EV+PEM treatment including </w:t>
      </w:r>
      <w:r w:rsidR="00044C50">
        <w:rPr>
          <w:rFonts w:asciiTheme="minorHAnsi" w:hAnsiTheme="minorHAnsi"/>
          <w:bCs/>
          <w:snapToGrid w:val="0"/>
          <w:lang w:eastAsia="en-US"/>
        </w:rPr>
        <w:t>reductions in tumour size</w:t>
      </w:r>
      <w:r w:rsidR="00283E2C">
        <w:rPr>
          <w:rFonts w:asciiTheme="minorHAnsi" w:hAnsiTheme="minorHAnsi"/>
          <w:bCs/>
          <w:snapToGrid w:val="0"/>
          <w:lang w:eastAsia="en-US"/>
        </w:rPr>
        <w:t xml:space="preserve"> and cancer-related symptoms</w:t>
      </w:r>
      <w:r w:rsidR="00044C50">
        <w:rPr>
          <w:rFonts w:asciiTheme="minorHAnsi" w:hAnsiTheme="minorHAnsi"/>
          <w:bCs/>
          <w:snapToGrid w:val="0"/>
          <w:lang w:eastAsia="en-US"/>
        </w:rPr>
        <w:t xml:space="preserve"> along with </w:t>
      </w:r>
      <w:r w:rsidR="00E4777B">
        <w:rPr>
          <w:rFonts w:asciiTheme="minorHAnsi" w:hAnsiTheme="minorHAnsi"/>
          <w:bCs/>
          <w:snapToGrid w:val="0"/>
          <w:lang w:eastAsia="en-US"/>
        </w:rPr>
        <w:t>improvements</w:t>
      </w:r>
      <w:r w:rsidR="00044C50">
        <w:rPr>
          <w:rFonts w:asciiTheme="minorHAnsi" w:hAnsiTheme="minorHAnsi"/>
          <w:bCs/>
          <w:snapToGrid w:val="0"/>
          <w:lang w:eastAsia="en-US"/>
        </w:rPr>
        <w:t xml:space="preserve"> in quality of life</w:t>
      </w:r>
      <w:r w:rsidR="00283E2C">
        <w:rPr>
          <w:rFonts w:asciiTheme="minorHAnsi" w:hAnsiTheme="minorHAnsi"/>
          <w:bCs/>
          <w:snapToGrid w:val="0"/>
          <w:lang w:eastAsia="en-US"/>
        </w:rPr>
        <w:t>.</w:t>
      </w:r>
      <w:r w:rsidR="00044C50">
        <w:rPr>
          <w:rFonts w:asciiTheme="minorHAnsi" w:hAnsiTheme="minorHAnsi"/>
          <w:bCs/>
          <w:snapToGrid w:val="0"/>
          <w:lang w:eastAsia="en-US"/>
        </w:rPr>
        <w:t xml:space="preserve"> The input from these individuals </w:t>
      </w:r>
      <w:r w:rsidR="00E4777B">
        <w:rPr>
          <w:rFonts w:asciiTheme="minorHAnsi" w:hAnsiTheme="minorHAnsi"/>
          <w:bCs/>
          <w:snapToGrid w:val="0"/>
          <w:lang w:eastAsia="en-US"/>
        </w:rPr>
        <w:t xml:space="preserve">also </w:t>
      </w:r>
      <w:r w:rsidR="00044C50">
        <w:rPr>
          <w:rFonts w:asciiTheme="minorHAnsi" w:hAnsiTheme="minorHAnsi"/>
          <w:bCs/>
          <w:snapToGrid w:val="0"/>
          <w:lang w:eastAsia="en-US"/>
        </w:rPr>
        <w:t>describe</w:t>
      </w:r>
      <w:r w:rsidR="00BF054D">
        <w:rPr>
          <w:rFonts w:asciiTheme="minorHAnsi" w:hAnsiTheme="minorHAnsi"/>
          <w:bCs/>
          <w:snapToGrid w:val="0"/>
          <w:lang w:eastAsia="en-US"/>
        </w:rPr>
        <w:t>d</w:t>
      </w:r>
      <w:r w:rsidR="00044C50">
        <w:rPr>
          <w:rFonts w:asciiTheme="minorHAnsi" w:hAnsiTheme="minorHAnsi"/>
          <w:bCs/>
          <w:snapToGrid w:val="0"/>
          <w:lang w:eastAsia="en-US"/>
        </w:rPr>
        <w:t xml:space="preserve"> side effects experienced during EV+PEM treatment, including diarrhoea, fatigue, severe itching, body hair loss, brain fog, skin blistering and neuropathy in feet and fingertips. </w:t>
      </w:r>
      <w:r w:rsidR="00E4777B">
        <w:rPr>
          <w:rFonts w:asciiTheme="minorHAnsi" w:hAnsiTheme="minorHAnsi"/>
          <w:bCs/>
          <w:snapToGrid w:val="0"/>
          <w:lang w:eastAsia="en-US"/>
        </w:rPr>
        <w:t>A</w:t>
      </w:r>
      <w:r w:rsidR="00044C50">
        <w:rPr>
          <w:rFonts w:asciiTheme="minorHAnsi" w:hAnsiTheme="minorHAnsi"/>
          <w:bCs/>
          <w:snapToGrid w:val="0"/>
          <w:lang w:eastAsia="en-US"/>
        </w:rPr>
        <w:t>ccess issues due to current prohibitive costs</w:t>
      </w:r>
      <w:r w:rsidR="00E4777B">
        <w:rPr>
          <w:rFonts w:asciiTheme="minorHAnsi" w:hAnsiTheme="minorHAnsi"/>
          <w:bCs/>
          <w:snapToGrid w:val="0"/>
          <w:lang w:eastAsia="en-US"/>
        </w:rPr>
        <w:t xml:space="preserve"> were also highlighted. The input from health care professionals highlighted the </w:t>
      </w:r>
      <w:r w:rsidR="00E56CE3">
        <w:rPr>
          <w:rFonts w:asciiTheme="minorHAnsi" w:hAnsiTheme="minorHAnsi"/>
          <w:bCs/>
          <w:snapToGrid w:val="0"/>
          <w:lang w:eastAsia="en-US"/>
        </w:rPr>
        <w:t>m</w:t>
      </w:r>
      <w:r w:rsidR="0077456D">
        <w:rPr>
          <w:rFonts w:asciiTheme="minorHAnsi" w:hAnsiTheme="minorHAnsi"/>
          <w:bCs/>
          <w:snapToGrid w:val="0"/>
          <w:lang w:eastAsia="en-US"/>
        </w:rPr>
        <w:t>ajor incremental benefit in overall survival and</w:t>
      </w:r>
      <w:r w:rsidR="00E56CE3">
        <w:rPr>
          <w:rFonts w:asciiTheme="minorHAnsi" w:hAnsiTheme="minorHAnsi"/>
          <w:bCs/>
          <w:snapToGrid w:val="0"/>
          <w:lang w:eastAsia="en-US"/>
        </w:rPr>
        <w:t xml:space="preserve"> </w:t>
      </w:r>
      <w:r w:rsidR="0077456D">
        <w:rPr>
          <w:rFonts w:asciiTheme="minorHAnsi" w:hAnsiTheme="minorHAnsi"/>
          <w:bCs/>
          <w:snapToGrid w:val="0"/>
          <w:lang w:eastAsia="en-US"/>
        </w:rPr>
        <w:t xml:space="preserve">high </w:t>
      </w:r>
      <w:r w:rsidR="008C1E51">
        <w:rPr>
          <w:rFonts w:asciiTheme="minorHAnsi" w:hAnsiTheme="minorHAnsi"/>
          <w:bCs/>
          <w:snapToGrid w:val="0"/>
          <w:lang w:eastAsia="en-US"/>
        </w:rPr>
        <w:t xml:space="preserve">response rates reported </w:t>
      </w:r>
      <w:r w:rsidR="00AA24F6">
        <w:rPr>
          <w:rFonts w:asciiTheme="minorHAnsi" w:hAnsiTheme="minorHAnsi"/>
          <w:bCs/>
          <w:snapToGrid w:val="0"/>
          <w:lang w:eastAsia="en-US"/>
        </w:rPr>
        <w:t xml:space="preserve">for EV+PEM </w:t>
      </w:r>
      <w:r w:rsidR="008C1E51">
        <w:rPr>
          <w:rFonts w:asciiTheme="minorHAnsi" w:hAnsiTheme="minorHAnsi"/>
          <w:bCs/>
          <w:snapToGrid w:val="0"/>
          <w:lang w:eastAsia="en-US"/>
        </w:rPr>
        <w:t>in this poor prognosis cancer</w:t>
      </w:r>
      <w:r w:rsidR="00E4777B">
        <w:rPr>
          <w:rFonts w:asciiTheme="minorHAnsi" w:hAnsiTheme="minorHAnsi"/>
          <w:bCs/>
          <w:snapToGrid w:val="0"/>
          <w:lang w:eastAsia="en-US"/>
        </w:rPr>
        <w:t xml:space="preserve">. Health care professional input also described the lack of </w:t>
      </w:r>
      <w:r w:rsidR="00AA24F6">
        <w:rPr>
          <w:rFonts w:asciiTheme="minorHAnsi" w:hAnsiTheme="minorHAnsi"/>
          <w:bCs/>
          <w:snapToGrid w:val="0"/>
          <w:lang w:eastAsia="en-US"/>
        </w:rPr>
        <w:t xml:space="preserve">effective </w:t>
      </w:r>
      <w:r w:rsidR="00E4777B">
        <w:rPr>
          <w:rFonts w:asciiTheme="minorHAnsi" w:hAnsiTheme="minorHAnsi"/>
          <w:bCs/>
          <w:snapToGrid w:val="0"/>
          <w:lang w:eastAsia="en-US"/>
        </w:rPr>
        <w:t xml:space="preserve">treatment options for patients who are ineligible for platinum based chemotherapy. </w:t>
      </w:r>
      <w:r w:rsidR="00D027CB">
        <w:rPr>
          <w:rFonts w:asciiTheme="minorHAnsi" w:hAnsiTheme="minorHAnsi"/>
          <w:bCs/>
          <w:snapToGrid w:val="0"/>
          <w:lang w:eastAsia="en-US"/>
        </w:rPr>
        <w:t xml:space="preserve">BEAT Bladder Cancer Australia described what it is like to live with </w:t>
      </w:r>
      <w:r w:rsidR="00D027CB">
        <w:t xml:space="preserve">la/mUC given its high recurrence and low survival rates and the impact on a patients mental health. </w:t>
      </w:r>
      <w:r w:rsidR="00BF054D">
        <w:t xml:space="preserve">Consistent with </w:t>
      </w:r>
      <w:r w:rsidR="00D027CB">
        <w:t xml:space="preserve">the input from Rare Cancers Australia, the input described the advantages of such therapy </w:t>
      </w:r>
      <w:r w:rsidR="008C1E51">
        <w:t xml:space="preserve">as patients living longer with improvements in quality of life </w:t>
      </w:r>
      <w:r w:rsidR="00280F6A">
        <w:t xml:space="preserve">which would </w:t>
      </w:r>
      <w:r w:rsidR="0017504B">
        <w:t xml:space="preserve">be </w:t>
      </w:r>
      <w:r w:rsidR="008C1E51">
        <w:t>highly beneficial to the patient and their supporting carer/family.</w:t>
      </w:r>
      <w:bookmarkEnd w:id="18"/>
    </w:p>
    <w:p w14:paraId="1A35CF8A" w14:textId="782E0CDC" w:rsidR="00763E59" w:rsidRPr="008C1E51" w:rsidRDefault="00763E59" w:rsidP="008C1E51">
      <w:pPr>
        <w:widowControl w:val="0"/>
        <w:numPr>
          <w:ilvl w:val="1"/>
          <w:numId w:val="1"/>
        </w:numPr>
        <w:spacing w:after="120"/>
        <w:rPr>
          <w:rFonts w:asciiTheme="minorHAnsi" w:hAnsiTheme="minorHAnsi"/>
          <w:bCs/>
          <w:snapToGrid w:val="0"/>
          <w:lang w:eastAsia="en-US"/>
        </w:rPr>
      </w:pPr>
      <w:r w:rsidRPr="008C1E51">
        <w:rPr>
          <w:rFonts w:asciiTheme="minorHAnsi" w:hAnsiTheme="minorHAnsi"/>
          <w:bCs/>
          <w:snapToGrid w:val="0"/>
          <w:lang w:eastAsia="en-US"/>
        </w:rPr>
        <w:t xml:space="preserve">The Medical Oncology Group of Australia (MOGA) also expressed its strong support for the </w:t>
      </w:r>
      <w:r w:rsidR="008C1E51">
        <w:rPr>
          <w:rFonts w:asciiTheme="minorHAnsi" w:hAnsiTheme="minorHAnsi"/>
          <w:bCs/>
          <w:snapToGrid w:val="0"/>
          <w:lang w:eastAsia="en-US"/>
        </w:rPr>
        <w:t>EV+PEM</w:t>
      </w:r>
      <w:r w:rsidRPr="008C1E51">
        <w:rPr>
          <w:rFonts w:asciiTheme="minorHAnsi" w:hAnsiTheme="minorHAnsi"/>
          <w:bCs/>
          <w:snapToGrid w:val="0"/>
          <w:lang w:eastAsia="en-US"/>
        </w:rPr>
        <w:t xml:space="preserve"> submission, categorising it as one of the therapies of “highest priority for PBS listing” on the basis of the </w:t>
      </w:r>
      <w:r w:rsidR="008C1E51">
        <w:rPr>
          <w:rFonts w:asciiTheme="minorHAnsi" w:hAnsiTheme="minorHAnsi"/>
          <w:bCs/>
          <w:snapToGrid w:val="0"/>
          <w:lang w:eastAsia="en-US"/>
        </w:rPr>
        <w:t>EV-302</w:t>
      </w:r>
      <w:r w:rsidRPr="008C1E51">
        <w:rPr>
          <w:rFonts w:asciiTheme="minorHAnsi" w:hAnsiTheme="minorHAnsi"/>
          <w:bCs/>
          <w:snapToGrid w:val="0"/>
          <w:lang w:eastAsia="en-US"/>
        </w:rPr>
        <w:t xml:space="preserve"> trial. The PBAC noted that the MOGA presented a European Society for Medical Oncology Magnitude of Clinical Benefit Scale (ESMO-MCBS) for </w:t>
      </w:r>
      <w:r w:rsidR="008C1E51">
        <w:rPr>
          <w:rFonts w:asciiTheme="minorHAnsi" w:hAnsiTheme="minorHAnsi"/>
          <w:bCs/>
          <w:snapToGrid w:val="0"/>
          <w:lang w:eastAsia="en-US"/>
        </w:rPr>
        <w:t>EV+PEM</w:t>
      </w:r>
      <w:r w:rsidRPr="008C1E51">
        <w:rPr>
          <w:rFonts w:asciiTheme="minorHAnsi" w:hAnsiTheme="minorHAnsi"/>
          <w:bCs/>
          <w:snapToGrid w:val="0"/>
          <w:lang w:eastAsia="en-US"/>
        </w:rPr>
        <w:t xml:space="preserve">, which was limited to </w:t>
      </w:r>
      <w:r w:rsidR="008C1E51">
        <w:rPr>
          <w:rFonts w:asciiTheme="minorHAnsi" w:hAnsiTheme="minorHAnsi"/>
          <w:bCs/>
          <w:snapToGrid w:val="0"/>
          <w:lang w:eastAsia="en-US"/>
        </w:rPr>
        <w:t>4</w:t>
      </w:r>
      <w:r w:rsidRPr="008C1E51">
        <w:rPr>
          <w:rFonts w:asciiTheme="minorHAnsi" w:hAnsiTheme="minorHAnsi"/>
          <w:bCs/>
          <w:snapToGrid w:val="0"/>
          <w:lang w:eastAsia="en-US"/>
        </w:rPr>
        <w:t xml:space="preserve"> (out of a maximum of 5, where 5 and 4 represent the grades with substantial improvement),</w:t>
      </w:r>
      <w:r w:rsidR="008C1E51">
        <w:rPr>
          <w:rStyle w:val="FootnoteReference"/>
          <w:rFonts w:asciiTheme="minorHAnsi" w:hAnsiTheme="minorHAnsi"/>
          <w:bCs/>
          <w:snapToGrid w:val="0"/>
          <w:lang w:eastAsia="en-US"/>
        </w:rPr>
        <w:footnoteReference w:id="14"/>
      </w:r>
      <w:r w:rsidRPr="008C1E51">
        <w:rPr>
          <w:rFonts w:asciiTheme="minorHAnsi" w:hAnsiTheme="minorHAnsi"/>
          <w:bCs/>
          <w:snapToGrid w:val="0"/>
          <w:lang w:eastAsia="en-US"/>
        </w:rPr>
        <w:t xml:space="preserve"> based on a </w:t>
      </w:r>
      <w:r w:rsidRPr="008C1E51">
        <w:rPr>
          <w:rFonts w:asciiTheme="minorHAnsi" w:hAnsiTheme="minorHAnsi"/>
          <w:bCs/>
          <w:snapToGrid w:val="0"/>
          <w:lang w:eastAsia="en-US"/>
        </w:rPr>
        <w:lastRenderedPageBreak/>
        <w:t xml:space="preserve">comparison with </w:t>
      </w:r>
      <w:proofErr w:type="spellStart"/>
      <w:r w:rsidR="008C1E51">
        <w:rPr>
          <w:rFonts w:asciiTheme="minorHAnsi" w:hAnsiTheme="minorHAnsi"/>
          <w:bCs/>
          <w:snapToGrid w:val="0"/>
          <w:lang w:eastAsia="en-US"/>
        </w:rPr>
        <w:t>Plat+Gem</w:t>
      </w:r>
      <w:proofErr w:type="spellEnd"/>
      <w:r w:rsidRPr="008C1E51">
        <w:rPr>
          <w:rFonts w:asciiTheme="minorHAnsi" w:hAnsiTheme="minorHAnsi"/>
          <w:bCs/>
          <w:snapToGrid w:val="0"/>
          <w:lang w:eastAsia="en-US"/>
        </w:rPr>
        <w:t>.</w:t>
      </w:r>
      <w:r w:rsidR="008C1E51">
        <w:rPr>
          <w:rFonts w:asciiTheme="minorHAnsi" w:hAnsiTheme="minorHAnsi"/>
          <w:bCs/>
          <w:snapToGrid w:val="0"/>
          <w:lang w:eastAsia="en-US"/>
        </w:rPr>
        <w:t xml:space="preserve"> </w:t>
      </w:r>
    </w:p>
    <w:bookmarkEnd w:id="17"/>
    <w:p w14:paraId="06A4641A" w14:textId="0889C4CD" w:rsidR="008D40C6" w:rsidRPr="0098262F" w:rsidRDefault="008D40C6" w:rsidP="008D40C6">
      <w:pPr>
        <w:pStyle w:val="4-SubsectionHeading"/>
      </w:pPr>
      <w:r w:rsidRPr="0098262F">
        <w:t>Clinical trials</w:t>
      </w:r>
      <w:bookmarkEnd w:id="15"/>
      <w:bookmarkEnd w:id="16"/>
    </w:p>
    <w:p w14:paraId="6BA0DB76" w14:textId="77777777" w:rsidR="008D40C6" w:rsidRPr="0098262F" w:rsidRDefault="008D40C6" w:rsidP="008D40C6">
      <w:pPr>
        <w:pStyle w:val="3-BodyText"/>
        <w:rPr>
          <w:color w:val="0066FF"/>
        </w:rPr>
      </w:pPr>
      <w:r w:rsidRPr="0098262F">
        <w:t xml:space="preserve">The submission was based on one head-to-head trial comparing </w:t>
      </w:r>
      <w:r>
        <w:t>EV+PEM</w:t>
      </w:r>
      <w:r w:rsidRPr="0098262F">
        <w:t xml:space="preserve"> </w:t>
      </w:r>
      <w:r>
        <w:t xml:space="preserve">versus </w:t>
      </w:r>
      <w:proofErr w:type="spellStart"/>
      <w:r>
        <w:t>Plat+Gem</w:t>
      </w:r>
      <w:proofErr w:type="spellEnd"/>
      <w:r w:rsidRPr="0098262F">
        <w:t xml:space="preserve"> </w:t>
      </w:r>
      <w:r>
        <w:t xml:space="preserve">in previously untreated la/mUC patients </w:t>
      </w:r>
      <w:r w:rsidRPr="0098262F">
        <w:t>(n=</w:t>
      </w:r>
      <w:r>
        <w:t>886</w:t>
      </w:r>
      <w:r w:rsidRPr="0098262F">
        <w:t>)</w:t>
      </w:r>
      <w:r>
        <w:t>,</w:t>
      </w:r>
      <w:r w:rsidRPr="0098262F">
        <w:t xml:space="preserve"> </w:t>
      </w:r>
      <w:r>
        <w:t>the EV-302 trial</w:t>
      </w:r>
      <w:r w:rsidRPr="0098262F">
        <w:t xml:space="preserve">. </w:t>
      </w:r>
    </w:p>
    <w:p w14:paraId="1510298B" w14:textId="16E62903" w:rsidR="008D40C6" w:rsidRPr="0098262F" w:rsidRDefault="008D40C6" w:rsidP="008D40C6">
      <w:pPr>
        <w:pStyle w:val="3-BodyText"/>
      </w:pPr>
      <w:r w:rsidRPr="0098262F">
        <w:t xml:space="preserve">Details of the trial presented in the submission are provided in </w:t>
      </w:r>
      <w:r w:rsidRPr="0098262F">
        <w:fldChar w:fldCharType="begin" w:fldLock="1"/>
      </w:r>
      <w:r w:rsidRPr="0098262F">
        <w:instrText xml:space="preserve"> REF _Ref104803956 \h </w:instrText>
      </w:r>
      <w:r w:rsidRPr="0098262F">
        <w:fldChar w:fldCharType="separate"/>
      </w:r>
      <w:r w:rsidR="00FE0BD6" w:rsidRPr="0098262F">
        <w:t xml:space="preserve">Table </w:t>
      </w:r>
      <w:r w:rsidR="00FE0BD6">
        <w:rPr>
          <w:noProof/>
        </w:rPr>
        <w:t>2</w:t>
      </w:r>
      <w:r w:rsidRPr="0098262F">
        <w:fldChar w:fldCharType="end"/>
      </w:r>
      <w:r w:rsidRPr="0098262F">
        <w:t xml:space="preserve">. </w:t>
      </w:r>
    </w:p>
    <w:p w14:paraId="28166DB9" w14:textId="67FD1FDF" w:rsidR="008D40C6" w:rsidRPr="0098262F" w:rsidRDefault="008D40C6" w:rsidP="008D40C6">
      <w:pPr>
        <w:pStyle w:val="TableFigureHeading"/>
        <w:rPr>
          <w:rStyle w:val="CommentReference"/>
          <w:b/>
          <w:szCs w:val="24"/>
        </w:rPr>
      </w:pPr>
      <w:bookmarkStart w:id="19" w:name="_Ref104803956"/>
      <w:r w:rsidRPr="0098262F">
        <w:lastRenderedPageBreak/>
        <w:t xml:space="preserve">Table </w:t>
      </w:r>
      <w:r>
        <w:fldChar w:fldCharType="begin" w:fldLock="1"/>
      </w:r>
      <w:r>
        <w:instrText xml:space="preserve"> SEQ Table \* ARABIC </w:instrText>
      </w:r>
      <w:r>
        <w:fldChar w:fldCharType="separate"/>
      </w:r>
      <w:r w:rsidR="00FE0BD6">
        <w:rPr>
          <w:noProof/>
        </w:rPr>
        <w:t>2</w:t>
      </w:r>
      <w:r>
        <w:rPr>
          <w:noProof/>
        </w:rPr>
        <w:fldChar w:fldCharType="end"/>
      </w:r>
      <w:bookmarkEnd w:id="19"/>
      <w:r w:rsidRPr="0098262F">
        <w:t>:</w:t>
      </w:r>
      <w:r w:rsidRPr="0098262F">
        <w:rPr>
          <w:rStyle w:val="CommentReference"/>
          <w:b/>
          <w:szCs w:val="24"/>
        </w:rPr>
        <w:t xml:space="preserve">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224"/>
        <w:gridCol w:w="2359"/>
      </w:tblGrid>
      <w:tr w:rsidR="008D40C6" w:rsidRPr="0098262F" w14:paraId="1666BE8C" w14:textId="77777777" w:rsidTr="0043244E">
        <w:trPr>
          <w:cantSplit/>
          <w:tblHeader/>
        </w:trPr>
        <w:tc>
          <w:tcPr>
            <w:tcW w:w="795" w:type="pct"/>
            <w:vAlign w:val="center"/>
          </w:tcPr>
          <w:p w14:paraId="7F7C1CD5" w14:textId="77777777" w:rsidR="008D40C6" w:rsidRPr="0098262F" w:rsidRDefault="008D40C6" w:rsidP="005E4D14">
            <w:pPr>
              <w:pStyle w:val="In-tableHeading"/>
            </w:pPr>
            <w:r w:rsidRPr="0098262F">
              <w:t>Trial ID</w:t>
            </w:r>
          </w:p>
        </w:tc>
        <w:tc>
          <w:tcPr>
            <w:tcW w:w="2897" w:type="pct"/>
            <w:vAlign w:val="center"/>
          </w:tcPr>
          <w:p w14:paraId="576B1449" w14:textId="77777777" w:rsidR="008D40C6" w:rsidRPr="0098262F" w:rsidRDefault="008D40C6" w:rsidP="005E4D14">
            <w:pPr>
              <w:pStyle w:val="In-tableHeading"/>
            </w:pPr>
            <w:r w:rsidRPr="0098262F">
              <w:t>Protocol title/ Publication title</w:t>
            </w:r>
          </w:p>
        </w:tc>
        <w:tc>
          <w:tcPr>
            <w:tcW w:w="1308" w:type="pct"/>
            <w:vAlign w:val="center"/>
          </w:tcPr>
          <w:p w14:paraId="41F60691" w14:textId="77777777" w:rsidR="008D40C6" w:rsidRPr="0098262F" w:rsidRDefault="008D40C6" w:rsidP="005E4D14">
            <w:pPr>
              <w:pStyle w:val="In-tableHeading"/>
            </w:pPr>
            <w:r w:rsidRPr="0098262F">
              <w:t>Publication citation</w:t>
            </w:r>
          </w:p>
        </w:tc>
      </w:tr>
      <w:tr w:rsidR="008D40C6" w:rsidRPr="0098262F" w14:paraId="4DE31F2A" w14:textId="77777777" w:rsidTr="0043244E">
        <w:trPr>
          <w:cantSplit/>
          <w:tblHeader/>
        </w:trPr>
        <w:tc>
          <w:tcPr>
            <w:tcW w:w="795" w:type="pct"/>
            <w:vMerge w:val="restart"/>
            <w:vAlign w:val="center"/>
          </w:tcPr>
          <w:p w14:paraId="7EA8BA7A" w14:textId="77777777" w:rsidR="008D40C6" w:rsidRDefault="008D40C6" w:rsidP="005E4D14">
            <w:pPr>
              <w:pStyle w:val="TableText0"/>
            </w:pPr>
            <w:r>
              <w:t>EV-302</w:t>
            </w:r>
          </w:p>
          <w:p w14:paraId="2A06CE50" w14:textId="77777777" w:rsidR="008D40C6" w:rsidRPr="0031019F" w:rsidRDefault="008D40C6" w:rsidP="005E4D14">
            <w:pPr>
              <w:pStyle w:val="TableText0"/>
            </w:pPr>
            <w:r>
              <w:t>NCT04223856</w:t>
            </w:r>
          </w:p>
        </w:tc>
        <w:tc>
          <w:tcPr>
            <w:tcW w:w="2897" w:type="pct"/>
            <w:vAlign w:val="center"/>
          </w:tcPr>
          <w:p w14:paraId="62258D6E" w14:textId="77777777" w:rsidR="008D40C6" w:rsidRPr="00C938C0" w:rsidRDefault="008D40C6" w:rsidP="005E4D14">
            <w:pPr>
              <w:pStyle w:val="In-tableHeading"/>
              <w:rPr>
                <w:b w:val="0"/>
                <w:bCs/>
              </w:rPr>
            </w:pPr>
            <w:r w:rsidRPr="002D1C5D">
              <w:rPr>
                <w:b w:val="0"/>
                <w:bCs/>
                <w:lang w:val="en-AU"/>
              </w:rPr>
              <w:t>Powles, T., Valderrama, B. P., Gupta, S., Bedke, J., Kikuchi, E., Hoffman-</w:t>
            </w:r>
            <w:proofErr w:type="spellStart"/>
            <w:r w:rsidRPr="002D1C5D">
              <w:rPr>
                <w:b w:val="0"/>
                <w:bCs/>
                <w:lang w:val="en-AU"/>
              </w:rPr>
              <w:t>Censits</w:t>
            </w:r>
            <w:proofErr w:type="spellEnd"/>
            <w:r w:rsidRPr="002D1C5D">
              <w:rPr>
                <w:b w:val="0"/>
                <w:bCs/>
                <w:lang w:val="en-AU"/>
              </w:rPr>
              <w:t xml:space="preserve">, J., Iyer, G., </w:t>
            </w:r>
            <w:proofErr w:type="spellStart"/>
            <w:r w:rsidRPr="002D1C5D">
              <w:rPr>
                <w:b w:val="0"/>
                <w:bCs/>
                <w:lang w:val="en-AU"/>
              </w:rPr>
              <w:t>Vulsteke</w:t>
            </w:r>
            <w:proofErr w:type="spellEnd"/>
            <w:r w:rsidRPr="002D1C5D">
              <w:rPr>
                <w:b w:val="0"/>
                <w:bCs/>
                <w:lang w:val="en-AU"/>
              </w:rPr>
              <w:t xml:space="preserve">, C. A.-O., Park, S. H., Shin, S. J., Castellano, D., </w:t>
            </w:r>
            <w:proofErr w:type="spellStart"/>
            <w:r w:rsidRPr="002D1C5D">
              <w:rPr>
                <w:b w:val="0"/>
                <w:bCs/>
                <w:lang w:val="en-AU"/>
              </w:rPr>
              <w:t>Fornarini</w:t>
            </w:r>
            <w:proofErr w:type="spellEnd"/>
            <w:r w:rsidRPr="002D1C5D">
              <w:rPr>
                <w:b w:val="0"/>
                <w:bCs/>
                <w:lang w:val="en-AU"/>
              </w:rPr>
              <w:t xml:space="preserve">, G., Li, J. R., Gümüş, M., Mar, N., </w:t>
            </w:r>
            <w:proofErr w:type="spellStart"/>
            <w:r w:rsidRPr="002D1C5D">
              <w:rPr>
                <w:b w:val="0"/>
                <w:bCs/>
                <w:lang w:val="en-AU"/>
              </w:rPr>
              <w:t>Loriot</w:t>
            </w:r>
            <w:proofErr w:type="spellEnd"/>
            <w:r w:rsidRPr="002D1C5D">
              <w:rPr>
                <w:b w:val="0"/>
                <w:bCs/>
                <w:lang w:val="en-AU"/>
              </w:rPr>
              <w:t xml:space="preserve">, Y., </w:t>
            </w:r>
            <w:proofErr w:type="spellStart"/>
            <w:r w:rsidRPr="002D1C5D">
              <w:rPr>
                <w:b w:val="0"/>
                <w:bCs/>
                <w:lang w:val="en-AU"/>
              </w:rPr>
              <w:t>Fléchon</w:t>
            </w:r>
            <w:proofErr w:type="spellEnd"/>
            <w:r w:rsidRPr="002D1C5D">
              <w:rPr>
                <w:b w:val="0"/>
                <w:bCs/>
                <w:lang w:val="en-AU"/>
              </w:rPr>
              <w:t xml:space="preserve">, A., Duran, I., </w:t>
            </w:r>
            <w:proofErr w:type="spellStart"/>
            <w:r w:rsidRPr="002D1C5D">
              <w:rPr>
                <w:b w:val="0"/>
                <w:bCs/>
                <w:lang w:val="en-AU"/>
              </w:rPr>
              <w:t>Drakaki</w:t>
            </w:r>
            <w:proofErr w:type="spellEnd"/>
            <w:r w:rsidRPr="002D1C5D">
              <w:rPr>
                <w:b w:val="0"/>
                <w:bCs/>
                <w:lang w:val="en-AU"/>
              </w:rPr>
              <w:t>, A., Narayanan, S., Yu, X., Gorla, S., Moreno, B., Van der Heijden, M. S.</w:t>
            </w:r>
            <w:r w:rsidRPr="00C938C0">
              <w:rPr>
                <w:b w:val="0"/>
                <w:bCs/>
              </w:rPr>
              <w:t xml:space="preserve"> Enfortumab Vedotin and Pembrolizumab in Untreated Advanced Urothelial Cancer</w:t>
            </w:r>
          </w:p>
        </w:tc>
        <w:tc>
          <w:tcPr>
            <w:tcW w:w="1308" w:type="pct"/>
            <w:vAlign w:val="center"/>
          </w:tcPr>
          <w:p w14:paraId="55AFA1E8" w14:textId="77777777" w:rsidR="008D40C6" w:rsidRPr="00DD0956" w:rsidRDefault="008D40C6" w:rsidP="005E4D14">
            <w:pPr>
              <w:pStyle w:val="In-tableHeading"/>
              <w:rPr>
                <w:b w:val="0"/>
                <w:bCs/>
                <w:lang w:val="en-AU"/>
              </w:rPr>
            </w:pPr>
            <w:r w:rsidRPr="00DD0956">
              <w:rPr>
                <w:b w:val="0"/>
                <w:bCs/>
                <w:i/>
                <w:iCs/>
              </w:rPr>
              <w:t xml:space="preserve">The New England Journal of Medicine </w:t>
            </w:r>
            <w:r w:rsidRPr="00DD0956">
              <w:rPr>
                <w:b w:val="0"/>
                <w:bCs/>
              </w:rPr>
              <w:t xml:space="preserve">2024; 390(10): 875-888. </w:t>
            </w:r>
          </w:p>
        </w:tc>
      </w:tr>
      <w:tr w:rsidR="008D40C6" w:rsidRPr="0098262F" w14:paraId="57F459EE" w14:textId="77777777" w:rsidTr="0043244E">
        <w:trPr>
          <w:cantSplit/>
          <w:tblHeader/>
        </w:trPr>
        <w:tc>
          <w:tcPr>
            <w:tcW w:w="795" w:type="pct"/>
            <w:vMerge/>
            <w:vAlign w:val="center"/>
          </w:tcPr>
          <w:p w14:paraId="1D2F7EF4" w14:textId="77777777" w:rsidR="008D40C6" w:rsidRPr="0098262F" w:rsidRDefault="008D40C6" w:rsidP="005E4D14">
            <w:pPr>
              <w:pStyle w:val="TableText0"/>
            </w:pPr>
          </w:p>
        </w:tc>
        <w:tc>
          <w:tcPr>
            <w:tcW w:w="2897" w:type="pct"/>
            <w:vAlign w:val="center"/>
          </w:tcPr>
          <w:p w14:paraId="4226114F" w14:textId="77777777" w:rsidR="008D40C6" w:rsidRPr="00C938C0" w:rsidRDefault="008D40C6" w:rsidP="005E4D14">
            <w:pPr>
              <w:pStyle w:val="In-tableHeading"/>
              <w:rPr>
                <w:b w:val="0"/>
                <w:bCs/>
              </w:rPr>
            </w:pPr>
            <w:r w:rsidRPr="002D1C5D">
              <w:rPr>
                <w:b w:val="0"/>
                <w:bCs/>
                <w:lang w:val="en-AU"/>
              </w:rPr>
              <w:t xml:space="preserve">Van Der Heijden, M. S., Powles, T., Gupta, S., Bedke, J., Kikuchi, E., De Wit, R., </w:t>
            </w:r>
            <w:proofErr w:type="spellStart"/>
            <w:r w:rsidRPr="002D1C5D">
              <w:rPr>
                <w:b w:val="0"/>
                <w:bCs/>
                <w:lang w:val="en-AU"/>
              </w:rPr>
              <w:t>Galsky</w:t>
            </w:r>
            <w:proofErr w:type="spellEnd"/>
            <w:r w:rsidRPr="002D1C5D">
              <w:rPr>
                <w:b w:val="0"/>
                <w:bCs/>
                <w:lang w:val="en-AU"/>
              </w:rPr>
              <w:t>, M. D., Duran, I., Necchi, A., Retz, M., Yu, E. Y., Hoffman-</w:t>
            </w:r>
            <w:proofErr w:type="spellStart"/>
            <w:r w:rsidRPr="002D1C5D">
              <w:rPr>
                <w:b w:val="0"/>
                <w:bCs/>
                <w:lang w:val="en-AU"/>
              </w:rPr>
              <w:t>Censits</w:t>
            </w:r>
            <w:proofErr w:type="spellEnd"/>
            <w:r w:rsidRPr="002D1C5D">
              <w:rPr>
                <w:b w:val="0"/>
                <w:bCs/>
                <w:lang w:val="en-AU"/>
              </w:rPr>
              <w:t>, J. H., Iyer, G., Park, S. H., Su, W.-P., Parmar, H., Guan, X., Gorla, S. R., Moreno, B., Valderrama, B. P.</w:t>
            </w:r>
            <w:r>
              <w:rPr>
                <w:b w:val="0"/>
                <w:bCs/>
                <w:lang w:val="en-AU"/>
              </w:rPr>
              <w:t xml:space="preserve"> </w:t>
            </w:r>
            <w:r w:rsidRPr="00C938C0">
              <w:rPr>
                <w:b w:val="0"/>
                <w:bCs/>
              </w:rPr>
              <w:t>Enfortumab vedotin (EV) in combination with pembrolizumab (P) versus chemotherapy in previously untreated locally advanced metastatic urothelial carcinoma (la/mUC): Subgroup analyses results from EV-302, a phase 3 global study.</w:t>
            </w:r>
          </w:p>
        </w:tc>
        <w:tc>
          <w:tcPr>
            <w:tcW w:w="1308" w:type="pct"/>
            <w:vAlign w:val="center"/>
          </w:tcPr>
          <w:p w14:paraId="4972E628" w14:textId="77777777" w:rsidR="008D40C6" w:rsidRPr="00DD0956" w:rsidRDefault="008D40C6" w:rsidP="005E4D14">
            <w:pPr>
              <w:pStyle w:val="In-tableHeading"/>
              <w:rPr>
                <w:b w:val="0"/>
                <w:bCs/>
              </w:rPr>
            </w:pPr>
            <w:r w:rsidRPr="00DD0956">
              <w:rPr>
                <w:b w:val="0"/>
                <w:bCs/>
                <w:i/>
                <w:iCs/>
              </w:rPr>
              <w:t>Journal of Clinical Oncology</w:t>
            </w:r>
            <w:r w:rsidRPr="00DD0956">
              <w:rPr>
                <w:b w:val="0"/>
                <w:bCs/>
              </w:rPr>
              <w:t xml:space="preserve"> 2024; 42(4_suppl)</w:t>
            </w:r>
          </w:p>
        </w:tc>
      </w:tr>
      <w:tr w:rsidR="008D40C6" w:rsidRPr="0098262F" w14:paraId="5B207400" w14:textId="77777777" w:rsidTr="0043244E">
        <w:trPr>
          <w:cantSplit/>
          <w:tblHeader/>
        </w:trPr>
        <w:tc>
          <w:tcPr>
            <w:tcW w:w="795" w:type="pct"/>
            <w:vMerge/>
            <w:vAlign w:val="center"/>
          </w:tcPr>
          <w:p w14:paraId="542AF1A7" w14:textId="77777777" w:rsidR="008D40C6" w:rsidRPr="0098262F" w:rsidRDefault="008D40C6" w:rsidP="005E4D14">
            <w:pPr>
              <w:pStyle w:val="TableText0"/>
            </w:pPr>
          </w:p>
        </w:tc>
        <w:tc>
          <w:tcPr>
            <w:tcW w:w="2897" w:type="pct"/>
            <w:vAlign w:val="center"/>
          </w:tcPr>
          <w:p w14:paraId="0E85669E" w14:textId="77777777" w:rsidR="008D40C6" w:rsidRPr="00C938C0" w:rsidRDefault="008D40C6" w:rsidP="005E4D14">
            <w:pPr>
              <w:pStyle w:val="In-tableHeading"/>
              <w:rPr>
                <w:b w:val="0"/>
                <w:bCs/>
              </w:rPr>
            </w:pPr>
            <w:r w:rsidRPr="002D1C5D">
              <w:rPr>
                <w:b w:val="0"/>
                <w:bCs/>
                <w:lang w:val="en-AU"/>
              </w:rPr>
              <w:t>Powles, T. B., Perez Valderrama, B., Gupta, S., Bedke, J., Kikuchi, E., Hoffman-</w:t>
            </w:r>
            <w:proofErr w:type="spellStart"/>
            <w:r w:rsidRPr="002D1C5D">
              <w:rPr>
                <w:b w:val="0"/>
                <w:bCs/>
                <w:lang w:val="en-AU"/>
              </w:rPr>
              <w:t>Censits</w:t>
            </w:r>
            <w:proofErr w:type="spellEnd"/>
            <w:r w:rsidRPr="002D1C5D">
              <w:rPr>
                <w:b w:val="0"/>
                <w:bCs/>
                <w:lang w:val="en-AU"/>
              </w:rPr>
              <w:t xml:space="preserve">, J., Iyer, G., </w:t>
            </w:r>
            <w:proofErr w:type="spellStart"/>
            <w:r w:rsidRPr="002D1C5D">
              <w:rPr>
                <w:b w:val="0"/>
                <w:bCs/>
                <w:lang w:val="en-AU"/>
              </w:rPr>
              <w:t>Vulsteke</w:t>
            </w:r>
            <w:proofErr w:type="spellEnd"/>
            <w:r w:rsidRPr="002D1C5D">
              <w:rPr>
                <w:b w:val="0"/>
                <w:bCs/>
                <w:lang w:val="en-AU"/>
              </w:rPr>
              <w:t xml:space="preserve">, C., Park, S. H., Shin, S. J., Castellano Gauna, D. E., </w:t>
            </w:r>
            <w:proofErr w:type="spellStart"/>
            <w:r w:rsidRPr="002D1C5D">
              <w:rPr>
                <w:b w:val="0"/>
                <w:bCs/>
                <w:lang w:val="en-AU"/>
              </w:rPr>
              <w:t>Fornarini</w:t>
            </w:r>
            <w:proofErr w:type="spellEnd"/>
            <w:r w:rsidRPr="002D1C5D">
              <w:rPr>
                <w:b w:val="0"/>
                <w:bCs/>
                <w:lang w:val="en-AU"/>
              </w:rPr>
              <w:t>, G., Li, J. R., Gumus, M., Mar, N., Narayanan, S., Yu, X., Gorla, S., Moreno, B., Van der Heijden, M. S.</w:t>
            </w:r>
            <w:r w:rsidRPr="00C938C0">
              <w:rPr>
                <w:b w:val="0"/>
                <w:bCs/>
              </w:rPr>
              <w:t xml:space="preserve"> 211MO EV-302/KEYNOTE-A39: Open-label, randomized phase III study of enfortumab vedotin in combination with pembrolizumab (EV+P) vs chemotherapy (Chemo) in previously untreated locally advanced metastatic urothelial carcinoma (la/mUC).</w:t>
            </w:r>
          </w:p>
        </w:tc>
        <w:tc>
          <w:tcPr>
            <w:tcW w:w="1308" w:type="pct"/>
            <w:vAlign w:val="center"/>
          </w:tcPr>
          <w:p w14:paraId="2EBE71CC" w14:textId="77777777" w:rsidR="008D40C6" w:rsidRPr="00DD0956" w:rsidRDefault="008D40C6" w:rsidP="005E4D14">
            <w:pPr>
              <w:pStyle w:val="In-tableHeading"/>
              <w:rPr>
                <w:b w:val="0"/>
                <w:bCs/>
              </w:rPr>
            </w:pPr>
            <w:r w:rsidRPr="00DD0956">
              <w:rPr>
                <w:b w:val="0"/>
                <w:bCs/>
                <w:i/>
                <w:iCs/>
              </w:rPr>
              <w:t xml:space="preserve">Annals of Oncology </w:t>
            </w:r>
            <w:r w:rsidRPr="00DD0956">
              <w:rPr>
                <w:b w:val="0"/>
                <w:bCs/>
              </w:rPr>
              <w:t>2023; 34: S1557-S1558</w:t>
            </w:r>
          </w:p>
        </w:tc>
      </w:tr>
      <w:tr w:rsidR="008D40C6" w:rsidRPr="0098262F" w14:paraId="40E94BBB" w14:textId="77777777" w:rsidTr="0043244E">
        <w:trPr>
          <w:cantSplit/>
          <w:tblHeader/>
        </w:trPr>
        <w:tc>
          <w:tcPr>
            <w:tcW w:w="795" w:type="pct"/>
            <w:vMerge/>
            <w:vAlign w:val="center"/>
          </w:tcPr>
          <w:p w14:paraId="070F1C7D" w14:textId="77777777" w:rsidR="008D40C6" w:rsidRPr="0098262F" w:rsidRDefault="008D40C6" w:rsidP="005E4D14">
            <w:pPr>
              <w:pStyle w:val="TableText0"/>
            </w:pPr>
          </w:p>
        </w:tc>
        <w:tc>
          <w:tcPr>
            <w:tcW w:w="2897" w:type="pct"/>
            <w:vAlign w:val="center"/>
          </w:tcPr>
          <w:p w14:paraId="69C49DE1" w14:textId="77777777" w:rsidR="008D40C6" w:rsidRPr="00C938C0" w:rsidRDefault="008D40C6" w:rsidP="005E4D14">
            <w:pPr>
              <w:pStyle w:val="In-tableHeading"/>
              <w:rPr>
                <w:b w:val="0"/>
                <w:bCs/>
              </w:rPr>
            </w:pPr>
            <w:r w:rsidRPr="002D1C5D">
              <w:rPr>
                <w:b w:val="0"/>
                <w:bCs/>
                <w:lang w:val="en-AU"/>
              </w:rPr>
              <w:t>Powles, T. B., Perez Valderrama, B., Gupta, S., Bedke, J., Kikuchi, E., Hoffman-</w:t>
            </w:r>
            <w:proofErr w:type="spellStart"/>
            <w:r w:rsidRPr="002D1C5D">
              <w:rPr>
                <w:b w:val="0"/>
                <w:bCs/>
                <w:lang w:val="en-AU"/>
              </w:rPr>
              <w:t>Censits</w:t>
            </w:r>
            <w:proofErr w:type="spellEnd"/>
            <w:r w:rsidRPr="002D1C5D">
              <w:rPr>
                <w:b w:val="0"/>
                <w:bCs/>
                <w:lang w:val="en-AU"/>
              </w:rPr>
              <w:t xml:space="preserve">, J., Iyer, G., </w:t>
            </w:r>
            <w:proofErr w:type="spellStart"/>
            <w:r w:rsidRPr="002D1C5D">
              <w:rPr>
                <w:b w:val="0"/>
                <w:bCs/>
                <w:lang w:val="en-AU"/>
              </w:rPr>
              <w:t>Vulsteke</w:t>
            </w:r>
            <w:proofErr w:type="spellEnd"/>
            <w:r w:rsidRPr="002D1C5D">
              <w:rPr>
                <w:b w:val="0"/>
                <w:bCs/>
                <w:lang w:val="en-AU"/>
              </w:rPr>
              <w:t xml:space="preserve">, C., Park, S. H., Shin, S. J., Castellano Gauna, D. E., </w:t>
            </w:r>
            <w:proofErr w:type="spellStart"/>
            <w:r w:rsidRPr="002D1C5D">
              <w:rPr>
                <w:b w:val="0"/>
                <w:bCs/>
                <w:lang w:val="en-AU"/>
              </w:rPr>
              <w:t>Fornarini</w:t>
            </w:r>
            <w:proofErr w:type="spellEnd"/>
            <w:r w:rsidRPr="002D1C5D">
              <w:rPr>
                <w:b w:val="0"/>
                <w:bCs/>
                <w:lang w:val="en-AU"/>
              </w:rPr>
              <w:t>, G., Li, J. R., Gumus, M., Mar, N., Narayanan, S., Yu, X., Gorla, S., Moreno, B. M. S., Van der Heijden, M. S.</w:t>
            </w:r>
            <w:r>
              <w:rPr>
                <w:b w:val="0"/>
                <w:bCs/>
                <w:lang w:val="en-AU"/>
              </w:rPr>
              <w:t xml:space="preserve"> </w:t>
            </w:r>
            <w:r w:rsidRPr="00C938C0">
              <w:rPr>
                <w:b w:val="0"/>
                <w:bCs/>
              </w:rPr>
              <w:t>LBA6 EV-302/KEYNOTE-A39: Open-label, randomized phase III study of enfortumab vedotin in combination with pembrolizumab (EV+P) vs chemotherapy (Chemo) in previously untreated locally advanced metastatic urothelial carcinoma (la/mUC)</w:t>
            </w:r>
          </w:p>
        </w:tc>
        <w:tc>
          <w:tcPr>
            <w:tcW w:w="1308" w:type="pct"/>
            <w:vAlign w:val="center"/>
          </w:tcPr>
          <w:p w14:paraId="36E9C2F7" w14:textId="77777777" w:rsidR="008D40C6" w:rsidRPr="00DD0956" w:rsidRDefault="008D40C6" w:rsidP="005E4D14">
            <w:pPr>
              <w:pStyle w:val="In-tableHeading"/>
              <w:rPr>
                <w:b w:val="0"/>
                <w:bCs/>
              </w:rPr>
            </w:pPr>
            <w:r w:rsidRPr="00DD0956">
              <w:rPr>
                <w:b w:val="0"/>
                <w:bCs/>
                <w:i/>
                <w:iCs/>
              </w:rPr>
              <w:t>Annals of Oncology</w:t>
            </w:r>
            <w:r w:rsidRPr="00DD0956">
              <w:rPr>
                <w:b w:val="0"/>
                <w:bCs/>
              </w:rPr>
              <w:t xml:space="preserve"> 2023; 34: S1340</w:t>
            </w:r>
          </w:p>
        </w:tc>
      </w:tr>
      <w:tr w:rsidR="008D40C6" w:rsidRPr="0098262F" w14:paraId="550B9E97" w14:textId="77777777" w:rsidTr="0043244E">
        <w:trPr>
          <w:cantSplit/>
        </w:trPr>
        <w:tc>
          <w:tcPr>
            <w:tcW w:w="795" w:type="pct"/>
            <w:vMerge/>
            <w:vAlign w:val="center"/>
          </w:tcPr>
          <w:p w14:paraId="510B2225" w14:textId="77777777" w:rsidR="008D40C6" w:rsidRPr="0098262F" w:rsidRDefault="008D40C6" w:rsidP="005E4D14">
            <w:pPr>
              <w:pStyle w:val="TableText0"/>
            </w:pPr>
          </w:p>
        </w:tc>
        <w:tc>
          <w:tcPr>
            <w:tcW w:w="2897" w:type="pct"/>
            <w:vAlign w:val="center"/>
          </w:tcPr>
          <w:p w14:paraId="3329BDC8" w14:textId="77777777" w:rsidR="008D40C6" w:rsidRPr="00C938C0" w:rsidRDefault="008D40C6" w:rsidP="005E4D14">
            <w:pPr>
              <w:pStyle w:val="TableText0"/>
            </w:pPr>
            <w:r w:rsidRPr="002D1C5D">
              <w:t xml:space="preserve">Van Der Heijden, M. S., Gupta, S., </w:t>
            </w:r>
            <w:proofErr w:type="spellStart"/>
            <w:r w:rsidRPr="002D1C5D">
              <w:t>Galsky</w:t>
            </w:r>
            <w:proofErr w:type="spellEnd"/>
            <w:r w:rsidRPr="002D1C5D">
              <w:t>, M. D., Derleth, C. L., Lee, S., Kataria, R. S., Powles, T.</w:t>
            </w:r>
            <w:r>
              <w:t xml:space="preserve"> </w:t>
            </w:r>
            <w:r w:rsidRPr="00C938C0">
              <w:t>Study EV-302: A two-arm, open-label, randomized controlled phase 3 study of enfortumab vedotin in combination with pembrolizumab versus chemotherapy in previously untreated advanced urothelial carcinoma (</w:t>
            </w:r>
            <w:proofErr w:type="spellStart"/>
            <w:r w:rsidRPr="00C938C0">
              <w:t>aUC</w:t>
            </w:r>
            <w:proofErr w:type="spellEnd"/>
            <w:r w:rsidRPr="00C938C0">
              <w:t>) (trial in progress)."</w:t>
            </w:r>
          </w:p>
        </w:tc>
        <w:tc>
          <w:tcPr>
            <w:tcW w:w="1308" w:type="pct"/>
            <w:vAlign w:val="center"/>
          </w:tcPr>
          <w:p w14:paraId="6362816A" w14:textId="77777777" w:rsidR="008D40C6" w:rsidRPr="0098262F" w:rsidRDefault="008D40C6" w:rsidP="005E4D14">
            <w:pPr>
              <w:pStyle w:val="TableText0"/>
              <w:rPr>
                <w:rFonts w:ascii="Times" w:hAnsi="Times"/>
              </w:rPr>
            </w:pPr>
            <w:r w:rsidRPr="00E430BD">
              <w:rPr>
                <w:i/>
                <w:iCs/>
              </w:rPr>
              <w:t>Journal of Clinical Oncology</w:t>
            </w:r>
            <w:r w:rsidRPr="00DD3574">
              <w:t xml:space="preserve"> </w:t>
            </w:r>
            <w:r>
              <w:t xml:space="preserve">2022; </w:t>
            </w:r>
            <w:r w:rsidRPr="00DD3574">
              <w:t>40(6_suppl): TPS589-TPS589.</w:t>
            </w:r>
          </w:p>
        </w:tc>
      </w:tr>
      <w:tr w:rsidR="008D40C6" w:rsidRPr="0098262F" w14:paraId="391A3357" w14:textId="77777777" w:rsidTr="0043244E">
        <w:trPr>
          <w:cantSplit/>
        </w:trPr>
        <w:tc>
          <w:tcPr>
            <w:tcW w:w="795" w:type="pct"/>
            <w:vMerge/>
            <w:vAlign w:val="center"/>
          </w:tcPr>
          <w:p w14:paraId="39CFF3F4" w14:textId="77777777" w:rsidR="008D40C6" w:rsidRPr="0098262F" w:rsidRDefault="008D40C6" w:rsidP="005E4D14">
            <w:pPr>
              <w:pStyle w:val="TableText0"/>
            </w:pPr>
          </w:p>
        </w:tc>
        <w:tc>
          <w:tcPr>
            <w:tcW w:w="2897" w:type="pct"/>
            <w:vAlign w:val="center"/>
          </w:tcPr>
          <w:p w14:paraId="79CE9D19" w14:textId="77777777" w:rsidR="008D40C6" w:rsidRPr="00C938C0" w:rsidRDefault="008D40C6" w:rsidP="005E4D14">
            <w:pPr>
              <w:pStyle w:val="TableText0"/>
            </w:pPr>
            <w:r w:rsidRPr="002D1C5D">
              <w:t xml:space="preserve">Van der Heijden, M. S., Gupta, S., </w:t>
            </w:r>
            <w:proofErr w:type="spellStart"/>
            <w:r w:rsidRPr="002D1C5D">
              <w:t>Galsky</w:t>
            </w:r>
            <w:proofErr w:type="spellEnd"/>
            <w:r w:rsidRPr="002D1C5D">
              <w:t>, M. D., Derleth, C., Steinberg, J., Kataria, R., Powles, T. B.</w:t>
            </w:r>
            <w:r>
              <w:t xml:space="preserve"> </w:t>
            </w:r>
            <w:r w:rsidRPr="00C938C0">
              <w:t>798TiP Study EV-302: A 3-arm, open-label, randomized phase III study of enfortumab vedotin plus pembrolizumab and/or chemotherapy, versus chemotherapy alone, in untreated locally advanced or metastatic urothelial cancer</w:t>
            </w:r>
          </w:p>
        </w:tc>
        <w:tc>
          <w:tcPr>
            <w:tcW w:w="1308" w:type="pct"/>
            <w:vAlign w:val="center"/>
          </w:tcPr>
          <w:p w14:paraId="066DB089" w14:textId="77777777" w:rsidR="008D40C6" w:rsidRPr="0098262F" w:rsidRDefault="008D40C6" w:rsidP="005E4D14">
            <w:pPr>
              <w:pStyle w:val="TableText0"/>
            </w:pPr>
            <w:r w:rsidRPr="00E430BD">
              <w:rPr>
                <w:i/>
                <w:iCs/>
              </w:rPr>
              <w:t>Annals of Oncology</w:t>
            </w:r>
            <w:r w:rsidRPr="000D0122">
              <w:t xml:space="preserve"> </w:t>
            </w:r>
            <w:r>
              <w:t xml:space="preserve">2020; </w:t>
            </w:r>
            <w:r w:rsidRPr="000D0122">
              <w:t>31: S605-S606.</w:t>
            </w:r>
          </w:p>
        </w:tc>
      </w:tr>
      <w:tr w:rsidR="008D40C6" w:rsidRPr="0098262F" w14:paraId="0152D1FD" w14:textId="77777777" w:rsidTr="0043244E">
        <w:trPr>
          <w:cantSplit/>
        </w:trPr>
        <w:tc>
          <w:tcPr>
            <w:tcW w:w="795" w:type="pct"/>
            <w:vMerge/>
            <w:vAlign w:val="center"/>
          </w:tcPr>
          <w:p w14:paraId="3D305398" w14:textId="77777777" w:rsidR="008D40C6" w:rsidRPr="0098262F" w:rsidRDefault="008D40C6" w:rsidP="005E4D14">
            <w:pPr>
              <w:pStyle w:val="TableText0"/>
            </w:pPr>
          </w:p>
        </w:tc>
        <w:tc>
          <w:tcPr>
            <w:tcW w:w="2897" w:type="pct"/>
            <w:vAlign w:val="center"/>
          </w:tcPr>
          <w:p w14:paraId="0203B089" w14:textId="77777777" w:rsidR="008D40C6" w:rsidRPr="00C938C0" w:rsidRDefault="008D40C6" w:rsidP="005E4D14">
            <w:pPr>
              <w:pStyle w:val="TableText0"/>
            </w:pPr>
            <w:r w:rsidRPr="00C938C0">
              <w:t>Astellas Pharma. Enfortumab Vedotin and Pembrolizumab vs. Chemotherapy Alone in Untreated Locally Advanced or Metastatic Urothelial Cancer. ClinicalTrials.gov identifier: NCT04223856. https://clinicaltrials.gov/ct2/show/NCT04223856</w:t>
            </w:r>
          </w:p>
        </w:tc>
        <w:tc>
          <w:tcPr>
            <w:tcW w:w="1308" w:type="pct"/>
            <w:vAlign w:val="center"/>
          </w:tcPr>
          <w:p w14:paraId="629821BA" w14:textId="77777777" w:rsidR="008D40C6" w:rsidRPr="00DA75DC" w:rsidRDefault="008D40C6" w:rsidP="005E4D14">
            <w:pPr>
              <w:pStyle w:val="TableText0"/>
            </w:pPr>
            <w:r w:rsidRPr="00DA75DC">
              <w:t>2023</w:t>
            </w:r>
          </w:p>
        </w:tc>
      </w:tr>
    </w:tbl>
    <w:p w14:paraId="614E933A" w14:textId="77777777" w:rsidR="008D40C6" w:rsidRDefault="008D40C6" w:rsidP="008D40C6">
      <w:pPr>
        <w:pStyle w:val="TableFigureFooter"/>
      </w:pPr>
      <w:r>
        <w:t>Source: Table 2-2, p48 of the submission.</w:t>
      </w:r>
    </w:p>
    <w:p w14:paraId="1E72FA61" w14:textId="77777777" w:rsidR="008D40C6" w:rsidRPr="0098262F" w:rsidRDefault="008D40C6" w:rsidP="008D40C6">
      <w:pPr>
        <w:pStyle w:val="TableFigureFooter"/>
        <w:spacing w:after="120"/>
        <w:rPr>
          <w:sz w:val="20"/>
        </w:rPr>
      </w:pPr>
      <w:r>
        <w:t>EV = Enfortumab vedotin; la/mUC = Locally advanced or metastatic urothelial cancer</w:t>
      </w:r>
    </w:p>
    <w:p w14:paraId="3BFC262B" w14:textId="69186485" w:rsidR="008D40C6" w:rsidRPr="0098262F" w:rsidRDefault="008D40C6" w:rsidP="008D40C6">
      <w:pPr>
        <w:pStyle w:val="3-BodyText"/>
        <w:rPr>
          <w:color w:val="0066FF"/>
        </w:rPr>
      </w:pPr>
      <w:r w:rsidRPr="0098262F">
        <w:t xml:space="preserve">The key features of the direct randomised trial are summarised in </w:t>
      </w:r>
      <w:r w:rsidRPr="0098262F">
        <w:fldChar w:fldCharType="begin" w:fldLock="1"/>
      </w:r>
      <w:r w:rsidRPr="0098262F">
        <w:instrText xml:space="preserve"> REF _Ref104804098 \h  \* MERGEFORMAT </w:instrText>
      </w:r>
      <w:r w:rsidRPr="0098262F">
        <w:fldChar w:fldCharType="separate"/>
      </w:r>
      <w:r w:rsidR="00FE0BD6" w:rsidRPr="00FE0BD6">
        <w:t>Table 3</w:t>
      </w:r>
      <w:r w:rsidRPr="0098262F">
        <w:fldChar w:fldCharType="end"/>
      </w:r>
      <w:r w:rsidRPr="0098262F">
        <w:t xml:space="preserve">. </w:t>
      </w:r>
    </w:p>
    <w:p w14:paraId="53510BAC" w14:textId="1F3FB154" w:rsidR="008D40C6" w:rsidRPr="0098262F" w:rsidRDefault="008D40C6" w:rsidP="008D40C6">
      <w:pPr>
        <w:pStyle w:val="Caption"/>
        <w:rPr>
          <w:rStyle w:val="CommentReference"/>
          <w:rFonts w:eastAsiaTheme="majorEastAsia" w:cstheme="majorBidi"/>
          <w:b/>
          <w:szCs w:val="24"/>
        </w:rPr>
      </w:pPr>
      <w:bookmarkStart w:id="20" w:name="_Ref104804098"/>
      <w:r w:rsidRPr="0098262F">
        <w:rPr>
          <w:rStyle w:val="CommentReference"/>
          <w:rFonts w:eastAsiaTheme="majorEastAsia" w:cstheme="majorBidi"/>
          <w:b/>
          <w:szCs w:val="24"/>
        </w:rPr>
        <w:lastRenderedPageBreak/>
        <w:t xml:space="preserve">Table </w:t>
      </w:r>
      <w:r w:rsidRPr="0098262F">
        <w:rPr>
          <w:rStyle w:val="CommentReference"/>
          <w:rFonts w:eastAsiaTheme="majorEastAsia" w:cstheme="majorBidi"/>
          <w:b/>
          <w:szCs w:val="24"/>
        </w:rPr>
        <w:fldChar w:fldCharType="begin" w:fldLock="1"/>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FE0BD6">
        <w:rPr>
          <w:rStyle w:val="CommentReference"/>
          <w:rFonts w:eastAsiaTheme="majorEastAsia" w:cstheme="majorBidi"/>
          <w:b/>
          <w:noProof/>
          <w:szCs w:val="24"/>
        </w:rPr>
        <w:t>3</w:t>
      </w:r>
      <w:r w:rsidRPr="0098262F">
        <w:rPr>
          <w:rStyle w:val="CommentReference"/>
          <w:rFonts w:eastAsiaTheme="majorEastAsia" w:cstheme="majorBidi"/>
          <w:b/>
          <w:szCs w:val="24"/>
        </w:rPr>
        <w:fldChar w:fldCharType="end"/>
      </w:r>
      <w:bookmarkEnd w:id="20"/>
      <w:r w:rsidRPr="0098262F">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122"/>
        <w:gridCol w:w="1693"/>
      </w:tblGrid>
      <w:tr w:rsidR="008D40C6" w:rsidRPr="0098262F" w14:paraId="545AE714" w14:textId="77777777" w:rsidTr="005E4D14">
        <w:trPr>
          <w:cantSplit/>
          <w:tblHeader/>
        </w:trPr>
        <w:tc>
          <w:tcPr>
            <w:tcW w:w="713" w:type="pct"/>
            <w:shd w:val="clear" w:color="auto" w:fill="auto"/>
            <w:vAlign w:val="center"/>
          </w:tcPr>
          <w:p w14:paraId="6739AD55" w14:textId="77777777" w:rsidR="008D40C6" w:rsidRPr="0098262F" w:rsidRDefault="008D40C6" w:rsidP="005E4D14">
            <w:pPr>
              <w:pStyle w:val="In-tableHeading"/>
            </w:pPr>
            <w:r w:rsidRPr="0098262F">
              <w:t>Trial</w:t>
            </w:r>
          </w:p>
        </w:tc>
        <w:tc>
          <w:tcPr>
            <w:tcW w:w="466" w:type="pct"/>
            <w:shd w:val="clear" w:color="auto" w:fill="auto"/>
            <w:vAlign w:val="center"/>
          </w:tcPr>
          <w:p w14:paraId="2ABB8CA4" w14:textId="77777777" w:rsidR="008D40C6" w:rsidRPr="0098262F" w:rsidRDefault="008D40C6" w:rsidP="005E4D14">
            <w:pPr>
              <w:pStyle w:val="In-tableHeading"/>
            </w:pPr>
            <w:r w:rsidRPr="0098262F">
              <w:t>N</w:t>
            </w:r>
          </w:p>
        </w:tc>
        <w:tc>
          <w:tcPr>
            <w:tcW w:w="782" w:type="pct"/>
            <w:shd w:val="clear" w:color="auto" w:fill="auto"/>
            <w:vAlign w:val="center"/>
          </w:tcPr>
          <w:p w14:paraId="780F4598" w14:textId="77777777" w:rsidR="008D40C6" w:rsidRPr="0098262F" w:rsidRDefault="008D40C6" w:rsidP="005E4D14">
            <w:pPr>
              <w:pStyle w:val="In-tableHeading"/>
            </w:pPr>
            <w:r w:rsidRPr="0098262F">
              <w:t>Design/ duration</w:t>
            </w:r>
          </w:p>
        </w:tc>
        <w:tc>
          <w:tcPr>
            <w:tcW w:w="621" w:type="pct"/>
            <w:shd w:val="clear" w:color="auto" w:fill="auto"/>
            <w:vAlign w:val="center"/>
          </w:tcPr>
          <w:p w14:paraId="7CEDC623" w14:textId="77777777" w:rsidR="008D40C6" w:rsidRPr="0098262F" w:rsidRDefault="008D40C6" w:rsidP="005E4D14">
            <w:pPr>
              <w:pStyle w:val="In-tableHeading"/>
            </w:pPr>
            <w:r w:rsidRPr="0098262F">
              <w:t>Risk of bias</w:t>
            </w:r>
          </w:p>
        </w:tc>
        <w:tc>
          <w:tcPr>
            <w:tcW w:w="857" w:type="pct"/>
            <w:shd w:val="clear" w:color="auto" w:fill="auto"/>
            <w:vAlign w:val="center"/>
          </w:tcPr>
          <w:p w14:paraId="48D71889" w14:textId="77777777" w:rsidR="008D40C6" w:rsidRPr="0098262F" w:rsidRDefault="008D40C6" w:rsidP="005E4D14">
            <w:pPr>
              <w:pStyle w:val="In-tableHeading"/>
            </w:pPr>
            <w:r w:rsidRPr="0098262F">
              <w:t>Patient population</w:t>
            </w:r>
          </w:p>
        </w:tc>
        <w:tc>
          <w:tcPr>
            <w:tcW w:w="622" w:type="pct"/>
            <w:shd w:val="clear" w:color="auto" w:fill="auto"/>
            <w:vAlign w:val="center"/>
          </w:tcPr>
          <w:p w14:paraId="7ED5284A" w14:textId="77777777" w:rsidR="008D40C6" w:rsidRPr="0098262F" w:rsidRDefault="008D40C6" w:rsidP="005E4D14">
            <w:pPr>
              <w:pStyle w:val="In-tableHeading"/>
            </w:pPr>
            <w:r w:rsidRPr="0098262F">
              <w:t>Outcomes</w:t>
            </w:r>
          </w:p>
        </w:tc>
        <w:tc>
          <w:tcPr>
            <w:tcW w:w="939" w:type="pct"/>
            <w:shd w:val="clear" w:color="auto" w:fill="auto"/>
            <w:vAlign w:val="center"/>
          </w:tcPr>
          <w:p w14:paraId="5277ADFF" w14:textId="77777777" w:rsidR="008D40C6" w:rsidRPr="0098262F" w:rsidRDefault="008D40C6" w:rsidP="005E4D14">
            <w:pPr>
              <w:pStyle w:val="In-tableHeading"/>
            </w:pPr>
            <w:r w:rsidRPr="0098262F">
              <w:t>Use in modelled evaluation</w:t>
            </w:r>
          </w:p>
        </w:tc>
      </w:tr>
      <w:tr w:rsidR="008D40C6" w:rsidRPr="0098262F" w14:paraId="7ACDB329" w14:textId="77777777" w:rsidTr="005E4D14">
        <w:trPr>
          <w:cantSplit/>
        </w:trPr>
        <w:tc>
          <w:tcPr>
            <w:tcW w:w="5000" w:type="pct"/>
            <w:gridSpan w:val="7"/>
            <w:shd w:val="clear" w:color="auto" w:fill="auto"/>
            <w:vAlign w:val="center"/>
          </w:tcPr>
          <w:p w14:paraId="3E5FC322" w14:textId="77777777" w:rsidR="008D40C6" w:rsidRPr="0098262F" w:rsidRDefault="008D40C6" w:rsidP="005E4D14">
            <w:pPr>
              <w:pStyle w:val="In-tableHeading"/>
            </w:pPr>
            <w:r>
              <w:t>EV+PEM</w:t>
            </w:r>
            <w:r w:rsidRPr="0098262F">
              <w:t xml:space="preserve"> vs. </w:t>
            </w:r>
            <w:proofErr w:type="spellStart"/>
            <w:r>
              <w:t>Plat+Gem</w:t>
            </w:r>
            <w:proofErr w:type="spellEnd"/>
          </w:p>
        </w:tc>
      </w:tr>
      <w:tr w:rsidR="008D40C6" w:rsidRPr="0098262F" w14:paraId="3190BBAE" w14:textId="77777777" w:rsidTr="005E4D14">
        <w:trPr>
          <w:cantSplit/>
        </w:trPr>
        <w:tc>
          <w:tcPr>
            <w:tcW w:w="713" w:type="pct"/>
            <w:shd w:val="clear" w:color="auto" w:fill="auto"/>
            <w:vAlign w:val="center"/>
          </w:tcPr>
          <w:p w14:paraId="405F147F" w14:textId="77777777" w:rsidR="008D40C6" w:rsidRPr="00C938C0" w:rsidRDefault="008D40C6" w:rsidP="005E4D14">
            <w:pPr>
              <w:pStyle w:val="TableText0"/>
            </w:pPr>
            <w:r w:rsidRPr="00C938C0">
              <w:t>EV-302</w:t>
            </w:r>
          </w:p>
        </w:tc>
        <w:tc>
          <w:tcPr>
            <w:tcW w:w="466" w:type="pct"/>
            <w:shd w:val="clear" w:color="auto" w:fill="auto"/>
            <w:vAlign w:val="center"/>
          </w:tcPr>
          <w:p w14:paraId="1AA2157E" w14:textId="77777777" w:rsidR="008D40C6" w:rsidRPr="00C938C0" w:rsidRDefault="008D40C6" w:rsidP="005E4D14">
            <w:pPr>
              <w:pStyle w:val="TableText0"/>
            </w:pPr>
            <w:r w:rsidRPr="00C938C0">
              <w:t>886</w:t>
            </w:r>
          </w:p>
        </w:tc>
        <w:tc>
          <w:tcPr>
            <w:tcW w:w="782" w:type="pct"/>
            <w:shd w:val="clear" w:color="auto" w:fill="auto"/>
            <w:vAlign w:val="center"/>
          </w:tcPr>
          <w:p w14:paraId="571F55F1" w14:textId="77777777" w:rsidR="008D40C6" w:rsidRPr="00C938C0" w:rsidRDefault="008D40C6" w:rsidP="005E4D14">
            <w:pPr>
              <w:pStyle w:val="TableText0"/>
            </w:pPr>
            <w:r w:rsidRPr="00C938C0">
              <w:t>R, OL</w:t>
            </w:r>
          </w:p>
        </w:tc>
        <w:tc>
          <w:tcPr>
            <w:tcW w:w="621" w:type="pct"/>
            <w:shd w:val="clear" w:color="auto" w:fill="auto"/>
            <w:vAlign w:val="center"/>
          </w:tcPr>
          <w:p w14:paraId="6830F037" w14:textId="77777777" w:rsidR="008D40C6" w:rsidRPr="000049B8" w:rsidRDefault="008D40C6" w:rsidP="005E4D14">
            <w:pPr>
              <w:pStyle w:val="TableText0"/>
            </w:pPr>
            <w:r w:rsidRPr="000049B8">
              <w:t>Low</w:t>
            </w:r>
          </w:p>
        </w:tc>
        <w:tc>
          <w:tcPr>
            <w:tcW w:w="857" w:type="pct"/>
            <w:shd w:val="clear" w:color="auto" w:fill="auto"/>
            <w:vAlign w:val="center"/>
          </w:tcPr>
          <w:p w14:paraId="387C5CE0" w14:textId="77777777" w:rsidR="008D40C6" w:rsidRPr="00C938C0" w:rsidRDefault="008D40C6" w:rsidP="005E4D14">
            <w:pPr>
              <w:pStyle w:val="TableText0"/>
            </w:pPr>
            <w:r w:rsidRPr="00C938C0">
              <w:t>Previously untreated la/mUC</w:t>
            </w:r>
          </w:p>
        </w:tc>
        <w:tc>
          <w:tcPr>
            <w:tcW w:w="622" w:type="pct"/>
            <w:shd w:val="clear" w:color="auto" w:fill="auto"/>
            <w:vAlign w:val="center"/>
          </w:tcPr>
          <w:p w14:paraId="1603D0A0" w14:textId="77777777" w:rsidR="008D40C6" w:rsidRPr="00C938C0" w:rsidRDefault="008D40C6" w:rsidP="005E4D14">
            <w:pPr>
              <w:pStyle w:val="TableText0"/>
            </w:pPr>
            <w:r w:rsidRPr="00C938C0">
              <w:t>PFS, OS, ORR, DOR PRO, safety</w:t>
            </w:r>
          </w:p>
        </w:tc>
        <w:tc>
          <w:tcPr>
            <w:tcW w:w="939" w:type="pct"/>
            <w:shd w:val="clear" w:color="auto" w:fill="auto"/>
            <w:vAlign w:val="center"/>
          </w:tcPr>
          <w:p w14:paraId="2B673609" w14:textId="77777777" w:rsidR="008D40C6" w:rsidRPr="00C938C0" w:rsidRDefault="008D40C6" w:rsidP="005E4D14">
            <w:pPr>
              <w:pStyle w:val="TableText0"/>
            </w:pPr>
            <w:r w:rsidRPr="00C938C0">
              <w:t>OS, PFS</w:t>
            </w:r>
          </w:p>
        </w:tc>
      </w:tr>
    </w:tbl>
    <w:p w14:paraId="187CD5D5" w14:textId="77777777" w:rsidR="008D40C6" w:rsidRDefault="008D40C6" w:rsidP="008D40C6">
      <w:pPr>
        <w:pStyle w:val="TableFigureFooter"/>
      </w:pPr>
      <w:r>
        <w:t>Source: Table 2-3, p51, Table 2-4, p53, and Table 2-11, pp63-64 of the submission.</w:t>
      </w:r>
    </w:p>
    <w:p w14:paraId="08241B22" w14:textId="77777777" w:rsidR="008D40C6" w:rsidRPr="0098262F" w:rsidRDefault="008D40C6" w:rsidP="008D40C6">
      <w:pPr>
        <w:pStyle w:val="TableFigureFooter"/>
      </w:pPr>
      <w:r>
        <w:t xml:space="preserve">DOR = Duration of response; EV = Enfortumab vedotin; Gem = Gemcitabine; </w:t>
      </w:r>
      <w:r w:rsidRPr="0098262F">
        <w:t>OL = open label</w:t>
      </w:r>
      <w:r>
        <w:t>; ORR = Objective response rate; OS = Overall survival; PEM = Pembrolizumab; PF = Progression-free; PFS = Progression-free survival; PRO = Patient-reported outcome; Plat = Platinum-based chemotherapy;</w:t>
      </w:r>
      <w:r w:rsidRPr="0098262F">
        <w:t xml:space="preserve"> R = randomised</w:t>
      </w:r>
      <w:r>
        <w:t>; la/mUC = Locally advanced or metastatic urothelial cancer</w:t>
      </w:r>
    </w:p>
    <w:p w14:paraId="6C319727" w14:textId="77777777" w:rsidR="008D40C6" w:rsidRPr="006373C9" w:rsidRDefault="008D40C6" w:rsidP="008D40C6">
      <w:pPr>
        <w:pStyle w:val="3-BodyText"/>
        <w:rPr>
          <w:color w:val="0066FF"/>
        </w:rPr>
      </w:pPr>
      <w:r>
        <w:t>Overall, the risk of bias was considered low in the EV-302 trial except for outcomes with subjective elements such as patient reported outcomes (PROs) and patient reported adverse events (AEs) due to the trial being open label. The risk of bias for the primary efficacy outcome of progression free survival (PFS) was minimised using blinded independent central review (BICR).</w:t>
      </w:r>
    </w:p>
    <w:bookmarkStart w:id="21" w:name="_Ref177387589"/>
    <w:p w14:paraId="4580AF06" w14:textId="49C63696" w:rsidR="008D40C6" w:rsidRPr="005D3209" w:rsidRDefault="008D40C6" w:rsidP="008D40C6">
      <w:pPr>
        <w:pStyle w:val="3-BodyText"/>
      </w:pPr>
      <w:r>
        <w:fldChar w:fldCharType="begin" w:fldLock="1"/>
      </w:r>
      <w:r>
        <w:instrText xml:space="preserve"> REF _Ref177376617 \h  \* MERGEFORMAT </w:instrText>
      </w:r>
      <w:r>
        <w:fldChar w:fldCharType="separate"/>
      </w:r>
      <w:r w:rsidR="00FE0BD6" w:rsidRPr="00FE0BD6">
        <w:t>Table 4</w:t>
      </w:r>
      <w:r>
        <w:fldChar w:fldCharType="end"/>
      </w:r>
      <w:r>
        <w:t xml:space="preserve"> d</w:t>
      </w:r>
      <w:r w:rsidRPr="00670801">
        <w:t xml:space="preserve">isplays the subsequent anti-cancer therapies in the EV-302 trial. In the </w:t>
      </w:r>
      <w:proofErr w:type="spellStart"/>
      <w:r w:rsidRPr="00670801">
        <w:t>Plat+Gem</w:t>
      </w:r>
      <w:proofErr w:type="spellEnd"/>
      <w:r w:rsidRPr="00670801">
        <w:t xml:space="preserve"> arm, 30.4% of patients received avelumab maintenance therapy.</w:t>
      </w:r>
      <w:r>
        <w:t xml:space="preserve"> </w:t>
      </w:r>
      <w:r w:rsidR="00132E58" w:rsidRPr="005D3209">
        <w:t>The ESC noted that overall response rates of 54.3%</w:t>
      </w:r>
      <w:r w:rsidR="00C85DA6" w:rsidRPr="005D3209">
        <w:rPr>
          <w:rStyle w:val="FootnoteReference"/>
        </w:rPr>
        <w:footnoteReference w:id="15"/>
      </w:r>
      <w:r w:rsidR="00132E58" w:rsidRPr="005D3209">
        <w:t xml:space="preserve"> and 56.1%</w:t>
      </w:r>
      <w:r w:rsidR="00C85DA6" w:rsidRPr="005D3209">
        <w:rPr>
          <w:rStyle w:val="FootnoteReference"/>
        </w:rPr>
        <w:footnoteReference w:id="16"/>
      </w:r>
      <w:r w:rsidR="00132E58" w:rsidRPr="005D3209">
        <w:t xml:space="preserve"> were reported for </w:t>
      </w:r>
      <w:r w:rsidR="00C82D1D" w:rsidRPr="005D3209">
        <w:t xml:space="preserve">the </w:t>
      </w:r>
      <w:r w:rsidR="00132E58" w:rsidRPr="005D3209">
        <w:t>gemcitabine</w:t>
      </w:r>
      <w:r w:rsidR="00C85DA6" w:rsidRPr="005D3209">
        <w:t xml:space="preserve"> + cisplatin and gemcitabine + carboplatin arms respectively in the original trials for these agents in advanced or metastatic bladder cancer. </w:t>
      </w:r>
      <w:r w:rsidR="00E11A0D" w:rsidRPr="005D3209">
        <w:t xml:space="preserve">Noting that patients who do not progress on </w:t>
      </w:r>
      <w:proofErr w:type="spellStart"/>
      <w:r w:rsidR="00E11A0D" w:rsidRPr="005D3209">
        <w:t>Plat+Gem</w:t>
      </w:r>
      <w:proofErr w:type="spellEnd"/>
      <w:r w:rsidR="00E11A0D" w:rsidRPr="005D3209">
        <w:t xml:space="preserve"> are eligible to receive avelumab maintenance therapy in Australia, the ESC considered the proportion of patients who received avelumab maintenance therapy in EV-302 </w:t>
      </w:r>
      <w:r w:rsidR="004E2A5F" w:rsidRPr="005D3209">
        <w:t xml:space="preserve">is likely to be </w:t>
      </w:r>
      <w:r w:rsidRPr="005D3209">
        <w:t>less than what is observed in the Australian clinical setting</w:t>
      </w:r>
      <w:r w:rsidR="00E11A0D" w:rsidRPr="005D3209">
        <w:t xml:space="preserve">. </w:t>
      </w:r>
      <w:bookmarkEnd w:id="21"/>
      <w:r w:rsidR="003C1166" w:rsidRPr="005D3209">
        <w:t xml:space="preserve"> Outside of use as maintenance therapy, the ESC also noted that the use of subsequent PD-(L)1 therapies was 26.4%.</w:t>
      </w:r>
      <w:r w:rsidR="000E22B8">
        <w:t xml:space="preserve"> </w:t>
      </w:r>
      <w:r w:rsidR="00EF6A85">
        <w:t xml:space="preserve">The pre-PBAC response stated that patients receiving maintenance avelumab reflected over 50% of patient who were progression free after chemotherapy.  </w:t>
      </w:r>
    </w:p>
    <w:p w14:paraId="74C75CC2" w14:textId="0213DAA6" w:rsidR="008D40C6" w:rsidRPr="00670801" w:rsidRDefault="008D40C6" w:rsidP="008D40C6">
      <w:pPr>
        <w:keepNext/>
        <w:keepLines/>
        <w:rPr>
          <w:rFonts w:ascii="Arial Narrow" w:hAnsi="Arial Narrow"/>
          <w:b/>
          <w:bCs/>
          <w:sz w:val="20"/>
          <w:szCs w:val="20"/>
        </w:rPr>
      </w:pPr>
      <w:bookmarkStart w:id="22" w:name="_Ref177376617"/>
      <w:r w:rsidRPr="00670801">
        <w:rPr>
          <w:rFonts w:ascii="Arial Narrow" w:hAnsi="Arial Narrow"/>
          <w:b/>
          <w:bCs/>
          <w:sz w:val="20"/>
          <w:szCs w:val="20"/>
        </w:rPr>
        <w:lastRenderedPageBreak/>
        <w:t xml:space="preserve">Table </w:t>
      </w:r>
      <w:r w:rsidRPr="00670801">
        <w:rPr>
          <w:rFonts w:ascii="Arial Narrow" w:hAnsi="Arial Narrow"/>
          <w:b/>
          <w:bCs/>
          <w:sz w:val="20"/>
          <w:szCs w:val="20"/>
        </w:rPr>
        <w:fldChar w:fldCharType="begin" w:fldLock="1"/>
      </w:r>
      <w:r w:rsidRPr="00670801">
        <w:rPr>
          <w:rFonts w:ascii="Arial Narrow" w:hAnsi="Arial Narrow"/>
          <w:b/>
          <w:bCs/>
          <w:sz w:val="20"/>
          <w:szCs w:val="20"/>
        </w:rPr>
        <w:instrText xml:space="preserve"> SEQ Table \* ARABIC </w:instrText>
      </w:r>
      <w:r w:rsidRPr="00670801">
        <w:rPr>
          <w:rFonts w:ascii="Arial Narrow" w:hAnsi="Arial Narrow"/>
          <w:b/>
          <w:bCs/>
          <w:sz w:val="20"/>
          <w:szCs w:val="20"/>
        </w:rPr>
        <w:fldChar w:fldCharType="separate"/>
      </w:r>
      <w:r w:rsidR="00FE0BD6">
        <w:rPr>
          <w:rFonts w:ascii="Arial Narrow" w:hAnsi="Arial Narrow"/>
          <w:b/>
          <w:bCs/>
          <w:noProof/>
          <w:sz w:val="20"/>
          <w:szCs w:val="20"/>
        </w:rPr>
        <w:t>4</w:t>
      </w:r>
      <w:r w:rsidRPr="00670801">
        <w:rPr>
          <w:rFonts w:ascii="Arial Narrow" w:hAnsi="Arial Narrow"/>
          <w:b/>
          <w:bCs/>
          <w:sz w:val="20"/>
          <w:szCs w:val="20"/>
        </w:rPr>
        <w:fldChar w:fldCharType="end"/>
      </w:r>
      <w:bookmarkEnd w:id="22"/>
      <w:r w:rsidRPr="00670801">
        <w:rPr>
          <w:rFonts w:ascii="Arial Narrow" w:hAnsi="Arial Narrow"/>
          <w:b/>
          <w:bCs/>
          <w:sz w:val="20"/>
          <w:szCs w:val="20"/>
        </w:rPr>
        <w:t>: Subsequent anticancer therapy (ITT)</w:t>
      </w:r>
      <w:r>
        <w:rPr>
          <w:rFonts w:ascii="Arial Narrow" w:hAnsi="Arial Narrow"/>
          <w:b/>
          <w:bCs/>
          <w:sz w:val="20"/>
          <w:szCs w:val="20"/>
        </w:rPr>
        <w:t xml:space="preserve"> in EV-302 trial</w:t>
      </w:r>
    </w:p>
    <w:tbl>
      <w:tblPr>
        <w:tblStyle w:val="TableHTAsimple1"/>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2267"/>
        <w:gridCol w:w="2279"/>
      </w:tblGrid>
      <w:tr w:rsidR="008D40C6" w:rsidRPr="00C765C2" w14:paraId="624376BF" w14:textId="77777777" w:rsidTr="005E4D14">
        <w:trPr>
          <w:cnfStyle w:val="100000000000" w:firstRow="1" w:lastRow="0" w:firstColumn="0" w:lastColumn="0" w:oddVBand="0" w:evenVBand="0" w:oddHBand="0" w:evenHBand="0" w:firstRowFirstColumn="0" w:firstRowLastColumn="0" w:lastRowFirstColumn="0" w:lastRowLastColumn="0"/>
        </w:trPr>
        <w:tc>
          <w:tcPr>
            <w:tcW w:w="4471" w:type="dxa"/>
          </w:tcPr>
          <w:p w14:paraId="1F3E67AE" w14:textId="77777777" w:rsidR="008D40C6" w:rsidRPr="00C765C2" w:rsidRDefault="008D40C6" w:rsidP="005E4D14">
            <w:pPr>
              <w:keepNext/>
              <w:keepLines/>
              <w:spacing w:before="20" w:after="20"/>
              <w:contextualSpacing/>
              <w:jc w:val="center"/>
              <w:rPr>
                <w:rFonts w:ascii="Arial Narrow" w:hAnsi="Arial Narrow" w:cs="Calibri"/>
                <w:sz w:val="20"/>
                <w:szCs w:val="20"/>
                <w:lang w:val="en-AU"/>
              </w:rPr>
            </w:pPr>
          </w:p>
        </w:tc>
        <w:tc>
          <w:tcPr>
            <w:tcW w:w="2267" w:type="dxa"/>
          </w:tcPr>
          <w:p w14:paraId="381C3296" w14:textId="77777777" w:rsidR="008D40C6" w:rsidRPr="00C765C2" w:rsidRDefault="008D40C6" w:rsidP="005E4D14">
            <w:pPr>
              <w:keepNext/>
              <w:keepLines/>
              <w:spacing w:before="20" w:after="20"/>
              <w:contextualSpacing/>
              <w:jc w:val="center"/>
              <w:rPr>
                <w:rFonts w:ascii="Arial Narrow" w:hAnsi="Arial Narrow" w:cs="Calibri"/>
                <w:sz w:val="20"/>
                <w:szCs w:val="20"/>
                <w:lang w:val="en-AU"/>
              </w:rPr>
            </w:pPr>
            <w:r w:rsidRPr="00C765C2">
              <w:rPr>
                <w:rFonts w:ascii="Arial Narrow" w:hAnsi="Arial Narrow" w:cs="Calibri"/>
                <w:sz w:val="20"/>
                <w:szCs w:val="20"/>
                <w:lang w:val="en-AU"/>
              </w:rPr>
              <w:t>EV+PEM N=442</w:t>
            </w:r>
          </w:p>
        </w:tc>
        <w:tc>
          <w:tcPr>
            <w:tcW w:w="2279" w:type="dxa"/>
          </w:tcPr>
          <w:p w14:paraId="2CCD7D0F" w14:textId="77777777" w:rsidR="008D40C6" w:rsidRPr="00C765C2" w:rsidRDefault="008D40C6" w:rsidP="005E4D14">
            <w:pPr>
              <w:keepNext/>
              <w:keepLines/>
              <w:spacing w:before="20" w:after="20"/>
              <w:contextualSpacing/>
              <w:jc w:val="center"/>
              <w:rPr>
                <w:rFonts w:ascii="Arial Narrow" w:hAnsi="Arial Narrow" w:cs="Calibri"/>
                <w:sz w:val="20"/>
                <w:szCs w:val="20"/>
                <w:lang w:val="en-AU"/>
              </w:rPr>
            </w:pPr>
            <w:proofErr w:type="spellStart"/>
            <w:r w:rsidRPr="00C765C2">
              <w:rPr>
                <w:rFonts w:ascii="Arial Narrow" w:hAnsi="Arial Narrow" w:cs="Calibri"/>
                <w:sz w:val="20"/>
                <w:szCs w:val="20"/>
                <w:lang w:val="en-AU"/>
              </w:rPr>
              <w:t>Plat+Gem</w:t>
            </w:r>
            <w:proofErr w:type="spellEnd"/>
            <w:r w:rsidRPr="00C765C2">
              <w:rPr>
                <w:rFonts w:ascii="Arial Narrow" w:hAnsi="Arial Narrow" w:cs="Calibri"/>
                <w:sz w:val="20"/>
                <w:szCs w:val="20"/>
                <w:lang w:val="en-AU"/>
              </w:rPr>
              <w:t xml:space="preserve"> N=444</w:t>
            </w:r>
          </w:p>
        </w:tc>
      </w:tr>
      <w:tr w:rsidR="008D40C6" w:rsidRPr="00C765C2" w14:paraId="645BE449" w14:textId="77777777" w:rsidTr="005E4D14">
        <w:trPr>
          <w:cnfStyle w:val="000000100000" w:firstRow="0" w:lastRow="0" w:firstColumn="0" w:lastColumn="0" w:oddVBand="0" w:evenVBand="0" w:oddHBand="1" w:evenHBand="0" w:firstRowFirstColumn="0" w:firstRowLastColumn="0" w:lastRowFirstColumn="0" w:lastRowLastColumn="0"/>
        </w:trPr>
        <w:tc>
          <w:tcPr>
            <w:tcW w:w="4471" w:type="dxa"/>
          </w:tcPr>
          <w:p w14:paraId="512F7678" w14:textId="77777777" w:rsidR="008D40C6" w:rsidRPr="00C765C2" w:rsidRDefault="008D40C6" w:rsidP="005E4D14">
            <w:pPr>
              <w:keepNext/>
              <w:keepLines/>
              <w:jc w:val="left"/>
              <w:rPr>
                <w:rFonts w:ascii="Arial Narrow" w:hAnsi="Arial Narrow" w:cs="Calibri"/>
                <w:sz w:val="20"/>
                <w:szCs w:val="20"/>
                <w:lang w:val="en-AU"/>
              </w:rPr>
            </w:pPr>
            <w:r w:rsidRPr="00C765C2">
              <w:rPr>
                <w:rFonts w:ascii="Arial Narrow" w:hAnsi="Arial Narrow" w:cs="Calibri"/>
                <w:sz w:val="20"/>
                <w:szCs w:val="20"/>
                <w:lang w:val="en-AU"/>
              </w:rPr>
              <w:t>Any subsequent therapy</w:t>
            </w:r>
          </w:p>
        </w:tc>
        <w:tc>
          <w:tcPr>
            <w:tcW w:w="2267" w:type="dxa"/>
          </w:tcPr>
          <w:p w14:paraId="24E0C7D1"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140 (31.7)</w:t>
            </w:r>
          </w:p>
        </w:tc>
        <w:tc>
          <w:tcPr>
            <w:tcW w:w="2279" w:type="dxa"/>
          </w:tcPr>
          <w:p w14:paraId="5E5E57D1"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313 (70.5)</w:t>
            </w:r>
          </w:p>
        </w:tc>
      </w:tr>
      <w:tr w:rsidR="008D40C6" w:rsidRPr="00C765C2" w14:paraId="4A45E819" w14:textId="77777777" w:rsidTr="005E4D14">
        <w:trPr>
          <w:cnfStyle w:val="000000010000" w:firstRow="0" w:lastRow="0" w:firstColumn="0" w:lastColumn="0" w:oddVBand="0" w:evenVBand="0" w:oddHBand="0" w:evenHBand="1" w:firstRowFirstColumn="0" w:firstRowLastColumn="0" w:lastRowFirstColumn="0" w:lastRowLastColumn="0"/>
        </w:trPr>
        <w:tc>
          <w:tcPr>
            <w:tcW w:w="4471" w:type="dxa"/>
          </w:tcPr>
          <w:p w14:paraId="3451ABEC" w14:textId="77777777" w:rsidR="008D40C6" w:rsidRPr="00C765C2" w:rsidRDefault="008D40C6" w:rsidP="005E4D14">
            <w:pPr>
              <w:keepNext/>
              <w:keepLines/>
              <w:jc w:val="left"/>
              <w:rPr>
                <w:rFonts w:ascii="Arial Narrow" w:hAnsi="Arial Narrow" w:cs="Calibri"/>
                <w:sz w:val="20"/>
                <w:szCs w:val="20"/>
                <w:lang w:val="en-AU"/>
              </w:rPr>
            </w:pPr>
            <w:r w:rsidRPr="00C765C2">
              <w:rPr>
                <w:rFonts w:ascii="Arial Narrow" w:hAnsi="Arial Narrow" w:cs="Calibri"/>
                <w:sz w:val="20"/>
                <w:szCs w:val="20"/>
                <w:lang w:val="en-AU"/>
              </w:rPr>
              <w:t>First subsequent systemic therapy, n (%)</w:t>
            </w:r>
          </w:p>
        </w:tc>
        <w:tc>
          <w:tcPr>
            <w:tcW w:w="2267" w:type="dxa"/>
          </w:tcPr>
          <w:p w14:paraId="3C3D49B0" w14:textId="77777777" w:rsidR="008D40C6" w:rsidRPr="00C765C2" w:rsidRDefault="008D40C6" w:rsidP="005E4D14">
            <w:pPr>
              <w:keepNext/>
              <w:keepLines/>
              <w:jc w:val="center"/>
              <w:rPr>
                <w:rFonts w:ascii="Arial Narrow" w:hAnsi="Arial Narrow" w:cs="Calibri"/>
                <w:sz w:val="20"/>
                <w:szCs w:val="20"/>
                <w:lang w:val="en-AU"/>
              </w:rPr>
            </w:pPr>
          </w:p>
        </w:tc>
        <w:tc>
          <w:tcPr>
            <w:tcW w:w="2279" w:type="dxa"/>
          </w:tcPr>
          <w:p w14:paraId="1640AD52" w14:textId="77777777" w:rsidR="008D40C6" w:rsidRPr="00C765C2" w:rsidRDefault="008D40C6" w:rsidP="005E4D14">
            <w:pPr>
              <w:keepNext/>
              <w:keepLines/>
              <w:jc w:val="center"/>
              <w:rPr>
                <w:rFonts w:ascii="Arial Narrow" w:hAnsi="Arial Narrow" w:cs="Calibri"/>
                <w:sz w:val="20"/>
                <w:szCs w:val="20"/>
                <w:lang w:val="en-AU"/>
              </w:rPr>
            </w:pPr>
          </w:p>
        </w:tc>
      </w:tr>
      <w:tr w:rsidR="008D40C6" w:rsidRPr="00C765C2" w14:paraId="5098B1FB" w14:textId="77777777" w:rsidTr="005E4D14">
        <w:trPr>
          <w:cnfStyle w:val="000000100000" w:firstRow="0" w:lastRow="0" w:firstColumn="0" w:lastColumn="0" w:oddVBand="0" w:evenVBand="0" w:oddHBand="1" w:evenHBand="0" w:firstRowFirstColumn="0" w:firstRowLastColumn="0" w:lastRowFirstColumn="0" w:lastRowLastColumn="0"/>
        </w:trPr>
        <w:tc>
          <w:tcPr>
            <w:tcW w:w="4471" w:type="dxa"/>
          </w:tcPr>
          <w:p w14:paraId="76E5E198"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Platinum-based therapy</w:t>
            </w:r>
          </w:p>
        </w:tc>
        <w:tc>
          <w:tcPr>
            <w:tcW w:w="2267" w:type="dxa"/>
          </w:tcPr>
          <w:p w14:paraId="6C0C6E3D"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110 (24.9) </w:t>
            </w:r>
          </w:p>
        </w:tc>
        <w:tc>
          <w:tcPr>
            <w:tcW w:w="2279" w:type="dxa"/>
          </w:tcPr>
          <w:p w14:paraId="33EE1B43"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17 (3.8)</w:t>
            </w:r>
          </w:p>
        </w:tc>
      </w:tr>
      <w:tr w:rsidR="008D40C6" w:rsidRPr="00C765C2" w14:paraId="3FC8A359" w14:textId="77777777" w:rsidTr="005E4D14">
        <w:trPr>
          <w:cnfStyle w:val="000000010000" w:firstRow="0" w:lastRow="0" w:firstColumn="0" w:lastColumn="0" w:oddVBand="0" w:evenVBand="0" w:oddHBand="0" w:evenHBand="1" w:firstRowFirstColumn="0" w:firstRowLastColumn="0" w:lastRowFirstColumn="0" w:lastRowLastColumn="0"/>
        </w:trPr>
        <w:tc>
          <w:tcPr>
            <w:tcW w:w="4471" w:type="dxa"/>
          </w:tcPr>
          <w:p w14:paraId="0CF0BF75" w14:textId="77777777" w:rsidR="008D40C6" w:rsidRPr="00C765C2" w:rsidRDefault="008D40C6" w:rsidP="005E4D14">
            <w:pPr>
              <w:keepNext/>
              <w:keepLines/>
              <w:ind w:left="567"/>
              <w:jc w:val="left"/>
              <w:rPr>
                <w:rFonts w:ascii="Arial Narrow" w:hAnsi="Arial Narrow" w:cs="Calibri"/>
                <w:sz w:val="20"/>
                <w:szCs w:val="20"/>
                <w:lang w:val="en-AU"/>
              </w:rPr>
            </w:pPr>
            <w:r w:rsidRPr="00C765C2">
              <w:rPr>
                <w:rFonts w:ascii="Arial Narrow" w:hAnsi="Arial Narrow" w:cs="Calibri"/>
                <w:sz w:val="20"/>
                <w:szCs w:val="20"/>
                <w:lang w:val="en-AU"/>
              </w:rPr>
              <w:t xml:space="preserve">Cisplatin based </w:t>
            </w:r>
          </w:p>
        </w:tc>
        <w:tc>
          <w:tcPr>
            <w:tcW w:w="2267" w:type="dxa"/>
          </w:tcPr>
          <w:p w14:paraId="0AED93BE"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53 (12.0) </w:t>
            </w:r>
          </w:p>
        </w:tc>
        <w:tc>
          <w:tcPr>
            <w:tcW w:w="2279" w:type="dxa"/>
          </w:tcPr>
          <w:p w14:paraId="5749A841"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8 (1.8)</w:t>
            </w:r>
          </w:p>
        </w:tc>
      </w:tr>
      <w:tr w:rsidR="008D40C6" w:rsidRPr="00C765C2" w14:paraId="4C71E797" w14:textId="77777777" w:rsidTr="005E4D14">
        <w:trPr>
          <w:cnfStyle w:val="000000100000" w:firstRow="0" w:lastRow="0" w:firstColumn="0" w:lastColumn="0" w:oddVBand="0" w:evenVBand="0" w:oddHBand="1" w:evenHBand="0" w:firstRowFirstColumn="0" w:firstRowLastColumn="0" w:lastRowFirstColumn="0" w:lastRowLastColumn="0"/>
        </w:trPr>
        <w:tc>
          <w:tcPr>
            <w:tcW w:w="4471" w:type="dxa"/>
          </w:tcPr>
          <w:p w14:paraId="0F2F7017" w14:textId="77777777" w:rsidR="008D40C6" w:rsidRPr="00C765C2" w:rsidRDefault="008D40C6" w:rsidP="005E4D14">
            <w:pPr>
              <w:keepNext/>
              <w:keepLines/>
              <w:ind w:left="567"/>
              <w:jc w:val="left"/>
              <w:rPr>
                <w:rFonts w:ascii="Arial Narrow" w:hAnsi="Arial Narrow" w:cs="Calibri"/>
                <w:sz w:val="20"/>
                <w:szCs w:val="20"/>
                <w:lang w:val="en-AU"/>
              </w:rPr>
            </w:pPr>
            <w:r w:rsidRPr="00C765C2">
              <w:rPr>
                <w:rFonts w:ascii="Arial Narrow" w:hAnsi="Arial Narrow" w:cs="Calibri"/>
                <w:sz w:val="20"/>
                <w:szCs w:val="20"/>
                <w:lang w:val="en-AU"/>
              </w:rPr>
              <w:t xml:space="preserve">Carboplatin based </w:t>
            </w:r>
          </w:p>
        </w:tc>
        <w:tc>
          <w:tcPr>
            <w:tcW w:w="2267" w:type="dxa"/>
          </w:tcPr>
          <w:p w14:paraId="29EBE545"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56 (12.7) </w:t>
            </w:r>
          </w:p>
        </w:tc>
        <w:tc>
          <w:tcPr>
            <w:tcW w:w="2279" w:type="dxa"/>
          </w:tcPr>
          <w:p w14:paraId="59C74369"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8 (1.8)</w:t>
            </w:r>
          </w:p>
        </w:tc>
      </w:tr>
      <w:tr w:rsidR="008D40C6" w:rsidRPr="00C765C2" w14:paraId="3FF399DD" w14:textId="77777777" w:rsidTr="005E4D14">
        <w:trPr>
          <w:cnfStyle w:val="000000010000" w:firstRow="0" w:lastRow="0" w:firstColumn="0" w:lastColumn="0" w:oddVBand="0" w:evenVBand="0" w:oddHBand="0" w:evenHBand="1" w:firstRowFirstColumn="0" w:firstRowLastColumn="0" w:lastRowFirstColumn="0" w:lastRowLastColumn="0"/>
        </w:trPr>
        <w:tc>
          <w:tcPr>
            <w:tcW w:w="4471" w:type="dxa"/>
          </w:tcPr>
          <w:p w14:paraId="48CE5A88" w14:textId="77777777" w:rsidR="008D40C6" w:rsidRPr="00C765C2" w:rsidRDefault="008D40C6" w:rsidP="005E4D14">
            <w:pPr>
              <w:keepNext/>
              <w:keepLines/>
              <w:ind w:left="567"/>
              <w:jc w:val="left"/>
              <w:rPr>
                <w:rFonts w:ascii="Arial Narrow" w:hAnsi="Arial Narrow" w:cs="Calibri"/>
                <w:sz w:val="20"/>
                <w:szCs w:val="20"/>
                <w:lang w:val="en-AU"/>
              </w:rPr>
            </w:pPr>
            <w:r w:rsidRPr="00C765C2">
              <w:rPr>
                <w:rFonts w:ascii="Arial Narrow" w:hAnsi="Arial Narrow" w:cs="Calibri"/>
                <w:sz w:val="20"/>
                <w:szCs w:val="20"/>
                <w:lang w:val="en-AU"/>
              </w:rPr>
              <w:t xml:space="preserve">Other </w:t>
            </w:r>
          </w:p>
        </w:tc>
        <w:tc>
          <w:tcPr>
            <w:tcW w:w="2267" w:type="dxa"/>
          </w:tcPr>
          <w:p w14:paraId="2F73E29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1 (0.2) </w:t>
            </w:r>
          </w:p>
        </w:tc>
        <w:tc>
          <w:tcPr>
            <w:tcW w:w="2279" w:type="dxa"/>
          </w:tcPr>
          <w:p w14:paraId="0BC92DED"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 (0.2)</w:t>
            </w:r>
          </w:p>
        </w:tc>
      </w:tr>
      <w:tr w:rsidR="008D40C6" w:rsidRPr="00C765C2" w14:paraId="2F23AD56" w14:textId="77777777" w:rsidTr="005E4D14">
        <w:trPr>
          <w:cnfStyle w:val="000000100000" w:firstRow="0" w:lastRow="0" w:firstColumn="0" w:lastColumn="0" w:oddVBand="0" w:evenVBand="0" w:oddHBand="1" w:evenHBand="0" w:firstRowFirstColumn="0" w:firstRowLastColumn="0" w:lastRowFirstColumn="0" w:lastRowLastColumn="0"/>
        </w:trPr>
        <w:tc>
          <w:tcPr>
            <w:tcW w:w="4471" w:type="dxa"/>
          </w:tcPr>
          <w:p w14:paraId="7F629909"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Maintenance PD-1/L1 inhibitor</w:t>
            </w:r>
          </w:p>
        </w:tc>
        <w:tc>
          <w:tcPr>
            <w:tcW w:w="2267" w:type="dxa"/>
          </w:tcPr>
          <w:p w14:paraId="0495E1BD"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2279" w:type="dxa"/>
          </w:tcPr>
          <w:p w14:paraId="0501BFB1"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143 (32.2)</w:t>
            </w:r>
          </w:p>
        </w:tc>
      </w:tr>
      <w:tr w:rsidR="008D40C6" w:rsidRPr="00C765C2" w14:paraId="4DB54AB6" w14:textId="77777777" w:rsidTr="005E4D14">
        <w:trPr>
          <w:cnfStyle w:val="000000010000" w:firstRow="0" w:lastRow="0" w:firstColumn="0" w:lastColumn="0" w:oddVBand="0" w:evenVBand="0" w:oddHBand="0" w:evenHBand="1" w:firstRowFirstColumn="0" w:firstRowLastColumn="0" w:lastRowFirstColumn="0" w:lastRowLastColumn="0"/>
        </w:trPr>
        <w:tc>
          <w:tcPr>
            <w:tcW w:w="4471" w:type="dxa"/>
          </w:tcPr>
          <w:p w14:paraId="06BD9363" w14:textId="77777777" w:rsidR="008D40C6" w:rsidRPr="00C765C2" w:rsidRDefault="008D40C6" w:rsidP="005E4D14">
            <w:pPr>
              <w:keepNext/>
              <w:keepLines/>
              <w:ind w:left="567"/>
              <w:jc w:val="left"/>
              <w:rPr>
                <w:rFonts w:ascii="Arial Narrow" w:hAnsi="Arial Narrow" w:cs="Calibri"/>
                <w:sz w:val="20"/>
                <w:szCs w:val="20"/>
                <w:lang w:val="en-AU"/>
              </w:rPr>
            </w:pPr>
            <w:r w:rsidRPr="00C765C2">
              <w:rPr>
                <w:rFonts w:ascii="Arial Narrow" w:hAnsi="Arial Narrow" w:cs="Calibri"/>
                <w:sz w:val="20"/>
                <w:szCs w:val="20"/>
                <w:lang w:val="en-AU"/>
              </w:rPr>
              <w:t>Avelumab</w:t>
            </w:r>
          </w:p>
        </w:tc>
        <w:tc>
          <w:tcPr>
            <w:tcW w:w="2267" w:type="dxa"/>
          </w:tcPr>
          <w:p w14:paraId="31CBF9F5"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2279" w:type="dxa"/>
          </w:tcPr>
          <w:p w14:paraId="7941004C"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135 (30.4)</w:t>
            </w:r>
          </w:p>
        </w:tc>
      </w:tr>
      <w:tr w:rsidR="008D40C6" w:rsidRPr="00C765C2" w14:paraId="4219A6F9" w14:textId="77777777" w:rsidTr="005E4D14">
        <w:trPr>
          <w:cnfStyle w:val="000000100000" w:firstRow="0" w:lastRow="0" w:firstColumn="0" w:lastColumn="0" w:oddVBand="0" w:evenVBand="0" w:oddHBand="1" w:evenHBand="0" w:firstRowFirstColumn="0" w:firstRowLastColumn="0" w:lastRowFirstColumn="0" w:lastRowLastColumn="0"/>
        </w:trPr>
        <w:tc>
          <w:tcPr>
            <w:tcW w:w="4471" w:type="dxa"/>
          </w:tcPr>
          <w:p w14:paraId="3EFFFF8F" w14:textId="77777777" w:rsidR="008D40C6" w:rsidRPr="00C765C2" w:rsidRDefault="008D40C6" w:rsidP="005E4D14">
            <w:pPr>
              <w:keepNext/>
              <w:keepLines/>
              <w:ind w:left="567"/>
              <w:jc w:val="left"/>
              <w:rPr>
                <w:rFonts w:ascii="Arial Narrow" w:hAnsi="Arial Narrow" w:cs="Calibri"/>
                <w:sz w:val="20"/>
                <w:szCs w:val="20"/>
                <w:lang w:val="en-AU"/>
              </w:rPr>
            </w:pPr>
            <w:r w:rsidRPr="00C765C2">
              <w:rPr>
                <w:rFonts w:ascii="Arial Narrow" w:hAnsi="Arial Narrow" w:cs="Calibri"/>
                <w:sz w:val="20"/>
                <w:szCs w:val="20"/>
                <w:lang w:val="en-AU"/>
              </w:rPr>
              <w:t>Pembrolizumab</w:t>
            </w:r>
          </w:p>
        </w:tc>
        <w:tc>
          <w:tcPr>
            <w:tcW w:w="2267" w:type="dxa"/>
          </w:tcPr>
          <w:p w14:paraId="7DFBE9D0"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2279" w:type="dxa"/>
          </w:tcPr>
          <w:p w14:paraId="4445BABC"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7 (1.6)</w:t>
            </w:r>
          </w:p>
        </w:tc>
      </w:tr>
      <w:tr w:rsidR="008D40C6" w:rsidRPr="00C765C2" w14:paraId="61B90B34" w14:textId="77777777" w:rsidTr="005E4D14">
        <w:trPr>
          <w:cnfStyle w:val="000000010000" w:firstRow="0" w:lastRow="0" w:firstColumn="0" w:lastColumn="0" w:oddVBand="0" w:evenVBand="0" w:oddHBand="0" w:evenHBand="1" w:firstRowFirstColumn="0" w:firstRowLastColumn="0" w:lastRowFirstColumn="0" w:lastRowLastColumn="0"/>
        </w:trPr>
        <w:tc>
          <w:tcPr>
            <w:tcW w:w="4471" w:type="dxa"/>
          </w:tcPr>
          <w:p w14:paraId="6D276EC7"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Other PD-1/L1 inhibitor-containing therapy</w:t>
            </w:r>
          </w:p>
        </w:tc>
        <w:tc>
          <w:tcPr>
            <w:tcW w:w="2267" w:type="dxa"/>
          </w:tcPr>
          <w:p w14:paraId="1CD1BDB5"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7 (1.6) </w:t>
            </w:r>
          </w:p>
        </w:tc>
        <w:tc>
          <w:tcPr>
            <w:tcW w:w="2279" w:type="dxa"/>
          </w:tcPr>
          <w:p w14:paraId="35679482"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117 (26.4)</w:t>
            </w:r>
          </w:p>
        </w:tc>
      </w:tr>
      <w:tr w:rsidR="008D40C6" w:rsidRPr="00C765C2" w14:paraId="59EBF950" w14:textId="77777777" w:rsidTr="005E4D14">
        <w:trPr>
          <w:cnfStyle w:val="000000100000" w:firstRow="0" w:lastRow="0" w:firstColumn="0" w:lastColumn="0" w:oddVBand="0" w:evenVBand="0" w:oddHBand="1" w:evenHBand="0" w:firstRowFirstColumn="0" w:firstRowLastColumn="0" w:lastRowFirstColumn="0" w:lastRowLastColumn="0"/>
        </w:trPr>
        <w:tc>
          <w:tcPr>
            <w:tcW w:w="4471" w:type="dxa"/>
          </w:tcPr>
          <w:p w14:paraId="12EFAAC7"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Other</w:t>
            </w:r>
          </w:p>
        </w:tc>
        <w:tc>
          <w:tcPr>
            <w:tcW w:w="2267" w:type="dxa"/>
          </w:tcPr>
          <w:p w14:paraId="0F774274"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11 (2.5) </w:t>
            </w:r>
          </w:p>
        </w:tc>
        <w:tc>
          <w:tcPr>
            <w:tcW w:w="2279" w:type="dxa"/>
          </w:tcPr>
          <w:p w14:paraId="6D3D0B6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17 (3.8)</w:t>
            </w:r>
          </w:p>
        </w:tc>
      </w:tr>
      <w:tr w:rsidR="008D40C6" w:rsidRPr="00C765C2" w14:paraId="41F96FEC" w14:textId="77777777" w:rsidTr="005E4D14">
        <w:trPr>
          <w:cnfStyle w:val="000000010000" w:firstRow="0" w:lastRow="0" w:firstColumn="0" w:lastColumn="0" w:oddVBand="0" w:evenVBand="0" w:oddHBand="0" w:evenHBand="1" w:firstRowFirstColumn="0" w:firstRowLastColumn="0" w:lastRowFirstColumn="0" w:lastRowLastColumn="0"/>
        </w:trPr>
        <w:tc>
          <w:tcPr>
            <w:tcW w:w="4471" w:type="dxa"/>
          </w:tcPr>
          <w:p w14:paraId="4CC84C33" w14:textId="77777777" w:rsidR="008D40C6" w:rsidRPr="00C765C2" w:rsidRDefault="008D40C6" w:rsidP="005E4D14">
            <w:pPr>
              <w:keepNext/>
              <w:keepLines/>
              <w:ind w:left="567"/>
              <w:jc w:val="left"/>
              <w:rPr>
                <w:rFonts w:ascii="Arial Narrow" w:hAnsi="Arial Narrow" w:cs="Calibri"/>
                <w:sz w:val="20"/>
                <w:szCs w:val="20"/>
                <w:lang w:val="en-AU"/>
              </w:rPr>
            </w:pPr>
            <w:r w:rsidRPr="00C765C2">
              <w:rPr>
                <w:rFonts w:ascii="Arial Narrow" w:hAnsi="Arial Narrow" w:cs="Calibri"/>
                <w:sz w:val="20"/>
                <w:szCs w:val="20"/>
                <w:lang w:val="en-AU"/>
              </w:rPr>
              <w:t xml:space="preserve">Enfortumab vedotin </w:t>
            </w:r>
          </w:p>
        </w:tc>
        <w:tc>
          <w:tcPr>
            <w:tcW w:w="2267" w:type="dxa"/>
          </w:tcPr>
          <w:p w14:paraId="3B202E13"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3 (0.7) </w:t>
            </w:r>
          </w:p>
        </w:tc>
        <w:tc>
          <w:tcPr>
            <w:tcW w:w="2279" w:type="dxa"/>
          </w:tcPr>
          <w:p w14:paraId="5C9457CE"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 (0.7)</w:t>
            </w:r>
          </w:p>
        </w:tc>
      </w:tr>
      <w:tr w:rsidR="008D40C6" w:rsidRPr="00C765C2" w14:paraId="1489640D" w14:textId="77777777" w:rsidTr="005E4D14">
        <w:trPr>
          <w:cnfStyle w:val="000000100000" w:firstRow="0" w:lastRow="0" w:firstColumn="0" w:lastColumn="0" w:oddVBand="0" w:evenVBand="0" w:oddHBand="1" w:evenHBand="0" w:firstRowFirstColumn="0" w:firstRowLastColumn="0" w:lastRowFirstColumn="0" w:lastRowLastColumn="0"/>
        </w:trPr>
        <w:tc>
          <w:tcPr>
            <w:tcW w:w="4471" w:type="dxa"/>
          </w:tcPr>
          <w:p w14:paraId="194794C4" w14:textId="77777777" w:rsidR="008D40C6" w:rsidRPr="00C765C2" w:rsidRDefault="008D40C6" w:rsidP="005E4D14">
            <w:pPr>
              <w:keepNext/>
              <w:keepLines/>
              <w:jc w:val="left"/>
              <w:rPr>
                <w:rFonts w:ascii="Arial Narrow" w:hAnsi="Arial Narrow" w:cs="Calibri"/>
                <w:sz w:val="20"/>
                <w:szCs w:val="20"/>
                <w:lang w:val="en-AU"/>
              </w:rPr>
            </w:pPr>
            <w:r w:rsidRPr="00C765C2">
              <w:rPr>
                <w:rFonts w:ascii="Arial Narrow" w:hAnsi="Arial Narrow" w:cs="Calibri"/>
                <w:sz w:val="20"/>
                <w:szCs w:val="20"/>
                <w:lang w:val="en-AU"/>
              </w:rPr>
              <w:t>Second and beyond subsequent systemic therapy, n (%)</w:t>
            </w:r>
          </w:p>
        </w:tc>
        <w:tc>
          <w:tcPr>
            <w:tcW w:w="2267" w:type="dxa"/>
          </w:tcPr>
          <w:p w14:paraId="6A22E97C" w14:textId="77777777" w:rsidR="008D40C6" w:rsidRPr="00C765C2" w:rsidRDefault="008D40C6" w:rsidP="005E4D14">
            <w:pPr>
              <w:keepNext/>
              <w:keepLines/>
              <w:jc w:val="center"/>
              <w:rPr>
                <w:rFonts w:ascii="Arial Narrow" w:hAnsi="Arial Narrow" w:cs="Calibri"/>
                <w:sz w:val="20"/>
                <w:szCs w:val="20"/>
                <w:lang w:val="en-AU"/>
              </w:rPr>
            </w:pPr>
          </w:p>
        </w:tc>
        <w:tc>
          <w:tcPr>
            <w:tcW w:w="2279" w:type="dxa"/>
          </w:tcPr>
          <w:p w14:paraId="5864226C" w14:textId="77777777" w:rsidR="008D40C6" w:rsidRPr="00C765C2" w:rsidRDefault="008D40C6" w:rsidP="005E4D14">
            <w:pPr>
              <w:keepNext/>
              <w:keepLines/>
              <w:jc w:val="center"/>
              <w:rPr>
                <w:rFonts w:ascii="Arial Narrow" w:hAnsi="Arial Narrow" w:cs="Calibri"/>
                <w:sz w:val="20"/>
                <w:szCs w:val="20"/>
                <w:lang w:val="en-AU"/>
              </w:rPr>
            </w:pPr>
          </w:p>
        </w:tc>
      </w:tr>
      <w:tr w:rsidR="008D40C6" w:rsidRPr="00C765C2" w14:paraId="356B85C0" w14:textId="77777777" w:rsidTr="005E4D14">
        <w:trPr>
          <w:cnfStyle w:val="000000010000" w:firstRow="0" w:lastRow="0" w:firstColumn="0" w:lastColumn="0" w:oddVBand="0" w:evenVBand="0" w:oddHBand="0" w:evenHBand="1" w:firstRowFirstColumn="0" w:firstRowLastColumn="0" w:lastRowFirstColumn="0" w:lastRowLastColumn="0"/>
        </w:trPr>
        <w:tc>
          <w:tcPr>
            <w:tcW w:w="4471" w:type="dxa"/>
          </w:tcPr>
          <w:p w14:paraId="75CFFFE4"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Platinum-based therapy </w:t>
            </w:r>
          </w:p>
        </w:tc>
        <w:tc>
          <w:tcPr>
            <w:tcW w:w="2267" w:type="dxa"/>
          </w:tcPr>
          <w:p w14:paraId="4798BE5F"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8 (1.8) </w:t>
            </w:r>
          </w:p>
        </w:tc>
        <w:tc>
          <w:tcPr>
            <w:tcW w:w="2279" w:type="dxa"/>
          </w:tcPr>
          <w:p w14:paraId="49CC15C2"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10 (2.3)</w:t>
            </w:r>
          </w:p>
        </w:tc>
      </w:tr>
      <w:tr w:rsidR="008D40C6" w:rsidRPr="00C765C2" w14:paraId="50294C8F" w14:textId="77777777" w:rsidTr="005E4D14">
        <w:trPr>
          <w:cnfStyle w:val="000000100000" w:firstRow="0" w:lastRow="0" w:firstColumn="0" w:lastColumn="0" w:oddVBand="0" w:evenVBand="0" w:oddHBand="1" w:evenHBand="0" w:firstRowFirstColumn="0" w:firstRowLastColumn="0" w:lastRowFirstColumn="0" w:lastRowLastColumn="0"/>
        </w:trPr>
        <w:tc>
          <w:tcPr>
            <w:tcW w:w="4471" w:type="dxa"/>
          </w:tcPr>
          <w:p w14:paraId="78F6DB28"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Maintenance PD-1/L1 inhibitor </w:t>
            </w:r>
          </w:p>
        </w:tc>
        <w:tc>
          <w:tcPr>
            <w:tcW w:w="2267" w:type="dxa"/>
          </w:tcPr>
          <w:p w14:paraId="31428784"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8 (1.8) </w:t>
            </w:r>
          </w:p>
        </w:tc>
        <w:tc>
          <w:tcPr>
            <w:tcW w:w="2279" w:type="dxa"/>
          </w:tcPr>
          <w:p w14:paraId="6055A1B3"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7 (1.6)</w:t>
            </w:r>
          </w:p>
        </w:tc>
      </w:tr>
      <w:tr w:rsidR="008D40C6" w:rsidRPr="00C765C2" w14:paraId="196D52CA" w14:textId="77777777" w:rsidTr="005E4D14">
        <w:trPr>
          <w:cnfStyle w:val="000000010000" w:firstRow="0" w:lastRow="0" w:firstColumn="0" w:lastColumn="0" w:oddVBand="0" w:evenVBand="0" w:oddHBand="0" w:evenHBand="1" w:firstRowFirstColumn="0" w:firstRowLastColumn="0" w:lastRowFirstColumn="0" w:lastRowLastColumn="0"/>
        </w:trPr>
        <w:tc>
          <w:tcPr>
            <w:tcW w:w="4471" w:type="dxa"/>
          </w:tcPr>
          <w:p w14:paraId="5B6ADF71"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Other PD-1/L1 inhibitor containing therapy </w:t>
            </w:r>
          </w:p>
        </w:tc>
        <w:tc>
          <w:tcPr>
            <w:tcW w:w="2267" w:type="dxa"/>
          </w:tcPr>
          <w:p w14:paraId="2E0AD58F"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7 (1.6) </w:t>
            </w:r>
          </w:p>
        </w:tc>
        <w:tc>
          <w:tcPr>
            <w:tcW w:w="2279" w:type="dxa"/>
          </w:tcPr>
          <w:p w14:paraId="70AF8AD0"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12 (2.7)</w:t>
            </w:r>
          </w:p>
        </w:tc>
      </w:tr>
      <w:tr w:rsidR="008D40C6" w:rsidRPr="00C765C2" w14:paraId="1A0BA5D8" w14:textId="77777777" w:rsidTr="005E4D14">
        <w:trPr>
          <w:cnfStyle w:val="000000100000" w:firstRow="0" w:lastRow="0" w:firstColumn="0" w:lastColumn="0" w:oddVBand="0" w:evenVBand="0" w:oddHBand="1" w:evenHBand="0" w:firstRowFirstColumn="0" w:firstRowLastColumn="0" w:lastRowFirstColumn="0" w:lastRowLastColumn="0"/>
        </w:trPr>
        <w:tc>
          <w:tcPr>
            <w:tcW w:w="4471" w:type="dxa"/>
          </w:tcPr>
          <w:p w14:paraId="120DC15D"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Other </w:t>
            </w:r>
          </w:p>
        </w:tc>
        <w:tc>
          <w:tcPr>
            <w:tcW w:w="2267" w:type="dxa"/>
          </w:tcPr>
          <w:p w14:paraId="34BFC62E"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24 (5.4) </w:t>
            </w:r>
          </w:p>
        </w:tc>
        <w:tc>
          <w:tcPr>
            <w:tcW w:w="2279" w:type="dxa"/>
          </w:tcPr>
          <w:p w14:paraId="3C22B1CC"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82 (18.5)</w:t>
            </w:r>
          </w:p>
        </w:tc>
      </w:tr>
      <w:tr w:rsidR="008D40C6" w:rsidRPr="00C765C2" w14:paraId="60F98AFD" w14:textId="77777777" w:rsidTr="005E4D14">
        <w:trPr>
          <w:cnfStyle w:val="000000010000" w:firstRow="0" w:lastRow="0" w:firstColumn="0" w:lastColumn="0" w:oddVBand="0" w:evenVBand="0" w:oddHBand="0" w:evenHBand="1" w:firstRowFirstColumn="0" w:firstRowLastColumn="0" w:lastRowFirstColumn="0" w:lastRowLastColumn="0"/>
        </w:trPr>
        <w:tc>
          <w:tcPr>
            <w:tcW w:w="4471" w:type="dxa"/>
          </w:tcPr>
          <w:p w14:paraId="4BE614ED" w14:textId="77777777" w:rsidR="008D40C6" w:rsidRPr="00C765C2" w:rsidRDefault="008D40C6" w:rsidP="005E4D14">
            <w:pPr>
              <w:keepNext/>
              <w:keepLines/>
              <w:ind w:left="567"/>
              <w:jc w:val="left"/>
              <w:rPr>
                <w:rFonts w:ascii="Arial Narrow" w:hAnsi="Arial Narrow" w:cs="Calibri"/>
                <w:sz w:val="20"/>
                <w:szCs w:val="20"/>
                <w:lang w:val="en-AU"/>
              </w:rPr>
            </w:pPr>
            <w:r w:rsidRPr="00C765C2">
              <w:rPr>
                <w:rFonts w:ascii="Arial Narrow" w:hAnsi="Arial Narrow" w:cs="Calibri"/>
                <w:sz w:val="20"/>
                <w:szCs w:val="20"/>
                <w:lang w:val="en-AU"/>
              </w:rPr>
              <w:t xml:space="preserve">Enfortumab vedotin </w:t>
            </w:r>
          </w:p>
        </w:tc>
        <w:tc>
          <w:tcPr>
            <w:tcW w:w="2267" w:type="dxa"/>
          </w:tcPr>
          <w:p w14:paraId="54BDB08C"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0 </w:t>
            </w:r>
          </w:p>
        </w:tc>
        <w:tc>
          <w:tcPr>
            <w:tcW w:w="2279" w:type="dxa"/>
          </w:tcPr>
          <w:p w14:paraId="0C2ACCA5"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54 (12.2)</w:t>
            </w:r>
          </w:p>
        </w:tc>
      </w:tr>
    </w:tbl>
    <w:p w14:paraId="6055FCD3" w14:textId="77777777" w:rsidR="008D40C6" w:rsidRDefault="008D40C6" w:rsidP="008D40C6">
      <w:pPr>
        <w:pStyle w:val="TableFigureFooter"/>
      </w:pPr>
      <w:r>
        <w:t>Source: Table 2-10, p62 of the submission.</w:t>
      </w:r>
    </w:p>
    <w:p w14:paraId="3ADC16F3" w14:textId="67AA530F" w:rsidR="008D40C6" w:rsidRDefault="008D40C6" w:rsidP="00E36DB9">
      <w:pPr>
        <w:pStyle w:val="3-BodyText"/>
        <w:numPr>
          <w:ilvl w:val="0"/>
          <w:numId w:val="0"/>
        </w:numPr>
        <w:spacing w:before="0"/>
        <w:rPr>
          <w:rFonts w:ascii="Arial Narrow" w:hAnsi="Arial Narrow"/>
          <w:sz w:val="18"/>
          <w:szCs w:val="18"/>
        </w:rPr>
      </w:pPr>
      <w:r w:rsidRPr="00670801">
        <w:rPr>
          <w:rFonts w:ascii="Arial Narrow" w:hAnsi="Arial Narrow"/>
          <w:sz w:val="18"/>
          <w:szCs w:val="18"/>
        </w:rPr>
        <w:t>EV = Enfortumab vedotin; Gem = Gemcitabine; ITT = Intention to treat; PD-1 = Programmed cell death protein 1; PEM = Pembrolizumab; Plat = Platinum-based chemotherapy</w:t>
      </w:r>
      <w:r>
        <w:rPr>
          <w:rFonts w:ascii="Arial Narrow" w:hAnsi="Arial Narrow"/>
          <w:sz w:val="18"/>
          <w:szCs w:val="18"/>
        </w:rPr>
        <w:t>.</w:t>
      </w:r>
    </w:p>
    <w:p w14:paraId="286936CE" w14:textId="4719D33D" w:rsidR="008D40C6" w:rsidRPr="0027690E" w:rsidRDefault="008D40C6" w:rsidP="008D40C6">
      <w:pPr>
        <w:pStyle w:val="3-BodyText"/>
      </w:pPr>
      <w:r w:rsidRPr="0027690E">
        <w:t xml:space="preserve">Minimal clinically important differences were not specified for any of the outcomes. The submission did note that the PBAC has previously considered a PFS gain of 1.7 </w:t>
      </w:r>
      <w:r w:rsidR="00EA3E45" w:rsidRPr="0027690E">
        <w:t>months as</w:t>
      </w:r>
      <w:r w:rsidRPr="0027690E">
        <w:t xml:space="preserve"> “small” in their evaluation of avelumab for maintenance treatment of la/mUC following first-line platinum-based chemotherapy (para</w:t>
      </w:r>
      <w:r w:rsidR="00863D7E">
        <w:t>graph</w:t>
      </w:r>
      <w:r w:rsidRPr="0027690E">
        <w:t xml:space="preserve"> 7.5, avelumab, Public Summary Document [PSD], March 2021 PBAC meeting). Additionally, the submission noted that a separate evaluation of pembrolizumab, which was recommended for second-line treatment of la/mUC, the PBAC considered that the claim of superior effectiveness was adequately supported by the OS data which showed a gain of 2.9 months (para</w:t>
      </w:r>
      <w:r w:rsidR="00863D7E">
        <w:t>graph</w:t>
      </w:r>
      <w:r w:rsidRPr="0027690E">
        <w:t xml:space="preserve"> 6.30, pembrolizumab PSD, November 2017 PBAC meeting)</w:t>
      </w:r>
      <w:r>
        <w:t>.</w:t>
      </w:r>
    </w:p>
    <w:p w14:paraId="67683E19" w14:textId="77777777" w:rsidR="008D40C6" w:rsidRPr="0098262F" w:rsidRDefault="008D40C6" w:rsidP="008D40C6">
      <w:pPr>
        <w:pStyle w:val="4-SubsectionHeading"/>
      </w:pPr>
      <w:bookmarkStart w:id="23" w:name="_Toc22897641"/>
      <w:bookmarkStart w:id="24" w:name="_Toc177481906"/>
      <w:r w:rsidRPr="0098262F">
        <w:t>Comparative effectiveness</w:t>
      </w:r>
      <w:bookmarkEnd w:id="23"/>
      <w:bookmarkEnd w:id="24"/>
    </w:p>
    <w:p w14:paraId="252326F1" w14:textId="77777777" w:rsidR="008D40C6" w:rsidRPr="00F3211E" w:rsidRDefault="008D40C6" w:rsidP="008D40C6">
      <w:pPr>
        <w:pStyle w:val="3-BodyText"/>
      </w:pPr>
      <w:r w:rsidRPr="00F3211E">
        <w:t>In th</w:t>
      </w:r>
      <w:r>
        <w:t xml:space="preserve">e EV-302 trial, the primary efficacy outcomes were PFS by BICR and overall survival (OS) in the intention to treat population (ITT). The data cut-off (DCO) was 8 August 2023. At this DCO the median duration of follow-up was 17.2 months across both arms. </w:t>
      </w:r>
    </w:p>
    <w:p w14:paraId="5099A791" w14:textId="1E30E6F2" w:rsidR="008D40C6" w:rsidRPr="00EA5E87" w:rsidRDefault="008D40C6" w:rsidP="008D40C6">
      <w:pPr>
        <w:pStyle w:val="3-BodyText"/>
      </w:pPr>
      <w:r w:rsidRPr="00EA5E87">
        <w:rPr>
          <w:b/>
          <w:bCs/>
          <w:color w:val="0066FF"/>
        </w:rPr>
        <w:fldChar w:fldCharType="begin" w:fldLock="1"/>
      </w:r>
      <w:r w:rsidRPr="00EA5E87">
        <w:rPr>
          <w:b/>
          <w:bCs/>
          <w:color w:val="0066FF"/>
        </w:rPr>
        <w:instrText xml:space="preserve"> REF _Ref174223188 \h  \* MERGEFORMAT </w:instrText>
      </w:r>
      <w:r w:rsidRPr="00EA5E87">
        <w:rPr>
          <w:b/>
          <w:bCs/>
          <w:color w:val="0066FF"/>
        </w:rPr>
      </w:r>
      <w:r w:rsidRPr="00EA5E87">
        <w:rPr>
          <w:b/>
          <w:bCs/>
          <w:color w:val="0066FF"/>
        </w:rPr>
        <w:fldChar w:fldCharType="separate"/>
      </w:r>
      <w:r w:rsidR="00FE0BD6" w:rsidRPr="00FE0BD6">
        <w:rPr>
          <w:rStyle w:val="CommentReference"/>
          <w:rFonts w:ascii="Calibri" w:eastAsiaTheme="majorEastAsia" w:hAnsi="Calibri" w:cs="Calibri"/>
          <w:b w:val="0"/>
          <w:bCs/>
          <w:sz w:val="24"/>
          <w:szCs w:val="24"/>
        </w:rPr>
        <w:t xml:space="preserve">Table </w:t>
      </w:r>
      <w:r w:rsidR="00FE0BD6" w:rsidRPr="00FE0BD6">
        <w:rPr>
          <w:rStyle w:val="CommentReference"/>
          <w:rFonts w:ascii="Calibri" w:eastAsiaTheme="majorEastAsia" w:hAnsi="Calibri" w:cs="Calibri"/>
          <w:b w:val="0"/>
          <w:bCs/>
          <w:noProof/>
          <w:sz w:val="24"/>
          <w:szCs w:val="24"/>
        </w:rPr>
        <w:t>5</w:t>
      </w:r>
      <w:r w:rsidRPr="00EA5E87">
        <w:rPr>
          <w:b/>
          <w:bCs/>
          <w:color w:val="0066FF"/>
        </w:rPr>
        <w:fldChar w:fldCharType="end"/>
      </w:r>
      <w:r>
        <w:rPr>
          <w:b/>
          <w:bCs/>
          <w:color w:val="0066FF"/>
        </w:rPr>
        <w:t xml:space="preserve"> </w:t>
      </w:r>
      <w:r w:rsidRPr="00EA5E87">
        <w:t>summarises t</w:t>
      </w:r>
      <w:r>
        <w:t xml:space="preserve">he survival outcomes in the EV-302 trial. </w:t>
      </w:r>
      <w:r>
        <w:fldChar w:fldCharType="begin" w:fldLock="1"/>
      </w:r>
      <w:r>
        <w:instrText xml:space="preserve"> REF _Ref174223260 \h </w:instrText>
      </w:r>
      <w:r>
        <w:fldChar w:fldCharType="separate"/>
      </w:r>
      <w:r w:rsidR="00FE0BD6">
        <w:t xml:space="preserve">Figure </w:t>
      </w:r>
      <w:r w:rsidR="00FE0BD6">
        <w:rPr>
          <w:noProof/>
        </w:rPr>
        <w:t>1</w:t>
      </w:r>
      <w:r>
        <w:fldChar w:fldCharType="end"/>
      </w:r>
      <w:r>
        <w:t xml:space="preserve"> shows the Kaplan-Meier (KM) plot for PFS by BICR and </w:t>
      </w:r>
      <w:r>
        <w:fldChar w:fldCharType="begin" w:fldLock="1"/>
      </w:r>
      <w:r>
        <w:instrText xml:space="preserve"> REF _Ref174223286 \h </w:instrText>
      </w:r>
      <w:r>
        <w:fldChar w:fldCharType="separate"/>
      </w:r>
      <w:r w:rsidR="00FE0BD6">
        <w:t xml:space="preserve">Figure </w:t>
      </w:r>
      <w:r w:rsidR="00FE0BD6">
        <w:rPr>
          <w:noProof/>
        </w:rPr>
        <w:t>2</w:t>
      </w:r>
      <w:r>
        <w:fldChar w:fldCharType="end"/>
      </w:r>
      <w:r>
        <w:t xml:space="preserve"> shows the KM plot for OS.</w:t>
      </w:r>
    </w:p>
    <w:p w14:paraId="31BE5279" w14:textId="45EA07B1" w:rsidR="008D40C6" w:rsidRPr="0098262F" w:rsidRDefault="008D40C6" w:rsidP="008D40C6">
      <w:pPr>
        <w:pStyle w:val="Caption"/>
        <w:rPr>
          <w:rStyle w:val="CommentReference"/>
          <w:rFonts w:eastAsiaTheme="majorEastAsia" w:cstheme="majorBidi"/>
          <w:b/>
          <w:szCs w:val="24"/>
        </w:rPr>
      </w:pPr>
      <w:bookmarkStart w:id="25" w:name="_Ref174223188"/>
      <w:r w:rsidRPr="0098262F">
        <w:rPr>
          <w:rStyle w:val="CommentReference"/>
          <w:rFonts w:eastAsiaTheme="majorEastAsia" w:cstheme="majorBidi"/>
          <w:b/>
          <w:szCs w:val="24"/>
        </w:rPr>
        <w:lastRenderedPageBreak/>
        <w:t xml:space="preserve">Table </w:t>
      </w:r>
      <w:r w:rsidRPr="0098262F">
        <w:rPr>
          <w:rStyle w:val="CommentReference"/>
          <w:rFonts w:eastAsiaTheme="majorEastAsia" w:cstheme="majorBidi"/>
          <w:b/>
          <w:szCs w:val="24"/>
        </w:rPr>
        <w:fldChar w:fldCharType="begin" w:fldLock="1"/>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FE0BD6">
        <w:rPr>
          <w:rStyle w:val="CommentReference"/>
          <w:rFonts w:eastAsiaTheme="majorEastAsia" w:cstheme="majorBidi"/>
          <w:b/>
          <w:noProof/>
          <w:szCs w:val="24"/>
        </w:rPr>
        <w:t>5</w:t>
      </w:r>
      <w:r w:rsidRPr="0098262F">
        <w:rPr>
          <w:rStyle w:val="CommentReference"/>
          <w:rFonts w:eastAsiaTheme="majorEastAsia" w:cstheme="majorBidi"/>
          <w:b/>
          <w:szCs w:val="24"/>
        </w:rPr>
        <w:fldChar w:fldCharType="end"/>
      </w:r>
      <w:bookmarkEnd w:id="25"/>
      <w:r w:rsidRPr="0098262F">
        <w:rPr>
          <w:rStyle w:val="CommentReference"/>
          <w:rFonts w:eastAsiaTheme="majorEastAsia" w:cstheme="majorBidi"/>
          <w:b/>
          <w:szCs w:val="24"/>
        </w:rPr>
        <w:t xml:space="preserve">: Summary of survival outcomes in </w:t>
      </w:r>
      <w:r>
        <w:rPr>
          <w:rStyle w:val="CommentReference"/>
          <w:rFonts w:eastAsiaTheme="majorEastAsia" w:cstheme="majorBidi"/>
          <w:b/>
          <w:szCs w:val="24"/>
        </w:rPr>
        <w:t>EV-302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812"/>
        <w:gridCol w:w="1820"/>
        <w:gridCol w:w="1814"/>
        <w:gridCol w:w="1767"/>
      </w:tblGrid>
      <w:tr w:rsidR="008D40C6" w:rsidRPr="0098262F" w14:paraId="74B1039E" w14:textId="77777777" w:rsidTr="005E4D14">
        <w:trPr>
          <w:cantSplit/>
          <w:tblHeader/>
        </w:trPr>
        <w:tc>
          <w:tcPr>
            <w:tcW w:w="1000" w:type="pct"/>
            <w:vAlign w:val="center"/>
          </w:tcPr>
          <w:p w14:paraId="6D6EBBE7" w14:textId="77777777" w:rsidR="008D40C6" w:rsidRPr="0098262F" w:rsidRDefault="008D40C6" w:rsidP="005E4D14">
            <w:pPr>
              <w:pStyle w:val="In-tableHeading"/>
            </w:pPr>
          </w:p>
        </w:tc>
        <w:tc>
          <w:tcPr>
            <w:tcW w:w="1005" w:type="pct"/>
            <w:vAlign w:val="center"/>
          </w:tcPr>
          <w:p w14:paraId="4C2B85DA" w14:textId="77777777" w:rsidR="008D40C6" w:rsidRPr="0098262F" w:rsidRDefault="008D40C6" w:rsidP="005E4D14">
            <w:pPr>
              <w:pStyle w:val="In-tableHeading"/>
            </w:pPr>
            <w:r>
              <w:t>EV+PEM</w:t>
            </w:r>
            <w:r w:rsidRPr="0098262F">
              <w:t xml:space="preserve"> n/N (%)</w:t>
            </w:r>
          </w:p>
        </w:tc>
        <w:tc>
          <w:tcPr>
            <w:tcW w:w="1009" w:type="pct"/>
            <w:vAlign w:val="center"/>
          </w:tcPr>
          <w:p w14:paraId="3CBADCA1" w14:textId="77777777" w:rsidR="008D40C6" w:rsidRPr="0098262F" w:rsidRDefault="008D40C6" w:rsidP="005E4D14">
            <w:pPr>
              <w:pStyle w:val="In-tableHeading"/>
            </w:pPr>
            <w:proofErr w:type="spellStart"/>
            <w:r>
              <w:t>Plat+GEM</w:t>
            </w:r>
            <w:proofErr w:type="spellEnd"/>
            <w:r w:rsidRPr="0098262F">
              <w:t xml:space="preserve"> n/N (%)</w:t>
            </w:r>
          </w:p>
        </w:tc>
        <w:tc>
          <w:tcPr>
            <w:tcW w:w="1006" w:type="pct"/>
            <w:vAlign w:val="center"/>
          </w:tcPr>
          <w:p w14:paraId="67AEDD8F" w14:textId="77777777" w:rsidR="008D40C6" w:rsidRPr="0098262F" w:rsidRDefault="008D40C6" w:rsidP="005E4D14">
            <w:pPr>
              <w:pStyle w:val="In-tableHeading"/>
            </w:pPr>
            <w:r w:rsidRPr="0098262F">
              <w:t>Absolute difference</w:t>
            </w:r>
          </w:p>
        </w:tc>
        <w:tc>
          <w:tcPr>
            <w:tcW w:w="980" w:type="pct"/>
            <w:vAlign w:val="center"/>
          </w:tcPr>
          <w:p w14:paraId="3A76A552" w14:textId="77777777" w:rsidR="008D40C6" w:rsidRPr="0098262F" w:rsidRDefault="008D40C6" w:rsidP="005E4D14">
            <w:pPr>
              <w:pStyle w:val="In-tableHeading"/>
              <w:jc w:val="center"/>
            </w:pPr>
            <w:r w:rsidRPr="0098262F">
              <w:t>HR (95% CI)</w:t>
            </w:r>
          </w:p>
        </w:tc>
      </w:tr>
      <w:tr w:rsidR="008D40C6" w:rsidRPr="0098262F" w14:paraId="71C7B72D" w14:textId="77777777" w:rsidTr="005E4D14">
        <w:trPr>
          <w:cantSplit/>
        </w:trPr>
        <w:tc>
          <w:tcPr>
            <w:tcW w:w="5000" w:type="pct"/>
            <w:gridSpan w:val="5"/>
            <w:vAlign w:val="center"/>
          </w:tcPr>
          <w:p w14:paraId="45E4B384" w14:textId="77777777" w:rsidR="008D40C6" w:rsidRPr="0098262F" w:rsidRDefault="008D40C6" w:rsidP="005E4D14">
            <w:pPr>
              <w:pStyle w:val="In-tableHeading"/>
            </w:pPr>
            <w:r w:rsidRPr="0098262F">
              <w:t>Progression-free survival</w:t>
            </w:r>
            <w:r>
              <w:t xml:space="preserve"> by BICR</w:t>
            </w:r>
          </w:p>
        </w:tc>
      </w:tr>
      <w:tr w:rsidR="008D40C6" w:rsidRPr="0098262F" w14:paraId="53C04076" w14:textId="77777777" w:rsidTr="005E4D14">
        <w:trPr>
          <w:cantSplit/>
        </w:trPr>
        <w:tc>
          <w:tcPr>
            <w:tcW w:w="1000" w:type="pct"/>
            <w:vAlign w:val="center"/>
          </w:tcPr>
          <w:p w14:paraId="15CB2C97" w14:textId="77777777" w:rsidR="008D40C6" w:rsidRPr="00C938C0" w:rsidRDefault="008D40C6" w:rsidP="005E4D14">
            <w:pPr>
              <w:pStyle w:val="TableText0"/>
            </w:pPr>
            <w:r w:rsidRPr="00C938C0">
              <w:t>Patients with event</w:t>
            </w:r>
          </w:p>
        </w:tc>
        <w:tc>
          <w:tcPr>
            <w:tcW w:w="1005" w:type="pct"/>
            <w:vAlign w:val="center"/>
          </w:tcPr>
          <w:p w14:paraId="2E7A5E6B" w14:textId="77777777" w:rsidR="008D40C6" w:rsidRPr="00C938C0" w:rsidRDefault="008D40C6" w:rsidP="005E4D14">
            <w:pPr>
              <w:pStyle w:val="TableText0"/>
              <w:jc w:val="center"/>
            </w:pPr>
            <w:r w:rsidRPr="00C938C0">
              <w:t>223/442 (50.5%)</w:t>
            </w:r>
          </w:p>
        </w:tc>
        <w:tc>
          <w:tcPr>
            <w:tcW w:w="1009" w:type="pct"/>
            <w:vAlign w:val="center"/>
          </w:tcPr>
          <w:p w14:paraId="2785063D" w14:textId="77777777" w:rsidR="008D40C6" w:rsidRPr="00C938C0" w:rsidRDefault="008D40C6" w:rsidP="005E4D14">
            <w:pPr>
              <w:pStyle w:val="TableText0"/>
              <w:jc w:val="center"/>
            </w:pPr>
            <w:r w:rsidRPr="00C938C0">
              <w:t>307/444 (69.1%)</w:t>
            </w:r>
          </w:p>
        </w:tc>
        <w:tc>
          <w:tcPr>
            <w:tcW w:w="1006" w:type="pct"/>
            <w:vAlign w:val="center"/>
          </w:tcPr>
          <w:p w14:paraId="354D240F" w14:textId="77777777" w:rsidR="008D40C6" w:rsidRPr="00C938C0" w:rsidRDefault="008D40C6" w:rsidP="005E4D14">
            <w:pPr>
              <w:pStyle w:val="TableText0"/>
              <w:jc w:val="center"/>
            </w:pPr>
            <w:r w:rsidRPr="00C938C0">
              <w:t>-</w:t>
            </w:r>
          </w:p>
        </w:tc>
        <w:tc>
          <w:tcPr>
            <w:tcW w:w="980" w:type="pct"/>
            <w:vAlign w:val="center"/>
          </w:tcPr>
          <w:p w14:paraId="6B6D1B61" w14:textId="77777777" w:rsidR="008D40C6" w:rsidRPr="00C938C0" w:rsidRDefault="008D40C6" w:rsidP="005E4D14">
            <w:pPr>
              <w:pStyle w:val="TableText0"/>
              <w:jc w:val="center"/>
            </w:pPr>
            <w:r w:rsidRPr="00C938C0">
              <w:t>-</w:t>
            </w:r>
          </w:p>
        </w:tc>
      </w:tr>
      <w:tr w:rsidR="008D40C6" w:rsidRPr="0098262F" w14:paraId="7CE8F6A6" w14:textId="77777777" w:rsidTr="005E4D14">
        <w:trPr>
          <w:cantSplit/>
        </w:trPr>
        <w:tc>
          <w:tcPr>
            <w:tcW w:w="1000" w:type="pct"/>
            <w:vAlign w:val="center"/>
          </w:tcPr>
          <w:p w14:paraId="1175E22F" w14:textId="77777777" w:rsidR="008D40C6" w:rsidRPr="00C938C0" w:rsidRDefault="008D40C6" w:rsidP="005E4D14">
            <w:pPr>
              <w:pStyle w:val="TableText0"/>
            </w:pPr>
            <w:r w:rsidRPr="00C938C0">
              <w:t>Median PFS, months (95% CI)</w:t>
            </w:r>
          </w:p>
        </w:tc>
        <w:tc>
          <w:tcPr>
            <w:tcW w:w="1005" w:type="pct"/>
            <w:vAlign w:val="center"/>
          </w:tcPr>
          <w:p w14:paraId="7272ED74" w14:textId="77777777" w:rsidR="008D40C6" w:rsidRPr="00C938C0" w:rsidRDefault="008D40C6" w:rsidP="005E4D14">
            <w:pPr>
              <w:pStyle w:val="TableText0"/>
              <w:jc w:val="center"/>
            </w:pPr>
            <w:r w:rsidRPr="00C938C0">
              <w:t>12.5 (10.4, 16.6)</w:t>
            </w:r>
          </w:p>
        </w:tc>
        <w:tc>
          <w:tcPr>
            <w:tcW w:w="1009" w:type="pct"/>
            <w:vAlign w:val="center"/>
          </w:tcPr>
          <w:p w14:paraId="3E0C66D0" w14:textId="77777777" w:rsidR="008D40C6" w:rsidRPr="00C938C0" w:rsidRDefault="008D40C6" w:rsidP="005E4D14">
            <w:pPr>
              <w:pStyle w:val="TableText0"/>
              <w:jc w:val="center"/>
            </w:pPr>
            <w:r w:rsidRPr="00C938C0">
              <w:t>6.3 (6.2, 6.5)</w:t>
            </w:r>
          </w:p>
        </w:tc>
        <w:tc>
          <w:tcPr>
            <w:tcW w:w="1006" w:type="pct"/>
            <w:vAlign w:val="center"/>
          </w:tcPr>
          <w:p w14:paraId="7CD11426" w14:textId="77777777" w:rsidR="008D40C6" w:rsidRPr="00C938C0" w:rsidRDefault="008D40C6" w:rsidP="005E4D14">
            <w:pPr>
              <w:pStyle w:val="TableText0"/>
              <w:jc w:val="center"/>
            </w:pPr>
            <w:r w:rsidRPr="00C938C0">
              <w:t>6.2</w:t>
            </w:r>
          </w:p>
        </w:tc>
        <w:tc>
          <w:tcPr>
            <w:tcW w:w="980" w:type="pct"/>
            <w:vAlign w:val="center"/>
          </w:tcPr>
          <w:p w14:paraId="7BFEE6CB" w14:textId="61F33CE4" w:rsidR="008D40C6" w:rsidRPr="00E430BD" w:rsidRDefault="008D40C6" w:rsidP="005E4D14">
            <w:pPr>
              <w:pStyle w:val="TableText0"/>
              <w:jc w:val="center"/>
              <w:rPr>
                <w:b/>
                <w:bCs w:val="0"/>
              </w:rPr>
            </w:pPr>
            <w:r w:rsidRPr="00E430BD">
              <w:rPr>
                <w:b/>
                <w:bCs w:val="0"/>
              </w:rPr>
              <w:t>0.45 (0.38, 0.5</w:t>
            </w:r>
            <w:r w:rsidR="00C22F93">
              <w:rPr>
                <w:b/>
                <w:bCs w:val="0"/>
              </w:rPr>
              <w:t>4</w:t>
            </w:r>
            <w:r w:rsidRPr="00E430BD">
              <w:rPr>
                <w:b/>
                <w:bCs w:val="0"/>
              </w:rPr>
              <w:t>)</w:t>
            </w:r>
          </w:p>
        </w:tc>
      </w:tr>
      <w:tr w:rsidR="008D40C6" w:rsidRPr="0098262F" w14:paraId="505DF474" w14:textId="77777777" w:rsidTr="005E4D14">
        <w:trPr>
          <w:cantSplit/>
        </w:trPr>
        <w:tc>
          <w:tcPr>
            <w:tcW w:w="1000" w:type="pct"/>
            <w:vAlign w:val="center"/>
          </w:tcPr>
          <w:p w14:paraId="104B36B8" w14:textId="77777777" w:rsidR="008D40C6" w:rsidRPr="00C938C0" w:rsidRDefault="008D40C6" w:rsidP="005E4D14">
            <w:pPr>
              <w:pStyle w:val="TableText0"/>
            </w:pPr>
            <w:r w:rsidRPr="00C938C0">
              <w:t>PFS rate (%) at 6 months (95% CI)</w:t>
            </w:r>
          </w:p>
        </w:tc>
        <w:tc>
          <w:tcPr>
            <w:tcW w:w="1005" w:type="pct"/>
            <w:vAlign w:val="center"/>
          </w:tcPr>
          <w:p w14:paraId="307EE06D" w14:textId="77777777" w:rsidR="008D40C6" w:rsidRPr="00C938C0" w:rsidRDefault="008D40C6" w:rsidP="005E4D14">
            <w:pPr>
              <w:pStyle w:val="TableText0"/>
              <w:jc w:val="center"/>
            </w:pPr>
            <w:r w:rsidRPr="00C938C0">
              <w:t>72.8 (68.3, 76.8)</w:t>
            </w:r>
          </w:p>
        </w:tc>
        <w:tc>
          <w:tcPr>
            <w:tcW w:w="1009" w:type="pct"/>
            <w:vAlign w:val="center"/>
          </w:tcPr>
          <w:p w14:paraId="0E747630" w14:textId="77777777" w:rsidR="008D40C6" w:rsidRPr="00C938C0" w:rsidRDefault="008D40C6" w:rsidP="005E4D14">
            <w:pPr>
              <w:pStyle w:val="TableText0"/>
              <w:jc w:val="center"/>
            </w:pPr>
            <w:r w:rsidRPr="00C938C0">
              <w:t>60.7 (55.7, 65.4)</w:t>
            </w:r>
          </w:p>
        </w:tc>
        <w:tc>
          <w:tcPr>
            <w:tcW w:w="1006" w:type="pct"/>
            <w:vAlign w:val="center"/>
          </w:tcPr>
          <w:p w14:paraId="24E6D8F2" w14:textId="0E67292D" w:rsidR="008D40C6" w:rsidRPr="00B42FAC" w:rsidRDefault="008D40C6" w:rsidP="005E4D14">
            <w:pPr>
              <w:pStyle w:val="TableText0"/>
              <w:jc w:val="center"/>
              <w:rPr>
                <w:vertAlign w:val="superscript"/>
              </w:rPr>
            </w:pPr>
            <w:r w:rsidRPr="00B42FAC">
              <w:t>12.1</w:t>
            </w:r>
            <w:r w:rsidR="00B42FAC" w:rsidRPr="00B42FAC">
              <w:t xml:space="preserve"> </w:t>
            </w:r>
            <w:r w:rsidR="00B42FAC" w:rsidRPr="00B42FAC">
              <w:rPr>
                <w:vertAlign w:val="superscript"/>
              </w:rPr>
              <w:t>a</w:t>
            </w:r>
          </w:p>
        </w:tc>
        <w:tc>
          <w:tcPr>
            <w:tcW w:w="980" w:type="pct"/>
            <w:vAlign w:val="center"/>
          </w:tcPr>
          <w:p w14:paraId="471D76A8" w14:textId="77777777" w:rsidR="008D40C6" w:rsidRPr="00C938C0" w:rsidDel="0061549B" w:rsidRDefault="008D40C6" w:rsidP="005E4D14">
            <w:pPr>
              <w:pStyle w:val="TableText0"/>
              <w:jc w:val="center"/>
            </w:pPr>
            <w:r w:rsidRPr="00C938C0">
              <w:t>-</w:t>
            </w:r>
          </w:p>
        </w:tc>
      </w:tr>
      <w:tr w:rsidR="008D40C6" w:rsidRPr="0098262F" w14:paraId="6BAAB226" w14:textId="77777777" w:rsidTr="005E4D14">
        <w:trPr>
          <w:cantSplit/>
        </w:trPr>
        <w:tc>
          <w:tcPr>
            <w:tcW w:w="1000" w:type="pct"/>
            <w:vAlign w:val="center"/>
          </w:tcPr>
          <w:p w14:paraId="3F77F5C9" w14:textId="77777777" w:rsidR="008D40C6" w:rsidRPr="00C938C0" w:rsidRDefault="008D40C6" w:rsidP="005E4D14">
            <w:pPr>
              <w:pStyle w:val="TableText0"/>
            </w:pPr>
            <w:r w:rsidRPr="00C938C0">
              <w:t>PFS rate (%) at 12 months (95% CI)</w:t>
            </w:r>
          </w:p>
        </w:tc>
        <w:tc>
          <w:tcPr>
            <w:tcW w:w="1005" w:type="pct"/>
            <w:vAlign w:val="center"/>
          </w:tcPr>
          <w:p w14:paraId="781CEC38" w14:textId="77777777" w:rsidR="008D40C6" w:rsidRPr="00C938C0" w:rsidRDefault="008D40C6" w:rsidP="005E4D14">
            <w:pPr>
              <w:pStyle w:val="TableText0"/>
              <w:jc w:val="center"/>
            </w:pPr>
            <w:r w:rsidRPr="00C938C0">
              <w:t>50.7 (45.6, 55.5)</w:t>
            </w:r>
          </w:p>
        </w:tc>
        <w:tc>
          <w:tcPr>
            <w:tcW w:w="1009" w:type="pct"/>
            <w:vAlign w:val="center"/>
          </w:tcPr>
          <w:p w14:paraId="089F1622" w14:textId="77777777" w:rsidR="008D40C6" w:rsidRPr="00C938C0" w:rsidRDefault="008D40C6" w:rsidP="005E4D14">
            <w:pPr>
              <w:pStyle w:val="TableText0"/>
              <w:jc w:val="center"/>
            </w:pPr>
            <w:r w:rsidRPr="00C938C0">
              <w:t>21.6 (17.2, 26.2)</w:t>
            </w:r>
          </w:p>
        </w:tc>
        <w:tc>
          <w:tcPr>
            <w:tcW w:w="1006" w:type="pct"/>
            <w:vAlign w:val="center"/>
          </w:tcPr>
          <w:p w14:paraId="5A20DE82" w14:textId="5343D6BD" w:rsidR="008D40C6" w:rsidRPr="00B42FAC" w:rsidRDefault="008D40C6" w:rsidP="005E4D14">
            <w:pPr>
              <w:pStyle w:val="TableText0"/>
              <w:jc w:val="center"/>
              <w:rPr>
                <w:vertAlign w:val="superscript"/>
              </w:rPr>
            </w:pPr>
            <w:r w:rsidRPr="00B42FAC">
              <w:t>29.1</w:t>
            </w:r>
            <w:r w:rsidR="00B42FAC" w:rsidRPr="00B42FAC">
              <w:t xml:space="preserve"> </w:t>
            </w:r>
            <w:r w:rsidR="00B42FAC" w:rsidRPr="00B42FAC">
              <w:rPr>
                <w:vertAlign w:val="superscript"/>
              </w:rPr>
              <w:t>a</w:t>
            </w:r>
          </w:p>
        </w:tc>
        <w:tc>
          <w:tcPr>
            <w:tcW w:w="980" w:type="pct"/>
            <w:vAlign w:val="center"/>
          </w:tcPr>
          <w:p w14:paraId="3A04F7FF" w14:textId="77777777" w:rsidR="008D40C6" w:rsidRPr="00C938C0" w:rsidRDefault="008D40C6" w:rsidP="005E4D14">
            <w:pPr>
              <w:pStyle w:val="TableText0"/>
              <w:jc w:val="center"/>
            </w:pPr>
            <w:r w:rsidRPr="00C938C0">
              <w:t>-</w:t>
            </w:r>
          </w:p>
        </w:tc>
      </w:tr>
      <w:tr w:rsidR="008D40C6" w:rsidRPr="0098262F" w14:paraId="61D332D2" w14:textId="77777777" w:rsidTr="005E4D14">
        <w:trPr>
          <w:cantSplit/>
        </w:trPr>
        <w:tc>
          <w:tcPr>
            <w:tcW w:w="1000" w:type="pct"/>
            <w:vAlign w:val="center"/>
          </w:tcPr>
          <w:p w14:paraId="0E8144B5" w14:textId="77777777" w:rsidR="008D40C6" w:rsidRPr="00C938C0" w:rsidRDefault="008D40C6" w:rsidP="005E4D14">
            <w:pPr>
              <w:pStyle w:val="TableText0"/>
            </w:pPr>
            <w:r w:rsidRPr="00C938C0">
              <w:t>PFS rate (%) at 18 months (95% CI)</w:t>
            </w:r>
          </w:p>
        </w:tc>
        <w:tc>
          <w:tcPr>
            <w:tcW w:w="1005" w:type="pct"/>
            <w:vAlign w:val="center"/>
          </w:tcPr>
          <w:p w14:paraId="1035929F" w14:textId="77777777" w:rsidR="008D40C6" w:rsidRPr="00C938C0" w:rsidRDefault="008D40C6" w:rsidP="005E4D14">
            <w:pPr>
              <w:pStyle w:val="TableText0"/>
              <w:jc w:val="center"/>
            </w:pPr>
            <w:r w:rsidRPr="00C938C0">
              <w:t>43.9 (38.5, 49.1)</w:t>
            </w:r>
          </w:p>
        </w:tc>
        <w:tc>
          <w:tcPr>
            <w:tcW w:w="1009" w:type="pct"/>
            <w:vAlign w:val="center"/>
          </w:tcPr>
          <w:p w14:paraId="7246A072" w14:textId="77777777" w:rsidR="008D40C6" w:rsidRPr="00C938C0" w:rsidRDefault="008D40C6" w:rsidP="005E4D14">
            <w:pPr>
              <w:pStyle w:val="TableText0"/>
              <w:jc w:val="center"/>
            </w:pPr>
            <w:r w:rsidRPr="00C938C0">
              <w:t>11.7 (8.0, 16.1)</w:t>
            </w:r>
          </w:p>
        </w:tc>
        <w:tc>
          <w:tcPr>
            <w:tcW w:w="1006" w:type="pct"/>
            <w:vAlign w:val="center"/>
          </w:tcPr>
          <w:p w14:paraId="1A862895" w14:textId="30093A9E" w:rsidR="008D40C6" w:rsidRPr="00B42FAC" w:rsidRDefault="008D40C6" w:rsidP="005E4D14">
            <w:pPr>
              <w:pStyle w:val="TableText0"/>
              <w:jc w:val="center"/>
              <w:rPr>
                <w:vertAlign w:val="superscript"/>
              </w:rPr>
            </w:pPr>
            <w:r w:rsidRPr="00B42FAC">
              <w:t>32.3</w:t>
            </w:r>
            <w:r w:rsidR="00B42FAC" w:rsidRPr="00B42FAC">
              <w:t xml:space="preserve"> </w:t>
            </w:r>
            <w:r w:rsidR="00B42FAC" w:rsidRPr="00B42FAC">
              <w:rPr>
                <w:vertAlign w:val="superscript"/>
              </w:rPr>
              <w:t>a</w:t>
            </w:r>
          </w:p>
        </w:tc>
        <w:tc>
          <w:tcPr>
            <w:tcW w:w="980" w:type="pct"/>
            <w:vAlign w:val="center"/>
          </w:tcPr>
          <w:p w14:paraId="27CF96A6" w14:textId="77777777" w:rsidR="008D40C6" w:rsidRPr="00C938C0" w:rsidRDefault="008D40C6" w:rsidP="005E4D14">
            <w:pPr>
              <w:pStyle w:val="TableText0"/>
              <w:jc w:val="center"/>
            </w:pPr>
            <w:r w:rsidRPr="00C938C0">
              <w:t>-</w:t>
            </w:r>
          </w:p>
        </w:tc>
      </w:tr>
      <w:tr w:rsidR="008D40C6" w:rsidRPr="0098262F" w14:paraId="1C3294B1" w14:textId="77777777" w:rsidTr="005E4D14">
        <w:trPr>
          <w:cantSplit/>
        </w:trPr>
        <w:tc>
          <w:tcPr>
            <w:tcW w:w="5000" w:type="pct"/>
            <w:gridSpan w:val="5"/>
            <w:vAlign w:val="center"/>
          </w:tcPr>
          <w:p w14:paraId="7E519E4B" w14:textId="77777777" w:rsidR="008D40C6" w:rsidRPr="00B42FAC" w:rsidRDefault="008D40C6" w:rsidP="005E4D14">
            <w:pPr>
              <w:pStyle w:val="In-tableHeading"/>
            </w:pPr>
            <w:r w:rsidRPr="00B42FAC">
              <w:t>Overall survival</w:t>
            </w:r>
          </w:p>
        </w:tc>
      </w:tr>
      <w:tr w:rsidR="008D40C6" w:rsidRPr="0098262F" w14:paraId="7A2615DC" w14:textId="77777777" w:rsidTr="005E4D14">
        <w:trPr>
          <w:cantSplit/>
        </w:trPr>
        <w:tc>
          <w:tcPr>
            <w:tcW w:w="1000" w:type="pct"/>
            <w:vAlign w:val="center"/>
          </w:tcPr>
          <w:p w14:paraId="5B7EFE13" w14:textId="77777777" w:rsidR="008D40C6" w:rsidRPr="00C938C0" w:rsidRDefault="008D40C6" w:rsidP="005E4D14">
            <w:pPr>
              <w:pStyle w:val="TableText0"/>
            </w:pPr>
            <w:r w:rsidRPr="00C938C0">
              <w:t>Number of deaths</w:t>
            </w:r>
          </w:p>
        </w:tc>
        <w:tc>
          <w:tcPr>
            <w:tcW w:w="1005" w:type="pct"/>
            <w:vAlign w:val="center"/>
          </w:tcPr>
          <w:p w14:paraId="31E60C73" w14:textId="77777777" w:rsidR="008D40C6" w:rsidRPr="00C938C0" w:rsidRDefault="008D40C6" w:rsidP="005E4D14">
            <w:pPr>
              <w:pStyle w:val="TableText0"/>
              <w:jc w:val="center"/>
            </w:pPr>
            <w:r w:rsidRPr="00C938C0">
              <w:t>133/422 (30.1%)</w:t>
            </w:r>
          </w:p>
        </w:tc>
        <w:tc>
          <w:tcPr>
            <w:tcW w:w="1009" w:type="pct"/>
            <w:vAlign w:val="center"/>
          </w:tcPr>
          <w:p w14:paraId="617860AE" w14:textId="77777777" w:rsidR="008D40C6" w:rsidRPr="00C938C0" w:rsidRDefault="008D40C6" w:rsidP="005E4D14">
            <w:pPr>
              <w:pStyle w:val="TableText0"/>
              <w:jc w:val="center"/>
            </w:pPr>
            <w:r w:rsidRPr="00C938C0">
              <w:t>226/444 (50.9%)</w:t>
            </w:r>
          </w:p>
        </w:tc>
        <w:tc>
          <w:tcPr>
            <w:tcW w:w="1006" w:type="pct"/>
            <w:vAlign w:val="center"/>
          </w:tcPr>
          <w:p w14:paraId="6221E94C" w14:textId="77777777" w:rsidR="008D40C6" w:rsidRPr="00B42FAC" w:rsidRDefault="008D40C6" w:rsidP="005E4D14">
            <w:pPr>
              <w:pStyle w:val="TableText0"/>
              <w:jc w:val="center"/>
            </w:pPr>
            <w:r w:rsidRPr="00B42FAC">
              <w:t>-</w:t>
            </w:r>
          </w:p>
        </w:tc>
        <w:tc>
          <w:tcPr>
            <w:tcW w:w="980" w:type="pct"/>
            <w:vAlign w:val="center"/>
          </w:tcPr>
          <w:p w14:paraId="49FFECA3" w14:textId="77777777" w:rsidR="008D40C6" w:rsidRPr="00C938C0" w:rsidRDefault="008D40C6" w:rsidP="005E4D14">
            <w:pPr>
              <w:pStyle w:val="TableText0"/>
              <w:jc w:val="center"/>
            </w:pPr>
            <w:r w:rsidRPr="00C938C0">
              <w:t>-</w:t>
            </w:r>
          </w:p>
        </w:tc>
      </w:tr>
      <w:tr w:rsidR="008D40C6" w:rsidRPr="0098262F" w14:paraId="6E43F2BF" w14:textId="77777777" w:rsidTr="005E4D14">
        <w:trPr>
          <w:cantSplit/>
        </w:trPr>
        <w:tc>
          <w:tcPr>
            <w:tcW w:w="1000" w:type="pct"/>
            <w:vAlign w:val="center"/>
          </w:tcPr>
          <w:p w14:paraId="2221814D" w14:textId="77777777" w:rsidR="008D40C6" w:rsidRPr="00C938C0" w:rsidRDefault="008D40C6" w:rsidP="005E4D14">
            <w:pPr>
              <w:pStyle w:val="TableText0"/>
            </w:pPr>
            <w:r w:rsidRPr="00C938C0">
              <w:t>Median OS, months (95% CI)</w:t>
            </w:r>
          </w:p>
        </w:tc>
        <w:tc>
          <w:tcPr>
            <w:tcW w:w="1005" w:type="pct"/>
            <w:vAlign w:val="center"/>
          </w:tcPr>
          <w:p w14:paraId="7A6A1B7F" w14:textId="77777777" w:rsidR="008D40C6" w:rsidRPr="00C938C0" w:rsidRDefault="008D40C6" w:rsidP="005E4D14">
            <w:pPr>
              <w:pStyle w:val="TableText0"/>
              <w:jc w:val="center"/>
            </w:pPr>
            <w:r w:rsidRPr="00C938C0">
              <w:t xml:space="preserve">31.5 (25.4, </w:t>
            </w:r>
            <w:r>
              <w:t>NR</w:t>
            </w:r>
            <w:r w:rsidRPr="00C938C0">
              <w:t>)</w:t>
            </w:r>
          </w:p>
        </w:tc>
        <w:tc>
          <w:tcPr>
            <w:tcW w:w="1009" w:type="pct"/>
            <w:vAlign w:val="center"/>
          </w:tcPr>
          <w:p w14:paraId="53ADBDA3" w14:textId="77777777" w:rsidR="008D40C6" w:rsidRPr="00C938C0" w:rsidRDefault="008D40C6" w:rsidP="005E4D14">
            <w:pPr>
              <w:pStyle w:val="TableText0"/>
              <w:jc w:val="center"/>
            </w:pPr>
            <w:r w:rsidRPr="00C938C0">
              <w:t>16.1 (13.9, 18.3)</w:t>
            </w:r>
          </w:p>
        </w:tc>
        <w:tc>
          <w:tcPr>
            <w:tcW w:w="1006" w:type="pct"/>
            <w:vAlign w:val="center"/>
          </w:tcPr>
          <w:p w14:paraId="4B5102A3" w14:textId="77777777" w:rsidR="008D40C6" w:rsidRPr="00B42FAC" w:rsidRDefault="008D40C6" w:rsidP="005E4D14">
            <w:pPr>
              <w:pStyle w:val="TableText0"/>
              <w:jc w:val="center"/>
            </w:pPr>
            <w:r w:rsidRPr="00B42FAC">
              <w:t>15.4</w:t>
            </w:r>
          </w:p>
        </w:tc>
        <w:tc>
          <w:tcPr>
            <w:tcW w:w="980" w:type="pct"/>
            <w:vAlign w:val="center"/>
          </w:tcPr>
          <w:p w14:paraId="7DDEFAAE" w14:textId="77777777" w:rsidR="008D40C6" w:rsidRPr="00E430BD" w:rsidRDefault="008D40C6" w:rsidP="005E4D14">
            <w:pPr>
              <w:pStyle w:val="TableText0"/>
              <w:jc w:val="center"/>
              <w:rPr>
                <w:b/>
                <w:bCs w:val="0"/>
              </w:rPr>
            </w:pPr>
            <w:r w:rsidRPr="00E430BD">
              <w:rPr>
                <w:b/>
                <w:bCs w:val="0"/>
              </w:rPr>
              <w:t>0.47 (0.38, 0.58)</w:t>
            </w:r>
          </w:p>
        </w:tc>
      </w:tr>
      <w:tr w:rsidR="008D40C6" w:rsidRPr="0098262F" w14:paraId="2661455E" w14:textId="77777777" w:rsidTr="005E4D14">
        <w:trPr>
          <w:cantSplit/>
        </w:trPr>
        <w:tc>
          <w:tcPr>
            <w:tcW w:w="1000" w:type="pct"/>
            <w:vAlign w:val="center"/>
          </w:tcPr>
          <w:p w14:paraId="3FC48E3C" w14:textId="77777777" w:rsidR="008D40C6" w:rsidRPr="00C938C0" w:rsidRDefault="008D40C6" w:rsidP="005E4D14">
            <w:pPr>
              <w:pStyle w:val="TableText0"/>
            </w:pPr>
            <w:r w:rsidRPr="00C938C0">
              <w:t>OS rate (%) at 6 months (95% CI)</w:t>
            </w:r>
          </w:p>
        </w:tc>
        <w:tc>
          <w:tcPr>
            <w:tcW w:w="1005" w:type="pct"/>
            <w:vAlign w:val="center"/>
          </w:tcPr>
          <w:p w14:paraId="72916F95" w14:textId="77777777" w:rsidR="008D40C6" w:rsidRPr="00C938C0" w:rsidRDefault="008D40C6" w:rsidP="005E4D14">
            <w:pPr>
              <w:pStyle w:val="TableText0"/>
              <w:jc w:val="center"/>
            </w:pPr>
            <w:r w:rsidRPr="00C938C0">
              <w:t>90.2 (87.0, 92.6)</w:t>
            </w:r>
          </w:p>
        </w:tc>
        <w:tc>
          <w:tcPr>
            <w:tcW w:w="1009" w:type="pct"/>
            <w:vAlign w:val="center"/>
          </w:tcPr>
          <w:p w14:paraId="50729486" w14:textId="77777777" w:rsidR="008D40C6" w:rsidRPr="00C938C0" w:rsidRDefault="008D40C6" w:rsidP="005E4D14">
            <w:pPr>
              <w:pStyle w:val="TableText0"/>
              <w:jc w:val="center"/>
            </w:pPr>
            <w:r w:rsidRPr="00C938C0">
              <w:t>81.9 (77.9, 85.2)</w:t>
            </w:r>
          </w:p>
        </w:tc>
        <w:tc>
          <w:tcPr>
            <w:tcW w:w="1006" w:type="pct"/>
            <w:vAlign w:val="center"/>
          </w:tcPr>
          <w:p w14:paraId="56B8BA03" w14:textId="2B2E225C" w:rsidR="008D40C6" w:rsidRPr="00B42FAC" w:rsidRDefault="008D40C6" w:rsidP="005E4D14">
            <w:pPr>
              <w:pStyle w:val="TableText0"/>
              <w:jc w:val="center"/>
              <w:rPr>
                <w:vertAlign w:val="superscript"/>
              </w:rPr>
            </w:pPr>
            <w:r w:rsidRPr="00B42FAC">
              <w:t>8.3</w:t>
            </w:r>
            <w:r w:rsidR="00B42FAC" w:rsidRPr="00B42FAC">
              <w:t xml:space="preserve"> </w:t>
            </w:r>
            <w:r w:rsidR="00B42FAC" w:rsidRPr="00B42FAC">
              <w:rPr>
                <w:vertAlign w:val="superscript"/>
              </w:rPr>
              <w:t>a</w:t>
            </w:r>
          </w:p>
        </w:tc>
        <w:tc>
          <w:tcPr>
            <w:tcW w:w="980" w:type="pct"/>
            <w:vAlign w:val="center"/>
          </w:tcPr>
          <w:p w14:paraId="07C4DD0F" w14:textId="77777777" w:rsidR="008D40C6" w:rsidRPr="00C938C0" w:rsidRDefault="008D40C6" w:rsidP="005E4D14">
            <w:pPr>
              <w:pStyle w:val="TableText0"/>
              <w:jc w:val="center"/>
            </w:pPr>
            <w:r w:rsidRPr="00C938C0">
              <w:t>-</w:t>
            </w:r>
          </w:p>
        </w:tc>
      </w:tr>
      <w:tr w:rsidR="008D40C6" w:rsidRPr="0098262F" w14:paraId="01A6560F" w14:textId="77777777" w:rsidTr="005E4D14">
        <w:trPr>
          <w:cantSplit/>
        </w:trPr>
        <w:tc>
          <w:tcPr>
            <w:tcW w:w="1000" w:type="pct"/>
            <w:vAlign w:val="center"/>
          </w:tcPr>
          <w:p w14:paraId="7CAEF479" w14:textId="77777777" w:rsidR="008D40C6" w:rsidRPr="00C938C0" w:rsidRDefault="008D40C6" w:rsidP="005E4D14">
            <w:pPr>
              <w:pStyle w:val="TableText0"/>
            </w:pPr>
            <w:r w:rsidRPr="00C938C0">
              <w:t>OS rate (%) at 12 months (95% CI)</w:t>
            </w:r>
          </w:p>
        </w:tc>
        <w:tc>
          <w:tcPr>
            <w:tcW w:w="1005" w:type="pct"/>
            <w:vAlign w:val="center"/>
          </w:tcPr>
          <w:p w14:paraId="5EE5B12E" w14:textId="77777777" w:rsidR="008D40C6" w:rsidRPr="00C938C0" w:rsidRDefault="008D40C6" w:rsidP="005E4D14">
            <w:pPr>
              <w:pStyle w:val="TableText0"/>
              <w:jc w:val="center"/>
            </w:pPr>
            <w:r w:rsidRPr="00C938C0">
              <w:t>78.2 (73.9, 81.9)</w:t>
            </w:r>
          </w:p>
        </w:tc>
        <w:tc>
          <w:tcPr>
            <w:tcW w:w="1009" w:type="pct"/>
            <w:vAlign w:val="center"/>
          </w:tcPr>
          <w:p w14:paraId="2CCB08DB" w14:textId="77777777" w:rsidR="008D40C6" w:rsidRPr="00C938C0" w:rsidRDefault="008D40C6" w:rsidP="005E4D14">
            <w:pPr>
              <w:pStyle w:val="TableText0"/>
              <w:jc w:val="center"/>
            </w:pPr>
            <w:r w:rsidRPr="00C938C0">
              <w:t>61.4 (56.6, 65.9)</w:t>
            </w:r>
          </w:p>
        </w:tc>
        <w:tc>
          <w:tcPr>
            <w:tcW w:w="1006" w:type="pct"/>
            <w:vAlign w:val="center"/>
          </w:tcPr>
          <w:p w14:paraId="041F768E" w14:textId="29BB8132" w:rsidR="008D40C6" w:rsidRPr="00B42FAC" w:rsidRDefault="008D40C6" w:rsidP="005E4D14">
            <w:pPr>
              <w:pStyle w:val="TableText0"/>
              <w:jc w:val="center"/>
              <w:rPr>
                <w:vertAlign w:val="superscript"/>
              </w:rPr>
            </w:pPr>
            <w:r w:rsidRPr="00B42FAC">
              <w:t>16.8</w:t>
            </w:r>
            <w:r w:rsidR="00B42FAC" w:rsidRPr="00B42FAC">
              <w:t xml:space="preserve"> </w:t>
            </w:r>
            <w:r w:rsidR="00B42FAC" w:rsidRPr="00B42FAC">
              <w:rPr>
                <w:vertAlign w:val="superscript"/>
              </w:rPr>
              <w:t>a</w:t>
            </w:r>
          </w:p>
        </w:tc>
        <w:tc>
          <w:tcPr>
            <w:tcW w:w="980" w:type="pct"/>
            <w:vAlign w:val="center"/>
          </w:tcPr>
          <w:p w14:paraId="4613D384" w14:textId="77777777" w:rsidR="008D40C6" w:rsidRPr="00C938C0" w:rsidRDefault="008D40C6" w:rsidP="005E4D14">
            <w:pPr>
              <w:pStyle w:val="TableText0"/>
              <w:jc w:val="center"/>
            </w:pPr>
            <w:r w:rsidRPr="00C938C0">
              <w:t>-</w:t>
            </w:r>
          </w:p>
        </w:tc>
      </w:tr>
      <w:tr w:rsidR="008D40C6" w:rsidRPr="0098262F" w14:paraId="17A0DE6F" w14:textId="77777777" w:rsidTr="005E4D14">
        <w:trPr>
          <w:cantSplit/>
        </w:trPr>
        <w:tc>
          <w:tcPr>
            <w:tcW w:w="1000" w:type="pct"/>
            <w:vAlign w:val="center"/>
          </w:tcPr>
          <w:p w14:paraId="65402E86" w14:textId="77777777" w:rsidR="008D40C6" w:rsidRPr="00C938C0" w:rsidRDefault="008D40C6" w:rsidP="005E4D14">
            <w:pPr>
              <w:pStyle w:val="TableText0"/>
            </w:pPr>
            <w:r w:rsidRPr="00C938C0">
              <w:t>OS rate (%) at 18 months (95% CI)</w:t>
            </w:r>
          </w:p>
        </w:tc>
        <w:tc>
          <w:tcPr>
            <w:tcW w:w="1005" w:type="pct"/>
            <w:vAlign w:val="center"/>
          </w:tcPr>
          <w:p w14:paraId="6A45C9E8" w14:textId="77777777" w:rsidR="008D40C6" w:rsidRPr="00C938C0" w:rsidRDefault="008D40C6" w:rsidP="005E4D14">
            <w:pPr>
              <w:pStyle w:val="TableText0"/>
              <w:jc w:val="center"/>
            </w:pPr>
            <w:r w:rsidRPr="00C938C0">
              <w:t>69.5 (64.4, 74.1)</w:t>
            </w:r>
          </w:p>
        </w:tc>
        <w:tc>
          <w:tcPr>
            <w:tcW w:w="1009" w:type="pct"/>
            <w:vAlign w:val="center"/>
          </w:tcPr>
          <w:p w14:paraId="125FBEEC" w14:textId="77777777" w:rsidR="008D40C6" w:rsidRPr="00C938C0" w:rsidRDefault="008D40C6" w:rsidP="005E4D14">
            <w:pPr>
              <w:pStyle w:val="TableText0"/>
              <w:jc w:val="center"/>
            </w:pPr>
            <w:r w:rsidRPr="00C938C0">
              <w:t>44.7 (39.2, 50.1)</w:t>
            </w:r>
          </w:p>
        </w:tc>
        <w:tc>
          <w:tcPr>
            <w:tcW w:w="1006" w:type="pct"/>
            <w:vAlign w:val="center"/>
          </w:tcPr>
          <w:p w14:paraId="7E2C1DF3" w14:textId="0BE6692A" w:rsidR="008D40C6" w:rsidRPr="00B42FAC" w:rsidRDefault="008D40C6" w:rsidP="005E4D14">
            <w:pPr>
              <w:pStyle w:val="TableText0"/>
              <w:jc w:val="center"/>
              <w:rPr>
                <w:vertAlign w:val="superscript"/>
              </w:rPr>
            </w:pPr>
            <w:r w:rsidRPr="00B42FAC">
              <w:t>24.8</w:t>
            </w:r>
            <w:r w:rsidR="00B42FAC" w:rsidRPr="00B42FAC">
              <w:t xml:space="preserve"> </w:t>
            </w:r>
            <w:r w:rsidR="00B42FAC" w:rsidRPr="00B42FAC">
              <w:rPr>
                <w:vertAlign w:val="superscript"/>
              </w:rPr>
              <w:t>a</w:t>
            </w:r>
          </w:p>
        </w:tc>
        <w:tc>
          <w:tcPr>
            <w:tcW w:w="980" w:type="pct"/>
            <w:vAlign w:val="center"/>
          </w:tcPr>
          <w:p w14:paraId="7D85F8A5" w14:textId="77777777" w:rsidR="008D40C6" w:rsidRPr="00C938C0" w:rsidRDefault="008D40C6" w:rsidP="005E4D14">
            <w:pPr>
              <w:pStyle w:val="TableText0"/>
              <w:jc w:val="center"/>
            </w:pPr>
            <w:r w:rsidRPr="00C938C0">
              <w:t>-</w:t>
            </w:r>
          </w:p>
        </w:tc>
      </w:tr>
    </w:tbl>
    <w:p w14:paraId="118211FB" w14:textId="77777777" w:rsidR="008D40C6" w:rsidRDefault="008D40C6" w:rsidP="008D40C6">
      <w:pPr>
        <w:pStyle w:val="TableFigureFooter"/>
      </w:pPr>
      <w:r>
        <w:t>Source: Table 2-12, p66 and Table 2-13, p68 of the submission.</w:t>
      </w:r>
    </w:p>
    <w:p w14:paraId="45F892DD" w14:textId="77777777" w:rsidR="008D40C6" w:rsidRDefault="008D40C6" w:rsidP="008D40C6">
      <w:pPr>
        <w:pStyle w:val="TableFigureFooter"/>
      </w:pPr>
      <w:r>
        <w:t xml:space="preserve">BICR = blinded independent central review; CI = confidence interval; EV+PEM = enfortumab vedotin with pembrolizumab; HR = hazard ratio; ITT = intention to treat population; OS = overall survival; PFS = progression free survival; </w:t>
      </w:r>
      <w:proofErr w:type="spellStart"/>
      <w:r>
        <w:t>Plat+GEM</w:t>
      </w:r>
      <w:proofErr w:type="spellEnd"/>
      <w:r>
        <w:t xml:space="preserve"> = platinum containing chemotherapy with gemcitabine; n = number of patients who progressed or died; N = number of patients in the arm; NR = not reached.</w:t>
      </w:r>
    </w:p>
    <w:p w14:paraId="6C270977" w14:textId="77777777" w:rsidR="008D40C6" w:rsidRDefault="008D40C6" w:rsidP="008D40C6">
      <w:pPr>
        <w:pStyle w:val="TableFigureFooter"/>
      </w:pPr>
      <w:r w:rsidRPr="00E430BD">
        <w:rPr>
          <w:b/>
          <w:bCs/>
        </w:rPr>
        <w:t>Bold</w:t>
      </w:r>
      <w:r w:rsidRPr="00D90F1B">
        <w:t xml:space="preserve"> = statistically significant</w:t>
      </w:r>
    </w:p>
    <w:p w14:paraId="79DB6148" w14:textId="3E0C3DA2" w:rsidR="008D40C6" w:rsidRDefault="00B42FAC" w:rsidP="0043244E">
      <w:pPr>
        <w:pStyle w:val="TableFigureFooter"/>
        <w:spacing w:after="120"/>
      </w:pPr>
      <w:r>
        <w:rPr>
          <w:i/>
          <w:iCs/>
          <w:vertAlign w:val="superscript"/>
        </w:rPr>
        <w:t>a</w:t>
      </w:r>
      <w:r w:rsidR="008D40C6">
        <w:t xml:space="preserve"> calculated during the evaluation.</w:t>
      </w:r>
    </w:p>
    <w:p w14:paraId="702FFA18" w14:textId="486D4D2F" w:rsidR="008D40C6" w:rsidRDefault="008D40C6" w:rsidP="008D40C6">
      <w:pPr>
        <w:pStyle w:val="Caption"/>
      </w:pPr>
      <w:bookmarkStart w:id="26" w:name="_Ref174223260"/>
      <w:r>
        <w:t xml:space="preserve">Figure </w:t>
      </w:r>
      <w:r>
        <w:fldChar w:fldCharType="begin" w:fldLock="1"/>
      </w:r>
      <w:r>
        <w:instrText xml:space="preserve"> SEQ Figure \* ARABIC </w:instrText>
      </w:r>
      <w:r>
        <w:fldChar w:fldCharType="separate"/>
      </w:r>
      <w:r w:rsidR="00FE0BD6">
        <w:rPr>
          <w:noProof/>
        </w:rPr>
        <w:t>1</w:t>
      </w:r>
      <w:r>
        <w:rPr>
          <w:noProof/>
        </w:rPr>
        <w:fldChar w:fldCharType="end"/>
      </w:r>
      <w:bookmarkEnd w:id="26"/>
      <w:r>
        <w:t>: KM plot of PFS by BICR in EV-302 (ITT)</w:t>
      </w:r>
    </w:p>
    <w:p w14:paraId="7B9A5D22" w14:textId="77777777" w:rsidR="008D40C6" w:rsidRDefault="008D40C6" w:rsidP="008D40C6">
      <w:pPr>
        <w:pStyle w:val="Caption"/>
        <w:rPr>
          <w:color w:val="0066FF"/>
        </w:rPr>
      </w:pPr>
      <w:r w:rsidRPr="00E55C0E">
        <w:rPr>
          <w:noProof/>
        </w:rPr>
        <w:drawing>
          <wp:inline distT="0" distB="0" distL="0" distR="0" wp14:anchorId="27989DEE" wp14:editId="24EF78EC">
            <wp:extent cx="5732145" cy="3029585"/>
            <wp:effectExtent l="0" t="0" r="1905" b="0"/>
            <wp:docPr id="250579113"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29107" name="Picture 1" descr="A graph of a number of people&#10;&#10;Description automatically generated with medium confidence"/>
                    <pic:cNvPicPr/>
                  </pic:nvPicPr>
                  <pic:blipFill>
                    <a:blip r:embed="rId11"/>
                    <a:stretch>
                      <a:fillRect/>
                    </a:stretch>
                  </pic:blipFill>
                  <pic:spPr>
                    <a:xfrm>
                      <a:off x="0" y="0"/>
                      <a:ext cx="5732145" cy="3029585"/>
                    </a:xfrm>
                    <a:prstGeom prst="rect">
                      <a:avLst/>
                    </a:prstGeom>
                  </pic:spPr>
                </pic:pic>
              </a:graphicData>
            </a:graphic>
          </wp:inline>
        </w:drawing>
      </w:r>
    </w:p>
    <w:p w14:paraId="6BF3C946" w14:textId="77777777" w:rsidR="008D40C6" w:rsidRDefault="008D40C6" w:rsidP="008D40C6">
      <w:pPr>
        <w:keepNext/>
        <w:rPr>
          <w:rFonts w:ascii="Arial Narrow" w:hAnsi="Arial Narrow"/>
          <w:sz w:val="18"/>
          <w:szCs w:val="18"/>
        </w:rPr>
      </w:pPr>
      <w:r w:rsidRPr="008D5F58">
        <w:rPr>
          <w:rFonts w:ascii="Arial Narrow" w:hAnsi="Arial Narrow"/>
          <w:sz w:val="18"/>
          <w:szCs w:val="18"/>
        </w:rPr>
        <w:t>Source:</w:t>
      </w:r>
      <w:r>
        <w:rPr>
          <w:rFonts w:ascii="Arial Narrow" w:hAnsi="Arial Narrow"/>
          <w:sz w:val="18"/>
          <w:szCs w:val="18"/>
        </w:rPr>
        <w:t xml:space="preserve"> Figure 2-4, p66 of the submission.</w:t>
      </w:r>
    </w:p>
    <w:p w14:paraId="23AD56BD" w14:textId="090FE77E" w:rsidR="008D40C6" w:rsidRPr="00F3211E" w:rsidRDefault="008D40C6" w:rsidP="008D40C6">
      <w:pPr>
        <w:pStyle w:val="FooterTableFigure"/>
      </w:pPr>
      <w:r w:rsidRPr="00F3211E">
        <w:t xml:space="preserve">BICR = blinded independent central review; CI = confidence interval; </w:t>
      </w:r>
      <w:proofErr w:type="spellStart"/>
      <w:r w:rsidRPr="00F3211E">
        <w:t>EV+Pembro</w:t>
      </w:r>
      <w:proofErr w:type="spellEnd"/>
      <w:r w:rsidRPr="00F3211E">
        <w:t xml:space="preserve"> = enfortumab vedotin with pembrolizumab; HR = hazard ratio; ITT = intention to treat population; PFS = progression free survival; KM = Kaplan-Meier; </w:t>
      </w:r>
      <w:proofErr w:type="spellStart"/>
      <w:r w:rsidRPr="00F3211E">
        <w:t>Plat+GEM</w:t>
      </w:r>
      <w:proofErr w:type="spellEnd"/>
      <w:r w:rsidRPr="00F3211E">
        <w:t xml:space="preserve"> = platinum containing chemotherapy with gemcitabine</w:t>
      </w:r>
    </w:p>
    <w:p w14:paraId="4BE55B71" w14:textId="7D0F01AC" w:rsidR="008D40C6" w:rsidRDefault="008D40C6" w:rsidP="008D40C6">
      <w:pPr>
        <w:pStyle w:val="Caption"/>
      </w:pPr>
      <w:bookmarkStart w:id="27" w:name="_Ref174223286"/>
      <w:r>
        <w:lastRenderedPageBreak/>
        <w:t xml:space="preserve">Figure </w:t>
      </w:r>
      <w:r>
        <w:fldChar w:fldCharType="begin" w:fldLock="1"/>
      </w:r>
      <w:r>
        <w:instrText xml:space="preserve"> SEQ Figure \* ARABIC </w:instrText>
      </w:r>
      <w:r>
        <w:fldChar w:fldCharType="separate"/>
      </w:r>
      <w:r w:rsidR="00FE0BD6">
        <w:rPr>
          <w:noProof/>
        </w:rPr>
        <w:t>2</w:t>
      </w:r>
      <w:r>
        <w:rPr>
          <w:noProof/>
        </w:rPr>
        <w:fldChar w:fldCharType="end"/>
      </w:r>
      <w:bookmarkEnd w:id="27"/>
      <w:r>
        <w:t>: KM-plot of OS in EV-302 (ITT)</w:t>
      </w:r>
    </w:p>
    <w:p w14:paraId="38F1D32C" w14:textId="77777777" w:rsidR="008D40C6" w:rsidRDefault="008D40C6" w:rsidP="0043244E">
      <w:pPr>
        <w:pStyle w:val="3-BodyText"/>
        <w:numPr>
          <w:ilvl w:val="0"/>
          <w:numId w:val="0"/>
        </w:numPr>
        <w:spacing w:before="0" w:after="0"/>
        <w:ind w:left="720" w:hanging="720"/>
        <w:rPr>
          <w:color w:val="0066FF"/>
        </w:rPr>
      </w:pPr>
      <w:r w:rsidRPr="00A43713">
        <w:rPr>
          <w:noProof/>
        </w:rPr>
        <w:drawing>
          <wp:inline distT="0" distB="0" distL="0" distR="0" wp14:anchorId="11FEB7D3" wp14:editId="73DED511">
            <wp:extent cx="5732145" cy="3016250"/>
            <wp:effectExtent l="0" t="0" r="1905" b="0"/>
            <wp:docPr id="1167536420"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14413" name="Picture 1" descr="A graph with numbers and a line&#10;&#10;Description automatically generated"/>
                    <pic:cNvPicPr/>
                  </pic:nvPicPr>
                  <pic:blipFill>
                    <a:blip r:embed="rId12"/>
                    <a:stretch>
                      <a:fillRect/>
                    </a:stretch>
                  </pic:blipFill>
                  <pic:spPr>
                    <a:xfrm>
                      <a:off x="0" y="0"/>
                      <a:ext cx="5732145" cy="3016250"/>
                    </a:xfrm>
                    <a:prstGeom prst="rect">
                      <a:avLst/>
                    </a:prstGeom>
                  </pic:spPr>
                </pic:pic>
              </a:graphicData>
            </a:graphic>
          </wp:inline>
        </w:drawing>
      </w:r>
    </w:p>
    <w:p w14:paraId="303EFFA6" w14:textId="77777777" w:rsidR="008D40C6" w:rsidRDefault="008D40C6" w:rsidP="008D40C6">
      <w:pPr>
        <w:keepNext/>
        <w:rPr>
          <w:rFonts w:ascii="Arial Narrow" w:hAnsi="Arial Narrow"/>
          <w:sz w:val="18"/>
          <w:szCs w:val="18"/>
        </w:rPr>
      </w:pPr>
      <w:r w:rsidRPr="00A20363">
        <w:rPr>
          <w:rFonts w:ascii="Arial Narrow" w:hAnsi="Arial Narrow"/>
          <w:sz w:val="18"/>
          <w:szCs w:val="18"/>
        </w:rPr>
        <w:t>Source:</w:t>
      </w:r>
      <w:r>
        <w:rPr>
          <w:rFonts w:ascii="Arial Narrow" w:hAnsi="Arial Narrow"/>
          <w:sz w:val="18"/>
          <w:szCs w:val="18"/>
        </w:rPr>
        <w:t xml:space="preserve"> Figure 2-6, p69 of the submission.</w:t>
      </w:r>
    </w:p>
    <w:p w14:paraId="34B4D648" w14:textId="5B3E0F4B" w:rsidR="008D40C6" w:rsidRPr="00014CB1" w:rsidRDefault="008D40C6" w:rsidP="00014CB1">
      <w:pPr>
        <w:rPr>
          <w:rFonts w:ascii="Arial Narrow" w:hAnsi="Arial Narrow"/>
          <w:sz w:val="18"/>
          <w:szCs w:val="18"/>
        </w:rPr>
      </w:pPr>
      <w:r w:rsidRPr="00434953">
        <w:rPr>
          <w:rFonts w:ascii="Arial Narrow" w:hAnsi="Arial Narrow"/>
          <w:sz w:val="18"/>
          <w:szCs w:val="18"/>
        </w:rPr>
        <w:t xml:space="preserve">CI = confidence interval; </w:t>
      </w:r>
      <w:proofErr w:type="spellStart"/>
      <w:r w:rsidRPr="00434953">
        <w:rPr>
          <w:rFonts w:ascii="Arial Narrow" w:hAnsi="Arial Narrow"/>
          <w:sz w:val="18"/>
          <w:szCs w:val="18"/>
        </w:rPr>
        <w:t>EV+P</w:t>
      </w:r>
      <w:r>
        <w:rPr>
          <w:rFonts w:ascii="Arial Narrow" w:hAnsi="Arial Narrow"/>
          <w:sz w:val="18"/>
          <w:szCs w:val="18"/>
        </w:rPr>
        <w:t>embro</w:t>
      </w:r>
      <w:proofErr w:type="spellEnd"/>
      <w:r w:rsidRPr="00434953">
        <w:rPr>
          <w:rFonts w:ascii="Arial Narrow" w:hAnsi="Arial Narrow"/>
          <w:sz w:val="18"/>
          <w:szCs w:val="18"/>
        </w:rPr>
        <w:t xml:space="preserve"> = enfortumab vedotin with pembrolizumab; HR = hazard ratio; ITT = intention to treat population; </w:t>
      </w:r>
      <w:r>
        <w:rPr>
          <w:rFonts w:ascii="Arial Narrow" w:hAnsi="Arial Narrow"/>
          <w:sz w:val="18"/>
          <w:szCs w:val="18"/>
        </w:rPr>
        <w:t>OS = overall survival</w:t>
      </w:r>
      <w:r w:rsidRPr="00434953">
        <w:rPr>
          <w:rFonts w:ascii="Arial Narrow" w:hAnsi="Arial Narrow"/>
          <w:sz w:val="18"/>
          <w:szCs w:val="18"/>
        </w:rPr>
        <w:t>;</w:t>
      </w:r>
      <w:r>
        <w:rPr>
          <w:rFonts w:ascii="Arial Narrow" w:hAnsi="Arial Narrow"/>
          <w:sz w:val="18"/>
          <w:szCs w:val="18"/>
        </w:rPr>
        <w:t xml:space="preserve"> KM = Kaplan-Meier;</w:t>
      </w:r>
      <w:r w:rsidRPr="00434953">
        <w:rPr>
          <w:rFonts w:ascii="Arial Narrow" w:hAnsi="Arial Narrow"/>
          <w:sz w:val="18"/>
          <w:szCs w:val="18"/>
        </w:rPr>
        <w:t xml:space="preserve"> </w:t>
      </w:r>
      <w:proofErr w:type="spellStart"/>
      <w:r w:rsidRPr="00434953">
        <w:rPr>
          <w:rFonts w:ascii="Arial Narrow" w:hAnsi="Arial Narrow"/>
          <w:sz w:val="18"/>
          <w:szCs w:val="18"/>
        </w:rPr>
        <w:t>Plat+GEM</w:t>
      </w:r>
      <w:proofErr w:type="spellEnd"/>
      <w:r w:rsidRPr="00434953">
        <w:rPr>
          <w:rFonts w:ascii="Arial Narrow" w:hAnsi="Arial Narrow"/>
          <w:sz w:val="18"/>
          <w:szCs w:val="18"/>
        </w:rPr>
        <w:t xml:space="preserve"> = platinum containing chemotherapy with gemcitabine</w:t>
      </w:r>
      <w:r>
        <w:rPr>
          <w:rFonts w:ascii="Arial Narrow" w:hAnsi="Arial Narrow"/>
          <w:sz w:val="18"/>
          <w:szCs w:val="18"/>
        </w:rPr>
        <w:t>.</w:t>
      </w:r>
    </w:p>
    <w:p w14:paraId="188D4BAB" w14:textId="4CC85FDC" w:rsidR="008D40C6" w:rsidRDefault="008D40C6" w:rsidP="008D40C6">
      <w:pPr>
        <w:pStyle w:val="3-BodyText"/>
      </w:pPr>
      <w:r>
        <w:t>For PFS i</w:t>
      </w:r>
      <w:r w:rsidRPr="00EA5E87">
        <w:t>n the ITT population</w:t>
      </w:r>
      <w:r>
        <w:t>,</w:t>
      </w:r>
      <w:r w:rsidRPr="00EA5E87">
        <w:t xml:space="preserve"> at a median follow-up of 17.2 months, there were 223 PFS events reported in the EV+PEM arm and 307 in the </w:t>
      </w:r>
      <w:proofErr w:type="spellStart"/>
      <w:r w:rsidRPr="00EA5E87">
        <w:t>Plat+Gem</w:t>
      </w:r>
      <w:proofErr w:type="spellEnd"/>
      <w:r w:rsidRPr="00EA5E87">
        <w:t xml:space="preserve"> arm. EV+PEM demonstrated a statistically significant improvement in PFS compared to </w:t>
      </w:r>
      <w:proofErr w:type="spellStart"/>
      <w:r w:rsidRPr="00EA5E87">
        <w:t>Plat+Gem</w:t>
      </w:r>
      <w:proofErr w:type="spellEnd"/>
      <w:r w:rsidRPr="00EA5E87">
        <w:t>, with a 55% reduction in the risk of disease progression or death (HR=0.45; 95% CI: 0.3</w:t>
      </w:r>
      <w:r w:rsidR="00D13B84">
        <w:t>8</w:t>
      </w:r>
      <w:r w:rsidRPr="00EA5E87">
        <w:t>, 0.5</w:t>
      </w:r>
      <w:r w:rsidR="00C22F93">
        <w:t>4</w:t>
      </w:r>
      <w:r w:rsidRPr="00EA5E87">
        <w:t>; 2-sided p-value &lt;0.00001).</w:t>
      </w:r>
      <w:r>
        <w:t xml:space="preserve"> </w:t>
      </w:r>
      <w:r w:rsidRPr="00EA5E87">
        <w:t xml:space="preserve">The median PFS in the EV+PEM </w:t>
      </w:r>
      <w:r>
        <w:t xml:space="preserve">arm </w:t>
      </w:r>
      <w:r w:rsidRPr="00EA5E87">
        <w:t xml:space="preserve">was 12.5 months compared to 6.3 months in the </w:t>
      </w:r>
      <w:proofErr w:type="spellStart"/>
      <w:r w:rsidRPr="00EA5E87">
        <w:t>Plat+Gem</w:t>
      </w:r>
      <w:proofErr w:type="spellEnd"/>
      <w:r w:rsidRPr="00EA5E87">
        <w:t xml:space="preserve"> arm, corresponding to an incremental median PFS benefit of 6.2 months.</w:t>
      </w:r>
    </w:p>
    <w:p w14:paraId="7F9CABD8" w14:textId="2198083D" w:rsidR="008D40C6" w:rsidRDefault="008D40C6" w:rsidP="008D40C6">
      <w:pPr>
        <w:pStyle w:val="3-BodyText"/>
      </w:pPr>
      <w:r>
        <w:t xml:space="preserve">For OS in the ITT population, 30.1% of patients in the EV+PEM arm and 50.9% of patients in the </w:t>
      </w:r>
      <w:proofErr w:type="spellStart"/>
      <w:r>
        <w:t>Plat+Gem</w:t>
      </w:r>
      <w:proofErr w:type="spellEnd"/>
      <w:r>
        <w:t xml:space="preserve"> arm had died as of the 8 August 2023 DCO. A statistically significant reduction in the risk of death of 53.2% was observed in the EV+PEM arm compared to the </w:t>
      </w:r>
      <w:proofErr w:type="spellStart"/>
      <w:r>
        <w:t>Plat+Gem</w:t>
      </w:r>
      <w:proofErr w:type="spellEnd"/>
      <w:r>
        <w:t xml:space="preserve"> arm (HR=0.4</w:t>
      </w:r>
      <w:r w:rsidR="00D13B84">
        <w:t>7</w:t>
      </w:r>
      <w:r>
        <w:t>; 95% CI: 0.3</w:t>
      </w:r>
      <w:r w:rsidR="00D13B84">
        <w:t>8</w:t>
      </w:r>
      <w:r>
        <w:t xml:space="preserve">, 0.58; 2-sided p-value &lt;0.00001). The median OS in the EV+PEM arm was 31.5 months compared to 16.1 months in the </w:t>
      </w:r>
      <w:proofErr w:type="spellStart"/>
      <w:r>
        <w:t>Plat+Gem</w:t>
      </w:r>
      <w:proofErr w:type="spellEnd"/>
      <w:r>
        <w:t xml:space="preserve"> arm, corresponding to an incremental median OS benefit of 15.4 months.</w:t>
      </w:r>
    </w:p>
    <w:p w14:paraId="38797DAC" w14:textId="0EA4CE55" w:rsidR="008D40C6" w:rsidRPr="005D3209" w:rsidRDefault="008D40C6" w:rsidP="008D40C6">
      <w:pPr>
        <w:pStyle w:val="3-BodyText"/>
      </w:pPr>
      <w:r w:rsidRPr="00C11145">
        <w:t>Although the OS data for EV+PEM presented in the submission shows a median OS of 31.5 months with a lower bound of the 95% confidence interval (CI) of 25.4 months, it should be noted that the upper bound of the 95% CI has yet to be reached. The median OS may change with more mature data.</w:t>
      </w:r>
      <w:r w:rsidR="00E758A3">
        <w:t xml:space="preserve"> </w:t>
      </w:r>
    </w:p>
    <w:p w14:paraId="27D7013C" w14:textId="3F0241F2" w:rsidR="008D40C6" w:rsidRPr="00C60591" w:rsidRDefault="008D40C6" w:rsidP="008D40C6">
      <w:pPr>
        <w:pStyle w:val="3-BodyText"/>
      </w:pPr>
      <w:r>
        <w:t xml:space="preserve">The benefit in PFS and OS was demonstrated </w:t>
      </w:r>
      <w:r w:rsidR="00BF054D">
        <w:t xml:space="preserve">in </w:t>
      </w:r>
      <w:r>
        <w:t xml:space="preserve">almost all prespecified subgroups including age (&lt;65 and </w:t>
      </w:r>
      <w:r w:rsidRPr="00EF1FB7">
        <w:rPr>
          <w:rFonts w:cstheme="minorHAnsi"/>
        </w:rPr>
        <w:t>≥</w:t>
      </w:r>
      <w:r>
        <w:t xml:space="preserve"> 65), PD-L1 expression (Low and High), and Cisplatin eligibility (eligible and ineligible).</w:t>
      </w:r>
    </w:p>
    <w:p w14:paraId="7E5714CA" w14:textId="31277084" w:rsidR="008D40C6" w:rsidRPr="00EF1FB7" w:rsidRDefault="008D40C6" w:rsidP="008D40C6">
      <w:pPr>
        <w:pStyle w:val="3-BodyText"/>
      </w:pPr>
      <w:r w:rsidRPr="00DD0956">
        <w:lastRenderedPageBreak/>
        <w:t xml:space="preserve">A subgroup analysis on the impact of maintenance </w:t>
      </w:r>
      <w:r>
        <w:t xml:space="preserve">therapy with </w:t>
      </w:r>
      <w:r w:rsidRPr="00DD0956">
        <w:t>avelumab was not included.</w:t>
      </w:r>
      <w:r>
        <w:t xml:space="preserve"> It would be expected that patients who receive avelumab would have longer PFS and OS compared to patients who did not, or could not, receive avelumab. As such, the incremental benefit of EV+PEM would be different when compared to each of these subgroups.</w:t>
      </w:r>
      <w:r w:rsidRPr="00977A6D">
        <w:rPr>
          <w:i/>
          <w:iCs/>
        </w:rPr>
        <w:t xml:space="preserve"> </w:t>
      </w:r>
    </w:p>
    <w:p w14:paraId="6DC579D9" w14:textId="77777777" w:rsidR="008D40C6" w:rsidRDefault="008D40C6" w:rsidP="008D40C6">
      <w:pPr>
        <w:pStyle w:val="3-BodyText"/>
      </w:pPr>
      <w:r w:rsidRPr="008F6DCF">
        <w:t>For the patient reported outcomes, the EV-302 trial used the</w:t>
      </w:r>
      <w:r>
        <w:t xml:space="preserve"> brief pain inventory – short form (BPI-SF) to measure time to pain progression (TTPP), and the </w:t>
      </w:r>
      <w:r w:rsidRPr="00AC37BC">
        <w:t>European Organization for the Research and Treatment of Cancer</w:t>
      </w:r>
      <w:r>
        <w:t xml:space="preserve"> </w:t>
      </w:r>
      <w:r w:rsidRPr="00F007B0">
        <w:t>Quality of Life Core 30</w:t>
      </w:r>
      <w:r>
        <w:t xml:space="preserve"> questionnaire (EORTC QLQ-C30) and the </w:t>
      </w:r>
      <w:proofErr w:type="spellStart"/>
      <w:r w:rsidRPr="00F007B0">
        <w:t>EuroQOL</w:t>
      </w:r>
      <w:proofErr w:type="spellEnd"/>
      <w:r w:rsidRPr="00F007B0">
        <w:t xml:space="preserve"> 5-dimensions</w:t>
      </w:r>
      <w:r>
        <w:t>, 5-level questionnaire (EQ-5D-5L) to measure quality of life.</w:t>
      </w:r>
    </w:p>
    <w:p w14:paraId="4BE06C66" w14:textId="77777777" w:rsidR="008D40C6" w:rsidRDefault="008D40C6" w:rsidP="008D40C6">
      <w:pPr>
        <w:pStyle w:val="3-BodyText"/>
      </w:pPr>
      <w:r>
        <w:t xml:space="preserve">EV+PEM did not significantly prolong TTPP (HR=0.916; 2-sided p-value=0.48). The median TTPP was numerically longer in the EV+PEM arm (14.2 months) than in the </w:t>
      </w:r>
      <w:proofErr w:type="spellStart"/>
      <w:r>
        <w:t>Plat+Gem</w:t>
      </w:r>
      <w:proofErr w:type="spellEnd"/>
      <w:r>
        <w:t xml:space="preserve"> arm (10.0 months)</w:t>
      </w:r>
      <w:r>
        <w:rPr>
          <w:i/>
          <w:iCs/>
        </w:rPr>
        <w:t xml:space="preserve">, </w:t>
      </w:r>
      <w:r w:rsidRPr="00C11145">
        <w:t>noting that this outcome was both subjective and measurement was unblinded.</w:t>
      </w:r>
    </w:p>
    <w:p w14:paraId="7BAB548D" w14:textId="77777777" w:rsidR="008D40C6" w:rsidRDefault="008D40C6" w:rsidP="008D40C6">
      <w:pPr>
        <w:pStyle w:val="3-BodyText"/>
      </w:pPr>
      <w:r>
        <w:t>Change from baseline results for the EORTC QLC-C30 global QoL, functional, and symptom scores showed no notable changes over time for any of the domain scores, inclusive of general quality of life, functioning, and symptom scores in either treatment arm. Individual domains remained stable throughout treatment based on mean score by cycle.</w:t>
      </w:r>
    </w:p>
    <w:p w14:paraId="76D79AB5" w14:textId="77777777" w:rsidR="008D40C6" w:rsidRDefault="008D40C6" w:rsidP="008D40C6">
      <w:pPr>
        <w:pStyle w:val="3-BodyText"/>
      </w:pPr>
      <w:r>
        <w:t xml:space="preserve">In the EQ-5D-5L questionnaire, </w:t>
      </w:r>
      <w:r w:rsidRPr="008F6DCF">
        <w:t>most patients in both arms had little to no problems across all domain</w:t>
      </w:r>
      <w:r>
        <w:t>s</w:t>
      </w:r>
      <w:r w:rsidRPr="008F6DCF">
        <w:t xml:space="preserve">, reflecting relatively high quality of life at baseline. The mean baseline </w:t>
      </w:r>
      <w:r>
        <w:t>visual analogue scale (VAS)</w:t>
      </w:r>
      <w:r w:rsidRPr="008F6DCF">
        <w:t xml:space="preserve"> scores were 72.8 in the EV+PEM arm and 69.7 in the </w:t>
      </w:r>
      <w:proofErr w:type="spellStart"/>
      <w:r w:rsidRPr="008F6DCF">
        <w:t>Plat+Gem</w:t>
      </w:r>
      <w:proofErr w:type="spellEnd"/>
      <w:r w:rsidRPr="008F6DCF">
        <w:t xml:space="preserve"> arm. The mean baseline Health State Index Scores (utility scores) were 0.844 and 0.818, respectively. During the treatment period, both VAS and utility scores remained stable with little to no change from baseline throughout the study period.</w:t>
      </w:r>
      <w:r>
        <w:t xml:space="preserve"> </w:t>
      </w:r>
    </w:p>
    <w:p w14:paraId="48570AC3" w14:textId="72BB96F9" w:rsidR="008D40C6" w:rsidRPr="008F6DCF" w:rsidRDefault="008D40C6" w:rsidP="008D40C6">
      <w:pPr>
        <w:pStyle w:val="3-BodyText"/>
      </w:pPr>
      <w:r>
        <w:t xml:space="preserve">The results of the quality-of-life questionnaires appear to be incongruent with the observation of a higher rate of drug discontinuations with EV+PEM due to treatment emergent adverse events (TEAEs). This </w:t>
      </w:r>
      <w:r w:rsidR="00BF054D">
        <w:t>was</w:t>
      </w:r>
      <w:r>
        <w:t xml:space="preserve"> not explained in the submission.</w:t>
      </w:r>
    </w:p>
    <w:p w14:paraId="4E44C22A" w14:textId="77777777" w:rsidR="008D40C6" w:rsidRPr="0098262F" w:rsidRDefault="008D40C6" w:rsidP="008D40C6">
      <w:pPr>
        <w:pStyle w:val="4-SubsectionHeading"/>
      </w:pPr>
      <w:bookmarkStart w:id="28" w:name="_Toc22897642"/>
      <w:bookmarkStart w:id="29" w:name="_Toc177481907"/>
      <w:r w:rsidRPr="0098262F">
        <w:t>Comparative harms</w:t>
      </w:r>
      <w:bookmarkEnd w:id="28"/>
      <w:bookmarkEnd w:id="29"/>
    </w:p>
    <w:p w14:paraId="3ED9B19B" w14:textId="096A3595" w:rsidR="008D40C6" w:rsidRPr="00C60591" w:rsidRDefault="008D40C6" w:rsidP="008D40C6">
      <w:pPr>
        <w:pStyle w:val="3-BodyText"/>
        <w:rPr>
          <w:color w:val="0066FF"/>
        </w:rPr>
      </w:pPr>
      <w:bookmarkStart w:id="30" w:name="_Hlk104801403"/>
      <w:r>
        <w:t xml:space="preserve">A summary of the safety results in the EV-302 trial is presented in </w:t>
      </w:r>
      <w:r>
        <w:fldChar w:fldCharType="begin" w:fldLock="1"/>
      </w:r>
      <w:r>
        <w:instrText xml:space="preserve"> REF _Ref174223852 \h </w:instrText>
      </w:r>
      <w:r>
        <w:fldChar w:fldCharType="separate"/>
      </w:r>
      <w:r w:rsidR="00FE0BD6" w:rsidRPr="0098262F">
        <w:t xml:space="preserve">Table </w:t>
      </w:r>
      <w:r w:rsidR="00FE0BD6">
        <w:rPr>
          <w:noProof/>
        </w:rPr>
        <w:t>6</w:t>
      </w:r>
      <w:r>
        <w:fldChar w:fldCharType="end"/>
      </w:r>
      <w:r>
        <w:t xml:space="preserve">. Analyses of safety were conducted in the safety analysis set (SAS) which consisted of all patients who received any study treatment. </w:t>
      </w:r>
      <w:bookmarkEnd w:id="30"/>
    </w:p>
    <w:p w14:paraId="407F53D0" w14:textId="405C2B6F" w:rsidR="008D40C6" w:rsidRPr="0098262F" w:rsidRDefault="008D40C6" w:rsidP="008D40C6">
      <w:pPr>
        <w:pStyle w:val="TableFigureHeading"/>
        <w:rPr>
          <w:rStyle w:val="CommentReference"/>
          <w:b/>
          <w:szCs w:val="24"/>
        </w:rPr>
      </w:pPr>
      <w:bookmarkStart w:id="31" w:name="_Ref174223852"/>
      <w:r w:rsidRPr="0098262F">
        <w:lastRenderedPageBreak/>
        <w:t xml:space="preserve">Table </w:t>
      </w:r>
      <w:r>
        <w:fldChar w:fldCharType="begin" w:fldLock="1"/>
      </w:r>
      <w:r>
        <w:instrText xml:space="preserve"> SEQ Table \* ARABIC </w:instrText>
      </w:r>
      <w:r>
        <w:fldChar w:fldCharType="separate"/>
      </w:r>
      <w:r w:rsidR="00FE0BD6">
        <w:rPr>
          <w:noProof/>
        </w:rPr>
        <w:t>6</w:t>
      </w:r>
      <w:r>
        <w:rPr>
          <w:noProof/>
        </w:rPr>
        <w:fldChar w:fldCharType="end"/>
      </w:r>
      <w:bookmarkEnd w:id="31"/>
      <w:r w:rsidRPr="0098262F">
        <w:t xml:space="preserve">: </w:t>
      </w:r>
      <w:r w:rsidRPr="0098262F">
        <w:rPr>
          <w:rStyle w:val="CommentReference"/>
          <w:b/>
          <w:szCs w:val="24"/>
        </w:rPr>
        <w:t xml:space="preserve">Summary of </w:t>
      </w:r>
      <w:r>
        <w:rPr>
          <w:rStyle w:val="CommentReference"/>
          <w:b/>
          <w:szCs w:val="24"/>
        </w:rPr>
        <w:t xml:space="preserve">unadjusted </w:t>
      </w:r>
      <w:r w:rsidRPr="0098262F">
        <w:rPr>
          <w:rStyle w:val="CommentReference"/>
          <w:b/>
          <w:szCs w:val="24"/>
        </w:rPr>
        <w:t>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1864"/>
        <w:gridCol w:w="1792"/>
        <w:gridCol w:w="1701"/>
        <w:gridCol w:w="1509"/>
      </w:tblGrid>
      <w:tr w:rsidR="008D40C6" w:rsidRPr="007E437C" w14:paraId="5961E7E9" w14:textId="77777777" w:rsidTr="005E4D14">
        <w:trPr>
          <w:tblHeader/>
        </w:trPr>
        <w:tc>
          <w:tcPr>
            <w:tcW w:w="2151" w:type="dxa"/>
            <w:vAlign w:val="center"/>
          </w:tcPr>
          <w:p w14:paraId="6FBF177E" w14:textId="77777777" w:rsidR="008D40C6" w:rsidRPr="007E437C" w:rsidRDefault="008D40C6" w:rsidP="005E4D14">
            <w:pPr>
              <w:pStyle w:val="In-tableHeading"/>
              <w:rPr>
                <w:lang w:val="en-AU"/>
              </w:rPr>
            </w:pPr>
            <w:r w:rsidRPr="007E437C">
              <w:t>AE category</w:t>
            </w:r>
          </w:p>
        </w:tc>
        <w:tc>
          <w:tcPr>
            <w:tcW w:w="1864" w:type="dxa"/>
            <w:vAlign w:val="center"/>
          </w:tcPr>
          <w:p w14:paraId="10F5412D" w14:textId="77777777" w:rsidR="008D40C6" w:rsidRDefault="008D40C6" w:rsidP="005E4D14">
            <w:pPr>
              <w:pStyle w:val="TableH28ptCentered"/>
              <w:rPr>
                <w:rFonts w:ascii="Arial Narrow" w:hAnsi="Arial Narrow"/>
                <w:sz w:val="20"/>
              </w:rPr>
            </w:pPr>
            <w:r w:rsidRPr="007E437C">
              <w:rPr>
                <w:rFonts w:ascii="Arial Narrow" w:hAnsi="Arial Narrow"/>
                <w:sz w:val="20"/>
              </w:rPr>
              <w:t>EV+PEM N=440</w:t>
            </w:r>
            <w:r>
              <w:rPr>
                <w:rFonts w:ascii="Arial Narrow" w:hAnsi="Arial Narrow"/>
                <w:sz w:val="20"/>
              </w:rPr>
              <w:t xml:space="preserve"> </w:t>
            </w:r>
          </w:p>
          <w:p w14:paraId="2BD20D54" w14:textId="77777777" w:rsidR="008D40C6" w:rsidRPr="00C10494" w:rsidRDefault="008D40C6" w:rsidP="005E4D14">
            <w:pPr>
              <w:pStyle w:val="TableH28ptCentered"/>
              <w:rPr>
                <w:rFonts w:ascii="Arial Narrow" w:hAnsi="Arial Narrow"/>
                <w:sz w:val="20"/>
              </w:rPr>
            </w:pPr>
            <w:r>
              <w:rPr>
                <w:rFonts w:ascii="Arial Narrow" w:hAnsi="Arial Narrow"/>
                <w:bCs/>
                <w:sz w:val="20"/>
              </w:rPr>
              <w:t>n, (%)</w:t>
            </w:r>
          </w:p>
        </w:tc>
        <w:tc>
          <w:tcPr>
            <w:tcW w:w="1792" w:type="dxa"/>
            <w:vAlign w:val="center"/>
          </w:tcPr>
          <w:p w14:paraId="345608E9" w14:textId="77777777" w:rsidR="008D40C6" w:rsidRDefault="008D40C6" w:rsidP="005E4D14">
            <w:pPr>
              <w:pStyle w:val="TableH28ptCentered"/>
              <w:rPr>
                <w:rFonts w:ascii="Arial Narrow" w:hAnsi="Arial Narrow"/>
                <w:sz w:val="20"/>
              </w:rPr>
            </w:pPr>
            <w:proofErr w:type="spellStart"/>
            <w:r w:rsidRPr="007E437C">
              <w:rPr>
                <w:rFonts w:ascii="Arial Narrow" w:hAnsi="Arial Narrow"/>
                <w:sz w:val="20"/>
              </w:rPr>
              <w:t>Plat+Gem</w:t>
            </w:r>
            <w:proofErr w:type="spellEnd"/>
            <w:r w:rsidRPr="007E437C">
              <w:rPr>
                <w:rFonts w:ascii="Arial Narrow" w:hAnsi="Arial Narrow"/>
                <w:sz w:val="20"/>
              </w:rPr>
              <w:t xml:space="preserve"> N=433</w:t>
            </w:r>
            <w:r>
              <w:rPr>
                <w:rFonts w:ascii="Arial Narrow" w:hAnsi="Arial Narrow"/>
                <w:sz w:val="20"/>
              </w:rPr>
              <w:t xml:space="preserve"> </w:t>
            </w:r>
          </w:p>
          <w:p w14:paraId="63A0B1BA" w14:textId="77777777" w:rsidR="008D40C6" w:rsidRPr="00C10494" w:rsidRDefault="008D40C6" w:rsidP="005E4D14">
            <w:pPr>
              <w:pStyle w:val="TableH28ptCentered"/>
              <w:rPr>
                <w:rFonts w:ascii="Arial Narrow" w:hAnsi="Arial Narrow"/>
                <w:sz w:val="20"/>
              </w:rPr>
            </w:pPr>
            <w:r>
              <w:rPr>
                <w:rFonts w:ascii="Arial Narrow" w:hAnsi="Arial Narrow"/>
                <w:bCs/>
                <w:sz w:val="20"/>
              </w:rPr>
              <w:t>n, (%)</w:t>
            </w:r>
          </w:p>
        </w:tc>
        <w:tc>
          <w:tcPr>
            <w:tcW w:w="1701" w:type="dxa"/>
          </w:tcPr>
          <w:p w14:paraId="26CF19AB" w14:textId="467A6A87" w:rsidR="008D40C6" w:rsidRPr="004418B5" w:rsidRDefault="008D40C6" w:rsidP="005E4D14">
            <w:pPr>
              <w:pStyle w:val="TableH28ptCentered"/>
              <w:rPr>
                <w:rFonts w:ascii="Arial Narrow" w:hAnsi="Arial Narrow"/>
                <w:sz w:val="20"/>
                <w:vertAlign w:val="superscript"/>
              </w:rPr>
            </w:pPr>
            <w:r>
              <w:rPr>
                <w:rFonts w:ascii="Arial Narrow" w:hAnsi="Arial Narrow"/>
                <w:sz w:val="20"/>
              </w:rPr>
              <w:t>Risk Difference (95% CI)</w:t>
            </w:r>
            <w:r w:rsidR="004418B5">
              <w:rPr>
                <w:rFonts w:ascii="Arial Narrow" w:hAnsi="Arial Narrow"/>
                <w:sz w:val="20"/>
              </w:rPr>
              <w:t xml:space="preserve"> </w:t>
            </w:r>
            <w:r w:rsidR="004418B5">
              <w:rPr>
                <w:rFonts w:ascii="Arial Narrow" w:hAnsi="Arial Narrow"/>
                <w:sz w:val="20"/>
                <w:vertAlign w:val="superscript"/>
              </w:rPr>
              <w:t>a</w:t>
            </w:r>
          </w:p>
        </w:tc>
        <w:tc>
          <w:tcPr>
            <w:tcW w:w="1509" w:type="dxa"/>
          </w:tcPr>
          <w:p w14:paraId="72187A94" w14:textId="77777777" w:rsidR="008D40C6" w:rsidRDefault="008D40C6" w:rsidP="005E4D14">
            <w:pPr>
              <w:pStyle w:val="TableH28ptCentered"/>
              <w:rPr>
                <w:rFonts w:ascii="Arial Narrow" w:hAnsi="Arial Narrow"/>
                <w:sz w:val="20"/>
              </w:rPr>
            </w:pPr>
            <w:r>
              <w:rPr>
                <w:rFonts w:ascii="Arial Narrow" w:hAnsi="Arial Narrow"/>
                <w:sz w:val="20"/>
              </w:rPr>
              <w:t xml:space="preserve">Risk Ratio </w:t>
            </w:r>
          </w:p>
          <w:p w14:paraId="30236838" w14:textId="0C0E3FBC" w:rsidR="008D40C6" w:rsidRPr="004418B5" w:rsidRDefault="008D40C6" w:rsidP="005E4D14">
            <w:pPr>
              <w:pStyle w:val="TableH28ptCentered"/>
              <w:rPr>
                <w:rFonts w:ascii="Arial Narrow" w:hAnsi="Arial Narrow"/>
                <w:sz w:val="20"/>
                <w:vertAlign w:val="superscript"/>
              </w:rPr>
            </w:pPr>
            <w:r>
              <w:rPr>
                <w:rFonts w:ascii="Arial Narrow" w:hAnsi="Arial Narrow"/>
                <w:sz w:val="20"/>
              </w:rPr>
              <w:t>(95% CI)</w:t>
            </w:r>
            <w:r w:rsidR="004418B5">
              <w:rPr>
                <w:rFonts w:ascii="Arial Narrow" w:hAnsi="Arial Narrow"/>
                <w:sz w:val="20"/>
              </w:rPr>
              <w:t xml:space="preserve"> </w:t>
            </w:r>
            <w:r w:rsidR="004418B5">
              <w:rPr>
                <w:rFonts w:ascii="Arial Narrow" w:hAnsi="Arial Narrow"/>
                <w:sz w:val="20"/>
                <w:vertAlign w:val="superscript"/>
              </w:rPr>
              <w:t>a</w:t>
            </w:r>
          </w:p>
        </w:tc>
      </w:tr>
      <w:tr w:rsidR="008D40C6" w:rsidRPr="007E437C" w14:paraId="7917946E" w14:textId="77777777" w:rsidTr="005E4D14">
        <w:tc>
          <w:tcPr>
            <w:tcW w:w="2151" w:type="dxa"/>
            <w:vAlign w:val="center"/>
          </w:tcPr>
          <w:p w14:paraId="1C0ABEFF" w14:textId="77777777" w:rsidR="008D40C6" w:rsidRPr="00C938C0" w:rsidRDefault="008D40C6" w:rsidP="005E4D14">
            <w:pPr>
              <w:pStyle w:val="TableText0"/>
            </w:pPr>
            <w:r w:rsidRPr="00C938C0">
              <w:t>Any TEAE</w:t>
            </w:r>
          </w:p>
        </w:tc>
        <w:tc>
          <w:tcPr>
            <w:tcW w:w="1864" w:type="dxa"/>
            <w:vAlign w:val="center"/>
          </w:tcPr>
          <w:p w14:paraId="634DFEF2" w14:textId="77777777" w:rsidR="008D40C6" w:rsidRPr="00C938C0" w:rsidRDefault="008D40C6" w:rsidP="005E4D14">
            <w:pPr>
              <w:pStyle w:val="TableText0"/>
              <w:jc w:val="center"/>
            </w:pPr>
            <w:r w:rsidRPr="00C938C0">
              <w:t>439 (99.8)</w:t>
            </w:r>
          </w:p>
        </w:tc>
        <w:tc>
          <w:tcPr>
            <w:tcW w:w="1792" w:type="dxa"/>
            <w:vAlign w:val="center"/>
          </w:tcPr>
          <w:p w14:paraId="423A809A" w14:textId="77777777" w:rsidR="008D40C6" w:rsidRPr="00C938C0" w:rsidRDefault="008D40C6" w:rsidP="005E4D14">
            <w:pPr>
              <w:pStyle w:val="TableText0"/>
              <w:jc w:val="center"/>
            </w:pPr>
            <w:r w:rsidRPr="00C938C0">
              <w:t>427 (98.6)</w:t>
            </w:r>
          </w:p>
        </w:tc>
        <w:tc>
          <w:tcPr>
            <w:tcW w:w="1701" w:type="dxa"/>
            <w:vAlign w:val="center"/>
          </w:tcPr>
          <w:p w14:paraId="596462FE" w14:textId="77777777" w:rsidR="008D40C6" w:rsidRPr="004418B5" w:rsidRDefault="008D40C6" w:rsidP="005E4D14">
            <w:pPr>
              <w:pStyle w:val="TableText0"/>
              <w:jc w:val="center"/>
            </w:pPr>
            <w:r w:rsidRPr="004418B5">
              <w:t>0.01 (-0.00, 0.02)</w:t>
            </w:r>
          </w:p>
        </w:tc>
        <w:tc>
          <w:tcPr>
            <w:tcW w:w="1509" w:type="dxa"/>
            <w:vAlign w:val="center"/>
          </w:tcPr>
          <w:p w14:paraId="7B369C50" w14:textId="77777777" w:rsidR="008D40C6" w:rsidRPr="004418B5" w:rsidRDefault="008D40C6" w:rsidP="005E4D14">
            <w:pPr>
              <w:pStyle w:val="TableText0"/>
              <w:jc w:val="center"/>
            </w:pPr>
            <w:r w:rsidRPr="004418B5">
              <w:t>1.01 (0.10, 1.02)</w:t>
            </w:r>
          </w:p>
        </w:tc>
      </w:tr>
      <w:tr w:rsidR="008D40C6" w:rsidRPr="007E437C" w14:paraId="7F7C3F5E" w14:textId="77777777" w:rsidTr="005E4D14">
        <w:tc>
          <w:tcPr>
            <w:tcW w:w="2151" w:type="dxa"/>
            <w:vAlign w:val="center"/>
          </w:tcPr>
          <w:p w14:paraId="18A64B68" w14:textId="77777777" w:rsidR="008D40C6" w:rsidRPr="00C938C0" w:rsidRDefault="008D40C6" w:rsidP="005E4D14">
            <w:pPr>
              <w:pStyle w:val="TableText0"/>
            </w:pPr>
            <w:r w:rsidRPr="00C938C0">
              <w:t xml:space="preserve">   Treatment related</w:t>
            </w:r>
          </w:p>
        </w:tc>
        <w:tc>
          <w:tcPr>
            <w:tcW w:w="1864" w:type="dxa"/>
            <w:vAlign w:val="center"/>
          </w:tcPr>
          <w:p w14:paraId="3EA7899B" w14:textId="77777777" w:rsidR="008D40C6" w:rsidRPr="00C938C0" w:rsidRDefault="008D40C6" w:rsidP="005E4D14">
            <w:pPr>
              <w:pStyle w:val="TableText0"/>
              <w:jc w:val="center"/>
            </w:pPr>
            <w:r w:rsidRPr="00C938C0">
              <w:t>427 (97.0)</w:t>
            </w:r>
          </w:p>
        </w:tc>
        <w:tc>
          <w:tcPr>
            <w:tcW w:w="1792" w:type="dxa"/>
            <w:vAlign w:val="center"/>
          </w:tcPr>
          <w:p w14:paraId="3C56DB52" w14:textId="77777777" w:rsidR="008D40C6" w:rsidRPr="00C938C0" w:rsidRDefault="008D40C6" w:rsidP="005E4D14">
            <w:pPr>
              <w:pStyle w:val="TableText0"/>
              <w:jc w:val="center"/>
            </w:pPr>
            <w:r w:rsidRPr="00C938C0">
              <w:t>414 (95.6)</w:t>
            </w:r>
          </w:p>
        </w:tc>
        <w:tc>
          <w:tcPr>
            <w:tcW w:w="1701" w:type="dxa"/>
            <w:vAlign w:val="center"/>
          </w:tcPr>
          <w:p w14:paraId="6B28B4B9" w14:textId="77777777" w:rsidR="008D40C6" w:rsidRPr="004418B5" w:rsidRDefault="008D40C6" w:rsidP="005E4D14">
            <w:pPr>
              <w:pStyle w:val="TableText0"/>
              <w:jc w:val="center"/>
            </w:pPr>
            <w:r w:rsidRPr="004418B5">
              <w:t>0.01 (-0.01, 0.04)</w:t>
            </w:r>
          </w:p>
        </w:tc>
        <w:tc>
          <w:tcPr>
            <w:tcW w:w="1509" w:type="dxa"/>
            <w:vAlign w:val="center"/>
          </w:tcPr>
          <w:p w14:paraId="13AA188B" w14:textId="77777777" w:rsidR="008D40C6" w:rsidRPr="004418B5" w:rsidRDefault="008D40C6" w:rsidP="005E4D14">
            <w:pPr>
              <w:pStyle w:val="TableText0"/>
              <w:jc w:val="center"/>
            </w:pPr>
            <w:r w:rsidRPr="004418B5">
              <w:t>1.01 (0.99, 1.04)</w:t>
            </w:r>
          </w:p>
        </w:tc>
      </w:tr>
      <w:tr w:rsidR="008D40C6" w:rsidRPr="007E437C" w14:paraId="6FE84510" w14:textId="77777777" w:rsidTr="005E4D14">
        <w:tc>
          <w:tcPr>
            <w:tcW w:w="2151" w:type="dxa"/>
            <w:vAlign w:val="center"/>
          </w:tcPr>
          <w:p w14:paraId="5C980629" w14:textId="77777777" w:rsidR="008D40C6" w:rsidRPr="00C938C0" w:rsidRDefault="008D40C6" w:rsidP="005E4D14">
            <w:pPr>
              <w:pStyle w:val="TableText0"/>
            </w:pPr>
            <w:r w:rsidRPr="00C938C0">
              <w:t>Grade 3-5 TEAE</w:t>
            </w:r>
          </w:p>
        </w:tc>
        <w:tc>
          <w:tcPr>
            <w:tcW w:w="1864" w:type="dxa"/>
            <w:vAlign w:val="center"/>
          </w:tcPr>
          <w:p w14:paraId="4F314D67" w14:textId="77777777" w:rsidR="008D40C6" w:rsidRPr="00C938C0" w:rsidRDefault="008D40C6" w:rsidP="005E4D14">
            <w:pPr>
              <w:pStyle w:val="TableText0"/>
              <w:jc w:val="center"/>
            </w:pPr>
            <w:r w:rsidRPr="00C938C0">
              <w:t>321 (73.0)</w:t>
            </w:r>
          </w:p>
        </w:tc>
        <w:tc>
          <w:tcPr>
            <w:tcW w:w="1792" w:type="dxa"/>
            <w:vAlign w:val="center"/>
          </w:tcPr>
          <w:p w14:paraId="31734195" w14:textId="77777777" w:rsidR="008D40C6" w:rsidRPr="00C938C0" w:rsidRDefault="008D40C6" w:rsidP="005E4D14">
            <w:pPr>
              <w:pStyle w:val="TableText0"/>
              <w:jc w:val="center"/>
            </w:pPr>
            <w:r w:rsidRPr="00C938C0">
              <w:t>341 (78.8)</w:t>
            </w:r>
          </w:p>
        </w:tc>
        <w:tc>
          <w:tcPr>
            <w:tcW w:w="1701" w:type="dxa"/>
            <w:vAlign w:val="center"/>
          </w:tcPr>
          <w:p w14:paraId="2DA7D0D0" w14:textId="77777777" w:rsidR="008D40C6" w:rsidRPr="004418B5" w:rsidRDefault="008D40C6" w:rsidP="005E4D14">
            <w:pPr>
              <w:pStyle w:val="TableText0"/>
              <w:jc w:val="center"/>
              <w:rPr>
                <w:b/>
                <w:bCs w:val="0"/>
              </w:rPr>
            </w:pPr>
            <w:r w:rsidRPr="004418B5">
              <w:rPr>
                <w:b/>
                <w:bCs w:val="0"/>
              </w:rPr>
              <w:t>-0.06 (-0.12, -0.00)</w:t>
            </w:r>
          </w:p>
        </w:tc>
        <w:tc>
          <w:tcPr>
            <w:tcW w:w="1509" w:type="dxa"/>
            <w:vAlign w:val="center"/>
          </w:tcPr>
          <w:p w14:paraId="1A0293AE" w14:textId="77777777" w:rsidR="008D40C6" w:rsidRPr="004418B5" w:rsidRDefault="008D40C6" w:rsidP="005E4D14">
            <w:pPr>
              <w:pStyle w:val="TableText0"/>
              <w:jc w:val="center"/>
              <w:rPr>
                <w:b/>
                <w:bCs w:val="0"/>
              </w:rPr>
            </w:pPr>
            <w:r w:rsidRPr="004418B5">
              <w:rPr>
                <w:b/>
                <w:bCs w:val="0"/>
              </w:rPr>
              <w:t>0.93 (0.86, 0.99)</w:t>
            </w:r>
          </w:p>
        </w:tc>
      </w:tr>
      <w:tr w:rsidR="008D40C6" w:rsidRPr="007E437C" w14:paraId="499A5D5D" w14:textId="77777777" w:rsidTr="005E4D14">
        <w:tc>
          <w:tcPr>
            <w:tcW w:w="2151" w:type="dxa"/>
            <w:vAlign w:val="center"/>
          </w:tcPr>
          <w:p w14:paraId="3CAE6243" w14:textId="77777777" w:rsidR="008D40C6" w:rsidRPr="00C938C0" w:rsidRDefault="008D40C6" w:rsidP="005E4D14">
            <w:pPr>
              <w:pStyle w:val="TableText0"/>
            </w:pPr>
            <w:r w:rsidRPr="00C938C0">
              <w:t xml:space="preserve">   Treatment related</w:t>
            </w:r>
          </w:p>
        </w:tc>
        <w:tc>
          <w:tcPr>
            <w:tcW w:w="1864" w:type="dxa"/>
            <w:vAlign w:val="center"/>
          </w:tcPr>
          <w:p w14:paraId="08FC6A1A" w14:textId="77777777" w:rsidR="008D40C6" w:rsidRPr="00A35F90" w:rsidRDefault="008D40C6" w:rsidP="005E4D14">
            <w:pPr>
              <w:pStyle w:val="TableText0"/>
              <w:jc w:val="center"/>
            </w:pPr>
            <w:r w:rsidRPr="00A35F90">
              <w:t>246 (55.9)</w:t>
            </w:r>
          </w:p>
        </w:tc>
        <w:tc>
          <w:tcPr>
            <w:tcW w:w="1792" w:type="dxa"/>
            <w:vAlign w:val="center"/>
          </w:tcPr>
          <w:p w14:paraId="567F1F0B" w14:textId="77777777" w:rsidR="008D40C6" w:rsidRPr="00A35F90" w:rsidRDefault="008D40C6" w:rsidP="005E4D14">
            <w:pPr>
              <w:pStyle w:val="TableText0"/>
              <w:jc w:val="center"/>
            </w:pPr>
            <w:r w:rsidRPr="00A35F90">
              <w:t>301 (69.5)</w:t>
            </w:r>
          </w:p>
        </w:tc>
        <w:tc>
          <w:tcPr>
            <w:tcW w:w="1701" w:type="dxa"/>
            <w:vAlign w:val="center"/>
          </w:tcPr>
          <w:p w14:paraId="65D6BA4B" w14:textId="77777777" w:rsidR="008D40C6" w:rsidRPr="004418B5" w:rsidRDefault="008D40C6" w:rsidP="005E4D14">
            <w:pPr>
              <w:pStyle w:val="TableText0"/>
              <w:jc w:val="center"/>
              <w:rPr>
                <w:b/>
                <w:bCs w:val="0"/>
              </w:rPr>
            </w:pPr>
            <w:r w:rsidRPr="004418B5">
              <w:rPr>
                <w:b/>
                <w:bCs w:val="0"/>
              </w:rPr>
              <w:t>-0.14 (-0.20, -0.07)</w:t>
            </w:r>
          </w:p>
        </w:tc>
        <w:tc>
          <w:tcPr>
            <w:tcW w:w="1509" w:type="dxa"/>
            <w:vAlign w:val="center"/>
          </w:tcPr>
          <w:p w14:paraId="79B5AC27" w14:textId="77777777" w:rsidR="008D40C6" w:rsidRPr="004418B5" w:rsidRDefault="008D40C6" w:rsidP="005E4D14">
            <w:pPr>
              <w:pStyle w:val="TableText0"/>
              <w:jc w:val="center"/>
              <w:rPr>
                <w:b/>
                <w:bCs w:val="0"/>
              </w:rPr>
            </w:pPr>
            <w:r w:rsidRPr="004418B5">
              <w:rPr>
                <w:b/>
                <w:bCs w:val="0"/>
              </w:rPr>
              <w:t>080 (0.72, 0.89)</w:t>
            </w:r>
          </w:p>
        </w:tc>
      </w:tr>
      <w:tr w:rsidR="008D40C6" w:rsidRPr="007E437C" w14:paraId="43EDCAF7" w14:textId="77777777" w:rsidTr="005E4D14">
        <w:tc>
          <w:tcPr>
            <w:tcW w:w="2151" w:type="dxa"/>
            <w:vAlign w:val="center"/>
          </w:tcPr>
          <w:p w14:paraId="41FC82BD" w14:textId="77777777" w:rsidR="008D40C6" w:rsidRPr="00C938C0" w:rsidRDefault="008D40C6" w:rsidP="005E4D14">
            <w:pPr>
              <w:pStyle w:val="TableText0"/>
            </w:pPr>
            <w:r w:rsidRPr="00C938C0">
              <w:t>Serious TEAE</w:t>
            </w:r>
          </w:p>
        </w:tc>
        <w:tc>
          <w:tcPr>
            <w:tcW w:w="1864" w:type="dxa"/>
            <w:vAlign w:val="center"/>
          </w:tcPr>
          <w:p w14:paraId="0F307138" w14:textId="77777777" w:rsidR="008D40C6" w:rsidRPr="00A35F90" w:rsidRDefault="008D40C6" w:rsidP="005E4D14">
            <w:pPr>
              <w:pStyle w:val="TableText0"/>
              <w:jc w:val="center"/>
            </w:pPr>
            <w:r w:rsidRPr="00A35F90">
              <w:t>220 (50.0)</w:t>
            </w:r>
          </w:p>
        </w:tc>
        <w:tc>
          <w:tcPr>
            <w:tcW w:w="1792" w:type="dxa"/>
            <w:vAlign w:val="center"/>
          </w:tcPr>
          <w:p w14:paraId="50741BAD" w14:textId="77777777" w:rsidR="008D40C6" w:rsidRPr="00A35F90" w:rsidRDefault="008D40C6" w:rsidP="005E4D14">
            <w:pPr>
              <w:pStyle w:val="TableText0"/>
              <w:jc w:val="center"/>
            </w:pPr>
            <w:r w:rsidRPr="00A35F90">
              <w:t>169 (39.0)</w:t>
            </w:r>
          </w:p>
        </w:tc>
        <w:tc>
          <w:tcPr>
            <w:tcW w:w="1701" w:type="dxa"/>
            <w:vAlign w:val="center"/>
          </w:tcPr>
          <w:p w14:paraId="1156ADBE" w14:textId="77777777" w:rsidR="008D40C6" w:rsidRPr="004418B5" w:rsidRDefault="008D40C6" w:rsidP="005E4D14">
            <w:pPr>
              <w:pStyle w:val="TableText0"/>
              <w:jc w:val="center"/>
              <w:rPr>
                <w:b/>
                <w:bCs w:val="0"/>
              </w:rPr>
            </w:pPr>
            <w:r w:rsidRPr="004418B5">
              <w:rPr>
                <w:b/>
                <w:bCs w:val="0"/>
              </w:rPr>
              <w:t>0.11 (0.04, 0.18)</w:t>
            </w:r>
          </w:p>
        </w:tc>
        <w:tc>
          <w:tcPr>
            <w:tcW w:w="1509" w:type="dxa"/>
            <w:vAlign w:val="center"/>
          </w:tcPr>
          <w:p w14:paraId="45540919" w14:textId="77777777" w:rsidR="008D40C6" w:rsidRPr="004418B5" w:rsidRDefault="008D40C6" w:rsidP="005E4D14">
            <w:pPr>
              <w:pStyle w:val="TableText0"/>
              <w:jc w:val="center"/>
              <w:rPr>
                <w:b/>
                <w:bCs w:val="0"/>
              </w:rPr>
            </w:pPr>
            <w:r w:rsidRPr="004418B5">
              <w:rPr>
                <w:b/>
                <w:bCs w:val="0"/>
              </w:rPr>
              <w:t>1.28 (1.10. 1.49)</w:t>
            </w:r>
          </w:p>
        </w:tc>
      </w:tr>
      <w:tr w:rsidR="008D40C6" w:rsidRPr="007E437C" w14:paraId="38BDF71B" w14:textId="77777777" w:rsidTr="005E4D14">
        <w:tc>
          <w:tcPr>
            <w:tcW w:w="2151" w:type="dxa"/>
            <w:vAlign w:val="center"/>
          </w:tcPr>
          <w:p w14:paraId="14903921" w14:textId="77777777" w:rsidR="008D40C6" w:rsidRPr="00C938C0" w:rsidRDefault="008D40C6" w:rsidP="005E4D14">
            <w:pPr>
              <w:pStyle w:val="TableText0"/>
            </w:pPr>
            <w:r w:rsidRPr="00C938C0">
              <w:t xml:space="preserve">   Treatment related</w:t>
            </w:r>
          </w:p>
        </w:tc>
        <w:tc>
          <w:tcPr>
            <w:tcW w:w="1864" w:type="dxa"/>
            <w:vAlign w:val="center"/>
          </w:tcPr>
          <w:p w14:paraId="7BEC60D4" w14:textId="77777777" w:rsidR="008D40C6" w:rsidRPr="00A35F90" w:rsidRDefault="008D40C6" w:rsidP="005E4D14">
            <w:pPr>
              <w:pStyle w:val="TableText0"/>
              <w:jc w:val="center"/>
            </w:pPr>
            <w:r w:rsidRPr="00A35F90">
              <w:t>122 (27.7)</w:t>
            </w:r>
          </w:p>
        </w:tc>
        <w:tc>
          <w:tcPr>
            <w:tcW w:w="1792" w:type="dxa"/>
            <w:vAlign w:val="center"/>
          </w:tcPr>
          <w:p w14:paraId="364BADE9" w14:textId="77777777" w:rsidR="008D40C6" w:rsidRPr="00A35F90" w:rsidRDefault="008D40C6" w:rsidP="005E4D14">
            <w:pPr>
              <w:pStyle w:val="TableText0"/>
              <w:jc w:val="center"/>
            </w:pPr>
            <w:r w:rsidRPr="00A35F90">
              <w:t>85 (19.6)</w:t>
            </w:r>
          </w:p>
        </w:tc>
        <w:tc>
          <w:tcPr>
            <w:tcW w:w="1701" w:type="dxa"/>
            <w:vAlign w:val="center"/>
          </w:tcPr>
          <w:p w14:paraId="105B9818" w14:textId="77777777" w:rsidR="008D40C6" w:rsidRPr="004418B5" w:rsidRDefault="008D40C6" w:rsidP="005E4D14">
            <w:pPr>
              <w:pStyle w:val="TableText0"/>
              <w:jc w:val="center"/>
              <w:rPr>
                <w:b/>
                <w:bCs w:val="0"/>
              </w:rPr>
            </w:pPr>
            <w:r w:rsidRPr="004418B5">
              <w:rPr>
                <w:b/>
                <w:bCs w:val="0"/>
              </w:rPr>
              <w:t>0.08 (0.02, 0.14)</w:t>
            </w:r>
          </w:p>
        </w:tc>
        <w:tc>
          <w:tcPr>
            <w:tcW w:w="1509" w:type="dxa"/>
            <w:vAlign w:val="center"/>
          </w:tcPr>
          <w:p w14:paraId="24E67908" w14:textId="77777777" w:rsidR="008D40C6" w:rsidRPr="004418B5" w:rsidRDefault="008D40C6" w:rsidP="005E4D14">
            <w:pPr>
              <w:pStyle w:val="TableText0"/>
              <w:jc w:val="center"/>
              <w:rPr>
                <w:b/>
                <w:bCs w:val="0"/>
              </w:rPr>
            </w:pPr>
            <w:r w:rsidRPr="004418B5">
              <w:rPr>
                <w:b/>
                <w:bCs w:val="0"/>
              </w:rPr>
              <w:t>1.41 (1.11, 1.80)</w:t>
            </w:r>
          </w:p>
        </w:tc>
      </w:tr>
      <w:tr w:rsidR="008D40C6" w:rsidRPr="007E437C" w14:paraId="6E87ADD5" w14:textId="77777777" w:rsidTr="005E4D14">
        <w:tc>
          <w:tcPr>
            <w:tcW w:w="2151" w:type="dxa"/>
            <w:vAlign w:val="center"/>
          </w:tcPr>
          <w:p w14:paraId="6ABDA06C" w14:textId="77777777" w:rsidR="008D40C6" w:rsidRPr="00C938C0" w:rsidRDefault="008D40C6" w:rsidP="005E4D14">
            <w:pPr>
              <w:pStyle w:val="TableText0"/>
            </w:pPr>
            <w:r w:rsidRPr="00C938C0">
              <w:t>TEAE leading to death</w:t>
            </w:r>
          </w:p>
        </w:tc>
        <w:tc>
          <w:tcPr>
            <w:tcW w:w="1864" w:type="dxa"/>
            <w:vAlign w:val="center"/>
          </w:tcPr>
          <w:p w14:paraId="07C0325E" w14:textId="77777777" w:rsidR="008D40C6" w:rsidRPr="00A35F90" w:rsidRDefault="008D40C6" w:rsidP="005E4D14">
            <w:pPr>
              <w:pStyle w:val="TableText0"/>
              <w:jc w:val="center"/>
            </w:pPr>
            <w:r w:rsidRPr="00A35F90">
              <w:t>19 (4.3)</w:t>
            </w:r>
          </w:p>
        </w:tc>
        <w:tc>
          <w:tcPr>
            <w:tcW w:w="1792" w:type="dxa"/>
            <w:vAlign w:val="center"/>
          </w:tcPr>
          <w:p w14:paraId="7358FF89" w14:textId="77777777" w:rsidR="008D40C6" w:rsidRPr="00A35F90" w:rsidRDefault="008D40C6" w:rsidP="005E4D14">
            <w:pPr>
              <w:pStyle w:val="TableText0"/>
              <w:jc w:val="center"/>
            </w:pPr>
            <w:r w:rsidRPr="00A35F90">
              <w:t>14 (3.2)</w:t>
            </w:r>
          </w:p>
        </w:tc>
        <w:tc>
          <w:tcPr>
            <w:tcW w:w="1701" w:type="dxa"/>
            <w:vAlign w:val="center"/>
          </w:tcPr>
          <w:p w14:paraId="38501E3C" w14:textId="77777777" w:rsidR="008D40C6" w:rsidRPr="004418B5" w:rsidRDefault="008D40C6" w:rsidP="005E4D14">
            <w:pPr>
              <w:pStyle w:val="TableText0"/>
              <w:jc w:val="center"/>
            </w:pPr>
            <w:r w:rsidRPr="004418B5">
              <w:t>0.01 (-0.01, 0.04)</w:t>
            </w:r>
          </w:p>
        </w:tc>
        <w:tc>
          <w:tcPr>
            <w:tcW w:w="1509" w:type="dxa"/>
            <w:vAlign w:val="center"/>
          </w:tcPr>
          <w:p w14:paraId="74A4BA30" w14:textId="77777777" w:rsidR="008D40C6" w:rsidRPr="004418B5" w:rsidRDefault="008D40C6" w:rsidP="005E4D14">
            <w:pPr>
              <w:pStyle w:val="TableText0"/>
              <w:jc w:val="center"/>
            </w:pPr>
            <w:r w:rsidRPr="004418B5">
              <w:t>1.34 (0.68, 2.63)</w:t>
            </w:r>
          </w:p>
        </w:tc>
      </w:tr>
      <w:tr w:rsidR="008D40C6" w:rsidRPr="007E437C" w14:paraId="3848CDAF" w14:textId="77777777" w:rsidTr="005E4D14">
        <w:tc>
          <w:tcPr>
            <w:tcW w:w="2151" w:type="dxa"/>
            <w:vAlign w:val="center"/>
          </w:tcPr>
          <w:p w14:paraId="6624C1E2" w14:textId="77777777" w:rsidR="008D40C6" w:rsidRPr="00C938C0" w:rsidRDefault="008D40C6" w:rsidP="005E4D14">
            <w:pPr>
              <w:pStyle w:val="TableText0"/>
            </w:pPr>
            <w:r w:rsidRPr="00C938C0">
              <w:t xml:space="preserve">   Treatment related</w:t>
            </w:r>
          </w:p>
        </w:tc>
        <w:tc>
          <w:tcPr>
            <w:tcW w:w="1864" w:type="dxa"/>
            <w:vAlign w:val="center"/>
          </w:tcPr>
          <w:p w14:paraId="2B2EDE88" w14:textId="77777777" w:rsidR="008D40C6" w:rsidRPr="00A35F90" w:rsidRDefault="008D40C6" w:rsidP="005E4D14">
            <w:pPr>
              <w:pStyle w:val="TableText0"/>
              <w:jc w:val="center"/>
            </w:pPr>
            <w:r w:rsidRPr="00A35F90">
              <w:t>4 (0.9)</w:t>
            </w:r>
          </w:p>
        </w:tc>
        <w:tc>
          <w:tcPr>
            <w:tcW w:w="1792" w:type="dxa"/>
            <w:vAlign w:val="center"/>
          </w:tcPr>
          <w:p w14:paraId="401BE2AB" w14:textId="77777777" w:rsidR="008D40C6" w:rsidRPr="00A35F90" w:rsidRDefault="008D40C6" w:rsidP="005E4D14">
            <w:pPr>
              <w:pStyle w:val="TableText0"/>
              <w:jc w:val="center"/>
            </w:pPr>
            <w:r w:rsidRPr="00A35F90">
              <w:t>4 (0.9)</w:t>
            </w:r>
          </w:p>
        </w:tc>
        <w:tc>
          <w:tcPr>
            <w:tcW w:w="1701" w:type="dxa"/>
            <w:vAlign w:val="center"/>
          </w:tcPr>
          <w:p w14:paraId="08D39D1B" w14:textId="77777777" w:rsidR="008D40C6" w:rsidRPr="004418B5" w:rsidRDefault="008D40C6" w:rsidP="005E4D14">
            <w:pPr>
              <w:pStyle w:val="TableText0"/>
              <w:jc w:val="center"/>
            </w:pPr>
            <w:r w:rsidRPr="004418B5">
              <w:t>-0.00 (-0.01, 0.01)</w:t>
            </w:r>
          </w:p>
        </w:tc>
        <w:tc>
          <w:tcPr>
            <w:tcW w:w="1509" w:type="dxa"/>
            <w:vAlign w:val="center"/>
          </w:tcPr>
          <w:p w14:paraId="393EC643" w14:textId="77777777" w:rsidR="008D40C6" w:rsidRPr="004418B5" w:rsidRDefault="008D40C6" w:rsidP="005E4D14">
            <w:pPr>
              <w:pStyle w:val="TableText0"/>
              <w:jc w:val="center"/>
            </w:pPr>
            <w:r w:rsidRPr="004418B5">
              <w:t>0.98 (0.25, 3.91)</w:t>
            </w:r>
          </w:p>
        </w:tc>
      </w:tr>
      <w:tr w:rsidR="008D40C6" w:rsidRPr="007E437C" w14:paraId="56C0C56A" w14:textId="77777777" w:rsidTr="005E4D14">
        <w:tc>
          <w:tcPr>
            <w:tcW w:w="2151" w:type="dxa"/>
            <w:vAlign w:val="center"/>
          </w:tcPr>
          <w:p w14:paraId="5C078824" w14:textId="77777777" w:rsidR="008D40C6" w:rsidRPr="00C938C0" w:rsidRDefault="008D40C6" w:rsidP="005E4D14">
            <w:pPr>
              <w:pStyle w:val="TableText0"/>
            </w:pPr>
            <w:r w:rsidRPr="00C938C0">
              <w:t>TEAE leading to study drug discontinuation</w:t>
            </w:r>
          </w:p>
        </w:tc>
        <w:tc>
          <w:tcPr>
            <w:tcW w:w="1864" w:type="dxa"/>
            <w:vAlign w:val="center"/>
          </w:tcPr>
          <w:p w14:paraId="27FEB78E" w14:textId="77777777" w:rsidR="008D40C6" w:rsidRPr="00A35F90" w:rsidRDefault="008D40C6" w:rsidP="005E4D14">
            <w:pPr>
              <w:pStyle w:val="TableText0"/>
              <w:jc w:val="center"/>
            </w:pPr>
            <w:r w:rsidRPr="00A35F90">
              <w:t>175 (39.8)</w:t>
            </w:r>
          </w:p>
        </w:tc>
        <w:tc>
          <w:tcPr>
            <w:tcW w:w="1792" w:type="dxa"/>
            <w:vAlign w:val="center"/>
          </w:tcPr>
          <w:p w14:paraId="71D47A54" w14:textId="77777777" w:rsidR="008D40C6" w:rsidRPr="00A35F90" w:rsidRDefault="008D40C6" w:rsidP="005E4D14">
            <w:pPr>
              <w:pStyle w:val="TableText0"/>
              <w:jc w:val="center"/>
            </w:pPr>
            <w:r w:rsidRPr="00A35F90">
              <w:t>93 (21.5)</w:t>
            </w:r>
          </w:p>
        </w:tc>
        <w:tc>
          <w:tcPr>
            <w:tcW w:w="1701" w:type="dxa"/>
            <w:vAlign w:val="center"/>
          </w:tcPr>
          <w:p w14:paraId="7F65EE1C" w14:textId="77777777" w:rsidR="008D40C6" w:rsidRPr="004418B5" w:rsidRDefault="008D40C6" w:rsidP="005E4D14">
            <w:pPr>
              <w:pStyle w:val="TableText0"/>
              <w:jc w:val="center"/>
              <w:rPr>
                <w:b/>
                <w:bCs w:val="0"/>
              </w:rPr>
            </w:pPr>
            <w:r w:rsidRPr="004418B5">
              <w:rPr>
                <w:b/>
                <w:bCs w:val="0"/>
              </w:rPr>
              <w:t>0.18 (0.12, 0.24)</w:t>
            </w:r>
          </w:p>
        </w:tc>
        <w:tc>
          <w:tcPr>
            <w:tcW w:w="1509" w:type="dxa"/>
            <w:vAlign w:val="center"/>
          </w:tcPr>
          <w:p w14:paraId="046CA348" w14:textId="77777777" w:rsidR="008D40C6" w:rsidRPr="004418B5" w:rsidRDefault="008D40C6" w:rsidP="005E4D14">
            <w:pPr>
              <w:pStyle w:val="TableText0"/>
              <w:jc w:val="center"/>
              <w:rPr>
                <w:b/>
                <w:bCs w:val="0"/>
              </w:rPr>
            </w:pPr>
            <w:r w:rsidRPr="004418B5">
              <w:rPr>
                <w:b/>
                <w:bCs w:val="0"/>
              </w:rPr>
              <w:t>1.85 (1.50, 2.29)</w:t>
            </w:r>
          </w:p>
        </w:tc>
      </w:tr>
      <w:tr w:rsidR="008D40C6" w:rsidRPr="007E437C" w14:paraId="59BD4E89" w14:textId="77777777" w:rsidTr="005E4D14">
        <w:tc>
          <w:tcPr>
            <w:tcW w:w="2151" w:type="dxa"/>
            <w:vAlign w:val="center"/>
          </w:tcPr>
          <w:p w14:paraId="3C625F8E" w14:textId="77777777" w:rsidR="008D40C6" w:rsidRPr="00C938C0" w:rsidRDefault="008D40C6" w:rsidP="005E4D14">
            <w:pPr>
              <w:pStyle w:val="TableText0"/>
            </w:pPr>
            <w:r w:rsidRPr="00C938C0">
              <w:t xml:space="preserve">   Treatment related</w:t>
            </w:r>
          </w:p>
        </w:tc>
        <w:tc>
          <w:tcPr>
            <w:tcW w:w="1864" w:type="dxa"/>
            <w:vAlign w:val="center"/>
          </w:tcPr>
          <w:p w14:paraId="24F8A194" w14:textId="77777777" w:rsidR="008D40C6" w:rsidRPr="00A35F90" w:rsidRDefault="008D40C6" w:rsidP="005E4D14">
            <w:pPr>
              <w:pStyle w:val="TableText0"/>
              <w:jc w:val="center"/>
            </w:pPr>
            <w:r w:rsidRPr="00A35F90">
              <w:t>154 (35.0)</w:t>
            </w:r>
          </w:p>
        </w:tc>
        <w:tc>
          <w:tcPr>
            <w:tcW w:w="1792" w:type="dxa"/>
            <w:vAlign w:val="center"/>
          </w:tcPr>
          <w:p w14:paraId="715B802E" w14:textId="77777777" w:rsidR="008D40C6" w:rsidRPr="00A35F90" w:rsidRDefault="008D40C6" w:rsidP="005E4D14">
            <w:pPr>
              <w:pStyle w:val="TableText0"/>
              <w:jc w:val="center"/>
            </w:pPr>
            <w:r w:rsidRPr="00A35F90">
              <w:t>80 (18.5)</w:t>
            </w:r>
          </w:p>
        </w:tc>
        <w:tc>
          <w:tcPr>
            <w:tcW w:w="1701" w:type="dxa"/>
            <w:vAlign w:val="center"/>
          </w:tcPr>
          <w:p w14:paraId="5E51679C" w14:textId="77777777" w:rsidR="008D40C6" w:rsidRPr="004418B5" w:rsidRDefault="008D40C6" w:rsidP="005E4D14">
            <w:pPr>
              <w:pStyle w:val="TableText0"/>
              <w:jc w:val="center"/>
              <w:rPr>
                <w:b/>
                <w:bCs w:val="0"/>
              </w:rPr>
            </w:pPr>
            <w:r w:rsidRPr="004418B5">
              <w:rPr>
                <w:b/>
                <w:bCs w:val="0"/>
              </w:rPr>
              <w:t>0.17 (0.11, 0.22)</w:t>
            </w:r>
          </w:p>
        </w:tc>
        <w:tc>
          <w:tcPr>
            <w:tcW w:w="1509" w:type="dxa"/>
            <w:vAlign w:val="center"/>
          </w:tcPr>
          <w:p w14:paraId="7400B219" w14:textId="77777777" w:rsidR="008D40C6" w:rsidRPr="004418B5" w:rsidRDefault="008D40C6" w:rsidP="005E4D14">
            <w:pPr>
              <w:pStyle w:val="TableText0"/>
              <w:jc w:val="center"/>
              <w:rPr>
                <w:b/>
                <w:bCs w:val="0"/>
              </w:rPr>
            </w:pPr>
            <w:r w:rsidRPr="004418B5">
              <w:rPr>
                <w:b/>
                <w:bCs w:val="0"/>
              </w:rPr>
              <w:t>1.89 (1.50, 2.40)</w:t>
            </w:r>
          </w:p>
        </w:tc>
      </w:tr>
      <w:tr w:rsidR="008D40C6" w:rsidRPr="007E437C" w14:paraId="20A72F0C" w14:textId="77777777" w:rsidTr="005E4D14">
        <w:tc>
          <w:tcPr>
            <w:tcW w:w="2151" w:type="dxa"/>
            <w:vAlign w:val="center"/>
          </w:tcPr>
          <w:p w14:paraId="4E7AB583" w14:textId="77777777" w:rsidR="008D40C6" w:rsidRPr="00C938C0" w:rsidRDefault="008D40C6" w:rsidP="005E4D14">
            <w:pPr>
              <w:pStyle w:val="TableText0"/>
            </w:pPr>
            <w:r w:rsidRPr="00C938C0">
              <w:t>TEAE leading to study drug interruption</w:t>
            </w:r>
          </w:p>
        </w:tc>
        <w:tc>
          <w:tcPr>
            <w:tcW w:w="1864" w:type="dxa"/>
            <w:vAlign w:val="center"/>
          </w:tcPr>
          <w:p w14:paraId="549230F7" w14:textId="77777777" w:rsidR="008D40C6" w:rsidRPr="00A35F90" w:rsidRDefault="008D40C6" w:rsidP="005E4D14">
            <w:pPr>
              <w:pStyle w:val="TableText0"/>
              <w:jc w:val="center"/>
            </w:pPr>
            <w:r w:rsidRPr="00A35F90">
              <w:t>347 (78.9)</w:t>
            </w:r>
          </w:p>
        </w:tc>
        <w:tc>
          <w:tcPr>
            <w:tcW w:w="1792" w:type="dxa"/>
            <w:vAlign w:val="center"/>
          </w:tcPr>
          <w:p w14:paraId="076D4D6C" w14:textId="77777777" w:rsidR="008D40C6" w:rsidRPr="00A35F90" w:rsidRDefault="008D40C6" w:rsidP="005E4D14">
            <w:pPr>
              <w:pStyle w:val="TableText0"/>
              <w:jc w:val="center"/>
            </w:pPr>
            <w:r w:rsidRPr="00A35F90">
              <w:t>279 (64.4)</w:t>
            </w:r>
          </w:p>
        </w:tc>
        <w:tc>
          <w:tcPr>
            <w:tcW w:w="1701" w:type="dxa"/>
            <w:vAlign w:val="center"/>
          </w:tcPr>
          <w:p w14:paraId="073FEBF9" w14:textId="77777777" w:rsidR="008D40C6" w:rsidRPr="004418B5" w:rsidRDefault="008D40C6" w:rsidP="005E4D14">
            <w:pPr>
              <w:pStyle w:val="TableText0"/>
              <w:jc w:val="center"/>
              <w:rPr>
                <w:b/>
                <w:bCs w:val="0"/>
              </w:rPr>
            </w:pPr>
            <w:r w:rsidRPr="004418B5">
              <w:rPr>
                <w:b/>
                <w:bCs w:val="0"/>
              </w:rPr>
              <w:t>0.144 (0.09, 0.20)</w:t>
            </w:r>
          </w:p>
        </w:tc>
        <w:tc>
          <w:tcPr>
            <w:tcW w:w="1509" w:type="dxa"/>
            <w:vAlign w:val="center"/>
          </w:tcPr>
          <w:p w14:paraId="3A4C6ABA" w14:textId="77777777" w:rsidR="008D40C6" w:rsidRPr="004418B5" w:rsidRDefault="008D40C6" w:rsidP="005E4D14">
            <w:pPr>
              <w:pStyle w:val="TableText0"/>
              <w:jc w:val="center"/>
              <w:rPr>
                <w:b/>
                <w:bCs w:val="0"/>
              </w:rPr>
            </w:pPr>
            <w:r w:rsidRPr="004418B5">
              <w:rPr>
                <w:b/>
                <w:bCs w:val="0"/>
              </w:rPr>
              <w:t>1.22 (1.12, 1.33)</w:t>
            </w:r>
          </w:p>
        </w:tc>
      </w:tr>
      <w:tr w:rsidR="008D40C6" w:rsidRPr="007E437C" w14:paraId="719A4C03" w14:textId="77777777" w:rsidTr="005E4D14">
        <w:tc>
          <w:tcPr>
            <w:tcW w:w="2151" w:type="dxa"/>
            <w:vAlign w:val="center"/>
          </w:tcPr>
          <w:p w14:paraId="48C4B228" w14:textId="77777777" w:rsidR="008D40C6" w:rsidRPr="00C938C0" w:rsidRDefault="008D40C6" w:rsidP="005E4D14">
            <w:pPr>
              <w:pStyle w:val="TableText0"/>
            </w:pPr>
            <w:r w:rsidRPr="00C938C0">
              <w:t xml:space="preserve">   Treatment related</w:t>
            </w:r>
          </w:p>
        </w:tc>
        <w:tc>
          <w:tcPr>
            <w:tcW w:w="1864" w:type="dxa"/>
            <w:vAlign w:val="center"/>
          </w:tcPr>
          <w:p w14:paraId="3CF3775B" w14:textId="77777777" w:rsidR="008D40C6" w:rsidRPr="00A35F90" w:rsidRDefault="008D40C6" w:rsidP="005E4D14">
            <w:pPr>
              <w:pStyle w:val="TableText0"/>
              <w:jc w:val="center"/>
            </w:pPr>
            <w:r w:rsidRPr="00A35F90">
              <w:t>299 (68.0)</w:t>
            </w:r>
          </w:p>
        </w:tc>
        <w:tc>
          <w:tcPr>
            <w:tcW w:w="1792" w:type="dxa"/>
            <w:vAlign w:val="center"/>
          </w:tcPr>
          <w:p w14:paraId="6336BB31" w14:textId="77777777" w:rsidR="008D40C6" w:rsidRPr="00A35F90" w:rsidRDefault="008D40C6" w:rsidP="005E4D14">
            <w:pPr>
              <w:pStyle w:val="TableText0"/>
              <w:jc w:val="center"/>
            </w:pPr>
            <w:r w:rsidRPr="00A35F90">
              <w:t>229 (52.9)</w:t>
            </w:r>
          </w:p>
        </w:tc>
        <w:tc>
          <w:tcPr>
            <w:tcW w:w="1701" w:type="dxa"/>
            <w:vAlign w:val="center"/>
          </w:tcPr>
          <w:p w14:paraId="45B83E89" w14:textId="77777777" w:rsidR="008D40C6" w:rsidRPr="004418B5" w:rsidRDefault="008D40C6" w:rsidP="005E4D14">
            <w:pPr>
              <w:pStyle w:val="TableText0"/>
              <w:jc w:val="center"/>
              <w:rPr>
                <w:b/>
                <w:bCs w:val="0"/>
              </w:rPr>
            </w:pPr>
            <w:r w:rsidRPr="004418B5">
              <w:rPr>
                <w:b/>
                <w:bCs w:val="0"/>
              </w:rPr>
              <w:t>0.15 (0.09, 0.21)</w:t>
            </w:r>
          </w:p>
        </w:tc>
        <w:tc>
          <w:tcPr>
            <w:tcW w:w="1509" w:type="dxa"/>
            <w:vAlign w:val="center"/>
          </w:tcPr>
          <w:p w14:paraId="4843F1A6" w14:textId="77777777" w:rsidR="008D40C6" w:rsidRPr="004418B5" w:rsidRDefault="008D40C6" w:rsidP="005E4D14">
            <w:pPr>
              <w:pStyle w:val="TableText0"/>
              <w:jc w:val="center"/>
              <w:rPr>
                <w:b/>
                <w:bCs w:val="0"/>
              </w:rPr>
            </w:pPr>
            <w:r w:rsidRPr="004418B5">
              <w:rPr>
                <w:b/>
                <w:bCs w:val="0"/>
              </w:rPr>
              <w:t>1.28 (1.15, 1.43)</w:t>
            </w:r>
          </w:p>
        </w:tc>
      </w:tr>
      <w:tr w:rsidR="008D40C6" w:rsidRPr="007E437C" w14:paraId="56D0AC44" w14:textId="77777777" w:rsidTr="005E4D14">
        <w:tc>
          <w:tcPr>
            <w:tcW w:w="2151" w:type="dxa"/>
            <w:vAlign w:val="center"/>
          </w:tcPr>
          <w:p w14:paraId="4762FFB5" w14:textId="77777777" w:rsidR="008D40C6" w:rsidRPr="00C938C0" w:rsidRDefault="008D40C6" w:rsidP="005E4D14">
            <w:pPr>
              <w:pStyle w:val="TableText0"/>
            </w:pPr>
            <w:r w:rsidRPr="00C938C0">
              <w:t>TEAE leading to dose reduction</w:t>
            </w:r>
          </w:p>
        </w:tc>
        <w:tc>
          <w:tcPr>
            <w:tcW w:w="1864" w:type="dxa"/>
            <w:vAlign w:val="center"/>
          </w:tcPr>
          <w:p w14:paraId="3BF89CE5" w14:textId="77777777" w:rsidR="008D40C6" w:rsidRPr="00C938C0" w:rsidRDefault="008D40C6" w:rsidP="005E4D14">
            <w:pPr>
              <w:pStyle w:val="TableText0"/>
              <w:jc w:val="center"/>
            </w:pPr>
            <w:r w:rsidRPr="00C938C0">
              <w:t>184 (41.8)</w:t>
            </w:r>
          </w:p>
        </w:tc>
        <w:tc>
          <w:tcPr>
            <w:tcW w:w="1792" w:type="dxa"/>
            <w:vAlign w:val="center"/>
          </w:tcPr>
          <w:p w14:paraId="4BA7C45F" w14:textId="77777777" w:rsidR="008D40C6" w:rsidRPr="00C938C0" w:rsidRDefault="008D40C6" w:rsidP="005E4D14">
            <w:pPr>
              <w:pStyle w:val="TableText0"/>
              <w:jc w:val="center"/>
            </w:pPr>
            <w:r w:rsidRPr="00C938C0">
              <w:t>177 (40.9)</w:t>
            </w:r>
          </w:p>
        </w:tc>
        <w:tc>
          <w:tcPr>
            <w:tcW w:w="1701" w:type="dxa"/>
            <w:vAlign w:val="center"/>
          </w:tcPr>
          <w:p w14:paraId="7E255FC7" w14:textId="77777777" w:rsidR="008D40C6" w:rsidRPr="004418B5" w:rsidRDefault="008D40C6" w:rsidP="005E4D14">
            <w:pPr>
              <w:pStyle w:val="TableText0"/>
              <w:jc w:val="center"/>
            </w:pPr>
            <w:r w:rsidRPr="004418B5">
              <w:t>0.01 (-0.06, 0.07)</w:t>
            </w:r>
          </w:p>
        </w:tc>
        <w:tc>
          <w:tcPr>
            <w:tcW w:w="1509" w:type="dxa"/>
            <w:vAlign w:val="center"/>
          </w:tcPr>
          <w:p w14:paraId="7AD84B60" w14:textId="77777777" w:rsidR="008D40C6" w:rsidRPr="004418B5" w:rsidRDefault="008D40C6" w:rsidP="005E4D14">
            <w:pPr>
              <w:pStyle w:val="TableText0"/>
              <w:jc w:val="center"/>
            </w:pPr>
            <w:r w:rsidRPr="004418B5">
              <w:t>1.02 (0.87, 1.20)</w:t>
            </w:r>
          </w:p>
        </w:tc>
      </w:tr>
      <w:tr w:rsidR="008D40C6" w:rsidRPr="007E437C" w14:paraId="67F9DE00" w14:textId="77777777" w:rsidTr="005E4D14">
        <w:tc>
          <w:tcPr>
            <w:tcW w:w="2151" w:type="dxa"/>
            <w:vAlign w:val="center"/>
          </w:tcPr>
          <w:p w14:paraId="1E6D996D" w14:textId="77777777" w:rsidR="008D40C6" w:rsidRPr="00C938C0" w:rsidRDefault="008D40C6" w:rsidP="005E4D14">
            <w:pPr>
              <w:pStyle w:val="TableText0"/>
            </w:pPr>
            <w:r w:rsidRPr="00C938C0">
              <w:t xml:space="preserve">   Treatment related</w:t>
            </w:r>
          </w:p>
        </w:tc>
        <w:tc>
          <w:tcPr>
            <w:tcW w:w="1864" w:type="dxa"/>
            <w:vAlign w:val="center"/>
          </w:tcPr>
          <w:p w14:paraId="6DA3B393" w14:textId="77777777" w:rsidR="008D40C6" w:rsidRPr="00C938C0" w:rsidRDefault="008D40C6" w:rsidP="005E4D14">
            <w:pPr>
              <w:pStyle w:val="TableText0"/>
              <w:jc w:val="center"/>
            </w:pPr>
            <w:r w:rsidRPr="00C938C0">
              <w:t>179 (40.7)</w:t>
            </w:r>
          </w:p>
        </w:tc>
        <w:tc>
          <w:tcPr>
            <w:tcW w:w="1792" w:type="dxa"/>
            <w:vAlign w:val="center"/>
          </w:tcPr>
          <w:p w14:paraId="3C2D0B75" w14:textId="77777777" w:rsidR="008D40C6" w:rsidRPr="00C938C0" w:rsidRDefault="008D40C6" w:rsidP="005E4D14">
            <w:pPr>
              <w:pStyle w:val="TableText0"/>
              <w:jc w:val="center"/>
            </w:pPr>
            <w:r w:rsidRPr="00C938C0">
              <w:t>164 (37.9)</w:t>
            </w:r>
          </w:p>
        </w:tc>
        <w:tc>
          <w:tcPr>
            <w:tcW w:w="1701" w:type="dxa"/>
            <w:vAlign w:val="center"/>
          </w:tcPr>
          <w:p w14:paraId="271D677D" w14:textId="77777777" w:rsidR="008D40C6" w:rsidRPr="004418B5" w:rsidRDefault="008D40C6" w:rsidP="005E4D14">
            <w:pPr>
              <w:pStyle w:val="TableText0"/>
              <w:jc w:val="center"/>
            </w:pPr>
            <w:r w:rsidRPr="004418B5">
              <w:t>0.03 (-0.04, 0.09)</w:t>
            </w:r>
          </w:p>
        </w:tc>
        <w:tc>
          <w:tcPr>
            <w:tcW w:w="1509" w:type="dxa"/>
            <w:vAlign w:val="center"/>
          </w:tcPr>
          <w:p w14:paraId="2E17F40A" w14:textId="77777777" w:rsidR="008D40C6" w:rsidRPr="004418B5" w:rsidRDefault="008D40C6" w:rsidP="005E4D14">
            <w:pPr>
              <w:pStyle w:val="TableText0"/>
              <w:jc w:val="center"/>
            </w:pPr>
            <w:r w:rsidRPr="004418B5">
              <w:t>1.07 (0.91, 1.27)</w:t>
            </w:r>
          </w:p>
        </w:tc>
      </w:tr>
    </w:tbl>
    <w:p w14:paraId="77C692F1" w14:textId="77777777" w:rsidR="008D40C6" w:rsidRDefault="008D40C6" w:rsidP="008D40C6">
      <w:pPr>
        <w:pStyle w:val="TableFigureFooter"/>
      </w:pPr>
      <w:r>
        <w:t>Source: Table 2-18, p77 of the submission.</w:t>
      </w:r>
    </w:p>
    <w:p w14:paraId="18002BCD" w14:textId="77777777" w:rsidR="008D40C6" w:rsidRDefault="008D40C6" w:rsidP="008D40C6">
      <w:pPr>
        <w:pStyle w:val="TableFigureFooter"/>
      </w:pPr>
      <w:r w:rsidRPr="000467C7">
        <w:t xml:space="preserve">AE = adverse event; </w:t>
      </w:r>
      <w:proofErr w:type="spellStart"/>
      <w:r w:rsidRPr="000467C7">
        <w:t>EV+Pem</w:t>
      </w:r>
      <w:proofErr w:type="spellEnd"/>
      <w:r w:rsidRPr="000467C7">
        <w:t xml:space="preserve"> = enfortumab vedotin with pembrolizumab; n = number of participants reporting data; N = total participants in group; </w:t>
      </w:r>
      <w:proofErr w:type="spellStart"/>
      <w:r w:rsidRPr="000467C7">
        <w:t>Plat+Gem</w:t>
      </w:r>
      <w:proofErr w:type="spellEnd"/>
      <w:r w:rsidRPr="000467C7">
        <w:t xml:space="preserve"> = platinum containing chemotherapy with gemcitabine; SAS safety analysis set; TEAEs = treatment emergent adverse events</w:t>
      </w:r>
      <w:r>
        <w:t>.</w:t>
      </w:r>
    </w:p>
    <w:p w14:paraId="599D21E0" w14:textId="77777777" w:rsidR="008D40C6" w:rsidRDefault="008D40C6" w:rsidP="008D40C6">
      <w:pPr>
        <w:pStyle w:val="TableFigureFooter"/>
      </w:pPr>
      <w:r w:rsidRPr="00E96C3F">
        <w:rPr>
          <w:b/>
          <w:bCs/>
        </w:rPr>
        <w:t>Bold</w:t>
      </w:r>
      <w:r>
        <w:t xml:space="preserve"> = statistically significant</w:t>
      </w:r>
    </w:p>
    <w:p w14:paraId="5DAF1F35" w14:textId="665AFAE4" w:rsidR="008D40C6" w:rsidRPr="00014CB1" w:rsidRDefault="004418B5" w:rsidP="00014CB1">
      <w:pPr>
        <w:pStyle w:val="TableFigureFooter"/>
      </w:pPr>
      <w:r>
        <w:rPr>
          <w:i/>
          <w:iCs/>
          <w:vertAlign w:val="superscript"/>
        </w:rPr>
        <w:t xml:space="preserve">a </w:t>
      </w:r>
      <w:r w:rsidR="008D40C6">
        <w:t>calculated during the evaluation using Stata/MP 18.0.</w:t>
      </w:r>
    </w:p>
    <w:p w14:paraId="224D2878" w14:textId="53C56D76" w:rsidR="008D40C6" w:rsidRPr="005D3209" w:rsidRDefault="008D40C6" w:rsidP="008D40C6">
      <w:pPr>
        <w:pStyle w:val="3-BodyText"/>
      </w:pPr>
      <w:r w:rsidRPr="00F65C30">
        <w:t>The submission</w:t>
      </w:r>
      <w:r>
        <w:t xml:space="preserve"> note</w:t>
      </w:r>
      <w:r w:rsidR="004418B5">
        <w:t>d</w:t>
      </w:r>
      <w:r>
        <w:t xml:space="preserve"> that EV+PEM was administered for a longer duration than </w:t>
      </w:r>
      <w:proofErr w:type="spellStart"/>
      <w:r>
        <w:t>Plat+Gem</w:t>
      </w:r>
      <w:proofErr w:type="spellEnd"/>
      <w:r>
        <w:t xml:space="preserve"> (median 9.43 months </w:t>
      </w:r>
      <w:r w:rsidRPr="007B70CC">
        <w:t xml:space="preserve">vs. </w:t>
      </w:r>
      <w:r>
        <w:t xml:space="preserve">median 4.14 months). Based on this, exposure adjusted adverse events were presented. </w:t>
      </w:r>
      <w:r w:rsidRPr="00C11145">
        <w:t xml:space="preserve">However, the difference in exposure time was likely due to EV+PEM being administered until disease progression, whereas </w:t>
      </w:r>
      <w:proofErr w:type="spellStart"/>
      <w:r w:rsidRPr="00C11145">
        <w:t>Plat+Gem</w:t>
      </w:r>
      <w:proofErr w:type="spellEnd"/>
      <w:r w:rsidRPr="00C11145">
        <w:t xml:space="preserve"> is administered for a maximum of 6 cycles. As EV+PEM increases PFS, it is likely that the greater exposure seen in the EV-302 trial will be replicated in clinical</w:t>
      </w:r>
      <w:r w:rsidRPr="00EB22AC">
        <w:rPr>
          <w:i/>
          <w:iCs/>
        </w:rPr>
        <w:t xml:space="preserve"> </w:t>
      </w:r>
      <w:r w:rsidRPr="00C11145">
        <w:t>practice. As such the unadjusted adverse events are more representative of what patients will experience and so are presented in the evaluation.</w:t>
      </w:r>
      <w:r w:rsidR="004418B5">
        <w:t xml:space="preserve"> </w:t>
      </w:r>
      <w:r w:rsidR="004418B5" w:rsidRPr="005D3209">
        <w:t xml:space="preserve">The ESC agreed with the evaluation that use of the unadjusted adverse events was appropriate in considering the comparative harms. </w:t>
      </w:r>
    </w:p>
    <w:p w14:paraId="051652DF" w14:textId="427F7B3E" w:rsidR="008D40C6" w:rsidRDefault="008D40C6" w:rsidP="008D40C6">
      <w:pPr>
        <w:pStyle w:val="3-BodyText"/>
      </w:pPr>
      <w:r w:rsidRPr="00444A5A">
        <w:t xml:space="preserve">Grade 3 to 5 TEAEs occurred at a higher rate in the </w:t>
      </w:r>
      <w:proofErr w:type="spellStart"/>
      <w:r w:rsidRPr="00444A5A">
        <w:t>Plat+Gem</w:t>
      </w:r>
      <w:proofErr w:type="spellEnd"/>
      <w:r w:rsidRPr="00444A5A">
        <w:t xml:space="preserve"> arm (78.8% vs. 73%). Similar proportions of patients were seen in both EV+PEM and </w:t>
      </w:r>
      <w:proofErr w:type="spellStart"/>
      <w:r w:rsidRPr="00444A5A">
        <w:t>Plat+Gem</w:t>
      </w:r>
      <w:proofErr w:type="spellEnd"/>
      <w:r w:rsidRPr="00444A5A">
        <w:t xml:space="preserve"> arms with any TEAE (99.8% vs. 98.6%, respectively), TEAE leading to death (4.3% vs. 3.2%, respectively), or TEAE leading to dose reduction (41.8% vs. 40.9%, respectively).</w:t>
      </w:r>
      <w:r>
        <w:t xml:space="preserve"> </w:t>
      </w:r>
      <w:r w:rsidRPr="00444A5A">
        <w:t xml:space="preserve">However, </w:t>
      </w:r>
      <w:r w:rsidR="00C2046C" w:rsidRPr="005D3209">
        <w:t>the ESC noted that</w:t>
      </w:r>
      <w:r w:rsidR="00C2046C">
        <w:rPr>
          <w:i/>
          <w:iCs/>
        </w:rPr>
        <w:t xml:space="preserve"> </w:t>
      </w:r>
      <w:r w:rsidRPr="00444A5A">
        <w:t>EV+PEM had a higher rate of TEAEs leading to study drug interruption (78.9% vs. 64.4%)</w:t>
      </w:r>
      <w:r>
        <w:t xml:space="preserve">, and a higher rate of serious TEAEs (50.0% </w:t>
      </w:r>
      <w:r>
        <w:rPr>
          <w:i/>
          <w:iCs/>
        </w:rPr>
        <w:t>vs</w:t>
      </w:r>
      <w:r>
        <w:t>. 39.0%)</w:t>
      </w:r>
      <w:r w:rsidRPr="00444A5A">
        <w:t xml:space="preserve"> compared to </w:t>
      </w:r>
      <w:proofErr w:type="spellStart"/>
      <w:r w:rsidRPr="00444A5A">
        <w:t>Plat+Gem</w:t>
      </w:r>
      <w:proofErr w:type="spellEnd"/>
      <w:r w:rsidRPr="00444A5A">
        <w:t>.</w:t>
      </w:r>
      <w:r>
        <w:t xml:space="preserve"> In addition, EV+PEM had nearly double the</w:t>
      </w:r>
      <w:r w:rsidRPr="00444A5A">
        <w:t xml:space="preserve"> rate of TEAEs leading to discontinuation (39.8% vs. 21.5%)</w:t>
      </w:r>
      <w:r>
        <w:t xml:space="preserve">. The most common TEAE leading to discontinuation of EV was peripheral sensory neuropathy (11.1%) with pneumonitis (2.0%) the most common TEAE leading to discontinuation of PEM. In the </w:t>
      </w:r>
      <w:proofErr w:type="spellStart"/>
      <w:r>
        <w:t>Plat+Gem</w:t>
      </w:r>
      <w:proofErr w:type="spellEnd"/>
      <w:r>
        <w:t xml:space="preserve"> arm the most common TEAE leading to discontinuation was anaemia (2.8%).</w:t>
      </w:r>
    </w:p>
    <w:p w14:paraId="4475EF3B" w14:textId="095F55E8" w:rsidR="008D40C6" w:rsidRDefault="008D40C6" w:rsidP="008D40C6">
      <w:pPr>
        <w:pStyle w:val="Caption"/>
      </w:pPr>
      <w:bookmarkStart w:id="32" w:name="_Ref174371894"/>
      <w:r>
        <w:lastRenderedPageBreak/>
        <w:t xml:space="preserve">Table </w:t>
      </w:r>
      <w:r>
        <w:fldChar w:fldCharType="begin" w:fldLock="1"/>
      </w:r>
      <w:r>
        <w:instrText xml:space="preserve"> SEQ Table \* ARABIC </w:instrText>
      </w:r>
      <w:r>
        <w:fldChar w:fldCharType="separate"/>
      </w:r>
      <w:r w:rsidR="00FE0BD6">
        <w:rPr>
          <w:noProof/>
        </w:rPr>
        <w:t>7</w:t>
      </w:r>
      <w:r>
        <w:rPr>
          <w:noProof/>
        </w:rPr>
        <w:fldChar w:fldCharType="end"/>
      </w:r>
      <w:bookmarkEnd w:id="32"/>
      <w:r>
        <w:t xml:space="preserve">: </w:t>
      </w:r>
      <w:r w:rsidRPr="00C765C2">
        <w:t>NCI CTCAE Grade 3 or higher TEAE, with frequency ≥ 2% in either treatment arm (SAS)</w:t>
      </w:r>
    </w:p>
    <w:tbl>
      <w:tblPr>
        <w:tblStyle w:val="TableHTAsimple1"/>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1657"/>
        <w:gridCol w:w="1685"/>
        <w:gridCol w:w="1657"/>
        <w:gridCol w:w="1685"/>
      </w:tblGrid>
      <w:tr w:rsidR="008D40C6" w:rsidRPr="00C765C2" w14:paraId="4FCFFED4" w14:textId="77777777" w:rsidTr="005E4D14">
        <w:trPr>
          <w:cnfStyle w:val="100000000000" w:firstRow="1" w:lastRow="0" w:firstColumn="0" w:lastColumn="0" w:oddVBand="0" w:evenVBand="0" w:oddHBand="0" w:evenHBand="0" w:firstRowFirstColumn="0" w:firstRowLastColumn="0" w:lastRowFirstColumn="0" w:lastRowLastColumn="0"/>
        </w:trPr>
        <w:tc>
          <w:tcPr>
            <w:tcW w:w="2333" w:type="dxa"/>
            <w:vMerge w:val="restart"/>
          </w:tcPr>
          <w:p w14:paraId="7B678970" w14:textId="77777777" w:rsidR="008D40C6" w:rsidRPr="00C765C2" w:rsidRDefault="008D40C6" w:rsidP="005E4D14">
            <w:pPr>
              <w:keepNext/>
              <w:keepLines/>
              <w:spacing w:before="20" w:after="20"/>
              <w:contextualSpacing/>
              <w:jc w:val="left"/>
              <w:rPr>
                <w:rFonts w:ascii="Arial Narrow" w:hAnsi="Arial Narrow" w:cs="Calibri"/>
                <w:sz w:val="20"/>
                <w:szCs w:val="20"/>
                <w:lang w:val="en-AU"/>
              </w:rPr>
            </w:pPr>
            <w:r w:rsidRPr="00C765C2">
              <w:rPr>
                <w:rFonts w:ascii="Arial Narrow" w:hAnsi="Arial Narrow" w:cs="Calibri"/>
                <w:sz w:val="20"/>
                <w:szCs w:val="20"/>
                <w:lang w:val="en-AU"/>
              </w:rPr>
              <w:t>Preferred Term</w:t>
            </w:r>
          </w:p>
        </w:tc>
        <w:tc>
          <w:tcPr>
            <w:tcW w:w="3342" w:type="dxa"/>
            <w:gridSpan w:val="2"/>
          </w:tcPr>
          <w:p w14:paraId="4E109A2D" w14:textId="77777777" w:rsidR="008D40C6" w:rsidRPr="00F82C31" w:rsidRDefault="008D40C6" w:rsidP="005E4D14">
            <w:pPr>
              <w:keepNext/>
              <w:keepLines/>
              <w:spacing w:before="20" w:after="20"/>
              <w:contextualSpacing/>
              <w:jc w:val="center"/>
              <w:rPr>
                <w:rFonts w:ascii="Arial Narrow" w:hAnsi="Arial Narrow" w:cs="Calibri"/>
                <w:b/>
                <w:bCs/>
                <w:sz w:val="20"/>
                <w:szCs w:val="20"/>
                <w:lang w:val="en-AU"/>
              </w:rPr>
            </w:pPr>
            <w:r w:rsidRPr="00F82C31">
              <w:rPr>
                <w:rFonts w:ascii="Arial Narrow" w:hAnsi="Arial Narrow" w:cs="Calibri"/>
                <w:b/>
                <w:bCs/>
                <w:sz w:val="20"/>
                <w:szCs w:val="20"/>
              </w:rPr>
              <w:t>EV+PEM N=440</w:t>
            </w:r>
          </w:p>
        </w:tc>
        <w:tc>
          <w:tcPr>
            <w:tcW w:w="3342" w:type="dxa"/>
            <w:gridSpan w:val="2"/>
          </w:tcPr>
          <w:p w14:paraId="6DF7A05D" w14:textId="77777777" w:rsidR="008D40C6" w:rsidRPr="00F82C31" w:rsidRDefault="008D40C6" w:rsidP="005E4D14">
            <w:pPr>
              <w:keepNext/>
              <w:keepLines/>
              <w:spacing w:before="20" w:after="20"/>
              <w:contextualSpacing/>
              <w:jc w:val="center"/>
              <w:rPr>
                <w:rFonts w:ascii="Arial Narrow" w:hAnsi="Arial Narrow" w:cs="Calibri"/>
                <w:b/>
                <w:bCs/>
                <w:sz w:val="20"/>
                <w:szCs w:val="20"/>
                <w:lang w:val="en-AU"/>
              </w:rPr>
            </w:pPr>
            <w:r w:rsidRPr="00F82C31">
              <w:rPr>
                <w:rFonts w:ascii="Arial Narrow" w:hAnsi="Arial Narrow" w:cs="Calibri"/>
                <w:b/>
                <w:bCs/>
                <w:sz w:val="20"/>
                <w:szCs w:val="20"/>
              </w:rPr>
              <w:t>Plat+Gem N=433</w:t>
            </w:r>
          </w:p>
        </w:tc>
      </w:tr>
      <w:tr w:rsidR="008D40C6" w:rsidRPr="00C765C2" w14:paraId="2C909EC2"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vMerge/>
          </w:tcPr>
          <w:p w14:paraId="796FEC58" w14:textId="77777777" w:rsidR="008D40C6" w:rsidRPr="00C765C2" w:rsidRDefault="008D40C6" w:rsidP="005E4D14">
            <w:pPr>
              <w:keepNext/>
              <w:keepLines/>
              <w:contextualSpacing/>
              <w:jc w:val="left"/>
              <w:rPr>
                <w:rFonts w:ascii="Arial Narrow" w:hAnsi="Arial Narrow" w:cs="Calibri"/>
                <w:b/>
                <w:sz w:val="20"/>
                <w:szCs w:val="20"/>
                <w:lang w:val="en-AU"/>
              </w:rPr>
            </w:pPr>
          </w:p>
        </w:tc>
        <w:tc>
          <w:tcPr>
            <w:tcW w:w="1657" w:type="dxa"/>
          </w:tcPr>
          <w:p w14:paraId="55CAEA4C" w14:textId="77777777" w:rsidR="008D40C6" w:rsidRPr="00C765C2" w:rsidRDefault="008D40C6" w:rsidP="005E4D14">
            <w:pPr>
              <w:keepNext/>
              <w:keepLines/>
              <w:contextualSpacing/>
              <w:jc w:val="center"/>
              <w:rPr>
                <w:rFonts w:ascii="Arial Narrow" w:hAnsi="Arial Narrow" w:cs="Calibri"/>
                <w:b/>
                <w:sz w:val="20"/>
                <w:szCs w:val="20"/>
                <w:lang w:val="en-AU"/>
              </w:rPr>
            </w:pPr>
            <w:r w:rsidRPr="00C765C2">
              <w:rPr>
                <w:rFonts w:ascii="Arial Narrow" w:hAnsi="Arial Narrow" w:cs="Calibri"/>
                <w:b/>
                <w:sz w:val="20"/>
                <w:szCs w:val="20"/>
                <w:lang w:val="en-AU"/>
              </w:rPr>
              <w:t>All caus</w:t>
            </w:r>
            <w:r>
              <w:rPr>
                <w:rFonts w:ascii="Arial Narrow" w:hAnsi="Arial Narrow" w:cs="Calibri"/>
                <w:b/>
                <w:sz w:val="20"/>
                <w:szCs w:val="20"/>
                <w:lang w:val="en-AU"/>
              </w:rPr>
              <w:t>e</w:t>
            </w:r>
          </w:p>
          <w:p w14:paraId="648B490A" w14:textId="77777777" w:rsidR="008D40C6" w:rsidRPr="00C765C2" w:rsidRDefault="008D40C6" w:rsidP="005E4D14">
            <w:pPr>
              <w:keepNext/>
              <w:keepLines/>
              <w:contextualSpacing/>
              <w:jc w:val="center"/>
              <w:rPr>
                <w:rFonts w:ascii="Arial Narrow" w:hAnsi="Arial Narrow" w:cs="Calibri"/>
                <w:b/>
                <w:sz w:val="20"/>
                <w:szCs w:val="20"/>
                <w:lang w:val="en-AU"/>
              </w:rPr>
            </w:pPr>
            <w:r w:rsidRPr="00C765C2">
              <w:rPr>
                <w:rFonts w:ascii="Arial Narrow" w:hAnsi="Arial Narrow" w:cs="Calibri"/>
                <w:b/>
                <w:sz w:val="20"/>
                <w:szCs w:val="20"/>
                <w:lang w:val="en-AU"/>
              </w:rPr>
              <w:t>n (%)</w:t>
            </w:r>
          </w:p>
        </w:tc>
        <w:tc>
          <w:tcPr>
            <w:tcW w:w="1685" w:type="dxa"/>
          </w:tcPr>
          <w:p w14:paraId="4E7DDFE5" w14:textId="77777777" w:rsidR="008D40C6" w:rsidRPr="00C765C2" w:rsidRDefault="008D40C6" w:rsidP="005E4D14">
            <w:pPr>
              <w:keepNext/>
              <w:keepLines/>
              <w:contextualSpacing/>
              <w:jc w:val="center"/>
              <w:rPr>
                <w:rFonts w:ascii="Arial Narrow" w:hAnsi="Arial Narrow" w:cs="Calibri"/>
                <w:b/>
                <w:sz w:val="20"/>
                <w:szCs w:val="20"/>
                <w:lang w:val="en-AU"/>
              </w:rPr>
            </w:pPr>
            <w:r w:rsidRPr="00C765C2">
              <w:rPr>
                <w:rFonts w:ascii="Arial Narrow" w:hAnsi="Arial Narrow" w:cs="Calibri"/>
                <w:b/>
                <w:sz w:val="20"/>
                <w:szCs w:val="20"/>
                <w:lang w:val="en-AU"/>
              </w:rPr>
              <w:t>Treatment-related</w:t>
            </w:r>
          </w:p>
          <w:p w14:paraId="4E03372C" w14:textId="77777777" w:rsidR="008D40C6" w:rsidRPr="00C765C2" w:rsidRDefault="008D40C6" w:rsidP="005E4D14">
            <w:pPr>
              <w:keepNext/>
              <w:keepLines/>
              <w:contextualSpacing/>
              <w:jc w:val="center"/>
              <w:rPr>
                <w:rFonts w:ascii="Arial Narrow" w:hAnsi="Arial Narrow" w:cs="Calibri"/>
                <w:b/>
                <w:sz w:val="20"/>
                <w:szCs w:val="20"/>
                <w:lang w:val="en-AU"/>
              </w:rPr>
            </w:pPr>
            <w:r w:rsidRPr="00C765C2">
              <w:rPr>
                <w:rFonts w:ascii="Arial Narrow" w:hAnsi="Arial Narrow" w:cs="Calibri"/>
                <w:b/>
                <w:sz w:val="20"/>
                <w:szCs w:val="20"/>
                <w:lang w:val="en-AU"/>
              </w:rPr>
              <w:t>n (%)</w:t>
            </w:r>
          </w:p>
        </w:tc>
        <w:tc>
          <w:tcPr>
            <w:tcW w:w="1657" w:type="dxa"/>
          </w:tcPr>
          <w:p w14:paraId="6C686ACC" w14:textId="77777777" w:rsidR="008D40C6" w:rsidRPr="00C765C2" w:rsidRDefault="008D40C6" w:rsidP="005E4D14">
            <w:pPr>
              <w:keepNext/>
              <w:keepLines/>
              <w:contextualSpacing/>
              <w:jc w:val="center"/>
              <w:rPr>
                <w:rFonts w:ascii="Arial Narrow" w:hAnsi="Arial Narrow" w:cs="Calibri"/>
                <w:b/>
                <w:sz w:val="20"/>
                <w:szCs w:val="20"/>
                <w:lang w:val="en-AU"/>
              </w:rPr>
            </w:pPr>
            <w:r w:rsidRPr="00C765C2">
              <w:rPr>
                <w:rFonts w:ascii="Arial Narrow" w:hAnsi="Arial Narrow" w:cs="Calibri"/>
                <w:b/>
                <w:sz w:val="20"/>
                <w:szCs w:val="20"/>
                <w:lang w:val="en-AU"/>
              </w:rPr>
              <w:t>All caus</w:t>
            </w:r>
            <w:r>
              <w:rPr>
                <w:rFonts w:ascii="Arial Narrow" w:hAnsi="Arial Narrow" w:cs="Calibri"/>
                <w:b/>
                <w:sz w:val="20"/>
                <w:szCs w:val="20"/>
                <w:lang w:val="en-AU"/>
              </w:rPr>
              <w:t>e</w:t>
            </w:r>
          </w:p>
          <w:p w14:paraId="7CD60FD0" w14:textId="77777777" w:rsidR="008D40C6" w:rsidRPr="00C765C2" w:rsidRDefault="008D40C6" w:rsidP="005E4D14">
            <w:pPr>
              <w:keepNext/>
              <w:keepLines/>
              <w:contextualSpacing/>
              <w:jc w:val="center"/>
              <w:rPr>
                <w:rFonts w:ascii="Arial Narrow" w:hAnsi="Arial Narrow" w:cs="Calibri"/>
                <w:b/>
                <w:sz w:val="20"/>
                <w:szCs w:val="20"/>
                <w:lang w:val="en-AU"/>
              </w:rPr>
            </w:pPr>
            <w:r w:rsidRPr="00C765C2">
              <w:rPr>
                <w:rFonts w:ascii="Arial Narrow" w:hAnsi="Arial Narrow" w:cs="Calibri"/>
                <w:b/>
                <w:sz w:val="20"/>
                <w:szCs w:val="20"/>
                <w:lang w:val="en-AU"/>
              </w:rPr>
              <w:t>n (%)</w:t>
            </w:r>
          </w:p>
        </w:tc>
        <w:tc>
          <w:tcPr>
            <w:tcW w:w="1685" w:type="dxa"/>
          </w:tcPr>
          <w:p w14:paraId="3B299A92" w14:textId="77777777" w:rsidR="008D40C6" w:rsidRPr="00C765C2" w:rsidRDefault="008D40C6" w:rsidP="005E4D14">
            <w:pPr>
              <w:keepNext/>
              <w:keepLines/>
              <w:contextualSpacing/>
              <w:jc w:val="center"/>
              <w:rPr>
                <w:rFonts w:ascii="Arial Narrow" w:hAnsi="Arial Narrow" w:cs="Calibri"/>
                <w:b/>
                <w:sz w:val="20"/>
                <w:szCs w:val="20"/>
                <w:lang w:val="en-AU"/>
              </w:rPr>
            </w:pPr>
            <w:r w:rsidRPr="00C765C2">
              <w:rPr>
                <w:rFonts w:ascii="Arial Narrow" w:hAnsi="Arial Narrow" w:cs="Calibri"/>
                <w:b/>
                <w:sz w:val="20"/>
                <w:szCs w:val="20"/>
                <w:lang w:val="en-AU"/>
              </w:rPr>
              <w:t>Treatment-related</w:t>
            </w:r>
          </w:p>
          <w:p w14:paraId="461B9E31" w14:textId="77777777" w:rsidR="008D40C6" w:rsidRPr="00C765C2" w:rsidRDefault="008D40C6" w:rsidP="005E4D14">
            <w:pPr>
              <w:keepNext/>
              <w:keepLines/>
              <w:contextualSpacing/>
              <w:jc w:val="center"/>
              <w:rPr>
                <w:rFonts w:ascii="Arial Narrow" w:hAnsi="Arial Narrow" w:cs="Calibri"/>
                <w:b/>
                <w:sz w:val="20"/>
                <w:szCs w:val="20"/>
                <w:lang w:val="en-AU"/>
              </w:rPr>
            </w:pPr>
            <w:r w:rsidRPr="00C765C2">
              <w:rPr>
                <w:rFonts w:ascii="Arial Narrow" w:hAnsi="Arial Narrow" w:cs="Calibri"/>
                <w:b/>
                <w:sz w:val="20"/>
                <w:szCs w:val="20"/>
                <w:lang w:val="en-AU"/>
              </w:rPr>
              <w:t>n (%)</w:t>
            </w:r>
          </w:p>
        </w:tc>
      </w:tr>
      <w:tr w:rsidR="008D40C6" w:rsidRPr="00C765C2" w14:paraId="260E65F0"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432753F7" w14:textId="77777777" w:rsidR="008D40C6" w:rsidRPr="00C765C2" w:rsidRDefault="008D40C6" w:rsidP="005E4D14">
            <w:pPr>
              <w:keepNext/>
              <w:keepLines/>
              <w:jc w:val="left"/>
              <w:rPr>
                <w:rFonts w:ascii="Arial Narrow" w:hAnsi="Arial Narrow" w:cs="Calibri"/>
                <w:sz w:val="20"/>
                <w:szCs w:val="20"/>
                <w:lang w:val="en-AU"/>
              </w:rPr>
            </w:pPr>
            <w:r w:rsidRPr="00C765C2">
              <w:rPr>
                <w:rFonts w:ascii="Arial Narrow" w:hAnsi="Arial Narrow" w:cs="Calibri"/>
                <w:sz w:val="20"/>
                <w:szCs w:val="20"/>
                <w:lang w:val="en-AU"/>
              </w:rPr>
              <w:t xml:space="preserve">Overall </w:t>
            </w:r>
          </w:p>
        </w:tc>
        <w:tc>
          <w:tcPr>
            <w:tcW w:w="1657" w:type="dxa"/>
          </w:tcPr>
          <w:p w14:paraId="56CCFC40"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321 (73.0) </w:t>
            </w:r>
          </w:p>
        </w:tc>
        <w:tc>
          <w:tcPr>
            <w:tcW w:w="1685" w:type="dxa"/>
          </w:tcPr>
          <w:p w14:paraId="10F61512"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246 (55.9)</w:t>
            </w:r>
          </w:p>
        </w:tc>
        <w:tc>
          <w:tcPr>
            <w:tcW w:w="1657" w:type="dxa"/>
          </w:tcPr>
          <w:p w14:paraId="4B9303A5"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341 (78.8)</w:t>
            </w:r>
          </w:p>
        </w:tc>
        <w:tc>
          <w:tcPr>
            <w:tcW w:w="1685" w:type="dxa"/>
          </w:tcPr>
          <w:p w14:paraId="61FF9BF1"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301 (69.5)</w:t>
            </w:r>
          </w:p>
        </w:tc>
      </w:tr>
      <w:tr w:rsidR="008D40C6" w:rsidRPr="00C765C2" w14:paraId="277D290A"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1169658F"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Rash maculo-papular </w:t>
            </w:r>
          </w:p>
        </w:tc>
        <w:tc>
          <w:tcPr>
            <w:tcW w:w="1657" w:type="dxa"/>
          </w:tcPr>
          <w:p w14:paraId="1369C95D"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36 (8.2)</w:t>
            </w:r>
          </w:p>
        </w:tc>
        <w:tc>
          <w:tcPr>
            <w:tcW w:w="1685" w:type="dxa"/>
          </w:tcPr>
          <w:p w14:paraId="5C5EA0E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34 (7.7)</w:t>
            </w:r>
          </w:p>
        </w:tc>
        <w:tc>
          <w:tcPr>
            <w:tcW w:w="1657" w:type="dxa"/>
          </w:tcPr>
          <w:p w14:paraId="355030B0"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1685" w:type="dxa"/>
          </w:tcPr>
          <w:p w14:paraId="60689731"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0</w:t>
            </w:r>
          </w:p>
        </w:tc>
      </w:tr>
      <w:tr w:rsidR="008D40C6" w:rsidRPr="00C765C2" w14:paraId="1A3AFECE"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079C303D"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Hyperglycaemia </w:t>
            </w:r>
          </w:p>
        </w:tc>
        <w:tc>
          <w:tcPr>
            <w:tcW w:w="1657" w:type="dxa"/>
          </w:tcPr>
          <w:p w14:paraId="0DF35234"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32 (7.3)</w:t>
            </w:r>
          </w:p>
        </w:tc>
        <w:tc>
          <w:tcPr>
            <w:tcW w:w="1685" w:type="dxa"/>
          </w:tcPr>
          <w:p w14:paraId="4AA557A7"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22 (5.0)</w:t>
            </w:r>
          </w:p>
        </w:tc>
        <w:tc>
          <w:tcPr>
            <w:tcW w:w="1657" w:type="dxa"/>
          </w:tcPr>
          <w:p w14:paraId="44207570"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 (0.7)</w:t>
            </w:r>
          </w:p>
        </w:tc>
        <w:tc>
          <w:tcPr>
            <w:tcW w:w="1685" w:type="dxa"/>
          </w:tcPr>
          <w:p w14:paraId="2C462660"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0</w:t>
            </w:r>
          </w:p>
        </w:tc>
      </w:tr>
      <w:tr w:rsidR="008D40C6" w:rsidRPr="00C765C2" w14:paraId="277B6B8F"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644DD4B7"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Anaemia </w:t>
            </w:r>
          </w:p>
        </w:tc>
        <w:tc>
          <w:tcPr>
            <w:tcW w:w="1657" w:type="dxa"/>
          </w:tcPr>
          <w:p w14:paraId="18E64CF2"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31 (7.0) </w:t>
            </w:r>
          </w:p>
        </w:tc>
        <w:tc>
          <w:tcPr>
            <w:tcW w:w="1685" w:type="dxa"/>
          </w:tcPr>
          <w:p w14:paraId="562298EF"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15 (3.4)</w:t>
            </w:r>
          </w:p>
        </w:tc>
        <w:tc>
          <w:tcPr>
            <w:tcW w:w="1657" w:type="dxa"/>
          </w:tcPr>
          <w:p w14:paraId="0851EB6F"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148 (34.2)</w:t>
            </w:r>
          </w:p>
        </w:tc>
        <w:tc>
          <w:tcPr>
            <w:tcW w:w="1685" w:type="dxa"/>
          </w:tcPr>
          <w:p w14:paraId="49C1B64C"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136 (31.4)</w:t>
            </w:r>
          </w:p>
        </w:tc>
      </w:tr>
      <w:tr w:rsidR="008D40C6" w:rsidRPr="00C765C2" w14:paraId="349F31BA"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44DA20A5"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Acute kidney injury </w:t>
            </w:r>
          </w:p>
        </w:tc>
        <w:tc>
          <w:tcPr>
            <w:tcW w:w="1657" w:type="dxa"/>
          </w:tcPr>
          <w:p w14:paraId="7F232FA8"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22 (5.0)</w:t>
            </w:r>
          </w:p>
        </w:tc>
        <w:tc>
          <w:tcPr>
            <w:tcW w:w="1685" w:type="dxa"/>
          </w:tcPr>
          <w:p w14:paraId="03E83872"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10 (2.3)</w:t>
            </w:r>
          </w:p>
        </w:tc>
        <w:tc>
          <w:tcPr>
            <w:tcW w:w="1657" w:type="dxa"/>
          </w:tcPr>
          <w:p w14:paraId="7ECA1CFD"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10 (2.3)</w:t>
            </w:r>
          </w:p>
        </w:tc>
        <w:tc>
          <w:tcPr>
            <w:tcW w:w="1685" w:type="dxa"/>
          </w:tcPr>
          <w:p w14:paraId="2AC7233A"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7 (1.6)</w:t>
            </w:r>
          </w:p>
        </w:tc>
      </w:tr>
      <w:tr w:rsidR="008D40C6" w:rsidRPr="00C765C2" w14:paraId="4578A6A3"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5A437540"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Hyponatraemia </w:t>
            </w:r>
          </w:p>
        </w:tc>
        <w:tc>
          <w:tcPr>
            <w:tcW w:w="1657" w:type="dxa"/>
          </w:tcPr>
          <w:p w14:paraId="68F5F96E"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22 (5.0)</w:t>
            </w:r>
          </w:p>
        </w:tc>
        <w:tc>
          <w:tcPr>
            <w:tcW w:w="1685" w:type="dxa"/>
          </w:tcPr>
          <w:p w14:paraId="3F6EE15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12 (2.7)</w:t>
            </w:r>
          </w:p>
        </w:tc>
        <w:tc>
          <w:tcPr>
            <w:tcW w:w="1657" w:type="dxa"/>
          </w:tcPr>
          <w:p w14:paraId="1BC82538"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15 (3.5)</w:t>
            </w:r>
          </w:p>
        </w:tc>
        <w:tc>
          <w:tcPr>
            <w:tcW w:w="1685" w:type="dxa"/>
          </w:tcPr>
          <w:p w14:paraId="6848A1E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8 (1.8)</w:t>
            </w:r>
          </w:p>
        </w:tc>
      </w:tr>
      <w:tr w:rsidR="008D40C6" w:rsidRPr="00C765C2" w14:paraId="6B2C51A7"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409D9521"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Neutropenia </w:t>
            </w:r>
          </w:p>
        </w:tc>
        <w:tc>
          <w:tcPr>
            <w:tcW w:w="1657" w:type="dxa"/>
          </w:tcPr>
          <w:p w14:paraId="786EEBA0"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22 (5.0)</w:t>
            </w:r>
          </w:p>
        </w:tc>
        <w:tc>
          <w:tcPr>
            <w:tcW w:w="1685" w:type="dxa"/>
          </w:tcPr>
          <w:p w14:paraId="525254C2"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21 (4.8)</w:t>
            </w:r>
          </w:p>
        </w:tc>
        <w:tc>
          <w:tcPr>
            <w:tcW w:w="1657" w:type="dxa"/>
          </w:tcPr>
          <w:p w14:paraId="3B8A653A"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130 (30.0)</w:t>
            </w:r>
          </w:p>
        </w:tc>
        <w:tc>
          <w:tcPr>
            <w:tcW w:w="1685" w:type="dxa"/>
          </w:tcPr>
          <w:p w14:paraId="475A383D"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130 (30.0)</w:t>
            </w:r>
          </w:p>
        </w:tc>
      </w:tr>
      <w:tr w:rsidR="008D40C6" w:rsidRPr="00C765C2" w14:paraId="7453E549"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1E45572D"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Urinary tract infection </w:t>
            </w:r>
          </w:p>
        </w:tc>
        <w:tc>
          <w:tcPr>
            <w:tcW w:w="1657" w:type="dxa"/>
          </w:tcPr>
          <w:p w14:paraId="652E1537"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22 (5.0)</w:t>
            </w:r>
          </w:p>
        </w:tc>
        <w:tc>
          <w:tcPr>
            <w:tcW w:w="1685" w:type="dxa"/>
          </w:tcPr>
          <w:p w14:paraId="33F0BDD7"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 (0.7)</w:t>
            </w:r>
          </w:p>
        </w:tc>
        <w:tc>
          <w:tcPr>
            <w:tcW w:w="1657" w:type="dxa"/>
          </w:tcPr>
          <w:p w14:paraId="35AFB94C"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35 (8.1)</w:t>
            </w:r>
          </w:p>
        </w:tc>
        <w:tc>
          <w:tcPr>
            <w:tcW w:w="1685" w:type="dxa"/>
          </w:tcPr>
          <w:p w14:paraId="31646A6F"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4 (0.9)</w:t>
            </w:r>
          </w:p>
        </w:tc>
      </w:tr>
      <w:tr w:rsidR="008D40C6" w:rsidRPr="00C765C2" w14:paraId="38B375CE"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51900DDD"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Diarrhoea </w:t>
            </w:r>
          </w:p>
        </w:tc>
        <w:tc>
          <w:tcPr>
            <w:tcW w:w="1657" w:type="dxa"/>
          </w:tcPr>
          <w:p w14:paraId="1E70CA4D"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21 (4.8)</w:t>
            </w:r>
          </w:p>
        </w:tc>
        <w:tc>
          <w:tcPr>
            <w:tcW w:w="1685" w:type="dxa"/>
          </w:tcPr>
          <w:p w14:paraId="680DBED7"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16 (3.6)</w:t>
            </w:r>
          </w:p>
        </w:tc>
        <w:tc>
          <w:tcPr>
            <w:tcW w:w="1657" w:type="dxa"/>
          </w:tcPr>
          <w:p w14:paraId="725F3A42"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6 (1.4)</w:t>
            </w:r>
          </w:p>
        </w:tc>
        <w:tc>
          <w:tcPr>
            <w:tcW w:w="1685" w:type="dxa"/>
          </w:tcPr>
          <w:p w14:paraId="4A4AF55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 (0.7)</w:t>
            </w:r>
          </w:p>
        </w:tc>
      </w:tr>
      <w:tr w:rsidR="008D40C6" w:rsidRPr="00C765C2" w14:paraId="4F622306"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57BB4031"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Fatigue </w:t>
            </w:r>
          </w:p>
        </w:tc>
        <w:tc>
          <w:tcPr>
            <w:tcW w:w="1657" w:type="dxa"/>
          </w:tcPr>
          <w:p w14:paraId="459A8845"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17 (3.9)</w:t>
            </w:r>
          </w:p>
        </w:tc>
        <w:tc>
          <w:tcPr>
            <w:tcW w:w="1685" w:type="dxa"/>
          </w:tcPr>
          <w:p w14:paraId="546A8B31"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13 (3.0)</w:t>
            </w:r>
          </w:p>
        </w:tc>
        <w:tc>
          <w:tcPr>
            <w:tcW w:w="1657" w:type="dxa"/>
          </w:tcPr>
          <w:p w14:paraId="166AC59F"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20 (4.6)</w:t>
            </w:r>
          </w:p>
        </w:tc>
        <w:tc>
          <w:tcPr>
            <w:tcW w:w="1685" w:type="dxa"/>
          </w:tcPr>
          <w:p w14:paraId="192C310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18 (4.2)</w:t>
            </w:r>
          </w:p>
        </w:tc>
      </w:tr>
      <w:tr w:rsidR="008D40C6" w:rsidRPr="00C765C2" w14:paraId="353E8F64"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02E68795"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Peripheral sensory neuropathy </w:t>
            </w:r>
          </w:p>
        </w:tc>
        <w:tc>
          <w:tcPr>
            <w:tcW w:w="1657" w:type="dxa"/>
          </w:tcPr>
          <w:p w14:paraId="60EC0FE8"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17 (3.9)</w:t>
            </w:r>
          </w:p>
        </w:tc>
        <w:tc>
          <w:tcPr>
            <w:tcW w:w="1685" w:type="dxa"/>
          </w:tcPr>
          <w:p w14:paraId="5B2B1AA3"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16 (3.6)</w:t>
            </w:r>
          </w:p>
        </w:tc>
        <w:tc>
          <w:tcPr>
            <w:tcW w:w="1657" w:type="dxa"/>
          </w:tcPr>
          <w:p w14:paraId="1FA9CA84"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1685" w:type="dxa"/>
          </w:tcPr>
          <w:p w14:paraId="4FCAE1A0"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0</w:t>
            </w:r>
          </w:p>
        </w:tc>
      </w:tr>
      <w:tr w:rsidR="008D40C6" w:rsidRPr="00C765C2" w14:paraId="40571D33"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3C0FC81E"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Weight decreased </w:t>
            </w:r>
          </w:p>
        </w:tc>
        <w:tc>
          <w:tcPr>
            <w:tcW w:w="1657" w:type="dxa"/>
          </w:tcPr>
          <w:p w14:paraId="447D0A1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16 (3.6)</w:t>
            </w:r>
          </w:p>
        </w:tc>
        <w:tc>
          <w:tcPr>
            <w:tcW w:w="1685" w:type="dxa"/>
          </w:tcPr>
          <w:p w14:paraId="0BF9742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8 (1.8)</w:t>
            </w:r>
          </w:p>
        </w:tc>
        <w:tc>
          <w:tcPr>
            <w:tcW w:w="1657" w:type="dxa"/>
          </w:tcPr>
          <w:p w14:paraId="7BEA5E99"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 (0.2)</w:t>
            </w:r>
          </w:p>
        </w:tc>
        <w:tc>
          <w:tcPr>
            <w:tcW w:w="1685" w:type="dxa"/>
          </w:tcPr>
          <w:p w14:paraId="693C10A3"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 (0.2)</w:t>
            </w:r>
          </w:p>
        </w:tc>
      </w:tr>
      <w:tr w:rsidR="008D40C6" w:rsidRPr="00C765C2" w14:paraId="22880910"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6907FB27"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Pulmonary embolism </w:t>
            </w:r>
          </w:p>
        </w:tc>
        <w:tc>
          <w:tcPr>
            <w:tcW w:w="1657" w:type="dxa"/>
          </w:tcPr>
          <w:p w14:paraId="723AE7E6"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 xml:space="preserve">14 (3.2) </w:t>
            </w:r>
          </w:p>
        </w:tc>
        <w:tc>
          <w:tcPr>
            <w:tcW w:w="1685" w:type="dxa"/>
          </w:tcPr>
          <w:p w14:paraId="58DF4F80"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1657" w:type="dxa"/>
          </w:tcPr>
          <w:p w14:paraId="09F9BF8A"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17 (3.9)</w:t>
            </w:r>
          </w:p>
        </w:tc>
        <w:tc>
          <w:tcPr>
            <w:tcW w:w="1685" w:type="dxa"/>
          </w:tcPr>
          <w:p w14:paraId="4D35C309"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7 (1.6)</w:t>
            </w:r>
          </w:p>
        </w:tc>
      </w:tr>
      <w:tr w:rsidR="008D40C6" w:rsidRPr="00C765C2" w14:paraId="45491699"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57D067A7"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Neutrophil count decreased </w:t>
            </w:r>
          </w:p>
        </w:tc>
        <w:tc>
          <w:tcPr>
            <w:tcW w:w="1657" w:type="dxa"/>
          </w:tcPr>
          <w:p w14:paraId="71255E63"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11 (2.5)</w:t>
            </w:r>
          </w:p>
        </w:tc>
        <w:tc>
          <w:tcPr>
            <w:tcW w:w="1685" w:type="dxa"/>
          </w:tcPr>
          <w:p w14:paraId="41A2EB4F"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11 (2.5)</w:t>
            </w:r>
          </w:p>
        </w:tc>
        <w:tc>
          <w:tcPr>
            <w:tcW w:w="1657" w:type="dxa"/>
          </w:tcPr>
          <w:p w14:paraId="222A0C8B"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40 (9.2)</w:t>
            </w:r>
          </w:p>
        </w:tc>
        <w:tc>
          <w:tcPr>
            <w:tcW w:w="1685" w:type="dxa"/>
          </w:tcPr>
          <w:p w14:paraId="422FF7FA" w14:textId="77777777" w:rsidR="008D40C6" w:rsidRPr="00C765C2" w:rsidRDefault="008D40C6" w:rsidP="005E4D14">
            <w:pPr>
              <w:keepNext/>
              <w:keepLines/>
              <w:jc w:val="center"/>
              <w:rPr>
                <w:rFonts w:ascii="Arial Narrow" w:hAnsi="Arial Narrow" w:cs="Calibri"/>
                <w:sz w:val="20"/>
                <w:szCs w:val="20"/>
                <w:lang w:val="en-AU"/>
              </w:rPr>
            </w:pPr>
            <w:r w:rsidRPr="00C765C2">
              <w:rPr>
                <w:rFonts w:ascii="Arial Narrow" w:hAnsi="Arial Narrow" w:cs="Calibri"/>
                <w:sz w:val="20"/>
                <w:szCs w:val="20"/>
                <w:lang w:val="en-AU"/>
              </w:rPr>
              <w:t>39 (9.0)</w:t>
            </w:r>
          </w:p>
        </w:tc>
      </w:tr>
      <w:tr w:rsidR="008D40C6" w:rsidRPr="00C765C2" w14:paraId="3611124D"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1FF4D130"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Asthenia </w:t>
            </w:r>
          </w:p>
        </w:tc>
        <w:tc>
          <w:tcPr>
            <w:tcW w:w="1657" w:type="dxa"/>
          </w:tcPr>
          <w:p w14:paraId="0E09DD9B"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10 (2.3)</w:t>
            </w:r>
          </w:p>
        </w:tc>
        <w:tc>
          <w:tcPr>
            <w:tcW w:w="1685" w:type="dxa"/>
          </w:tcPr>
          <w:p w14:paraId="2B873B82"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8 (1.8)</w:t>
            </w:r>
          </w:p>
        </w:tc>
        <w:tc>
          <w:tcPr>
            <w:tcW w:w="1657" w:type="dxa"/>
          </w:tcPr>
          <w:p w14:paraId="7E02A68A"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11 (2.5)</w:t>
            </w:r>
          </w:p>
        </w:tc>
        <w:tc>
          <w:tcPr>
            <w:tcW w:w="1685" w:type="dxa"/>
          </w:tcPr>
          <w:p w14:paraId="46BC04CD"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10 (2.3)</w:t>
            </w:r>
          </w:p>
        </w:tc>
      </w:tr>
      <w:tr w:rsidR="008D40C6" w:rsidRPr="00C765C2" w14:paraId="3D25BEC6"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47F7E80B"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Pneumonia </w:t>
            </w:r>
          </w:p>
        </w:tc>
        <w:tc>
          <w:tcPr>
            <w:tcW w:w="1657" w:type="dxa"/>
          </w:tcPr>
          <w:p w14:paraId="0C8DC032"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10 (2.3)</w:t>
            </w:r>
          </w:p>
        </w:tc>
        <w:tc>
          <w:tcPr>
            <w:tcW w:w="1685" w:type="dxa"/>
          </w:tcPr>
          <w:p w14:paraId="3512FB9B"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 (0.2)</w:t>
            </w:r>
          </w:p>
        </w:tc>
        <w:tc>
          <w:tcPr>
            <w:tcW w:w="1657" w:type="dxa"/>
          </w:tcPr>
          <w:p w14:paraId="344B410D"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4 (0.9)</w:t>
            </w:r>
          </w:p>
        </w:tc>
        <w:tc>
          <w:tcPr>
            <w:tcW w:w="1685" w:type="dxa"/>
          </w:tcPr>
          <w:p w14:paraId="460B5E19"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 (0.2)</w:t>
            </w:r>
          </w:p>
        </w:tc>
      </w:tr>
      <w:tr w:rsidR="008D40C6" w:rsidRPr="00C765C2" w14:paraId="1D66FCEE"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6C1475AA"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eastAsia="Times New Roman" w:hAnsi="Arial Narrow" w:cs="Calibri"/>
                <w:sz w:val="20"/>
                <w:szCs w:val="20"/>
                <w:lang w:val="en-AU" w:eastAsia="en-AU"/>
              </w:rPr>
              <w:t>Alanine aminotransferase increased</w:t>
            </w:r>
          </w:p>
        </w:tc>
        <w:tc>
          <w:tcPr>
            <w:tcW w:w="1657" w:type="dxa"/>
          </w:tcPr>
          <w:p w14:paraId="67F2DC63" w14:textId="77777777" w:rsidR="008D40C6" w:rsidRPr="00C765C2" w:rsidRDefault="008D40C6" w:rsidP="005E4D14">
            <w:pPr>
              <w:jc w:val="center"/>
              <w:rPr>
                <w:rFonts w:ascii="Arial Narrow" w:hAnsi="Arial Narrow" w:cs="Calibri"/>
                <w:sz w:val="20"/>
                <w:szCs w:val="20"/>
                <w:lang w:val="en-AU"/>
              </w:rPr>
            </w:pPr>
            <w:r w:rsidRPr="00C765C2">
              <w:rPr>
                <w:rFonts w:ascii="Arial Narrow" w:eastAsia="Times New Roman" w:hAnsi="Arial Narrow" w:cs="Calibri"/>
                <w:sz w:val="20"/>
                <w:szCs w:val="20"/>
                <w:lang w:val="en-AU" w:eastAsia="en-AU"/>
              </w:rPr>
              <w:t>9 (2.0)</w:t>
            </w:r>
          </w:p>
        </w:tc>
        <w:tc>
          <w:tcPr>
            <w:tcW w:w="1685" w:type="dxa"/>
          </w:tcPr>
          <w:p w14:paraId="6AFDB5E0" w14:textId="77777777" w:rsidR="008D40C6" w:rsidRPr="00C765C2" w:rsidRDefault="008D40C6" w:rsidP="005E4D14">
            <w:pPr>
              <w:jc w:val="center"/>
              <w:rPr>
                <w:rFonts w:ascii="Arial Narrow" w:eastAsia="Times New Roman" w:hAnsi="Arial Narrow" w:cs="Calibri"/>
                <w:sz w:val="20"/>
                <w:szCs w:val="20"/>
                <w:lang w:val="en-AU" w:eastAsia="en-AU"/>
              </w:rPr>
            </w:pPr>
            <w:r w:rsidRPr="00C765C2">
              <w:rPr>
                <w:rFonts w:ascii="Arial Narrow" w:eastAsia="Times New Roman" w:hAnsi="Arial Narrow" w:cs="Calibri"/>
                <w:sz w:val="20"/>
                <w:szCs w:val="20"/>
                <w:lang w:val="en-AU" w:eastAsia="en-AU"/>
              </w:rPr>
              <w:t>9 (2.0)</w:t>
            </w:r>
          </w:p>
        </w:tc>
        <w:tc>
          <w:tcPr>
            <w:tcW w:w="1657" w:type="dxa"/>
          </w:tcPr>
          <w:p w14:paraId="22375281" w14:textId="77777777" w:rsidR="008D40C6" w:rsidRPr="00C765C2" w:rsidRDefault="008D40C6" w:rsidP="005E4D14">
            <w:pPr>
              <w:jc w:val="center"/>
              <w:rPr>
                <w:rFonts w:ascii="Arial Narrow" w:hAnsi="Arial Narrow" w:cs="Calibri"/>
                <w:sz w:val="20"/>
                <w:szCs w:val="20"/>
                <w:lang w:val="en-AU"/>
              </w:rPr>
            </w:pPr>
            <w:r w:rsidRPr="00C765C2">
              <w:rPr>
                <w:rFonts w:ascii="Arial Narrow" w:eastAsia="Times New Roman" w:hAnsi="Arial Narrow" w:cs="Calibri"/>
                <w:sz w:val="20"/>
                <w:szCs w:val="20"/>
                <w:lang w:val="en-AU" w:eastAsia="en-AU"/>
              </w:rPr>
              <w:t>3 (0.7)</w:t>
            </w:r>
          </w:p>
        </w:tc>
        <w:tc>
          <w:tcPr>
            <w:tcW w:w="1685" w:type="dxa"/>
          </w:tcPr>
          <w:p w14:paraId="3F64E9B8" w14:textId="77777777" w:rsidR="008D40C6" w:rsidRPr="00C765C2" w:rsidRDefault="008D40C6" w:rsidP="005E4D14">
            <w:pPr>
              <w:jc w:val="center"/>
              <w:rPr>
                <w:rFonts w:ascii="Arial Narrow" w:eastAsia="Times New Roman" w:hAnsi="Arial Narrow" w:cs="Calibri"/>
                <w:sz w:val="20"/>
                <w:szCs w:val="20"/>
                <w:lang w:val="en-AU" w:eastAsia="en-AU"/>
              </w:rPr>
            </w:pPr>
            <w:r w:rsidRPr="00C765C2">
              <w:rPr>
                <w:rFonts w:ascii="Arial Narrow" w:eastAsia="Times New Roman" w:hAnsi="Arial Narrow" w:cs="Calibri"/>
                <w:sz w:val="20"/>
                <w:szCs w:val="20"/>
                <w:lang w:val="en-AU" w:eastAsia="en-AU"/>
              </w:rPr>
              <w:t>3 (0.7)</w:t>
            </w:r>
          </w:p>
        </w:tc>
      </w:tr>
      <w:tr w:rsidR="008D40C6" w:rsidRPr="00C765C2" w14:paraId="3FB9078D"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1301FC13" w14:textId="77777777" w:rsidR="008D40C6" w:rsidRPr="00C765C2" w:rsidRDefault="008D40C6" w:rsidP="005E4D14">
            <w:pPr>
              <w:keepNext/>
              <w:keepLines/>
              <w:ind w:left="284"/>
              <w:jc w:val="left"/>
              <w:rPr>
                <w:rFonts w:ascii="Arial Narrow" w:hAnsi="Arial Narrow" w:cs="Calibri"/>
                <w:sz w:val="20"/>
                <w:szCs w:val="20"/>
                <w:lang w:val="en-AU"/>
              </w:rPr>
            </w:pPr>
            <w:proofErr w:type="spellStart"/>
            <w:r w:rsidRPr="00C765C2">
              <w:rPr>
                <w:rFonts w:ascii="Arial Narrow" w:hAnsi="Arial Narrow" w:cs="Calibri"/>
                <w:sz w:val="20"/>
                <w:szCs w:val="20"/>
                <w:lang w:val="en-AU"/>
              </w:rPr>
              <w:t>Hypophosphataemia</w:t>
            </w:r>
            <w:proofErr w:type="spellEnd"/>
            <w:r w:rsidRPr="00C765C2">
              <w:rPr>
                <w:rFonts w:ascii="Arial Narrow" w:hAnsi="Arial Narrow" w:cs="Calibri"/>
                <w:sz w:val="20"/>
                <w:szCs w:val="20"/>
                <w:lang w:val="en-AU"/>
              </w:rPr>
              <w:t xml:space="preserve"> </w:t>
            </w:r>
          </w:p>
        </w:tc>
        <w:tc>
          <w:tcPr>
            <w:tcW w:w="1657" w:type="dxa"/>
          </w:tcPr>
          <w:p w14:paraId="4E300E90"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9 (2.0)</w:t>
            </w:r>
          </w:p>
        </w:tc>
        <w:tc>
          <w:tcPr>
            <w:tcW w:w="1685" w:type="dxa"/>
          </w:tcPr>
          <w:p w14:paraId="24AB83DB"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4 (0.9)</w:t>
            </w:r>
          </w:p>
        </w:tc>
        <w:tc>
          <w:tcPr>
            <w:tcW w:w="1657" w:type="dxa"/>
          </w:tcPr>
          <w:p w14:paraId="62EE1E5B"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5 (1.2)</w:t>
            </w:r>
          </w:p>
        </w:tc>
        <w:tc>
          <w:tcPr>
            <w:tcW w:w="1685" w:type="dxa"/>
          </w:tcPr>
          <w:p w14:paraId="640F72EE"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4 (0.9)</w:t>
            </w:r>
          </w:p>
        </w:tc>
      </w:tr>
      <w:tr w:rsidR="008D40C6" w:rsidRPr="00C765C2" w14:paraId="56D2D1E4"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38638610"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Lipase increased </w:t>
            </w:r>
          </w:p>
        </w:tc>
        <w:tc>
          <w:tcPr>
            <w:tcW w:w="1657" w:type="dxa"/>
          </w:tcPr>
          <w:p w14:paraId="5D1AE57C"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9 (2.0)</w:t>
            </w:r>
          </w:p>
        </w:tc>
        <w:tc>
          <w:tcPr>
            <w:tcW w:w="1685" w:type="dxa"/>
          </w:tcPr>
          <w:p w14:paraId="6BE29F6F"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8 (1.8)</w:t>
            </w:r>
          </w:p>
        </w:tc>
        <w:tc>
          <w:tcPr>
            <w:tcW w:w="1657" w:type="dxa"/>
          </w:tcPr>
          <w:p w14:paraId="700B59E9"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1685" w:type="dxa"/>
          </w:tcPr>
          <w:p w14:paraId="7E8531C2"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0</w:t>
            </w:r>
          </w:p>
        </w:tc>
      </w:tr>
      <w:tr w:rsidR="008D40C6" w:rsidRPr="00C765C2" w14:paraId="31A30721"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70CAFFC0"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Haematuria </w:t>
            </w:r>
          </w:p>
        </w:tc>
        <w:tc>
          <w:tcPr>
            <w:tcW w:w="1657" w:type="dxa"/>
          </w:tcPr>
          <w:p w14:paraId="36C2667B"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7 (1.6)</w:t>
            </w:r>
          </w:p>
        </w:tc>
        <w:tc>
          <w:tcPr>
            <w:tcW w:w="1685" w:type="dxa"/>
          </w:tcPr>
          <w:p w14:paraId="5AE24EBB"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1657" w:type="dxa"/>
          </w:tcPr>
          <w:p w14:paraId="36F331CD"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10 (2.3)</w:t>
            </w:r>
          </w:p>
        </w:tc>
        <w:tc>
          <w:tcPr>
            <w:tcW w:w="1685" w:type="dxa"/>
          </w:tcPr>
          <w:p w14:paraId="2ACA6575"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4 (0.9)</w:t>
            </w:r>
          </w:p>
        </w:tc>
      </w:tr>
      <w:tr w:rsidR="008D40C6" w:rsidRPr="00C765C2" w14:paraId="52F912A9"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56555DB8"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Nausea </w:t>
            </w:r>
          </w:p>
        </w:tc>
        <w:tc>
          <w:tcPr>
            <w:tcW w:w="1657" w:type="dxa"/>
          </w:tcPr>
          <w:p w14:paraId="23F948CB"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7 (1.6)</w:t>
            </w:r>
          </w:p>
        </w:tc>
        <w:tc>
          <w:tcPr>
            <w:tcW w:w="1685" w:type="dxa"/>
          </w:tcPr>
          <w:p w14:paraId="2D6A4B45"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5 (1.1)</w:t>
            </w:r>
          </w:p>
        </w:tc>
        <w:tc>
          <w:tcPr>
            <w:tcW w:w="1657" w:type="dxa"/>
          </w:tcPr>
          <w:p w14:paraId="61D66065"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12 (2.8)</w:t>
            </w:r>
          </w:p>
        </w:tc>
        <w:tc>
          <w:tcPr>
            <w:tcW w:w="1685" w:type="dxa"/>
          </w:tcPr>
          <w:p w14:paraId="783CE3B8"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12 (2.8)</w:t>
            </w:r>
          </w:p>
        </w:tc>
      </w:tr>
      <w:tr w:rsidR="008D40C6" w:rsidRPr="00C765C2" w14:paraId="41A99B11"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384DD14F"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Febrile neutropenia </w:t>
            </w:r>
          </w:p>
        </w:tc>
        <w:tc>
          <w:tcPr>
            <w:tcW w:w="1657" w:type="dxa"/>
          </w:tcPr>
          <w:p w14:paraId="1C639D77"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4 (0.9)</w:t>
            </w:r>
          </w:p>
        </w:tc>
        <w:tc>
          <w:tcPr>
            <w:tcW w:w="1685" w:type="dxa"/>
          </w:tcPr>
          <w:p w14:paraId="349CA8EF"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4 (0.9)</w:t>
            </w:r>
          </w:p>
        </w:tc>
        <w:tc>
          <w:tcPr>
            <w:tcW w:w="1657" w:type="dxa"/>
          </w:tcPr>
          <w:p w14:paraId="7909B655"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14 (3.2)</w:t>
            </w:r>
          </w:p>
        </w:tc>
        <w:tc>
          <w:tcPr>
            <w:tcW w:w="1685" w:type="dxa"/>
          </w:tcPr>
          <w:p w14:paraId="04A4CF19"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13 (3.0)</w:t>
            </w:r>
          </w:p>
        </w:tc>
      </w:tr>
      <w:tr w:rsidR="008D40C6" w:rsidRPr="00C765C2" w14:paraId="13DA6498"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22AEC2BB"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Leukopenia </w:t>
            </w:r>
          </w:p>
        </w:tc>
        <w:tc>
          <w:tcPr>
            <w:tcW w:w="1657" w:type="dxa"/>
          </w:tcPr>
          <w:p w14:paraId="25713476"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4 (0.9)</w:t>
            </w:r>
          </w:p>
        </w:tc>
        <w:tc>
          <w:tcPr>
            <w:tcW w:w="1685" w:type="dxa"/>
          </w:tcPr>
          <w:p w14:paraId="02F65303"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3 (0.7)</w:t>
            </w:r>
          </w:p>
        </w:tc>
        <w:tc>
          <w:tcPr>
            <w:tcW w:w="1657" w:type="dxa"/>
          </w:tcPr>
          <w:p w14:paraId="3EDB39C9"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20 (4.6)</w:t>
            </w:r>
          </w:p>
        </w:tc>
        <w:tc>
          <w:tcPr>
            <w:tcW w:w="1685" w:type="dxa"/>
          </w:tcPr>
          <w:p w14:paraId="7B44A77D"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19 (4.4)</w:t>
            </w:r>
          </w:p>
        </w:tc>
      </w:tr>
      <w:tr w:rsidR="008D40C6" w:rsidRPr="00C765C2" w14:paraId="7FE75967"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3C51CA33"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Thrombocytopenia </w:t>
            </w:r>
          </w:p>
        </w:tc>
        <w:tc>
          <w:tcPr>
            <w:tcW w:w="1657" w:type="dxa"/>
          </w:tcPr>
          <w:p w14:paraId="28C6DC19"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4 (0.9)</w:t>
            </w:r>
          </w:p>
        </w:tc>
        <w:tc>
          <w:tcPr>
            <w:tcW w:w="1685" w:type="dxa"/>
          </w:tcPr>
          <w:p w14:paraId="6FF66F30"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2 (0.5)</w:t>
            </w:r>
          </w:p>
        </w:tc>
        <w:tc>
          <w:tcPr>
            <w:tcW w:w="1657" w:type="dxa"/>
          </w:tcPr>
          <w:p w14:paraId="5C1488E9"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87 (20.1)</w:t>
            </w:r>
          </w:p>
        </w:tc>
        <w:tc>
          <w:tcPr>
            <w:tcW w:w="1685" w:type="dxa"/>
          </w:tcPr>
          <w:p w14:paraId="1AD531E2"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84 (19.4)</w:t>
            </w:r>
          </w:p>
        </w:tc>
      </w:tr>
      <w:tr w:rsidR="008D40C6" w:rsidRPr="00C765C2" w14:paraId="1330916A" w14:textId="77777777" w:rsidTr="005E4D14">
        <w:trPr>
          <w:cnfStyle w:val="000000010000" w:firstRow="0" w:lastRow="0" w:firstColumn="0" w:lastColumn="0" w:oddVBand="0" w:evenVBand="0" w:oddHBand="0" w:evenHBand="1" w:firstRowFirstColumn="0" w:firstRowLastColumn="0" w:lastRowFirstColumn="0" w:lastRowLastColumn="0"/>
        </w:trPr>
        <w:tc>
          <w:tcPr>
            <w:tcW w:w="2333" w:type="dxa"/>
          </w:tcPr>
          <w:p w14:paraId="695DCE5C"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 xml:space="preserve">White blood cell count decreased </w:t>
            </w:r>
          </w:p>
        </w:tc>
        <w:tc>
          <w:tcPr>
            <w:tcW w:w="1657" w:type="dxa"/>
          </w:tcPr>
          <w:p w14:paraId="4EC288B2"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 xml:space="preserve">1 (0.2) </w:t>
            </w:r>
          </w:p>
        </w:tc>
        <w:tc>
          <w:tcPr>
            <w:tcW w:w="1685" w:type="dxa"/>
          </w:tcPr>
          <w:p w14:paraId="1802F660"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 (0.2)</w:t>
            </w:r>
          </w:p>
        </w:tc>
        <w:tc>
          <w:tcPr>
            <w:tcW w:w="1657" w:type="dxa"/>
          </w:tcPr>
          <w:p w14:paraId="44B26EF5"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13 (3.0)</w:t>
            </w:r>
          </w:p>
        </w:tc>
        <w:tc>
          <w:tcPr>
            <w:tcW w:w="1685" w:type="dxa"/>
          </w:tcPr>
          <w:p w14:paraId="0C577BAF"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13 (3.0)</w:t>
            </w:r>
          </w:p>
        </w:tc>
      </w:tr>
      <w:tr w:rsidR="008D40C6" w:rsidRPr="00C765C2" w14:paraId="339B3F95" w14:textId="77777777" w:rsidTr="005E4D14">
        <w:trPr>
          <w:cnfStyle w:val="000000100000" w:firstRow="0" w:lastRow="0" w:firstColumn="0" w:lastColumn="0" w:oddVBand="0" w:evenVBand="0" w:oddHBand="1" w:evenHBand="0" w:firstRowFirstColumn="0" w:firstRowLastColumn="0" w:lastRowFirstColumn="0" w:lastRowLastColumn="0"/>
        </w:trPr>
        <w:tc>
          <w:tcPr>
            <w:tcW w:w="2333" w:type="dxa"/>
          </w:tcPr>
          <w:p w14:paraId="494742C2" w14:textId="77777777" w:rsidR="008D40C6" w:rsidRPr="00C765C2" w:rsidRDefault="008D40C6" w:rsidP="005E4D14">
            <w:pPr>
              <w:keepNext/>
              <w:keepLines/>
              <w:ind w:left="284"/>
              <w:jc w:val="left"/>
              <w:rPr>
                <w:rFonts w:ascii="Arial Narrow" w:hAnsi="Arial Narrow" w:cs="Calibri"/>
                <w:sz w:val="20"/>
                <w:szCs w:val="20"/>
                <w:lang w:val="en-AU"/>
              </w:rPr>
            </w:pPr>
            <w:r w:rsidRPr="00C765C2">
              <w:rPr>
                <w:rFonts w:ascii="Arial Narrow" w:hAnsi="Arial Narrow" w:cs="Calibri"/>
                <w:sz w:val="20"/>
                <w:szCs w:val="20"/>
                <w:lang w:val="en-AU"/>
              </w:rPr>
              <w:t>Platelet count decreased</w:t>
            </w:r>
          </w:p>
        </w:tc>
        <w:tc>
          <w:tcPr>
            <w:tcW w:w="1657" w:type="dxa"/>
          </w:tcPr>
          <w:p w14:paraId="4DD8EF9B"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1685" w:type="dxa"/>
          </w:tcPr>
          <w:p w14:paraId="166CF310"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0</w:t>
            </w:r>
          </w:p>
        </w:tc>
        <w:tc>
          <w:tcPr>
            <w:tcW w:w="1657" w:type="dxa"/>
          </w:tcPr>
          <w:p w14:paraId="6CB579E9"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29 (6.7)</w:t>
            </w:r>
          </w:p>
        </w:tc>
        <w:tc>
          <w:tcPr>
            <w:tcW w:w="1685" w:type="dxa"/>
          </w:tcPr>
          <w:p w14:paraId="0912DC54" w14:textId="77777777" w:rsidR="008D40C6" w:rsidRPr="00C765C2" w:rsidRDefault="008D40C6" w:rsidP="005E4D14">
            <w:pPr>
              <w:jc w:val="center"/>
              <w:rPr>
                <w:rFonts w:ascii="Arial Narrow" w:hAnsi="Arial Narrow" w:cs="Calibri"/>
                <w:sz w:val="20"/>
                <w:szCs w:val="20"/>
                <w:lang w:val="en-AU"/>
              </w:rPr>
            </w:pPr>
            <w:r w:rsidRPr="00C765C2">
              <w:rPr>
                <w:rFonts w:ascii="Arial Narrow" w:hAnsi="Arial Narrow" w:cs="Calibri"/>
                <w:sz w:val="20"/>
                <w:szCs w:val="20"/>
                <w:lang w:val="en-AU"/>
              </w:rPr>
              <w:t>28 (6.5)</w:t>
            </w:r>
          </w:p>
        </w:tc>
      </w:tr>
    </w:tbl>
    <w:p w14:paraId="65E31264" w14:textId="77777777" w:rsidR="008D40C6" w:rsidRDefault="008D40C6" w:rsidP="008D40C6">
      <w:pPr>
        <w:pStyle w:val="TableFigureFooter"/>
      </w:pPr>
      <w:r>
        <w:t>Source: Table 2-19, p78 of the submission.</w:t>
      </w:r>
    </w:p>
    <w:p w14:paraId="28E5D384" w14:textId="6769C56A" w:rsidR="008D40C6" w:rsidRDefault="008D40C6" w:rsidP="008D40C6">
      <w:pPr>
        <w:rPr>
          <w:rFonts w:ascii="Arial Narrow" w:hAnsi="Arial Narrow"/>
          <w:sz w:val="18"/>
          <w:szCs w:val="18"/>
        </w:rPr>
      </w:pPr>
      <w:proofErr w:type="spellStart"/>
      <w:r w:rsidRPr="00C765C2">
        <w:rPr>
          <w:rFonts w:ascii="Arial Narrow" w:hAnsi="Arial Narrow"/>
          <w:sz w:val="18"/>
          <w:szCs w:val="18"/>
        </w:rPr>
        <w:t>EV+Pem</w:t>
      </w:r>
      <w:proofErr w:type="spellEnd"/>
      <w:r w:rsidRPr="00C765C2">
        <w:rPr>
          <w:rFonts w:ascii="Arial Narrow" w:hAnsi="Arial Narrow"/>
          <w:sz w:val="18"/>
          <w:szCs w:val="18"/>
        </w:rPr>
        <w:t xml:space="preserve"> = enfortumab vedotin with pembrolizumab; n = number of participants reporting data; N = total participants in group; NCI CTCAE = National Cancer Institute common terminology criteria for adverse events; </w:t>
      </w:r>
      <w:proofErr w:type="spellStart"/>
      <w:r w:rsidRPr="00C765C2">
        <w:rPr>
          <w:rFonts w:ascii="Arial Narrow" w:hAnsi="Arial Narrow"/>
          <w:sz w:val="18"/>
          <w:szCs w:val="18"/>
        </w:rPr>
        <w:t>Plat+Gem</w:t>
      </w:r>
      <w:proofErr w:type="spellEnd"/>
      <w:r w:rsidRPr="00C765C2">
        <w:rPr>
          <w:rFonts w:ascii="Arial Narrow" w:hAnsi="Arial Narrow"/>
          <w:sz w:val="18"/>
          <w:szCs w:val="18"/>
        </w:rPr>
        <w:t xml:space="preserve"> = platinum containing chemotherapy with gemcitabine; SAS = safety analysis set; TEAE = treatment-emergent adverse event.</w:t>
      </w:r>
    </w:p>
    <w:p w14:paraId="13F0444D" w14:textId="47C96A92" w:rsidR="008D40C6" w:rsidRPr="0098262F" w:rsidRDefault="008D40C6" w:rsidP="008D40C6">
      <w:pPr>
        <w:pStyle w:val="3-BodyText"/>
      </w:pPr>
      <w:r>
        <w:fldChar w:fldCharType="begin" w:fldLock="1"/>
      </w:r>
      <w:r>
        <w:instrText xml:space="preserve"> REF _Ref174371894 \h </w:instrText>
      </w:r>
      <w:r>
        <w:fldChar w:fldCharType="separate"/>
      </w:r>
      <w:r w:rsidR="00FE0BD6">
        <w:t xml:space="preserve">Table </w:t>
      </w:r>
      <w:r w:rsidR="00FE0BD6">
        <w:rPr>
          <w:noProof/>
        </w:rPr>
        <w:t>7</w:t>
      </w:r>
      <w:r>
        <w:fldChar w:fldCharType="end"/>
      </w:r>
      <w:r>
        <w:t xml:space="preserve"> displays the frequency of Grade ≥3 TEAEs. </w:t>
      </w:r>
      <w:r w:rsidRPr="00C11145">
        <w:t xml:space="preserve">These data show that each treatment has a different safety profile. The </w:t>
      </w:r>
      <w:proofErr w:type="spellStart"/>
      <w:r w:rsidRPr="00C11145">
        <w:t>Plat+Gem</w:t>
      </w:r>
      <w:proofErr w:type="spellEnd"/>
      <w:r w:rsidRPr="00C11145">
        <w:t xml:space="preserve"> arm had 3 AEs that were widely reported, anaemia (34.2%), neutropenia (30%), and thrombocytopenia (20.1%). This contrasts with the EV+PEM arm where no singular AE was reported in more than 10% of patients, but a broader range were reported more commonly than in </w:t>
      </w:r>
      <w:proofErr w:type="spellStart"/>
      <w:r w:rsidRPr="00C11145">
        <w:t>Plat+Gem</w:t>
      </w:r>
      <w:proofErr w:type="spellEnd"/>
      <w:r w:rsidRPr="00C11145">
        <w:t>, the</w:t>
      </w:r>
      <w:r>
        <w:t xml:space="preserve"> most common of which were maculo-papular rash (8.2%), hyperglycaemia (7.3%), and anaemia (7.0%).</w:t>
      </w:r>
      <w:r w:rsidR="004B6A14">
        <w:t xml:space="preserve"> </w:t>
      </w:r>
      <w:r w:rsidR="004B6A14" w:rsidRPr="005D3209">
        <w:t xml:space="preserve">The ESC considered the types of </w:t>
      </w:r>
      <w:r w:rsidR="00956943" w:rsidRPr="005D3209">
        <w:t xml:space="preserve">Grade ≥3 </w:t>
      </w:r>
      <w:r w:rsidR="004B6A14" w:rsidRPr="005D3209">
        <w:t xml:space="preserve">AEs experienced by patients receiving EV+PEM were </w:t>
      </w:r>
      <w:r w:rsidR="00591CBD" w:rsidRPr="005D3209">
        <w:t xml:space="preserve">more </w:t>
      </w:r>
      <w:r w:rsidR="004B6A14" w:rsidRPr="005D3209">
        <w:t xml:space="preserve">likely to </w:t>
      </w:r>
      <w:r w:rsidR="00591CBD" w:rsidRPr="005D3209">
        <w:t xml:space="preserve">impact on a patient’s quality of life </w:t>
      </w:r>
      <w:r w:rsidR="004B6A14" w:rsidRPr="005D3209">
        <w:lastRenderedPageBreak/>
        <w:t>(e.g., rash, peripheral neuropathy) and t</w:t>
      </w:r>
      <w:r w:rsidR="00956943" w:rsidRPr="005D3209">
        <w:t xml:space="preserve">hose </w:t>
      </w:r>
      <w:r w:rsidR="004B6A14" w:rsidRPr="005D3209">
        <w:t xml:space="preserve">experienced by patients receiving </w:t>
      </w:r>
      <w:proofErr w:type="spellStart"/>
      <w:r w:rsidR="004B6A14" w:rsidRPr="005D3209">
        <w:t>Plat+Gem</w:t>
      </w:r>
      <w:proofErr w:type="spellEnd"/>
      <w:r w:rsidR="004B6A14" w:rsidRPr="005D3209">
        <w:t xml:space="preserve"> were likely to </w:t>
      </w:r>
      <w:r w:rsidR="00EA1865" w:rsidRPr="005D3209">
        <w:t xml:space="preserve">be </w:t>
      </w:r>
      <w:r w:rsidR="004B6A14" w:rsidRPr="005D3209">
        <w:t>transient and manageable (e.g., anaemia, neutropenia).</w:t>
      </w:r>
      <w:r w:rsidR="004B6A14">
        <w:rPr>
          <w:i/>
          <w:iCs/>
        </w:rPr>
        <w:t xml:space="preserve"> </w:t>
      </w:r>
    </w:p>
    <w:p w14:paraId="0378ED2E" w14:textId="77777777" w:rsidR="008D40C6" w:rsidRPr="00C40690" w:rsidRDefault="008D40C6" w:rsidP="008D40C6">
      <w:pPr>
        <w:pStyle w:val="4-SubsectionHeading"/>
      </w:pPr>
      <w:bookmarkStart w:id="33" w:name="_Toc177481908"/>
      <w:r w:rsidRPr="0098262F">
        <w:t>Benefits/harms</w:t>
      </w:r>
      <w:bookmarkEnd w:id="33"/>
    </w:p>
    <w:p w14:paraId="512FC1D2" w14:textId="554069F4" w:rsidR="008D40C6" w:rsidRPr="0098262F" w:rsidRDefault="008D40C6" w:rsidP="008D40C6">
      <w:pPr>
        <w:pStyle w:val="3-BodyText"/>
        <w:rPr>
          <w:rStyle w:val="CommentReference"/>
          <w:color w:val="0066FF"/>
        </w:rPr>
      </w:pPr>
      <w:r w:rsidRPr="0098262F">
        <w:t xml:space="preserve">A summary of the comparative benefits and harms for </w:t>
      </w:r>
      <w:r>
        <w:t>EV+PEM</w:t>
      </w:r>
      <w:r w:rsidRPr="0098262F">
        <w:t xml:space="preserve"> versus </w:t>
      </w:r>
      <w:proofErr w:type="spellStart"/>
      <w:r>
        <w:t>Plat+Gem</w:t>
      </w:r>
      <w:proofErr w:type="spellEnd"/>
      <w:r w:rsidRPr="0098262F">
        <w:t xml:space="preserve"> is presented in </w:t>
      </w:r>
      <w:r w:rsidRPr="0098262F">
        <w:fldChar w:fldCharType="begin" w:fldLock="1"/>
      </w:r>
      <w:r w:rsidRPr="0098262F">
        <w:instrText xml:space="preserve"> REF _Ref104805037 \h </w:instrText>
      </w:r>
      <w:r w:rsidRPr="0098262F">
        <w:fldChar w:fldCharType="separate"/>
      </w:r>
      <w:r w:rsidR="00FE0BD6" w:rsidRPr="0098262F">
        <w:t xml:space="preserve">Table </w:t>
      </w:r>
      <w:r w:rsidR="00FE0BD6">
        <w:rPr>
          <w:noProof/>
        </w:rPr>
        <w:t>8</w:t>
      </w:r>
      <w:r w:rsidRPr="0098262F">
        <w:fldChar w:fldCharType="end"/>
      </w:r>
      <w:r w:rsidRPr="0098262F">
        <w:t>.</w:t>
      </w:r>
      <w:r>
        <w:t xml:space="preserve"> </w:t>
      </w:r>
    </w:p>
    <w:p w14:paraId="302B7366" w14:textId="3BC52088" w:rsidR="008D40C6" w:rsidRPr="0098262F" w:rsidRDefault="008D40C6" w:rsidP="008D40C6">
      <w:pPr>
        <w:pStyle w:val="Caption"/>
        <w:rPr>
          <w:rStyle w:val="CommentReference"/>
          <w:b/>
          <w:szCs w:val="24"/>
        </w:rPr>
      </w:pPr>
      <w:bookmarkStart w:id="34" w:name="_Ref104805037"/>
      <w:r w:rsidRPr="0098262F">
        <w:t xml:space="preserve">Table </w:t>
      </w:r>
      <w:r>
        <w:fldChar w:fldCharType="begin" w:fldLock="1"/>
      </w:r>
      <w:r>
        <w:instrText xml:space="preserve"> SEQ Table \* ARABIC </w:instrText>
      </w:r>
      <w:r>
        <w:fldChar w:fldCharType="separate"/>
      </w:r>
      <w:r w:rsidR="00FE0BD6">
        <w:rPr>
          <w:noProof/>
        </w:rPr>
        <w:t>8</w:t>
      </w:r>
      <w:r>
        <w:rPr>
          <w:noProof/>
        </w:rPr>
        <w:fldChar w:fldCharType="end"/>
      </w:r>
      <w:bookmarkEnd w:id="34"/>
      <w:r w:rsidRPr="0098262F">
        <w:t xml:space="preserve">: </w:t>
      </w:r>
      <w:r w:rsidRPr="0098262F">
        <w:rPr>
          <w:rStyle w:val="CommentReference"/>
          <w:b/>
          <w:szCs w:val="24"/>
        </w:rPr>
        <w:t xml:space="preserve">Summary of comparative benefits and harms for </w:t>
      </w:r>
      <w:r>
        <w:rPr>
          <w:rStyle w:val="CommentReference"/>
          <w:b/>
          <w:szCs w:val="24"/>
        </w:rPr>
        <w:t xml:space="preserve">EV+PEM versus </w:t>
      </w:r>
      <w:proofErr w:type="spellStart"/>
      <w:r>
        <w:rPr>
          <w:rStyle w:val="CommentReference"/>
          <w:b/>
          <w:szCs w:val="24"/>
        </w:rPr>
        <w:t>Plat+Gem</w:t>
      </w:r>
      <w:proofErr w:type="spellEnd"/>
    </w:p>
    <w:tbl>
      <w:tblPr>
        <w:tblStyle w:val="TableGrid"/>
        <w:tblW w:w="5000" w:type="pct"/>
        <w:tblLayout w:type="fixed"/>
        <w:tblCellMar>
          <w:left w:w="28" w:type="dxa"/>
          <w:right w:w="28" w:type="dxa"/>
        </w:tblCellMar>
        <w:tblLook w:val="04A0" w:firstRow="1" w:lastRow="0" w:firstColumn="1" w:lastColumn="0" w:noHBand="0" w:noVBand="1"/>
      </w:tblPr>
      <w:tblGrid>
        <w:gridCol w:w="2973"/>
        <w:gridCol w:w="1417"/>
        <w:gridCol w:w="1275"/>
        <w:gridCol w:w="1767"/>
        <w:gridCol w:w="1585"/>
      </w:tblGrid>
      <w:tr w:rsidR="008D40C6" w:rsidRPr="0098262F" w14:paraId="5546BE8D" w14:textId="77777777" w:rsidTr="005E4D14">
        <w:trPr>
          <w:trHeight w:val="20"/>
        </w:trPr>
        <w:tc>
          <w:tcPr>
            <w:tcW w:w="5000" w:type="pct"/>
            <w:gridSpan w:val="5"/>
            <w:shd w:val="clear" w:color="auto" w:fill="auto"/>
          </w:tcPr>
          <w:p w14:paraId="0DF6EF4B" w14:textId="77777777" w:rsidR="008D40C6" w:rsidRPr="0098262F" w:rsidRDefault="008D40C6" w:rsidP="005E4D14">
            <w:pPr>
              <w:pStyle w:val="In-tableHeading"/>
            </w:pPr>
            <w:r w:rsidRPr="0098262F">
              <w:t xml:space="preserve">Progression free survival </w:t>
            </w:r>
            <w:r>
              <w:t xml:space="preserve">by BICR </w:t>
            </w:r>
            <w:r w:rsidRPr="0098262F">
              <w:t xml:space="preserve">(median duration of follow up </w:t>
            </w:r>
            <w:r>
              <w:t xml:space="preserve">17.2 </w:t>
            </w:r>
            <w:r w:rsidRPr="0098262F">
              <w:t>months)</w:t>
            </w:r>
          </w:p>
        </w:tc>
      </w:tr>
      <w:tr w:rsidR="008D40C6" w:rsidRPr="0098262F" w14:paraId="5B8E148B" w14:textId="77777777" w:rsidTr="00BF054D">
        <w:trPr>
          <w:trHeight w:val="20"/>
        </w:trPr>
        <w:tc>
          <w:tcPr>
            <w:tcW w:w="1648" w:type="pct"/>
            <w:tcBorders>
              <w:bottom w:val="single" w:sz="4" w:space="0" w:color="auto"/>
            </w:tcBorders>
            <w:shd w:val="clear" w:color="auto" w:fill="auto"/>
          </w:tcPr>
          <w:p w14:paraId="16090ACE" w14:textId="77777777" w:rsidR="008D40C6" w:rsidRPr="0098262F" w:rsidRDefault="008D40C6" w:rsidP="005E4D14">
            <w:pPr>
              <w:pStyle w:val="In-tableHeading"/>
            </w:pPr>
            <w:r w:rsidRPr="0098262F">
              <w:t>Event</w:t>
            </w:r>
          </w:p>
        </w:tc>
        <w:tc>
          <w:tcPr>
            <w:tcW w:w="786" w:type="pct"/>
            <w:tcBorders>
              <w:bottom w:val="single" w:sz="4" w:space="0" w:color="auto"/>
            </w:tcBorders>
            <w:shd w:val="clear" w:color="auto" w:fill="auto"/>
          </w:tcPr>
          <w:p w14:paraId="73F043AB" w14:textId="77777777" w:rsidR="008D40C6" w:rsidRPr="0098262F" w:rsidRDefault="008D40C6" w:rsidP="005E4D14">
            <w:pPr>
              <w:pStyle w:val="In-tableHeading"/>
              <w:jc w:val="center"/>
            </w:pPr>
            <w:r>
              <w:t>EV+PEM</w:t>
            </w:r>
          </w:p>
        </w:tc>
        <w:tc>
          <w:tcPr>
            <w:tcW w:w="707" w:type="pct"/>
            <w:tcBorders>
              <w:bottom w:val="single" w:sz="4" w:space="0" w:color="auto"/>
            </w:tcBorders>
            <w:shd w:val="clear" w:color="auto" w:fill="auto"/>
          </w:tcPr>
          <w:p w14:paraId="6360F839" w14:textId="77777777" w:rsidR="008D40C6" w:rsidRPr="0098262F" w:rsidRDefault="008D40C6" w:rsidP="005E4D14">
            <w:pPr>
              <w:pStyle w:val="In-tableHeading"/>
              <w:jc w:val="center"/>
            </w:pPr>
            <w:proofErr w:type="spellStart"/>
            <w:r>
              <w:t>Plat+Gem</w:t>
            </w:r>
            <w:proofErr w:type="spellEnd"/>
          </w:p>
        </w:tc>
        <w:tc>
          <w:tcPr>
            <w:tcW w:w="980" w:type="pct"/>
            <w:tcBorders>
              <w:bottom w:val="single" w:sz="4" w:space="0" w:color="auto"/>
            </w:tcBorders>
            <w:shd w:val="clear" w:color="auto" w:fill="auto"/>
          </w:tcPr>
          <w:p w14:paraId="1A1F7B5A" w14:textId="77777777" w:rsidR="008D40C6" w:rsidRPr="0098262F" w:rsidRDefault="008D40C6" w:rsidP="005E4D14">
            <w:pPr>
              <w:pStyle w:val="In-tableHeading"/>
              <w:jc w:val="center"/>
              <w:rPr>
                <w:rFonts w:asciiTheme="minorHAnsi" w:hAnsiTheme="minorHAnsi"/>
              </w:rPr>
            </w:pPr>
            <w:r w:rsidRPr="0098262F">
              <w:t>Absolute Difference</w:t>
            </w:r>
          </w:p>
        </w:tc>
        <w:tc>
          <w:tcPr>
            <w:tcW w:w="879" w:type="pct"/>
            <w:tcBorders>
              <w:bottom w:val="single" w:sz="4" w:space="0" w:color="auto"/>
            </w:tcBorders>
            <w:shd w:val="clear" w:color="auto" w:fill="auto"/>
          </w:tcPr>
          <w:p w14:paraId="44CBDA9A" w14:textId="77777777" w:rsidR="008D40C6" w:rsidRPr="0098262F" w:rsidRDefault="008D40C6" w:rsidP="005E4D14">
            <w:pPr>
              <w:pStyle w:val="In-tableHeading"/>
              <w:jc w:val="center"/>
            </w:pPr>
            <w:r w:rsidRPr="0098262F">
              <w:t>HR (95% CI)</w:t>
            </w:r>
          </w:p>
        </w:tc>
      </w:tr>
      <w:tr w:rsidR="008D40C6" w:rsidRPr="0098262F" w14:paraId="2B182BE9" w14:textId="77777777" w:rsidTr="00BF054D">
        <w:trPr>
          <w:trHeight w:val="20"/>
        </w:trPr>
        <w:tc>
          <w:tcPr>
            <w:tcW w:w="1648" w:type="pct"/>
            <w:tcBorders>
              <w:bottom w:val="single" w:sz="4" w:space="0" w:color="auto"/>
              <w:right w:val="single" w:sz="4" w:space="0" w:color="auto"/>
            </w:tcBorders>
            <w:shd w:val="clear" w:color="auto" w:fill="auto"/>
          </w:tcPr>
          <w:p w14:paraId="74B70716" w14:textId="77777777" w:rsidR="008D40C6" w:rsidRPr="0098262F" w:rsidRDefault="008D40C6" w:rsidP="005E4D14">
            <w:pPr>
              <w:pStyle w:val="TableText0"/>
            </w:pPr>
            <w:r w:rsidRPr="0098262F">
              <w:t>Progressed, n (%)</w:t>
            </w:r>
          </w:p>
        </w:tc>
        <w:tc>
          <w:tcPr>
            <w:tcW w:w="786" w:type="pct"/>
            <w:tcBorders>
              <w:left w:val="single" w:sz="4" w:space="0" w:color="auto"/>
              <w:bottom w:val="single" w:sz="4" w:space="0" w:color="auto"/>
              <w:right w:val="single" w:sz="4" w:space="0" w:color="auto"/>
            </w:tcBorders>
            <w:shd w:val="clear" w:color="auto" w:fill="auto"/>
          </w:tcPr>
          <w:p w14:paraId="2C97DB18" w14:textId="77777777" w:rsidR="008D40C6" w:rsidRPr="0098262F" w:rsidRDefault="008D40C6" w:rsidP="005E4D14">
            <w:pPr>
              <w:pStyle w:val="TableText0"/>
              <w:jc w:val="center"/>
            </w:pPr>
            <w:r>
              <w:t xml:space="preserve">223/442 </w:t>
            </w:r>
            <w:r w:rsidRPr="0098262F">
              <w:t>(</w:t>
            </w:r>
            <w:r>
              <w:t>50.5</w:t>
            </w:r>
            <w:r w:rsidRPr="0098262F">
              <w:t>%)</w:t>
            </w:r>
          </w:p>
        </w:tc>
        <w:tc>
          <w:tcPr>
            <w:tcW w:w="707" w:type="pct"/>
            <w:tcBorders>
              <w:left w:val="single" w:sz="4" w:space="0" w:color="auto"/>
              <w:bottom w:val="single" w:sz="4" w:space="0" w:color="auto"/>
              <w:right w:val="single" w:sz="4" w:space="0" w:color="auto"/>
            </w:tcBorders>
            <w:shd w:val="clear" w:color="auto" w:fill="auto"/>
          </w:tcPr>
          <w:p w14:paraId="58BCE42F" w14:textId="77777777" w:rsidR="008D40C6" w:rsidRPr="0098262F" w:rsidRDefault="008D40C6" w:rsidP="005E4D14">
            <w:pPr>
              <w:pStyle w:val="TableText0"/>
              <w:jc w:val="center"/>
            </w:pPr>
            <w:r>
              <w:t>307/444</w:t>
            </w:r>
            <w:r w:rsidRPr="0098262F">
              <w:t xml:space="preserve"> (</w:t>
            </w:r>
            <w:r>
              <w:t>69.1</w:t>
            </w:r>
            <w:r w:rsidRPr="0098262F">
              <w:t>%)</w:t>
            </w:r>
          </w:p>
        </w:tc>
        <w:tc>
          <w:tcPr>
            <w:tcW w:w="980" w:type="pct"/>
            <w:tcBorders>
              <w:left w:val="single" w:sz="4" w:space="0" w:color="auto"/>
              <w:bottom w:val="single" w:sz="4" w:space="0" w:color="auto"/>
              <w:right w:val="single" w:sz="4" w:space="0" w:color="auto"/>
            </w:tcBorders>
            <w:shd w:val="clear" w:color="auto" w:fill="auto"/>
          </w:tcPr>
          <w:p w14:paraId="618ACF51" w14:textId="77777777" w:rsidR="008D40C6" w:rsidRPr="0098262F" w:rsidRDefault="008D40C6" w:rsidP="005E4D14">
            <w:pPr>
              <w:pStyle w:val="TableText0"/>
              <w:jc w:val="center"/>
            </w:pPr>
            <w:r>
              <w:t>-</w:t>
            </w:r>
          </w:p>
        </w:tc>
        <w:tc>
          <w:tcPr>
            <w:tcW w:w="879" w:type="pct"/>
            <w:tcBorders>
              <w:left w:val="single" w:sz="4" w:space="0" w:color="auto"/>
              <w:bottom w:val="nil"/>
            </w:tcBorders>
            <w:shd w:val="clear" w:color="auto" w:fill="auto"/>
          </w:tcPr>
          <w:p w14:paraId="25403403" w14:textId="373992A9" w:rsidR="008D40C6" w:rsidRPr="00E430BD" w:rsidRDefault="008D40C6" w:rsidP="005E4D14">
            <w:pPr>
              <w:pStyle w:val="TableText0"/>
              <w:jc w:val="center"/>
              <w:rPr>
                <w:b/>
                <w:bCs w:val="0"/>
              </w:rPr>
            </w:pPr>
            <w:r w:rsidRPr="00E430BD">
              <w:rPr>
                <w:b/>
                <w:bCs w:val="0"/>
              </w:rPr>
              <w:t>0.45 (0.38, 0.5</w:t>
            </w:r>
            <w:r w:rsidR="00C22F93">
              <w:rPr>
                <w:b/>
                <w:bCs w:val="0"/>
              </w:rPr>
              <w:t>4</w:t>
            </w:r>
            <w:r w:rsidRPr="00E430BD">
              <w:rPr>
                <w:b/>
                <w:bCs w:val="0"/>
              </w:rPr>
              <w:t>)</w:t>
            </w:r>
          </w:p>
        </w:tc>
      </w:tr>
      <w:tr w:rsidR="008D40C6" w:rsidRPr="0098262F" w14:paraId="6628E523" w14:textId="77777777" w:rsidTr="00BF054D">
        <w:trPr>
          <w:trHeight w:val="20"/>
        </w:trPr>
        <w:tc>
          <w:tcPr>
            <w:tcW w:w="1648" w:type="pct"/>
            <w:tcBorders>
              <w:bottom w:val="single" w:sz="4" w:space="0" w:color="auto"/>
              <w:right w:val="single" w:sz="4" w:space="0" w:color="auto"/>
            </w:tcBorders>
            <w:shd w:val="clear" w:color="auto" w:fill="auto"/>
            <w:vAlign w:val="center"/>
          </w:tcPr>
          <w:p w14:paraId="595954CC" w14:textId="77777777" w:rsidR="008D40C6" w:rsidRPr="0098262F" w:rsidRDefault="008D40C6" w:rsidP="005E4D14">
            <w:pPr>
              <w:pStyle w:val="TableText0"/>
            </w:pPr>
            <w:r w:rsidRPr="0098262F">
              <w:t>Median PFS</w:t>
            </w:r>
            <w:r>
              <w:t>,</w:t>
            </w:r>
            <w:r w:rsidRPr="0098262F">
              <w:t xml:space="preserve"> months (95% CI)</w:t>
            </w:r>
          </w:p>
        </w:tc>
        <w:tc>
          <w:tcPr>
            <w:tcW w:w="786" w:type="pct"/>
            <w:tcBorders>
              <w:left w:val="single" w:sz="4" w:space="0" w:color="auto"/>
              <w:bottom w:val="single" w:sz="4" w:space="0" w:color="auto"/>
              <w:right w:val="single" w:sz="4" w:space="0" w:color="auto"/>
            </w:tcBorders>
            <w:shd w:val="clear" w:color="auto" w:fill="auto"/>
            <w:vAlign w:val="center"/>
          </w:tcPr>
          <w:p w14:paraId="5316F711" w14:textId="77777777" w:rsidR="008D40C6" w:rsidRPr="0098262F" w:rsidRDefault="008D40C6" w:rsidP="005E4D14">
            <w:pPr>
              <w:pStyle w:val="TableText0"/>
              <w:jc w:val="center"/>
            </w:pPr>
            <w:r>
              <w:t>12.5 (10.4, 16.6)</w:t>
            </w:r>
          </w:p>
        </w:tc>
        <w:tc>
          <w:tcPr>
            <w:tcW w:w="707" w:type="pct"/>
            <w:tcBorders>
              <w:left w:val="single" w:sz="4" w:space="0" w:color="auto"/>
              <w:bottom w:val="single" w:sz="4" w:space="0" w:color="auto"/>
              <w:right w:val="single" w:sz="4" w:space="0" w:color="auto"/>
            </w:tcBorders>
            <w:shd w:val="clear" w:color="auto" w:fill="auto"/>
            <w:vAlign w:val="center"/>
          </w:tcPr>
          <w:p w14:paraId="331122AA" w14:textId="77777777" w:rsidR="008D40C6" w:rsidRPr="0098262F" w:rsidRDefault="008D40C6" w:rsidP="005E4D14">
            <w:pPr>
              <w:pStyle w:val="TableText0"/>
              <w:jc w:val="center"/>
            </w:pPr>
            <w:r>
              <w:t>6.3 (6.2, 6.5)</w:t>
            </w:r>
          </w:p>
        </w:tc>
        <w:tc>
          <w:tcPr>
            <w:tcW w:w="980" w:type="pct"/>
            <w:tcBorders>
              <w:left w:val="single" w:sz="4" w:space="0" w:color="auto"/>
              <w:bottom w:val="single" w:sz="4" w:space="0" w:color="auto"/>
              <w:right w:val="single" w:sz="4" w:space="0" w:color="auto"/>
            </w:tcBorders>
            <w:shd w:val="clear" w:color="auto" w:fill="auto"/>
            <w:vAlign w:val="center"/>
          </w:tcPr>
          <w:p w14:paraId="336BA548" w14:textId="77777777" w:rsidR="008D40C6" w:rsidRPr="0098262F" w:rsidRDefault="008D40C6" w:rsidP="005E4D14">
            <w:pPr>
              <w:pStyle w:val="TableText0"/>
              <w:jc w:val="center"/>
            </w:pPr>
            <w:r>
              <w:t>6.2</w:t>
            </w:r>
          </w:p>
        </w:tc>
        <w:tc>
          <w:tcPr>
            <w:tcW w:w="879" w:type="pct"/>
            <w:tcBorders>
              <w:top w:val="nil"/>
              <w:left w:val="single" w:sz="4" w:space="0" w:color="auto"/>
              <w:bottom w:val="nil"/>
            </w:tcBorders>
            <w:shd w:val="clear" w:color="auto" w:fill="auto"/>
          </w:tcPr>
          <w:p w14:paraId="43B0869C" w14:textId="77777777" w:rsidR="008D40C6" w:rsidRPr="0098262F" w:rsidRDefault="008D40C6" w:rsidP="005E4D14">
            <w:pPr>
              <w:pStyle w:val="TableText0"/>
              <w:jc w:val="center"/>
            </w:pPr>
          </w:p>
        </w:tc>
      </w:tr>
      <w:tr w:rsidR="008D40C6" w:rsidRPr="0098262F" w14:paraId="702B25E7" w14:textId="77777777" w:rsidTr="00BF054D">
        <w:trPr>
          <w:trHeight w:val="20"/>
        </w:trPr>
        <w:tc>
          <w:tcPr>
            <w:tcW w:w="1648" w:type="pct"/>
            <w:tcBorders>
              <w:top w:val="single" w:sz="4" w:space="0" w:color="auto"/>
              <w:bottom w:val="single" w:sz="4" w:space="0" w:color="auto"/>
              <w:right w:val="single" w:sz="4" w:space="0" w:color="auto"/>
            </w:tcBorders>
            <w:shd w:val="clear" w:color="auto" w:fill="auto"/>
            <w:vAlign w:val="center"/>
          </w:tcPr>
          <w:p w14:paraId="49EB6115" w14:textId="77777777" w:rsidR="008D40C6" w:rsidRPr="0098262F" w:rsidRDefault="008D40C6" w:rsidP="005E4D14">
            <w:pPr>
              <w:pStyle w:val="TableText0"/>
            </w:pPr>
            <w:r>
              <w:t>PFS rate (%) at 6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5F835A6" w14:textId="77777777" w:rsidR="008D40C6" w:rsidRPr="0098262F" w:rsidRDefault="008D40C6" w:rsidP="005E4D14">
            <w:pPr>
              <w:pStyle w:val="TableText0"/>
              <w:jc w:val="center"/>
            </w:pPr>
            <w:r w:rsidRPr="00E11F41">
              <w:t>72.8 (68.3, 76.8)</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7E2F0508" w14:textId="77777777" w:rsidR="008D40C6" w:rsidRPr="0098262F" w:rsidRDefault="008D40C6" w:rsidP="005E4D14">
            <w:pPr>
              <w:pStyle w:val="TableText0"/>
              <w:jc w:val="center"/>
            </w:pPr>
            <w:r w:rsidRPr="00E11F41">
              <w:t>60.7 (55.7, 65.4)</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6CE0FB0A" w14:textId="46FBFAE9" w:rsidR="008D40C6" w:rsidRPr="00C2046C" w:rsidRDefault="008D40C6" w:rsidP="005E4D14">
            <w:pPr>
              <w:pStyle w:val="TableText0"/>
              <w:jc w:val="center"/>
              <w:rPr>
                <w:vertAlign w:val="superscript"/>
              </w:rPr>
            </w:pPr>
            <w:r w:rsidRPr="00C2046C">
              <w:t>12.1%</w:t>
            </w:r>
            <w:r w:rsidR="00C2046C" w:rsidRPr="00C2046C">
              <w:t xml:space="preserve"> </w:t>
            </w:r>
            <w:r w:rsidR="00C2046C" w:rsidRPr="00C2046C">
              <w:rPr>
                <w:vertAlign w:val="superscript"/>
              </w:rPr>
              <w:t>a</w:t>
            </w:r>
          </w:p>
        </w:tc>
        <w:tc>
          <w:tcPr>
            <w:tcW w:w="879" w:type="pct"/>
            <w:tcBorders>
              <w:top w:val="nil"/>
              <w:left w:val="single" w:sz="4" w:space="0" w:color="auto"/>
              <w:bottom w:val="nil"/>
            </w:tcBorders>
            <w:shd w:val="clear" w:color="auto" w:fill="auto"/>
          </w:tcPr>
          <w:p w14:paraId="0E0BA7A5" w14:textId="77777777" w:rsidR="008D40C6" w:rsidRPr="0098262F" w:rsidRDefault="008D40C6" w:rsidP="005E4D14">
            <w:pPr>
              <w:pStyle w:val="TableText0"/>
            </w:pPr>
          </w:p>
        </w:tc>
      </w:tr>
      <w:tr w:rsidR="008D40C6" w:rsidRPr="0098262F" w14:paraId="2F4F253D" w14:textId="77777777" w:rsidTr="00BF054D">
        <w:trPr>
          <w:trHeight w:val="20"/>
        </w:trPr>
        <w:tc>
          <w:tcPr>
            <w:tcW w:w="1648" w:type="pct"/>
            <w:tcBorders>
              <w:top w:val="single" w:sz="4" w:space="0" w:color="auto"/>
              <w:bottom w:val="single" w:sz="4" w:space="0" w:color="auto"/>
              <w:right w:val="single" w:sz="4" w:space="0" w:color="auto"/>
            </w:tcBorders>
            <w:shd w:val="clear" w:color="auto" w:fill="auto"/>
            <w:vAlign w:val="center"/>
          </w:tcPr>
          <w:p w14:paraId="4259FB44" w14:textId="77777777" w:rsidR="008D40C6" w:rsidRPr="0098262F" w:rsidRDefault="008D40C6" w:rsidP="005E4D14">
            <w:pPr>
              <w:pStyle w:val="TableText0"/>
            </w:pPr>
            <w:r>
              <w:t>PFS rate (%) at 12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1092C5C" w14:textId="77777777" w:rsidR="008D40C6" w:rsidRPr="0098262F" w:rsidRDefault="008D40C6" w:rsidP="005E4D14">
            <w:pPr>
              <w:pStyle w:val="TableText0"/>
              <w:jc w:val="center"/>
            </w:pPr>
            <w:r w:rsidRPr="00E11F41">
              <w:t>50.7 (45.6, 55.5)</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27F771EE" w14:textId="77777777" w:rsidR="008D40C6" w:rsidRPr="0098262F" w:rsidRDefault="008D40C6" w:rsidP="005E4D14">
            <w:pPr>
              <w:pStyle w:val="TableText0"/>
              <w:jc w:val="center"/>
            </w:pPr>
            <w:r w:rsidRPr="00E11F41">
              <w:t>21.6 (17.2, 26.2)</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5ADA8D41" w14:textId="3D308AF7" w:rsidR="008D40C6" w:rsidRPr="00C2046C" w:rsidRDefault="008D40C6" w:rsidP="005E4D14">
            <w:pPr>
              <w:pStyle w:val="TableText0"/>
              <w:jc w:val="center"/>
              <w:rPr>
                <w:vertAlign w:val="superscript"/>
              </w:rPr>
            </w:pPr>
            <w:r w:rsidRPr="00C2046C">
              <w:t>29.1%</w:t>
            </w:r>
            <w:r w:rsidR="00C2046C" w:rsidRPr="00C2046C">
              <w:t xml:space="preserve"> </w:t>
            </w:r>
            <w:r w:rsidR="00C2046C" w:rsidRPr="00C2046C">
              <w:rPr>
                <w:vertAlign w:val="superscript"/>
              </w:rPr>
              <w:t>a</w:t>
            </w:r>
          </w:p>
        </w:tc>
        <w:tc>
          <w:tcPr>
            <w:tcW w:w="879" w:type="pct"/>
            <w:vMerge w:val="restart"/>
            <w:tcBorders>
              <w:top w:val="nil"/>
              <w:left w:val="single" w:sz="4" w:space="0" w:color="auto"/>
            </w:tcBorders>
            <w:shd w:val="clear" w:color="auto" w:fill="auto"/>
          </w:tcPr>
          <w:p w14:paraId="0D69CFA2" w14:textId="77777777" w:rsidR="008D40C6" w:rsidRPr="0098262F" w:rsidRDefault="008D40C6" w:rsidP="005E4D14">
            <w:pPr>
              <w:pStyle w:val="TableText0"/>
            </w:pPr>
          </w:p>
        </w:tc>
      </w:tr>
      <w:tr w:rsidR="008D40C6" w:rsidRPr="0098262F" w14:paraId="2F45A4C5" w14:textId="77777777" w:rsidTr="00BF054D">
        <w:trPr>
          <w:trHeight w:val="20"/>
        </w:trPr>
        <w:tc>
          <w:tcPr>
            <w:tcW w:w="1648" w:type="pct"/>
            <w:tcBorders>
              <w:top w:val="single" w:sz="4" w:space="0" w:color="auto"/>
              <w:bottom w:val="single" w:sz="4" w:space="0" w:color="auto"/>
              <w:right w:val="single" w:sz="4" w:space="0" w:color="auto"/>
            </w:tcBorders>
            <w:shd w:val="clear" w:color="auto" w:fill="auto"/>
            <w:vAlign w:val="center"/>
          </w:tcPr>
          <w:p w14:paraId="0A544F29" w14:textId="77777777" w:rsidR="008D40C6" w:rsidRPr="0098262F" w:rsidRDefault="008D40C6" w:rsidP="005E4D14">
            <w:pPr>
              <w:pStyle w:val="TableText0"/>
            </w:pPr>
            <w:r>
              <w:t>PFS rate (%) at 18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F6D7BA2" w14:textId="77777777" w:rsidR="008D40C6" w:rsidRPr="0098262F" w:rsidRDefault="008D40C6" w:rsidP="005E4D14">
            <w:pPr>
              <w:pStyle w:val="TableText0"/>
              <w:jc w:val="center"/>
            </w:pPr>
            <w:r w:rsidRPr="00E11F41">
              <w:t>43.9 (38.5, 49.1)</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062CE859" w14:textId="77777777" w:rsidR="008D40C6" w:rsidRPr="0098262F" w:rsidRDefault="008D40C6" w:rsidP="005E4D14">
            <w:pPr>
              <w:pStyle w:val="TableText0"/>
              <w:jc w:val="center"/>
            </w:pPr>
            <w:r w:rsidRPr="00E11F41">
              <w:t>11.7 (8.0, 16.1)</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03DA406E" w14:textId="1CD994CC" w:rsidR="008D40C6" w:rsidRPr="00C2046C" w:rsidRDefault="008D40C6" w:rsidP="005E4D14">
            <w:pPr>
              <w:pStyle w:val="TableText0"/>
              <w:jc w:val="center"/>
              <w:rPr>
                <w:vertAlign w:val="superscript"/>
              </w:rPr>
            </w:pPr>
            <w:r w:rsidRPr="00C2046C">
              <w:t>32.3%</w:t>
            </w:r>
            <w:r w:rsidR="00C2046C" w:rsidRPr="00C2046C">
              <w:t xml:space="preserve"> </w:t>
            </w:r>
            <w:r w:rsidR="00C2046C" w:rsidRPr="00C2046C">
              <w:rPr>
                <w:vertAlign w:val="superscript"/>
              </w:rPr>
              <w:t>a</w:t>
            </w:r>
          </w:p>
        </w:tc>
        <w:tc>
          <w:tcPr>
            <w:tcW w:w="879" w:type="pct"/>
            <w:vMerge/>
            <w:tcBorders>
              <w:left w:val="single" w:sz="4" w:space="0" w:color="auto"/>
              <w:bottom w:val="single" w:sz="4" w:space="0" w:color="auto"/>
            </w:tcBorders>
            <w:shd w:val="clear" w:color="auto" w:fill="auto"/>
          </w:tcPr>
          <w:p w14:paraId="66E661DF" w14:textId="77777777" w:rsidR="008D40C6" w:rsidRPr="0098262F" w:rsidRDefault="008D40C6" w:rsidP="005E4D14">
            <w:pPr>
              <w:pStyle w:val="TableText0"/>
            </w:pPr>
          </w:p>
        </w:tc>
      </w:tr>
      <w:tr w:rsidR="008D40C6" w:rsidRPr="0098262F" w14:paraId="24183417" w14:textId="77777777" w:rsidTr="005E4D1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DCEDD9B" w14:textId="77777777" w:rsidR="008D40C6" w:rsidRPr="00C2046C" w:rsidRDefault="008D40C6" w:rsidP="005E4D14">
            <w:pPr>
              <w:pStyle w:val="In-tableHeading"/>
            </w:pPr>
            <w:r w:rsidRPr="00C2046C">
              <w:t>Overall survival (median duration of follow up 17.2 months)</w:t>
            </w:r>
          </w:p>
        </w:tc>
      </w:tr>
      <w:tr w:rsidR="008D40C6" w:rsidRPr="0098262F" w14:paraId="3235AC77" w14:textId="77777777" w:rsidTr="00BF054D">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tcPr>
          <w:p w14:paraId="4F931359" w14:textId="77777777" w:rsidR="008D40C6" w:rsidRPr="0098262F" w:rsidRDefault="008D40C6" w:rsidP="005E4D14">
            <w:pPr>
              <w:pStyle w:val="TableText0"/>
            </w:pPr>
            <w:r w:rsidRPr="0098262F">
              <w:t xml:space="preserve">Deaths, n/N (%) </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585A11A0" w14:textId="77777777" w:rsidR="008D40C6" w:rsidRPr="0098262F" w:rsidRDefault="008D40C6" w:rsidP="005E4D14">
            <w:pPr>
              <w:pStyle w:val="TableText0"/>
              <w:jc w:val="center"/>
            </w:pPr>
            <w:r>
              <w:t>133/422</w:t>
            </w:r>
            <w:r w:rsidRPr="0098262F">
              <w:t xml:space="preserve"> (</w:t>
            </w:r>
            <w:r>
              <w:t>30.1</w:t>
            </w:r>
            <w:r w:rsidRPr="0098262F">
              <w:t>%)</w:t>
            </w:r>
          </w:p>
        </w:tc>
        <w:tc>
          <w:tcPr>
            <w:tcW w:w="707" w:type="pct"/>
            <w:tcBorders>
              <w:top w:val="single" w:sz="4" w:space="0" w:color="auto"/>
              <w:left w:val="single" w:sz="4" w:space="0" w:color="auto"/>
              <w:bottom w:val="single" w:sz="4" w:space="0" w:color="auto"/>
              <w:right w:val="single" w:sz="4" w:space="0" w:color="auto"/>
            </w:tcBorders>
            <w:shd w:val="clear" w:color="auto" w:fill="auto"/>
          </w:tcPr>
          <w:p w14:paraId="12630E3B" w14:textId="77777777" w:rsidR="008D40C6" w:rsidRPr="0098262F" w:rsidRDefault="008D40C6" w:rsidP="005E4D14">
            <w:pPr>
              <w:pStyle w:val="TableText0"/>
              <w:jc w:val="center"/>
            </w:pPr>
            <w:r>
              <w:t>226</w:t>
            </w:r>
            <w:r w:rsidRPr="0098262F">
              <w:t>/</w:t>
            </w:r>
            <w:r>
              <w:t>444</w:t>
            </w:r>
            <w:r w:rsidRPr="0098262F">
              <w:t xml:space="preserve"> (</w:t>
            </w:r>
            <w:r>
              <w:t>50.9</w:t>
            </w:r>
            <w:r w:rsidRPr="0098262F">
              <w:t>%)</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7D259E82" w14:textId="77777777" w:rsidR="008D40C6" w:rsidRPr="00C2046C" w:rsidRDefault="008D40C6" w:rsidP="005E4D14">
            <w:pPr>
              <w:pStyle w:val="TableText0"/>
              <w:jc w:val="center"/>
            </w:pPr>
            <w:r w:rsidRPr="00C2046C">
              <w:t>-</w:t>
            </w:r>
          </w:p>
        </w:tc>
        <w:tc>
          <w:tcPr>
            <w:tcW w:w="879" w:type="pct"/>
            <w:tcBorders>
              <w:top w:val="single" w:sz="4" w:space="0" w:color="auto"/>
              <w:left w:val="single" w:sz="4" w:space="0" w:color="auto"/>
              <w:bottom w:val="nil"/>
              <w:right w:val="single" w:sz="4" w:space="0" w:color="auto"/>
            </w:tcBorders>
            <w:shd w:val="clear" w:color="auto" w:fill="auto"/>
          </w:tcPr>
          <w:p w14:paraId="273EE075" w14:textId="77777777" w:rsidR="008D40C6" w:rsidRPr="00E430BD" w:rsidRDefault="008D40C6" w:rsidP="005E4D14">
            <w:pPr>
              <w:pStyle w:val="TableText0"/>
              <w:jc w:val="center"/>
              <w:rPr>
                <w:b/>
                <w:bCs w:val="0"/>
              </w:rPr>
            </w:pPr>
            <w:r w:rsidRPr="00E430BD">
              <w:rPr>
                <w:b/>
                <w:bCs w:val="0"/>
              </w:rPr>
              <w:t>0.47 (0.38, 0.58)</w:t>
            </w:r>
          </w:p>
        </w:tc>
      </w:tr>
      <w:tr w:rsidR="008D40C6" w:rsidRPr="0098262F" w14:paraId="750755BC" w14:textId="77777777" w:rsidTr="00BF054D">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50262167" w14:textId="77777777" w:rsidR="008D40C6" w:rsidRPr="0098262F" w:rsidRDefault="008D40C6" w:rsidP="005E4D14">
            <w:pPr>
              <w:pStyle w:val="TableText0"/>
            </w:pPr>
            <w:r w:rsidRPr="0098262F">
              <w:t xml:space="preserve">Median </w:t>
            </w:r>
            <w:r>
              <w:t>O</w:t>
            </w:r>
            <w:r w:rsidRPr="0098262F">
              <w:t>S</w:t>
            </w:r>
            <w:r>
              <w:t>,</w:t>
            </w:r>
            <w:r w:rsidRPr="0098262F">
              <w:t xml:space="preserve">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1DC53E4" w14:textId="77777777" w:rsidR="008D40C6" w:rsidRPr="0098262F" w:rsidRDefault="008D40C6" w:rsidP="005E4D14">
            <w:pPr>
              <w:pStyle w:val="TableText0"/>
              <w:jc w:val="center"/>
            </w:pPr>
            <w:r>
              <w:t>31.5 (25.4, NR)</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5C8B4C1C" w14:textId="77777777" w:rsidR="008D40C6" w:rsidRPr="0098262F" w:rsidRDefault="008D40C6" w:rsidP="005E4D14">
            <w:pPr>
              <w:pStyle w:val="TableText0"/>
              <w:jc w:val="center"/>
            </w:pPr>
            <w:r>
              <w:t>16.1 (13.9, 18.3)</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66F3B8CB" w14:textId="77777777" w:rsidR="008D40C6" w:rsidRPr="00C2046C" w:rsidRDefault="008D40C6" w:rsidP="005E4D14">
            <w:pPr>
              <w:pStyle w:val="TableText0"/>
              <w:jc w:val="center"/>
            </w:pPr>
            <w:r w:rsidRPr="00C2046C">
              <w:t>15.4</w:t>
            </w:r>
          </w:p>
        </w:tc>
        <w:tc>
          <w:tcPr>
            <w:tcW w:w="879" w:type="pct"/>
            <w:tcBorders>
              <w:top w:val="nil"/>
              <w:left w:val="single" w:sz="4" w:space="0" w:color="auto"/>
              <w:bottom w:val="nil"/>
              <w:right w:val="single" w:sz="4" w:space="0" w:color="auto"/>
            </w:tcBorders>
            <w:shd w:val="clear" w:color="auto" w:fill="auto"/>
          </w:tcPr>
          <w:p w14:paraId="2F052FCB" w14:textId="77777777" w:rsidR="008D40C6" w:rsidRPr="0098262F" w:rsidRDefault="008D40C6" w:rsidP="005E4D14">
            <w:pPr>
              <w:pStyle w:val="TableText0"/>
            </w:pPr>
          </w:p>
        </w:tc>
      </w:tr>
      <w:tr w:rsidR="008D40C6" w:rsidRPr="0098262F" w14:paraId="5A60E8E5" w14:textId="77777777" w:rsidTr="00BF054D">
        <w:trPr>
          <w:trHeight w:val="20"/>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35710914" w14:textId="77777777" w:rsidR="008D40C6" w:rsidRPr="0098262F" w:rsidRDefault="008D40C6" w:rsidP="005E4D14">
            <w:pPr>
              <w:pStyle w:val="TableText0"/>
            </w:pPr>
            <w:r>
              <w:t>OS rate (%) at 6 months (95% CI)</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C7620CD" w14:textId="77777777" w:rsidR="008D40C6" w:rsidRPr="0098262F" w:rsidRDefault="008D40C6" w:rsidP="005E4D14">
            <w:pPr>
              <w:pStyle w:val="TableText0"/>
              <w:jc w:val="center"/>
            </w:pPr>
            <w:r w:rsidRPr="00272B11">
              <w:t>90.2 (87.0, 92.6)</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6AD53ED3" w14:textId="77777777" w:rsidR="008D40C6" w:rsidRPr="0098262F" w:rsidRDefault="008D40C6" w:rsidP="005E4D14">
            <w:pPr>
              <w:pStyle w:val="TableText0"/>
              <w:jc w:val="center"/>
            </w:pPr>
            <w:r w:rsidRPr="00272B11">
              <w:t>81.9 (77.9, 85.2)</w:t>
            </w:r>
          </w:p>
        </w:tc>
        <w:tc>
          <w:tcPr>
            <w:tcW w:w="980" w:type="pct"/>
            <w:tcBorders>
              <w:top w:val="single" w:sz="4" w:space="0" w:color="auto"/>
              <w:left w:val="single" w:sz="4" w:space="0" w:color="auto"/>
              <w:bottom w:val="single" w:sz="4" w:space="0" w:color="auto"/>
              <w:right w:val="single" w:sz="4" w:space="0" w:color="auto"/>
            </w:tcBorders>
            <w:shd w:val="clear" w:color="auto" w:fill="auto"/>
          </w:tcPr>
          <w:p w14:paraId="11D80324" w14:textId="3291F3D3" w:rsidR="008D40C6" w:rsidRPr="00C2046C" w:rsidRDefault="008D40C6" w:rsidP="005E4D14">
            <w:pPr>
              <w:pStyle w:val="TableText0"/>
              <w:jc w:val="center"/>
              <w:rPr>
                <w:vertAlign w:val="superscript"/>
              </w:rPr>
            </w:pPr>
            <w:r w:rsidRPr="00C2046C">
              <w:t>8.3%</w:t>
            </w:r>
            <w:r w:rsidR="00C2046C" w:rsidRPr="00C2046C">
              <w:t xml:space="preserve"> </w:t>
            </w:r>
            <w:r w:rsidR="00C2046C" w:rsidRPr="00C2046C">
              <w:rPr>
                <w:vertAlign w:val="superscript"/>
              </w:rPr>
              <w:t>a</w:t>
            </w:r>
          </w:p>
        </w:tc>
        <w:tc>
          <w:tcPr>
            <w:tcW w:w="879" w:type="pct"/>
            <w:tcBorders>
              <w:top w:val="nil"/>
              <w:left w:val="single" w:sz="4" w:space="0" w:color="auto"/>
              <w:bottom w:val="nil"/>
              <w:right w:val="single" w:sz="4" w:space="0" w:color="auto"/>
            </w:tcBorders>
            <w:shd w:val="clear" w:color="auto" w:fill="auto"/>
          </w:tcPr>
          <w:p w14:paraId="26FD3181" w14:textId="77777777" w:rsidR="008D40C6" w:rsidRPr="0098262F" w:rsidRDefault="008D40C6" w:rsidP="005E4D14">
            <w:pPr>
              <w:pStyle w:val="TableText0"/>
            </w:pPr>
          </w:p>
        </w:tc>
      </w:tr>
      <w:tr w:rsidR="008D40C6" w:rsidRPr="0098262F" w14:paraId="52F9760E" w14:textId="77777777" w:rsidTr="00BF054D">
        <w:trPr>
          <w:trHeight w:val="20"/>
        </w:trPr>
        <w:tc>
          <w:tcPr>
            <w:tcW w:w="1648" w:type="pct"/>
            <w:tcBorders>
              <w:top w:val="single" w:sz="4" w:space="0" w:color="auto"/>
              <w:left w:val="single" w:sz="4" w:space="0" w:color="auto"/>
              <w:bottom w:val="double" w:sz="4" w:space="0" w:color="auto"/>
              <w:right w:val="single" w:sz="4" w:space="0" w:color="auto"/>
            </w:tcBorders>
            <w:shd w:val="clear" w:color="auto" w:fill="auto"/>
            <w:vAlign w:val="center"/>
          </w:tcPr>
          <w:p w14:paraId="52D37A86" w14:textId="77777777" w:rsidR="008D40C6" w:rsidRPr="0098262F" w:rsidRDefault="008D40C6" w:rsidP="005E4D14">
            <w:pPr>
              <w:pStyle w:val="TableText0"/>
            </w:pPr>
            <w:r>
              <w:t>OS rate (%) at 12 months (95% CI)</w:t>
            </w:r>
          </w:p>
        </w:tc>
        <w:tc>
          <w:tcPr>
            <w:tcW w:w="786" w:type="pct"/>
            <w:tcBorders>
              <w:top w:val="single" w:sz="4" w:space="0" w:color="auto"/>
              <w:left w:val="single" w:sz="4" w:space="0" w:color="auto"/>
              <w:bottom w:val="double" w:sz="4" w:space="0" w:color="auto"/>
              <w:right w:val="single" w:sz="4" w:space="0" w:color="auto"/>
            </w:tcBorders>
            <w:shd w:val="clear" w:color="auto" w:fill="auto"/>
            <w:vAlign w:val="center"/>
          </w:tcPr>
          <w:p w14:paraId="16103EA6" w14:textId="77777777" w:rsidR="008D40C6" w:rsidRPr="0098262F" w:rsidRDefault="008D40C6" w:rsidP="005E4D14">
            <w:pPr>
              <w:pStyle w:val="TableText0"/>
              <w:jc w:val="center"/>
            </w:pPr>
            <w:r w:rsidRPr="00272B11">
              <w:t>78.2 (73.9, 81.9)</w:t>
            </w:r>
          </w:p>
        </w:tc>
        <w:tc>
          <w:tcPr>
            <w:tcW w:w="707" w:type="pct"/>
            <w:tcBorders>
              <w:top w:val="single" w:sz="4" w:space="0" w:color="auto"/>
              <w:left w:val="single" w:sz="4" w:space="0" w:color="auto"/>
              <w:bottom w:val="double" w:sz="4" w:space="0" w:color="auto"/>
              <w:right w:val="single" w:sz="4" w:space="0" w:color="auto"/>
            </w:tcBorders>
            <w:shd w:val="clear" w:color="auto" w:fill="auto"/>
            <w:vAlign w:val="center"/>
          </w:tcPr>
          <w:p w14:paraId="0840233A" w14:textId="77777777" w:rsidR="008D40C6" w:rsidRPr="0098262F" w:rsidRDefault="008D40C6" w:rsidP="005E4D14">
            <w:pPr>
              <w:pStyle w:val="TableText0"/>
              <w:jc w:val="center"/>
            </w:pPr>
            <w:r w:rsidRPr="00272B11">
              <w:t>61.4 (56.6, 65.9)</w:t>
            </w:r>
          </w:p>
        </w:tc>
        <w:tc>
          <w:tcPr>
            <w:tcW w:w="980" w:type="pct"/>
            <w:tcBorders>
              <w:top w:val="single" w:sz="4" w:space="0" w:color="auto"/>
              <w:left w:val="single" w:sz="4" w:space="0" w:color="auto"/>
              <w:bottom w:val="double" w:sz="4" w:space="0" w:color="auto"/>
              <w:right w:val="single" w:sz="4" w:space="0" w:color="auto"/>
            </w:tcBorders>
            <w:shd w:val="clear" w:color="auto" w:fill="auto"/>
          </w:tcPr>
          <w:p w14:paraId="1F940F09" w14:textId="3F6767F0" w:rsidR="008D40C6" w:rsidRPr="00C2046C" w:rsidRDefault="008D40C6" w:rsidP="005E4D14">
            <w:pPr>
              <w:pStyle w:val="TableText0"/>
              <w:jc w:val="center"/>
              <w:rPr>
                <w:vertAlign w:val="superscript"/>
              </w:rPr>
            </w:pPr>
            <w:r w:rsidRPr="00C2046C">
              <w:t>16.8%</w:t>
            </w:r>
            <w:r w:rsidR="00C2046C" w:rsidRPr="00C2046C">
              <w:t xml:space="preserve"> </w:t>
            </w:r>
            <w:r w:rsidR="00C2046C" w:rsidRPr="00C2046C">
              <w:rPr>
                <w:vertAlign w:val="superscript"/>
              </w:rPr>
              <w:t>a</w:t>
            </w:r>
          </w:p>
        </w:tc>
        <w:tc>
          <w:tcPr>
            <w:tcW w:w="879" w:type="pct"/>
            <w:vMerge w:val="restart"/>
            <w:tcBorders>
              <w:top w:val="nil"/>
              <w:left w:val="single" w:sz="4" w:space="0" w:color="auto"/>
              <w:right w:val="single" w:sz="4" w:space="0" w:color="auto"/>
            </w:tcBorders>
            <w:shd w:val="clear" w:color="auto" w:fill="auto"/>
          </w:tcPr>
          <w:p w14:paraId="0E119122" w14:textId="77777777" w:rsidR="008D40C6" w:rsidRPr="0098262F" w:rsidRDefault="008D40C6" w:rsidP="005E4D14">
            <w:pPr>
              <w:pStyle w:val="TableText0"/>
            </w:pPr>
          </w:p>
        </w:tc>
      </w:tr>
      <w:tr w:rsidR="008D40C6" w:rsidRPr="0098262F" w14:paraId="64804F3B" w14:textId="77777777" w:rsidTr="00BF054D">
        <w:trPr>
          <w:trHeight w:val="20"/>
        </w:trPr>
        <w:tc>
          <w:tcPr>
            <w:tcW w:w="1648" w:type="pct"/>
            <w:tcBorders>
              <w:top w:val="single" w:sz="4" w:space="0" w:color="auto"/>
              <w:left w:val="single" w:sz="4" w:space="0" w:color="auto"/>
              <w:bottom w:val="double" w:sz="4" w:space="0" w:color="auto"/>
              <w:right w:val="single" w:sz="4" w:space="0" w:color="auto"/>
            </w:tcBorders>
            <w:shd w:val="clear" w:color="auto" w:fill="auto"/>
            <w:vAlign w:val="center"/>
          </w:tcPr>
          <w:p w14:paraId="4732D379" w14:textId="77777777" w:rsidR="008D40C6" w:rsidRPr="0098262F" w:rsidRDefault="008D40C6" w:rsidP="005E4D14">
            <w:pPr>
              <w:pStyle w:val="TableText0"/>
            </w:pPr>
            <w:r>
              <w:t>OS rate (%) at 18 months (95% CI)</w:t>
            </w:r>
          </w:p>
        </w:tc>
        <w:tc>
          <w:tcPr>
            <w:tcW w:w="786" w:type="pct"/>
            <w:tcBorders>
              <w:top w:val="single" w:sz="4" w:space="0" w:color="auto"/>
              <w:left w:val="single" w:sz="4" w:space="0" w:color="auto"/>
              <w:bottom w:val="double" w:sz="4" w:space="0" w:color="auto"/>
              <w:right w:val="single" w:sz="4" w:space="0" w:color="auto"/>
            </w:tcBorders>
            <w:shd w:val="clear" w:color="auto" w:fill="auto"/>
            <w:vAlign w:val="center"/>
          </w:tcPr>
          <w:p w14:paraId="03E7A160" w14:textId="77777777" w:rsidR="008D40C6" w:rsidRPr="0098262F" w:rsidRDefault="008D40C6" w:rsidP="005E4D14">
            <w:pPr>
              <w:pStyle w:val="TableText0"/>
              <w:jc w:val="center"/>
            </w:pPr>
            <w:r w:rsidRPr="00272B11">
              <w:t>69.5 (64.4, 74.1)</w:t>
            </w:r>
          </w:p>
        </w:tc>
        <w:tc>
          <w:tcPr>
            <w:tcW w:w="707" w:type="pct"/>
            <w:tcBorders>
              <w:top w:val="single" w:sz="4" w:space="0" w:color="auto"/>
              <w:left w:val="single" w:sz="4" w:space="0" w:color="auto"/>
              <w:bottom w:val="double" w:sz="4" w:space="0" w:color="auto"/>
              <w:right w:val="single" w:sz="4" w:space="0" w:color="auto"/>
            </w:tcBorders>
            <w:shd w:val="clear" w:color="auto" w:fill="auto"/>
            <w:vAlign w:val="center"/>
          </w:tcPr>
          <w:p w14:paraId="6826A03C" w14:textId="77777777" w:rsidR="008D40C6" w:rsidRPr="0098262F" w:rsidRDefault="008D40C6" w:rsidP="005E4D14">
            <w:pPr>
              <w:pStyle w:val="TableText0"/>
              <w:jc w:val="center"/>
            </w:pPr>
            <w:r w:rsidRPr="00272B11">
              <w:t>44.7 (39.2, 50.1)</w:t>
            </w:r>
          </w:p>
        </w:tc>
        <w:tc>
          <w:tcPr>
            <w:tcW w:w="980" w:type="pct"/>
            <w:tcBorders>
              <w:top w:val="single" w:sz="4" w:space="0" w:color="auto"/>
              <w:left w:val="single" w:sz="4" w:space="0" w:color="auto"/>
              <w:bottom w:val="double" w:sz="4" w:space="0" w:color="auto"/>
              <w:right w:val="single" w:sz="4" w:space="0" w:color="auto"/>
            </w:tcBorders>
            <w:shd w:val="clear" w:color="auto" w:fill="auto"/>
          </w:tcPr>
          <w:p w14:paraId="2CDE1F20" w14:textId="27545EB6" w:rsidR="008D40C6" w:rsidRPr="00C2046C" w:rsidRDefault="008D40C6" w:rsidP="005E4D14">
            <w:pPr>
              <w:pStyle w:val="TableText0"/>
              <w:jc w:val="center"/>
              <w:rPr>
                <w:vertAlign w:val="superscript"/>
              </w:rPr>
            </w:pPr>
            <w:r w:rsidRPr="00C2046C">
              <w:t>24.8%</w:t>
            </w:r>
            <w:r w:rsidR="00C2046C" w:rsidRPr="00C2046C">
              <w:t xml:space="preserve"> </w:t>
            </w:r>
            <w:r w:rsidR="00C2046C" w:rsidRPr="00C2046C">
              <w:rPr>
                <w:vertAlign w:val="superscript"/>
              </w:rPr>
              <w:t>a</w:t>
            </w:r>
          </w:p>
        </w:tc>
        <w:tc>
          <w:tcPr>
            <w:tcW w:w="879" w:type="pct"/>
            <w:vMerge/>
            <w:tcBorders>
              <w:left w:val="single" w:sz="4" w:space="0" w:color="auto"/>
              <w:bottom w:val="double" w:sz="4" w:space="0" w:color="auto"/>
              <w:right w:val="single" w:sz="4" w:space="0" w:color="auto"/>
            </w:tcBorders>
            <w:shd w:val="clear" w:color="auto" w:fill="auto"/>
          </w:tcPr>
          <w:p w14:paraId="605CD5BB" w14:textId="77777777" w:rsidR="008D40C6" w:rsidRPr="0098262F" w:rsidRDefault="008D40C6" w:rsidP="005E4D14">
            <w:pPr>
              <w:pStyle w:val="TableText0"/>
            </w:pPr>
          </w:p>
        </w:tc>
      </w:tr>
    </w:tbl>
    <w:p w14:paraId="296C84A5" w14:textId="77777777" w:rsidR="008D40C6" w:rsidRDefault="008D40C6" w:rsidP="008D40C6">
      <w:pPr>
        <w:pStyle w:val="TableFigureFooter"/>
      </w:pPr>
    </w:p>
    <w:tbl>
      <w:tblPr>
        <w:tblW w:w="5000" w:type="pct"/>
        <w:tblLayout w:type="fixed"/>
        <w:tblCellMar>
          <w:left w:w="28" w:type="dxa"/>
          <w:right w:w="28" w:type="dxa"/>
        </w:tblCellMar>
        <w:tblLook w:val="04A0" w:firstRow="1" w:lastRow="0" w:firstColumn="1" w:lastColumn="0" w:noHBand="0" w:noVBand="1"/>
      </w:tblPr>
      <w:tblGrid>
        <w:gridCol w:w="1150"/>
        <w:gridCol w:w="6"/>
        <w:gridCol w:w="1128"/>
        <w:gridCol w:w="7"/>
        <w:gridCol w:w="1277"/>
        <w:gridCol w:w="1555"/>
        <w:gridCol w:w="1133"/>
        <w:gridCol w:w="1111"/>
        <w:gridCol w:w="1650"/>
      </w:tblGrid>
      <w:tr w:rsidR="008D40C6" w:rsidRPr="0098262F" w14:paraId="2703A69A" w14:textId="77777777" w:rsidTr="005E4D14">
        <w:tc>
          <w:tcPr>
            <w:tcW w:w="5000" w:type="pct"/>
            <w:gridSpan w:val="9"/>
            <w:tcBorders>
              <w:top w:val="double" w:sz="4" w:space="0" w:color="auto"/>
              <w:left w:val="single" w:sz="4" w:space="0" w:color="auto"/>
              <w:bottom w:val="single" w:sz="4" w:space="0" w:color="auto"/>
              <w:right w:val="single" w:sz="4" w:space="0" w:color="auto"/>
            </w:tcBorders>
            <w:shd w:val="clear" w:color="auto" w:fill="auto"/>
            <w:vAlign w:val="center"/>
          </w:tcPr>
          <w:p w14:paraId="43296B3C" w14:textId="77777777" w:rsidR="008D40C6" w:rsidRPr="0098262F" w:rsidRDefault="008D40C6" w:rsidP="005E4D14">
            <w:pPr>
              <w:pStyle w:val="In-tableHeading"/>
            </w:pPr>
            <w:r w:rsidRPr="0098262F">
              <w:t xml:space="preserve">Harms </w:t>
            </w:r>
          </w:p>
        </w:tc>
      </w:tr>
      <w:tr w:rsidR="008D40C6" w:rsidRPr="0098262F" w14:paraId="126601DD" w14:textId="77777777" w:rsidTr="004D2CD9">
        <w:trPr>
          <w:trHeight w:val="70"/>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1B3890" w14:textId="77777777" w:rsidR="008D40C6" w:rsidRPr="0098262F" w:rsidRDefault="008D40C6" w:rsidP="005E4D14">
            <w:pPr>
              <w:pStyle w:val="In-tableHeading"/>
            </w:pPr>
          </w:p>
        </w:tc>
        <w:tc>
          <w:tcPr>
            <w:tcW w:w="629" w:type="pct"/>
            <w:gridSpan w:val="2"/>
            <w:vMerge w:val="restart"/>
            <w:tcBorders>
              <w:top w:val="single" w:sz="4" w:space="0" w:color="auto"/>
              <w:left w:val="single" w:sz="4" w:space="0" w:color="auto"/>
              <w:bottom w:val="single" w:sz="4" w:space="0" w:color="auto"/>
              <w:right w:val="single" w:sz="4" w:space="0" w:color="auto"/>
            </w:tcBorders>
            <w:vAlign w:val="center"/>
          </w:tcPr>
          <w:p w14:paraId="7955C540" w14:textId="77777777" w:rsidR="008D40C6" w:rsidRDefault="008D40C6" w:rsidP="005E4D14">
            <w:pPr>
              <w:pStyle w:val="In-tableHeading"/>
              <w:jc w:val="center"/>
            </w:pPr>
            <w:r>
              <w:t xml:space="preserve">EV+PEM </w:t>
            </w:r>
          </w:p>
          <w:p w14:paraId="6A7D1964" w14:textId="77777777" w:rsidR="008D40C6" w:rsidRPr="0098262F" w:rsidRDefault="008D40C6" w:rsidP="005E4D14">
            <w:pPr>
              <w:pStyle w:val="In-tableHeading"/>
              <w:jc w:val="center"/>
            </w:pPr>
            <w:r w:rsidRPr="0098262F">
              <w:t>n/N</w:t>
            </w:r>
          </w:p>
        </w:tc>
        <w:tc>
          <w:tcPr>
            <w:tcW w:w="712" w:type="pct"/>
            <w:gridSpan w:val="2"/>
            <w:vMerge w:val="restart"/>
            <w:tcBorders>
              <w:top w:val="single" w:sz="4" w:space="0" w:color="auto"/>
              <w:left w:val="single" w:sz="4" w:space="0" w:color="auto"/>
              <w:bottom w:val="single" w:sz="4" w:space="0" w:color="auto"/>
              <w:right w:val="single" w:sz="4" w:space="0" w:color="auto"/>
            </w:tcBorders>
            <w:vAlign w:val="center"/>
          </w:tcPr>
          <w:p w14:paraId="5C43F5F5" w14:textId="77777777" w:rsidR="008D40C6" w:rsidRDefault="008D40C6" w:rsidP="005E4D14">
            <w:pPr>
              <w:pStyle w:val="In-tableHeading"/>
              <w:jc w:val="center"/>
            </w:pPr>
            <w:proofErr w:type="spellStart"/>
            <w:r>
              <w:t>Plat+Gem</w:t>
            </w:r>
            <w:proofErr w:type="spellEnd"/>
            <w:r>
              <w:t xml:space="preserve"> </w:t>
            </w:r>
          </w:p>
          <w:p w14:paraId="363F8FAC" w14:textId="77777777" w:rsidR="008D40C6" w:rsidRPr="0098262F" w:rsidRDefault="008D40C6" w:rsidP="005E4D14">
            <w:pPr>
              <w:pStyle w:val="In-tableHeading"/>
              <w:jc w:val="center"/>
            </w:pPr>
            <w:r w:rsidRPr="0098262F">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3F7780E4" w14:textId="77777777" w:rsidR="008D40C6" w:rsidRDefault="008D40C6" w:rsidP="005E4D14">
            <w:pPr>
              <w:pStyle w:val="In-tableHeading"/>
              <w:jc w:val="center"/>
            </w:pPr>
            <w:r w:rsidRPr="0098262F">
              <w:t>RR</w:t>
            </w:r>
            <w:r>
              <w:t xml:space="preserve"> </w:t>
            </w:r>
          </w:p>
          <w:p w14:paraId="669888A3" w14:textId="2D9F482A" w:rsidR="008D40C6" w:rsidRPr="0098262F" w:rsidRDefault="008D40C6" w:rsidP="005E4D14">
            <w:pPr>
              <w:pStyle w:val="In-tableHeading"/>
              <w:jc w:val="center"/>
            </w:pPr>
            <w:r w:rsidRPr="0098262F">
              <w:t>(95% CI)</w:t>
            </w:r>
            <w:r w:rsidR="00432DA5" w:rsidRPr="004D2CD9">
              <w:rPr>
                <w:vertAlign w:val="superscript"/>
              </w:rPr>
              <w:t xml:space="preserve"> a</w:t>
            </w:r>
          </w:p>
        </w:tc>
        <w:tc>
          <w:tcPr>
            <w:tcW w:w="1244" w:type="pct"/>
            <w:gridSpan w:val="2"/>
            <w:tcBorders>
              <w:top w:val="single" w:sz="4" w:space="0" w:color="auto"/>
              <w:left w:val="single" w:sz="4" w:space="0" w:color="auto"/>
              <w:bottom w:val="single" w:sz="4" w:space="0" w:color="auto"/>
              <w:right w:val="single" w:sz="4" w:space="0" w:color="auto"/>
            </w:tcBorders>
            <w:vAlign w:val="center"/>
          </w:tcPr>
          <w:p w14:paraId="04BEBEF1" w14:textId="77777777" w:rsidR="008D40C6" w:rsidRPr="0098262F" w:rsidRDefault="008D40C6" w:rsidP="005E4D14">
            <w:pPr>
              <w:pStyle w:val="In-tableHeading"/>
              <w:jc w:val="center"/>
            </w:pPr>
            <w:r w:rsidRPr="0098262F">
              <w:t>Event rate/100 patients</w:t>
            </w:r>
          </w:p>
        </w:tc>
        <w:tc>
          <w:tcPr>
            <w:tcW w:w="915" w:type="pct"/>
            <w:vMerge w:val="restart"/>
            <w:tcBorders>
              <w:top w:val="single" w:sz="4" w:space="0" w:color="auto"/>
              <w:left w:val="single" w:sz="4" w:space="0" w:color="auto"/>
              <w:bottom w:val="single" w:sz="4" w:space="0" w:color="auto"/>
              <w:right w:val="single" w:sz="4" w:space="0" w:color="auto"/>
            </w:tcBorders>
            <w:vAlign w:val="center"/>
          </w:tcPr>
          <w:p w14:paraId="0A8B05B1" w14:textId="44C5BBCC" w:rsidR="008D40C6" w:rsidRPr="0098262F" w:rsidRDefault="008D40C6" w:rsidP="004D2CD9">
            <w:pPr>
              <w:pStyle w:val="In-tableHeading"/>
              <w:jc w:val="center"/>
            </w:pPr>
            <w:r w:rsidRPr="0098262F">
              <w:t>RD</w:t>
            </w:r>
            <w:r>
              <w:t xml:space="preserve"> </w:t>
            </w:r>
            <w:r w:rsidR="004D2CD9">
              <w:br/>
            </w:r>
            <w:r w:rsidRPr="0098262F">
              <w:t>(95% CI)</w:t>
            </w:r>
            <w:r w:rsidR="00432DA5" w:rsidRPr="004D2CD9">
              <w:rPr>
                <w:vertAlign w:val="superscript"/>
              </w:rPr>
              <w:t xml:space="preserve"> a</w:t>
            </w:r>
          </w:p>
        </w:tc>
      </w:tr>
      <w:tr w:rsidR="008D40C6" w:rsidRPr="0098262F" w14:paraId="2F1C2773" w14:textId="77777777" w:rsidTr="004D2CD9">
        <w:trPr>
          <w:trHeight w:val="390"/>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62355A" w14:textId="77777777" w:rsidR="008D40C6" w:rsidRPr="0098262F" w:rsidRDefault="008D40C6" w:rsidP="005E4D14">
            <w:pPr>
              <w:pStyle w:val="In-tableHeading"/>
            </w:pPr>
          </w:p>
        </w:tc>
        <w:tc>
          <w:tcPr>
            <w:tcW w:w="629" w:type="pct"/>
            <w:gridSpan w:val="2"/>
            <w:vMerge/>
            <w:tcBorders>
              <w:top w:val="single" w:sz="4" w:space="0" w:color="auto"/>
              <w:left w:val="single" w:sz="4" w:space="0" w:color="auto"/>
              <w:bottom w:val="single" w:sz="4" w:space="0" w:color="auto"/>
              <w:right w:val="single" w:sz="4" w:space="0" w:color="auto"/>
            </w:tcBorders>
            <w:vAlign w:val="center"/>
          </w:tcPr>
          <w:p w14:paraId="48A5B521" w14:textId="77777777" w:rsidR="008D40C6" w:rsidRPr="0098262F" w:rsidRDefault="008D40C6" w:rsidP="005E4D14">
            <w:pPr>
              <w:pStyle w:val="In-tableHeading"/>
            </w:pPr>
          </w:p>
        </w:tc>
        <w:tc>
          <w:tcPr>
            <w:tcW w:w="712" w:type="pct"/>
            <w:gridSpan w:val="2"/>
            <w:vMerge/>
            <w:tcBorders>
              <w:top w:val="single" w:sz="4" w:space="0" w:color="auto"/>
              <w:left w:val="single" w:sz="4" w:space="0" w:color="auto"/>
              <w:bottom w:val="single" w:sz="4" w:space="0" w:color="auto"/>
              <w:right w:val="single" w:sz="4" w:space="0" w:color="auto"/>
            </w:tcBorders>
            <w:vAlign w:val="center"/>
          </w:tcPr>
          <w:p w14:paraId="1822A183" w14:textId="77777777" w:rsidR="008D40C6" w:rsidRPr="0098262F" w:rsidRDefault="008D40C6" w:rsidP="005E4D14">
            <w:pPr>
              <w:pStyle w:val="In-tableHeading"/>
            </w:pPr>
          </w:p>
        </w:tc>
        <w:tc>
          <w:tcPr>
            <w:tcW w:w="862" w:type="pct"/>
            <w:vMerge/>
            <w:tcBorders>
              <w:top w:val="single" w:sz="4" w:space="0" w:color="auto"/>
              <w:left w:val="single" w:sz="4" w:space="0" w:color="auto"/>
              <w:bottom w:val="single" w:sz="4" w:space="0" w:color="auto"/>
              <w:right w:val="single" w:sz="4" w:space="0" w:color="auto"/>
            </w:tcBorders>
            <w:vAlign w:val="center"/>
          </w:tcPr>
          <w:p w14:paraId="039ACEFF" w14:textId="77777777" w:rsidR="008D40C6" w:rsidRPr="0098262F" w:rsidRDefault="008D40C6" w:rsidP="005E4D14">
            <w:pPr>
              <w:pStyle w:val="In-tableHeading"/>
            </w:pPr>
          </w:p>
        </w:tc>
        <w:tc>
          <w:tcPr>
            <w:tcW w:w="628" w:type="pct"/>
            <w:tcBorders>
              <w:top w:val="single" w:sz="4" w:space="0" w:color="auto"/>
              <w:left w:val="single" w:sz="4" w:space="0" w:color="auto"/>
              <w:bottom w:val="single" w:sz="4" w:space="0" w:color="auto"/>
              <w:right w:val="single" w:sz="4" w:space="0" w:color="auto"/>
            </w:tcBorders>
            <w:vAlign w:val="center"/>
          </w:tcPr>
          <w:p w14:paraId="6503CD26" w14:textId="77777777" w:rsidR="008D40C6" w:rsidRPr="0098262F" w:rsidRDefault="008D40C6" w:rsidP="005E4D14">
            <w:pPr>
              <w:pStyle w:val="In-tableHeading"/>
              <w:jc w:val="center"/>
            </w:pPr>
            <w:r>
              <w:t>EV+PEM</w:t>
            </w:r>
          </w:p>
        </w:tc>
        <w:tc>
          <w:tcPr>
            <w:tcW w:w="616" w:type="pct"/>
            <w:tcBorders>
              <w:top w:val="single" w:sz="4" w:space="0" w:color="auto"/>
              <w:left w:val="single" w:sz="4" w:space="0" w:color="auto"/>
              <w:bottom w:val="single" w:sz="4" w:space="0" w:color="auto"/>
              <w:right w:val="single" w:sz="4" w:space="0" w:color="auto"/>
            </w:tcBorders>
            <w:vAlign w:val="center"/>
          </w:tcPr>
          <w:p w14:paraId="5DE213B4" w14:textId="77777777" w:rsidR="008D40C6" w:rsidRPr="0098262F" w:rsidRDefault="008D40C6" w:rsidP="005E4D14">
            <w:pPr>
              <w:pStyle w:val="In-tableHeading"/>
              <w:jc w:val="center"/>
            </w:pPr>
            <w:proofErr w:type="spellStart"/>
            <w:r>
              <w:t>Plat+Gem</w:t>
            </w:r>
            <w:proofErr w:type="spellEnd"/>
          </w:p>
        </w:tc>
        <w:tc>
          <w:tcPr>
            <w:tcW w:w="915" w:type="pct"/>
            <w:vMerge/>
            <w:tcBorders>
              <w:top w:val="single" w:sz="4" w:space="0" w:color="auto"/>
              <w:left w:val="single" w:sz="4" w:space="0" w:color="auto"/>
              <w:bottom w:val="single" w:sz="4" w:space="0" w:color="auto"/>
              <w:right w:val="single" w:sz="4" w:space="0" w:color="auto"/>
            </w:tcBorders>
            <w:vAlign w:val="center"/>
          </w:tcPr>
          <w:p w14:paraId="451AC59E" w14:textId="77777777" w:rsidR="008D40C6" w:rsidRPr="0098262F" w:rsidRDefault="008D40C6" w:rsidP="005E4D14">
            <w:pPr>
              <w:pStyle w:val="In-tableHeading"/>
            </w:pPr>
          </w:p>
        </w:tc>
      </w:tr>
      <w:tr w:rsidR="008D40C6" w:rsidRPr="0098262F" w14:paraId="6508B3BF" w14:textId="77777777" w:rsidTr="004D2CD9">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23394" w14:textId="77777777" w:rsidR="008D40C6" w:rsidRPr="0098262F" w:rsidRDefault="008D40C6" w:rsidP="005E4D14">
            <w:pPr>
              <w:pStyle w:val="TableText0"/>
            </w:pPr>
            <w:r>
              <w:t>Grade 3-5 TEAE</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49219593" w14:textId="77777777" w:rsidR="008D40C6" w:rsidRPr="0098262F" w:rsidRDefault="008D40C6" w:rsidP="005E4D14">
            <w:pPr>
              <w:pStyle w:val="TableText0"/>
              <w:jc w:val="center"/>
            </w:pPr>
            <w:r>
              <w:t>321/440</w:t>
            </w:r>
          </w:p>
        </w:tc>
        <w:tc>
          <w:tcPr>
            <w:tcW w:w="708" w:type="pct"/>
            <w:tcBorders>
              <w:top w:val="single" w:sz="4" w:space="0" w:color="auto"/>
              <w:left w:val="single" w:sz="4" w:space="0" w:color="auto"/>
              <w:bottom w:val="single" w:sz="4" w:space="0" w:color="auto"/>
              <w:right w:val="single" w:sz="4" w:space="0" w:color="auto"/>
            </w:tcBorders>
            <w:vAlign w:val="center"/>
          </w:tcPr>
          <w:p w14:paraId="2873F5F4" w14:textId="77777777" w:rsidR="008D40C6" w:rsidRPr="0098262F" w:rsidRDefault="008D40C6" w:rsidP="005E4D14">
            <w:pPr>
              <w:pStyle w:val="TableText0"/>
              <w:jc w:val="center"/>
            </w:pPr>
            <w:r>
              <w:t>341/433</w:t>
            </w:r>
          </w:p>
        </w:tc>
        <w:tc>
          <w:tcPr>
            <w:tcW w:w="862" w:type="pct"/>
            <w:tcBorders>
              <w:top w:val="single" w:sz="4" w:space="0" w:color="auto"/>
              <w:left w:val="single" w:sz="4" w:space="0" w:color="auto"/>
              <w:bottom w:val="single" w:sz="4" w:space="0" w:color="auto"/>
              <w:right w:val="single" w:sz="4" w:space="0" w:color="auto"/>
            </w:tcBorders>
            <w:vAlign w:val="center"/>
          </w:tcPr>
          <w:p w14:paraId="03AF6B69" w14:textId="77777777" w:rsidR="008D40C6" w:rsidRPr="00432DA5" w:rsidRDefault="008D40C6" w:rsidP="005E4D14">
            <w:pPr>
              <w:pStyle w:val="TableText0"/>
              <w:jc w:val="center"/>
              <w:rPr>
                <w:b/>
                <w:bCs w:val="0"/>
              </w:rPr>
            </w:pPr>
            <w:r w:rsidRPr="00432DA5">
              <w:rPr>
                <w:b/>
                <w:bCs w:val="0"/>
              </w:rPr>
              <w:t>0.93 (0.86, 1.0)</w:t>
            </w:r>
          </w:p>
        </w:tc>
        <w:tc>
          <w:tcPr>
            <w:tcW w:w="628" w:type="pct"/>
            <w:tcBorders>
              <w:top w:val="single" w:sz="4" w:space="0" w:color="auto"/>
              <w:left w:val="single" w:sz="4" w:space="0" w:color="auto"/>
              <w:bottom w:val="single" w:sz="4" w:space="0" w:color="auto"/>
              <w:right w:val="single" w:sz="4" w:space="0" w:color="auto"/>
            </w:tcBorders>
            <w:vAlign w:val="center"/>
          </w:tcPr>
          <w:p w14:paraId="7BB83F7B" w14:textId="77777777" w:rsidR="008D40C6" w:rsidRPr="0098262F" w:rsidRDefault="008D40C6" w:rsidP="005E4D14">
            <w:pPr>
              <w:pStyle w:val="TableText0"/>
              <w:jc w:val="center"/>
            </w:pPr>
            <w:r>
              <w:t>73</w:t>
            </w:r>
          </w:p>
        </w:tc>
        <w:tc>
          <w:tcPr>
            <w:tcW w:w="616" w:type="pct"/>
            <w:tcBorders>
              <w:top w:val="single" w:sz="4" w:space="0" w:color="auto"/>
              <w:left w:val="single" w:sz="4" w:space="0" w:color="auto"/>
              <w:bottom w:val="single" w:sz="4" w:space="0" w:color="auto"/>
              <w:right w:val="single" w:sz="4" w:space="0" w:color="auto"/>
            </w:tcBorders>
            <w:vAlign w:val="center"/>
          </w:tcPr>
          <w:p w14:paraId="6668558E" w14:textId="77777777" w:rsidR="008D40C6" w:rsidRPr="0098262F" w:rsidRDefault="008D40C6" w:rsidP="005E4D14">
            <w:pPr>
              <w:pStyle w:val="TableText0"/>
              <w:jc w:val="center"/>
            </w:pPr>
            <w:r>
              <w:t>79</w:t>
            </w:r>
          </w:p>
        </w:tc>
        <w:tc>
          <w:tcPr>
            <w:tcW w:w="915" w:type="pct"/>
            <w:tcBorders>
              <w:top w:val="single" w:sz="4" w:space="0" w:color="auto"/>
              <w:left w:val="single" w:sz="4" w:space="0" w:color="auto"/>
              <w:bottom w:val="single" w:sz="4" w:space="0" w:color="auto"/>
              <w:right w:val="single" w:sz="4" w:space="0" w:color="auto"/>
            </w:tcBorders>
            <w:vAlign w:val="center"/>
          </w:tcPr>
          <w:p w14:paraId="4BA71CCD" w14:textId="7A2F5197" w:rsidR="008D40C6" w:rsidRPr="004D2CD9" w:rsidRDefault="008D40C6" w:rsidP="005E4D14">
            <w:pPr>
              <w:pStyle w:val="TableText0"/>
              <w:jc w:val="center"/>
              <w:rPr>
                <w:b/>
                <w:bCs w:val="0"/>
                <w:vertAlign w:val="superscript"/>
              </w:rPr>
            </w:pPr>
            <w:r w:rsidRPr="004D2CD9">
              <w:rPr>
                <w:b/>
                <w:bCs w:val="0"/>
              </w:rPr>
              <w:t>-0.06 (</w:t>
            </w:r>
            <w:r w:rsidRPr="004D2CD9">
              <w:rPr>
                <w:b/>
                <w:bCs w:val="0"/>
              </w:rPr>
              <w:noBreakHyphen/>
              <w:t xml:space="preserve">0.12, </w:t>
            </w:r>
            <w:r w:rsidRPr="004D2CD9">
              <w:rPr>
                <w:b/>
                <w:bCs w:val="0"/>
              </w:rPr>
              <w:noBreakHyphen/>
              <w:t>0.00)</w:t>
            </w:r>
            <w:r w:rsidR="004D2CD9" w:rsidRPr="004D2CD9">
              <w:rPr>
                <w:b/>
                <w:bCs w:val="0"/>
              </w:rPr>
              <w:t xml:space="preserve"> </w:t>
            </w:r>
          </w:p>
        </w:tc>
      </w:tr>
      <w:tr w:rsidR="008D40C6" w:rsidRPr="0098262F" w14:paraId="00168D30" w14:textId="77777777" w:rsidTr="004D2CD9">
        <w:tc>
          <w:tcPr>
            <w:tcW w:w="6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486F9" w14:textId="77777777" w:rsidR="008D40C6" w:rsidRPr="0098262F" w:rsidRDefault="008D40C6" w:rsidP="005E4D14">
            <w:pPr>
              <w:pStyle w:val="TableText0"/>
            </w:pPr>
            <w:r>
              <w:t>TEAE leading to discontinuation</w:t>
            </w:r>
          </w:p>
        </w:tc>
        <w:tc>
          <w:tcPr>
            <w:tcW w:w="629" w:type="pct"/>
            <w:gridSpan w:val="2"/>
            <w:tcBorders>
              <w:top w:val="single" w:sz="4" w:space="0" w:color="auto"/>
              <w:left w:val="single" w:sz="4" w:space="0" w:color="auto"/>
              <w:bottom w:val="single" w:sz="4" w:space="0" w:color="auto"/>
              <w:right w:val="single" w:sz="4" w:space="0" w:color="auto"/>
            </w:tcBorders>
            <w:vAlign w:val="center"/>
          </w:tcPr>
          <w:p w14:paraId="6F1AB71A" w14:textId="77777777" w:rsidR="008D40C6" w:rsidRPr="0098262F" w:rsidRDefault="008D40C6" w:rsidP="005E4D14">
            <w:pPr>
              <w:pStyle w:val="TableText0"/>
              <w:jc w:val="center"/>
            </w:pPr>
            <w:r>
              <w:t>175/440</w:t>
            </w:r>
          </w:p>
        </w:tc>
        <w:tc>
          <w:tcPr>
            <w:tcW w:w="708" w:type="pct"/>
            <w:tcBorders>
              <w:top w:val="single" w:sz="4" w:space="0" w:color="auto"/>
              <w:left w:val="single" w:sz="4" w:space="0" w:color="auto"/>
              <w:bottom w:val="single" w:sz="4" w:space="0" w:color="auto"/>
              <w:right w:val="single" w:sz="4" w:space="0" w:color="auto"/>
            </w:tcBorders>
            <w:vAlign w:val="center"/>
          </w:tcPr>
          <w:p w14:paraId="6EEF4692" w14:textId="77777777" w:rsidR="008D40C6" w:rsidRPr="0098262F" w:rsidRDefault="008D40C6" w:rsidP="005E4D14">
            <w:pPr>
              <w:pStyle w:val="TableText0"/>
              <w:jc w:val="center"/>
            </w:pPr>
            <w:r>
              <w:t>93/433</w:t>
            </w:r>
          </w:p>
        </w:tc>
        <w:tc>
          <w:tcPr>
            <w:tcW w:w="862" w:type="pct"/>
            <w:tcBorders>
              <w:top w:val="single" w:sz="4" w:space="0" w:color="auto"/>
              <w:left w:val="single" w:sz="4" w:space="0" w:color="auto"/>
              <w:bottom w:val="single" w:sz="4" w:space="0" w:color="auto"/>
              <w:right w:val="single" w:sz="4" w:space="0" w:color="auto"/>
            </w:tcBorders>
            <w:vAlign w:val="center"/>
          </w:tcPr>
          <w:p w14:paraId="6C733F0E" w14:textId="77777777" w:rsidR="008D40C6" w:rsidRPr="00432DA5" w:rsidRDefault="008D40C6" w:rsidP="005E4D14">
            <w:pPr>
              <w:pStyle w:val="TableText0"/>
              <w:jc w:val="center"/>
              <w:rPr>
                <w:b/>
                <w:bCs w:val="0"/>
              </w:rPr>
            </w:pPr>
            <w:r w:rsidRPr="00432DA5">
              <w:rPr>
                <w:b/>
                <w:bCs w:val="0"/>
              </w:rPr>
              <w:t>1.85 (1.49, 2.29)</w:t>
            </w:r>
          </w:p>
        </w:tc>
        <w:tc>
          <w:tcPr>
            <w:tcW w:w="628" w:type="pct"/>
            <w:tcBorders>
              <w:top w:val="single" w:sz="4" w:space="0" w:color="auto"/>
              <w:left w:val="single" w:sz="4" w:space="0" w:color="auto"/>
              <w:bottom w:val="single" w:sz="4" w:space="0" w:color="auto"/>
              <w:right w:val="single" w:sz="4" w:space="0" w:color="auto"/>
            </w:tcBorders>
            <w:vAlign w:val="center"/>
          </w:tcPr>
          <w:p w14:paraId="1C46EB35" w14:textId="77777777" w:rsidR="008D40C6" w:rsidRPr="0098262F" w:rsidRDefault="008D40C6" w:rsidP="005E4D14">
            <w:pPr>
              <w:pStyle w:val="TableText0"/>
              <w:jc w:val="center"/>
            </w:pPr>
            <w:r>
              <w:t>40</w:t>
            </w:r>
          </w:p>
        </w:tc>
        <w:tc>
          <w:tcPr>
            <w:tcW w:w="616" w:type="pct"/>
            <w:tcBorders>
              <w:top w:val="single" w:sz="4" w:space="0" w:color="auto"/>
              <w:left w:val="single" w:sz="4" w:space="0" w:color="auto"/>
              <w:bottom w:val="single" w:sz="4" w:space="0" w:color="auto"/>
              <w:right w:val="single" w:sz="4" w:space="0" w:color="auto"/>
            </w:tcBorders>
            <w:vAlign w:val="center"/>
          </w:tcPr>
          <w:p w14:paraId="67BA121D" w14:textId="77777777" w:rsidR="008D40C6" w:rsidRPr="0098262F" w:rsidRDefault="008D40C6" w:rsidP="005E4D14">
            <w:pPr>
              <w:pStyle w:val="TableText0"/>
              <w:jc w:val="center"/>
            </w:pPr>
            <w:r>
              <w:t>22</w:t>
            </w:r>
          </w:p>
        </w:tc>
        <w:tc>
          <w:tcPr>
            <w:tcW w:w="915" w:type="pct"/>
            <w:tcBorders>
              <w:top w:val="single" w:sz="4" w:space="0" w:color="auto"/>
              <w:left w:val="single" w:sz="4" w:space="0" w:color="auto"/>
              <w:bottom w:val="single" w:sz="4" w:space="0" w:color="auto"/>
              <w:right w:val="single" w:sz="4" w:space="0" w:color="auto"/>
            </w:tcBorders>
            <w:vAlign w:val="center"/>
          </w:tcPr>
          <w:p w14:paraId="6855D5C6" w14:textId="20559209" w:rsidR="008D40C6" w:rsidRPr="004D2CD9" w:rsidRDefault="008D40C6" w:rsidP="005E4D14">
            <w:pPr>
              <w:pStyle w:val="TableText0"/>
              <w:jc w:val="center"/>
              <w:rPr>
                <w:b/>
                <w:bCs w:val="0"/>
                <w:vertAlign w:val="superscript"/>
              </w:rPr>
            </w:pPr>
            <w:r w:rsidRPr="004D2CD9">
              <w:rPr>
                <w:b/>
                <w:bCs w:val="0"/>
              </w:rPr>
              <w:t>0.18 (0.12, 0.24)</w:t>
            </w:r>
            <w:r w:rsidR="004D2CD9" w:rsidRPr="004D2CD9">
              <w:rPr>
                <w:b/>
                <w:bCs w:val="0"/>
              </w:rPr>
              <w:t xml:space="preserve"> </w:t>
            </w:r>
          </w:p>
          <w:p w14:paraId="3FF6F4B5" w14:textId="77777777" w:rsidR="008D40C6" w:rsidRPr="004D2CD9" w:rsidRDefault="008D40C6" w:rsidP="005E4D14">
            <w:pPr>
              <w:pStyle w:val="TableText0"/>
              <w:jc w:val="center"/>
              <w:rPr>
                <w:b/>
                <w:bCs w:val="0"/>
              </w:rPr>
            </w:pPr>
          </w:p>
        </w:tc>
      </w:tr>
      <w:tr w:rsidR="008D40C6" w:rsidRPr="0098262F" w14:paraId="751BA213" w14:textId="77777777" w:rsidTr="004D2CD9">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C331E36" w14:textId="77777777" w:rsidR="008D40C6" w:rsidRPr="0098262F" w:rsidRDefault="008D40C6" w:rsidP="005E4D14">
            <w:pPr>
              <w:pStyle w:val="TableText0"/>
            </w:pPr>
            <w:r>
              <w:t>TEAE leading to dose interruption</w:t>
            </w:r>
          </w:p>
        </w:tc>
        <w:tc>
          <w:tcPr>
            <w:tcW w:w="633" w:type="pct"/>
            <w:gridSpan w:val="3"/>
            <w:tcBorders>
              <w:top w:val="single" w:sz="4" w:space="0" w:color="auto"/>
              <w:left w:val="single" w:sz="4" w:space="0" w:color="auto"/>
              <w:bottom w:val="single" w:sz="4" w:space="0" w:color="auto"/>
              <w:right w:val="single" w:sz="4" w:space="0" w:color="auto"/>
            </w:tcBorders>
            <w:vAlign w:val="center"/>
          </w:tcPr>
          <w:p w14:paraId="501AEB2A" w14:textId="77777777" w:rsidR="008D40C6" w:rsidRPr="0098262F" w:rsidRDefault="008D40C6" w:rsidP="005E4D14">
            <w:pPr>
              <w:pStyle w:val="TableText0"/>
              <w:jc w:val="center"/>
            </w:pPr>
            <w:r>
              <w:t>347/440</w:t>
            </w:r>
          </w:p>
        </w:tc>
        <w:tc>
          <w:tcPr>
            <w:tcW w:w="708" w:type="pct"/>
            <w:tcBorders>
              <w:top w:val="single" w:sz="4" w:space="0" w:color="auto"/>
              <w:left w:val="single" w:sz="4" w:space="0" w:color="auto"/>
              <w:bottom w:val="single" w:sz="4" w:space="0" w:color="auto"/>
              <w:right w:val="single" w:sz="4" w:space="0" w:color="auto"/>
            </w:tcBorders>
            <w:vAlign w:val="center"/>
          </w:tcPr>
          <w:p w14:paraId="33BC80F3" w14:textId="77777777" w:rsidR="008D40C6" w:rsidRPr="0098262F" w:rsidRDefault="008D40C6" w:rsidP="005E4D14">
            <w:pPr>
              <w:pStyle w:val="TableText0"/>
              <w:jc w:val="center"/>
            </w:pPr>
            <w:r>
              <w:t>279/433</w:t>
            </w:r>
          </w:p>
        </w:tc>
        <w:tc>
          <w:tcPr>
            <w:tcW w:w="862" w:type="pct"/>
            <w:tcBorders>
              <w:top w:val="single" w:sz="4" w:space="0" w:color="auto"/>
              <w:left w:val="single" w:sz="4" w:space="0" w:color="auto"/>
              <w:bottom w:val="single" w:sz="4" w:space="0" w:color="auto"/>
              <w:right w:val="single" w:sz="4" w:space="0" w:color="auto"/>
            </w:tcBorders>
            <w:vAlign w:val="center"/>
          </w:tcPr>
          <w:p w14:paraId="61ABCA2F" w14:textId="77777777" w:rsidR="008D40C6" w:rsidRPr="00432DA5" w:rsidRDefault="008D40C6" w:rsidP="005E4D14">
            <w:pPr>
              <w:pStyle w:val="TableText0"/>
              <w:jc w:val="center"/>
              <w:rPr>
                <w:b/>
                <w:bCs w:val="0"/>
              </w:rPr>
            </w:pPr>
            <w:r w:rsidRPr="00432DA5">
              <w:rPr>
                <w:b/>
                <w:bCs w:val="0"/>
              </w:rPr>
              <w:t>1.22 (1.12, 1.33)</w:t>
            </w:r>
          </w:p>
        </w:tc>
        <w:tc>
          <w:tcPr>
            <w:tcW w:w="628" w:type="pct"/>
            <w:tcBorders>
              <w:top w:val="single" w:sz="4" w:space="0" w:color="auto"/>
              <w:left w:val="single" w:sz="4" w:space="0" w:color="auto"/>
              <w:bottom w:val="single" w:sz="4" w:space="0" w:color="auto"/>
              <w:right w:val="single" w:sz="4" w:space="0" w:color="auto"/>
            </w:tcBorders>
            <w:vAlign w:val="center"/>
          </w:tcPr>
          <w:p w14:paraId="16785A19" w14:textId="77777777" w:rsidR="008D40C6" w:rsidRPr="0098262F" w:rsidRDefault="008D40C6" w:rsidP="005E4D14">
            <w:pPr>
              <w:pStyle w:val="TableText0"/>
              <w:jc w:val="center"/>
            </w:pPr>
            <w:r>
              <w:t>79</w:t>
            </w:r>
          </w:p>
        </w:tc>
        <w:tc>
          <w:tcPr>
            <w:tcW w:w="616" w:type="pct"/>
            <w:tcBorders>
              <w:top w:val="single" w:sz="4" w:space="0" w:color="auto"/>
              <w:left w:val="single" w:sz="4" w:space="0" w:color="auto"/>
              <w:bottom w:val="single" w:sz="4" w:space="0" w:color="auto"/>
              <w:right w:val="single" w:sz="4" w:space="0" w:color="auto"/>
            </w:tcBorders>
            <w:vAlign w:val="center"/>
          </w:tcPr>
          <w:p w14:paraId="22252F93" w14:textId="77777777" w:rsidR="008D40C6" w:rsidRPr="0098262F" w:rsidRDefault="008D40C6" w:rsidP="005E4D14">
            <w:pPr>
              <w:pStyle w:val="TableText0"/>
              <w:jc w:val="center"/>
            </w:pPr>
            <w:r>
              <w:t>64</w:t>
            </w:r>
          </w:p>
        </w:tc>
        <w:tc>
          <w:tcPr>
            <w:tcW w:w="915" w:type="pct"/>
            <w:tcBorders>
              <w:top w:val="single" w:sz="4" w:space="0" w:color="auto"/>
              <w:left w:val="single" w:sz="4" w:space="0" w:color="auto"/>
              <w:bottom w:val="single" w:sz="4" w:space="0" w:color="auto"/>
              <w:right w:val="single" w:sz="4" w:space="0" w:color="auto"/>
            </w:tcBorders>
            <w:vAlign w:val="center"/>
          </w:tcPr>
          <w:p w14:paraId="079EE09D" w14:textId="6D5A2BB0" w:rsidR="008D40C6" w:rsidRPr="004D2CD9" w:rsidRDefault="008D40C6" w:rsidP="005E4D14">
            <w:pPr>
              <w:pStyle w:val="TableText0"/>
              <w:jc w:val="center"/>
              <w:rPr>
                <w:b/>
                <w:bCs w:val="0"/>
                <w:vertAlign w:val="superscript"/>
              </w:rPr>
            </w:pPr>
            <w:r w:rsidRPr="004D2CD9">
              <w:rPr>
                <w:b/>
                <w:bCs w:val="0"/>
              </w:rPr>
              <w:t>0.14 (0.09, 0.20)</w:t>
            </w:r>
            <w:r w:rsidR="004D2CD9" w:rsidRPr="004D2CD9">
              <w:rPr>
                <w:b/>
                <w:bCs w:val="0"/>
              </w:rPr>
              <w:t xml:space="preserve"> </w:t>
            </w:r>
          </w:p>
        </w:tc>
      </w:tr>
    </w:tbl>
    <w:p w14:paraId="4025B833" w14:textId="77777777" w:rsidR="008D40C6" w:rsidRDefault="008D40C6" w:rsidP="008D40C6">
      <w:pPr>
        <w:pStyle w:val="FooterTableFigure"/>
        <w:keepLines/>
        <w:jc w:val="left"/>
      </w:pPr>
      <w:r>
        <w:t>Source: Table 2-12, p66, Table 2-13, p68, and Table 2-18, p77 of the submission.</w:t>
      </w:r>
      <w:r>
        <w:br/>
        <w:t xml:space="preserve">BICR = blinded independent central review; CI = confidence interval; EV+PEM = enfortumab vedotin with pembrolizumab; HR = hazard ratio; ITT = intention to treat population; OS = overall survival; PFS = progression free survival; </w:t>
      </w:r>
      <w:proofErr w:type="spellStart"/>
      <w:r>
        <w:t>Plat+GEM</w:t>
      </w:r>
      <w:proofErr w:type="spellEnd"/>
      <w:r>
        <w:t xml:space="preserve"> = platinum containing chemotherapy with gemcitabine; n = number of patients who progressed or died; N = number of patients in the arm; NR = not reached; RD = risk difference; RR = risk ratio; TEAE = treatment emergent adverse event. </w:t>
      </w:r>
    </w:p>
    <w:p w14:paraId="02185BC4" w14:textId="77777777" w:rsidR="008D40C6" w:rsidRDefault="008D40C6" w:rsidP="008D40C6">
      <w:pPr>
        <w:pStyle w:val="FooterTableFigure"/>
        <w:keepLines/>
        <w:jc w:val="left"/>
      </w:pPr>
      <w:r>
        <w:rPr>
          <w:b/>
          <w:bCs/>
        </w:rPr>
        <w:t>Bold</w:t>
      </w:r>
      <w:r>
        <w:t xml:space="preserve"> = statistically significant</w:t>
      </w:r>
    </w:p>
    <w:p w14:paraId="7B851C81" w14:textId="70F48AF1" w:rsidR="008D40C6" w:rsidRPr="00167B84" w:rsidRDefault="004D2CD9" w:rsidP="008D40C6">
      <w:pPr>
        <w:pStyle w:val="FooterTableFigure"/>
        <w:keepLines/>
        <w:jc w:val="left"/>
      </w:pPr>
      <w:r w:rsidRPr="004D2CD9">
        <w:rPr>
          <w:vertAlign w:val="superscript"/>
        </w:rPr>
        <w:t xml:space="preserve">a </w:t>
      </w:r>
      <w:r w:rsidR="008D40C6">
        <w:t>calculated using Stat/MP 18.0</w:t>
      </w:r>
    </w:p>
    <w:p w14:paraId="3CA38ACF" w14:textId="77777777" w:rsidR="008D40C6" w:rsidRPr="0098262F" w:rsidRDefault="008D40C6" w:rsidP="008D40C6">
      <w:pPr>
        <w:pStyle w:val="3-BodyText"/>
      </w:pPr>
      <w:r w:rsidRPr="0098262F">
        <w:t xml:space="preserve">On the basis of direct evidence presented by the submission, for every 100 patients treated with </w:t>
      </w:r>
      <w:r>
        <w:t>EV+PEM</w:t>
      </w:r>
      <w:r w:rsidRPr="0098262F">
        <w:t xml:space="preserve"> in comparison with </w:t>
      </w:r>
      <w:proofErr w:type="spellStart"/>
      <w:r>
        <w:t>Plat+Gem</w:t>
      </w:r>
      <w:proofErr w:type="spellEnd"/>
      <w:r w:rsidRPr="0098262F">
        <w:t xml:space="preserve"> over a median duration of follow-up</w:t>
      </w:r>
      <w:r>
        <w:t xml:space="preserve"> of 1</w:t>
      </w:r>
      <w:r w:rsidRPr="0098262F">
        <w:t>7.</w:t>
      </w:r>
      <w:r>
        <w:t>2</w:t>
      </w:r>
      <w:r w:rsidRPr="0098262F">
        <w:t xml:space="preserve"> months:</w:t>
      </w:r>
    </w:p>
    <w:p w14:paraId="69110109" w14:textId="77777777" w:rsidR="008D40C6" w:rsidRPr="0098262F" w:rsidRDefault="008D40C6" w:rsidP="0043244E">
      <w:pPr>
        <w:pStyle w:val="ListParagraph"/>
        <w:ind w:left="1134"/>
        <w:jc w:val="both"/>
      </w:pPr>
      <w:r w:rsidRPr="0098262F">
        <w:t xml:space="preserve">Approximately </w:t>
      </w:r>
      <w:r>
        <w:t>29</w:t>
      </w:r>
      <w:r w:rsidRPr="0098262F">
        <w:t xml:space="preserve"> </w:t>
      </w:r>
      <w:r>
        <w:t>fewer</w:t>
      </w:r>
      <w:r w:rsidRPr="0098262F">
        <w:t xml:space="preserve"> patients would have </w:t>
      </w:r>
      <w:r>
        <w:t>disease</w:t>
      </w:r>
      <w:r w:rsidRPr="00537CB3">
        <w:t xml:space="preserve"> </w:t>
      </w:r>
      <w:r>
        <w:t>progression at 12 months</w:t>
      </w:r>
      <w:r w:rsidRPr="0098262F">
        <w:t>.</w:t>
      </w:r>
    </w:p>
    <w:p w14:paraId="4C61AE4E" w14:textId="77777777" w:rsidR="008D40C6" w:rsidRPr="0098262F" w:rsidRDefault="008D40C6" w:rsidP="0043244E">
      <w:pPr>
        <w:pStyle w:val="ListParagraph"/>
        <w:ind w:left="1134"/>
        <w:jc w:val="both"/>
      </w:pPr>
      <w:r w:rsidRPr="0098262F">
        <w:t xml:space="preserve">Approximately </w:t>
      </w:r>
      <w:r>
        <w:t>17</w:t>
      </w:r>
      <w:r w:rsidRPr="0098262F">
        <w:t xml:space="preserve"> fewer patients would have </w:t>
      </w:r>
      <w:r>
        <w:t>died at 12 months</w:t>
      </w:r>
      <w:r w:rsidRPr="0098262F">
        <w:t>.</w:t>
      </w:r>
    </w:p>
    <w:p w14:paraId="5A68BFB9" w14:textId="77777777" w:rsidR="008D40C6" w:rsidRPr="0098262F" w:rsidRDefault="008D40C6" w:rsidP="0043244E">
      <w:pPr>
        <w:pStyle w:val="ListParagraph"/>
        <w:ind w:left="1134"/>
        <w:jc w:val="both"/>
      </w:pPr>
      <w:r w:rsidRPr="0098262F">
        <w:t xml:space="preserve">Approximately </w:t>
      </w:r>
      <w:r>
        <w:t>6</w:t>
      </w:r>
      <w:r w:rsidRPr="0098262F">
        <w:t xml:space="preserve"> </w:t>
      </w:r>
      <w:r>
        <w:t>fewer</w:t>
      </w:r>
      <w:r w:rsidRPr="0098262F">
        <w:t xml:space="preserve"> patients would experience </w:t>
      </w:r>
      <w:r>
        <w:t>a grade 3-5 adverse event</w:t>
      </w:r>
    </w:p>
    <w:p w14:paraId="7F9010CB" w14:textId="77777777" w:rsidR="008D40C6" w:rsidRDefault="008D40C6" w:rsidP="0043244E">
      <w:pPr>
        <w:pStyle w:val="ListParagraph"/>
        <w:ind w:left="1134"/>
        <w:jc w:val="both"/>
      </w:pPr>
      <w:r w:rsidRPr="0098262F">
        <w:t xml:space="preserve">Approximately </w:t>
      </w:r>
      <w:r>
        <w:t>18</w:t>
      </w:r>
      <w:r w:rsidRPr="0098262F">
        <w:t xml:space="preserve"> additional patients would experience</w:t>
      </w:r>
      <w:r>
        <w:t xml:space="preserve"> an adverse event requiring drug discontinuation</w:t>
      </w:r>
      <w:r w:rsidRPr="0098262F">
        <w:t>.</w:t>
      </w:r>
    </w:p>
    <w:p w14:paraId="54E12DDC" w14:textId="77777777" w:rsidR="008D40C6" w:rsidRPr="0098262F" w:rsidRDefault="008D40C6" w:rsidP="0043244E">
      <w:pPr>
        <w:pStyle w:val="ListParagraph"/>
        <w:ind w:left="1134"/>
        <w:jc w:val="both"/>
      </w:pPr>
      <w:r>
        <w:lastRenderedPageBreak/>
        <w:t>Approximately 14 additional patients would experience an adverse event requiring a dose interruption.</w:t>
      </w:r>
    </w:p>
    <w:p w14:paraId="5DA94356" w14:textId="77777777" w:rsidR="008D40C6" w:rsidRPr="0098262F" w:rsidRDefault="008D40C6" w:rsidP="008D40C6">
      <w:pPr>
        <w:pStyle w:val="4-SubsectionHeading"/>
      </w:pPr>
      <w:bookmarkStart w:id="35" w:name="_Toc22897644"/>
      <w:bookmarkStart w:id="36" w:name="_Toc177481909"/>
      <w:r w:rsidRPr="0098262F">
        <w:t>Clinical claim</w:t>
      </w:r>
      <w:bookmarkEnd w:id="35"/>
      <w:bookmarkEnd w:id="36"/>
    </w:p>
    <w:p w14:paraId="41892218" w14:textId="77777777" w:rsidR="008D40C6" w:rsidRPr="00C40690" w:rsidRDefault="008D40C6" w:rsidP="008D40C6">
      <w:pPr>
        <w:pStyle w:val="3-BodyText"/>
      </w:pPr>
      <w:r w:rsidRPr="00C40690">
        <w:t xml:space="preserve">The submission described EV+PEM as superior in terms of effectiveness and safety compared with </w:t>
      </w:r>
      <w:proofErr w:type="spellStart"/>
      <w:r w:rsidRPr="00C40690">
        <w:t>Plat+Gem</w:t>
      </w:r>
      <w:proofErr w:type="spellEnd"/>
      <w:r w:rsidRPr="00C40690">
        <w:t xml:space="preserve"> in patients with previously untreated la/mUC. </w:t>
      </w:r>
    </w:p>
    <w:p w14:paraId="44EDC31E" w14:textId="3D88508F" w:rsidR="008D40C6" w:rsidRPr="005D3209" w:rsidRDefault="008D40C6" w:rsidP="008D40C6">
      <w:pPr>
        <w:pStyle w:val="3-BodyText"/>
      </w:pPr>
      <w:r w:rsidRPr="00C11145">
        <w:t xml:space="preserve">The </w:t>
      </w:r>
      <w:r w:rsidR="004D2CD9" w:rsidRPr="005D3209">
        <w:t xml:space="preserve">evaluation considered that the </w:t>
      </w:r>
      <w:r w:rsidRPr="005D3209">
        <w:t xml:space="preserve">therapeutic conclusion of superior efficacy is adequately supported by the clinical evidence presented. EV+PEM demonstrated a statistically significant improvement in PFS by BICR in the ITT population compared to </w:t>
      </w:r>
      <w:proofErr w:type="spellStart"/>
      <w:r w:rsidRPr="005D3209">
        <w:t>Plat+Gem</w:t>
      </w:r>
      <w:proofErr w:type="spellEnd"/>
      <w:r w:rsidRPr="005D3209">
        <w:t xml:space="preserve"> (HR=0.45; 95% CI: 0.3</w:t>
      </w:r>
      <w:r w:rsidR="00C22F93">
        <w:t>8</w:t>
      </w:r>
      <w:r w:rsidRPr="005D3209">
        <w:t>, 0.5</w:t>
      </w:r>
      <w:r w:rsidR="00C22F93">
        <w:t>4</w:t>
      </w:r>
      <w:r w:rsidRPr="005D3209">
        <w:t>) with an incremental gain in median PFS of 6.2</w:t>
      </w:r>
      <w:r w:rsidR="0043244E">
        <w:t> </w:t>
      </w:r>
      <w:r w:rsidRPr="005D3209">
        <w:t xml:space="preserve">months. A statistically significant improvement in OS with EV+PEM was also observed (HR=0.468; 95% CI: 0.376, 0.582) with an incremental gain in median OS of 15.4 months. </w:t>
      </w:r>
      <w:r w:rsidR="004D2CD9" w:rsidRPr="005D3209">
        <w:t>The ESC agreed with the evaluation that the claim of superior efficacy is supported</w:t>
      </w:r>
      <w:r w:rsidR="00284B0E" w:rsidRPr="005D3209">
        <w:t xml:space="preserve"> by the evidence presented. However, the ESC considered the magnitude </w:t>
      </w:r>
      <w:r w:rsidR="00956943" w:rsidRPr="005D3209">
        <w:t xml:space="preserve">of benefit </w:t>
      </w:r>
      <w:r w:rsidR="00284B0E" w:rsidRPr="005D3209">
        <w:t xml:space="preserve">may potentially be overestimated due to the absence of a subgroup analysis to show the incremental benefit of EV+PEM over </w:t>
      </w:r>
      <w:proofErr w:type="spellStart"/>
      <w:r w:rsidR="00284B0E" w:rsidRPr="005D3209">
        <w:t>Plat+Gem</w:t>
      </w:r>
      <w:proofErr w:type="spellEnd"/>
      <w:r w:rsidR="00284B0E" w:rsidRPr="005D3209">
        <w:t xml:space="preserve"> by the presence or absence of avelumab maintenance therapy. </w:t>
      </w:r>
    </w:p>
    <w:p w14:paraId="70632BEA" w14:textId="3B67B191" w:rsidR="008D40C6" w:rsidRPr="00763E59" w:rsidRDefault="008D40C6" w:rsidP="008D40C6">
      <w:pPr>
        <w:pStyle w:val="3-BodyText"/>
        <w:rPr>
          <w:rFonts w:eastAsia="Calibri"/>
        </w:rPr>
      </w:pPr>
      <w:r w:rsidRPr="00C11145">
        <w:t xml:space="preserve">The </w:t>
      </w:r>
      <w:r w:rsidR="00284B0E" w:rsidRPr="005D3209">
        <w:t>evaluation considered the</w:t>
      </w:r>
      <w:r w:rsidR="00284B0E">
        <w:rPr>
          <w:i/>
          <w:iCs/>
        </w:rPr>
        <w:t xml:space="preserve"> </w:t>
      </w:r>
      <w:r w:rsidRPr="00C11145">
        <w:t>therapeutic conclusion of superior safety is not adequately supported by the clinical evidence presented</w:t>
      </w:r>
      <w:r w:rsidRPr="00167B84">
        <w:rPr>
          <w:i/>
          <w:iCs/>
        </w:rPr>
        <w:t>.</w:t>
      </w:r>
      <w:r w:rsidRPr="00C40690">
        <w:t xml:space="preserve"> The submission made the claim of superior safety based on exposure adjusted adverse events rates as EV+PEM was administered for a longer duration than </w:t>
      </w:r>
      <w:proofErr w:type="spellStart"/>
      <w:r w:rsidRPr="00C40690">
        <w:t>Plat+Gem</w:t>
      </w:r>
      <w:proofErr w:type="spellEnd"/>
      <w:r w:rsidRPr="00C40690">
        <w:t xml:space="preserve"> (median 9.43 months vs. median 4.14 months). </w:t>
      </w:r>
      <w:r w:rsidRPr="00C11145">
        <w:t xml:space="preserve">However, the difference in exposure time was likely due to EV+PEM being administered until disease progression, whereas </w:t>
      </w:r>
      <w:proofErr w:type="spellStart"/>
      <w:r w:rsidRPr="00C11145">
        <w:t>Plat+Gem</w:t>
      </w:r>
      <w:proofErr w:type="spellEnd"/>
      <w:r w:rsidRPr="00C11145">
        <w:t xml:space="preserve"> is administered for a maximum of 6 cycles. As EV+PEM increases PFS, it would be expected that the greater exposure seen in the EV-302 trial will be mirrored in clinical practice. As such, the unadjusted adverse event rates are more representative of what patients will experience</w:t>
      </w:r>
      <w:r w:rsidRPr="00167B84">
        <w:rPr>
          <w:i/>
          <w:iCs/>
        </w:rPr>
        <w:t>.</w:t>
      </w:r>
      <w:r w:rsidRPr="00C40690">
        <w:t xml:space="preserve"> When looking at the unadjusted TEAEs rates, </w:t>
      </w:r>
      <w:proofErr w:type="spellStart"/>
      <w:r>
        <w:t>Plat+Gem</w:t>
      </w:r>
      <w:proofErr w:type="spellEnd"/>
      <w:r>
        <w:t xml:space="preserve"> had a higher rate of </w:t>
      </w:r>
      <w:r w:rsidRPr="00C40690">
        <w:t>grade 3 to 5 TEAEs</w:t>
      </w:r>
      <w:r>
        <w:t xml:space="preserve"> (78.8% vs. 73%). </w:t>
      </w:r>
      <w:r w:rsidRPr="00C40690">
        <w:t>However, EV+</w:t>
      </w:r>
      <w:r w:rsidR="00EA3E45" w:rsidRPr="00C40690">
        <w:t>PEM</w:t>
      </w:r>
      <w:r w:rsidR="00EA3E45">
        <w:t xml:space="preserve"> </w:t>
      </w:r>
      <w:r w:rsidR="00EA3E45" w:rsidRPr="00C40690">
        <w:t>had</w:t>
      </w:r>
      <w:r>
        <w:t xml:space="preserve"> a</w:t>
      </w:r>
      <w:r w:rsidRPr="00C40690">
        <w:t xml:space="preserve"> higher rate of TEAEs leading to discontinuation (39.8% vs. 21.5%)</w:t>
      </w:r>
      <w:r>
        <w:t>,</w:t>
      </w:r>
      <w:r w:rsidRPr="00C40690">
        <w:t xml:space="preserve"> a higher rate of TEAEs leading to study drug interruption (78.9% vs. 64.4%)</w:t>
      </w:r>
      <w:r>
        <w:t xml:space="preserve"> and a higher rate of serious TEAEs (50.0% </w:t>
      </w:r>
      <w:r w:rsidRPr="00D35B09">
        <w:rPr>
          <w:i/>
          <w:iCs/>
        </w:rPr>
        <w:t>vs</w:t>
      </w:r>
      <w:r>
        <w:t>. 39.0%)</w:t>
      </w:r>
      <w:r w:rsidRPr="00C40690">
        <w:t xml:space="preserve">. </w:t>
      </w:r>
      <w:r w:rsidRPr="00C11145">
        <w:t xml:space="preserve">Due to the differences in mechanism of action and administration and adverse event profiles, </w:t>
      </w:r>
      <w:r w:rsidR="00284B0E" w:rsidRPr="005D3209">
        <w:t xml:space="preserve">the evaluation considered </w:t>
      </w:r>
      <w:r w:rsidRPr="005D3209">
        <w:t>a claim of non-inferior but different safety is more reasonable.</w:t>
      </w:r>
      <w:r w:rsidR="00284B0E" w:rsidRPr="005D3209">
        <w:t xml:space="preserve"> The PSCR acknowledged that superior safety is difficult to establish based on a direct comparison of the safety data between treatment arms and agreed with the evaluation that a claim of non-inferior but different safety is reasonable. The ESC agreed with the evaluation that the unadjusted adverse event rates should be used but advised that a claim of inferior but manageable safety profile may be more appropriate.</w:t>
      </w:r>
    </w:p>
    <w:p w14:paraId="77A71C8B" w14:textId="33AB8478" w:rsidR="00763E59" w:rsidRPr="00CE42B4" w:rsidRDefault="00763E59" w:rsidP="00763E59">
      <w:pPr>
        <w:pStyle w:val="3-BodyText"/>
        <w:rPr>
          <w:snapToGrid w:val="0"/>
        </w:rPr>
      </w:pPr>
      <w:bookmarkStart w:id="37" w:name="_Hlk76376200"/>
      <w:r w:rsidRPr="00CE42B4">
        <w:rPr>
          <w:iCs/>
          <w:snapToGrid w:val="0"/>
        </w:rPr>
        <w:t>The</w:t>
      </w:r>
      <w:r w:rsidRPr="00CE42B4">
        <w:rPr>
          <w:snapToGrid w:val="0"/>
        </w:rPr>
        <w:t xml:space="preserve"> PBAC considered that the claim of superior comparative effectiveness was reasonable</w:t>
      </w:r>
      <w:r w:rsidR="00EF6A85">
        <w:rPr>
          <w:snapToGrid w:val="0"/>
        </w:rPr>
        <w:t>.</w:t>
      </w:r>
    </w:p>
    <w:p w14:paraId="19EA6BB9" w14:textId="5A350065" w:rsidR="00763E59" w:rsidRPr="00763E59" w:rsidRDefault="00763E59" w:rsidP="00763E59">
      <w:pPr>
        <w:pStyle w:val="3-BodyText"/>
        <w:rPr>
          <w:snapToGrid w:val="0"/>
        </w:rPr>
      </w:pPr>
      <w:r w:rsidRPr="00CE42B4">
        <w:rPr>
          <w:snapToGrid w:val="0"/>
        </w:rPr>
        <w:lastRenderedPageBreak/>
        <w:t>The PBAC considered that the claim of superior comparative safety was not adequately supported by the data</w:t>
      </w:r>
      <w:bookmarkEnd w:id="37"/>
      <w:r w:rsidR="000E22B8">
        <w:rPr>
          <w:snapToGrid w:val="0"/>
        </w:rPr>
        <w:t xml:space="preserve">. Instead the PBAC agreed with the ESC that a claim of inferior but </w:t>
      </w:r>
      <w:r w:rsidR="000E22B8" w:rsidRPr="005D3209">
        <w:t xml:space="preserve">manageable safety profile </w:t>
      </w:r>
      <w:r w:rsidR="000E22B8">
        <w:t>was</w:t>
      </w:r>
      <w:r w:rsidR="000E22B8" w:rsidRPr="005D3209">
        <w:t xml:space="preserve"> appropriate</w:t>
      </w:r>
      <w:r w:rsidR="000E22B8">
        <w:t xml:space="preserve">. </w:t>
      </w:r>
    </w:p>
    <w:p w14:paraId="77B9D7E5" w14:textId="77777777" w:rsidR="005D2394" w:rsidRPr="0098262F" w:rsidRDefault="005D2394" w:rsidP="005D2394">
      <w:pPr>
        <w:pStyle w:val="4-SubsectionHeading"/>
      </w:pPr>
      <w:bookmarkStart w:id="38" w:name="_Toc177481910"/>
      <w:r w:rsidRPr="0098262F">
        <w:t>Economic analysis</w:t>
      </w:r>
      <w:bookmarkEnd w:id="5"/>
      <w:bookmarkEnd w:id="6"/>
      <w:bookmarkEnd w:id="38"/>
      <w:r w:rsidRPr="0098262F">
        <w:t xml:space="preserve"> </w:t>
      </w:r>
    </w:p>
    <w:p w14:paraId="2F9C6FFE" w14:textId="3D088E88" w:rsidR="005D2394" w:rsidRPr="006B582B" w:rsidRDefault="005D2394" w:rsidP="003D16D6">
      <w:pPr>
        <w:pStyle w:val="3-BodyText"/>
      </w:pPr>
      <w:r w:rsidRPr="006B582B">
        <w:t>The submission</w:t>
      </w:r>
      <w:r>
        <w:t xml:space="preserve"> presented a modelled economic evaluation of EV+PEM compared with </w:t>
      </w:r>
      <w:proofErr w:type="spellStart"/>
      <w:r>
        <w:t>Plat+Gem</w:t>
      </w:r>
      <w:proofErr w:type="spellEnd"/>
      <w:r>
        <w:t xml:space="preserve"> for the treatment of patients with la/mUC. Comparative effectiveness, safety and time on treatment data were derived from the key randomised trial – EV-302. Consistent with the claim of superior effectiveness and superior safety, the economic evaluation was a cost-effectiveness / cost-utility analysis.</w:t>
      </w:r>
    </w:p>
    <w:p w14:paraId="1F812A3C" w14:textId="08F70AD2" w:rsidR="005D2394" w:rsidRDefault="005D2394" w:rsidP="005D2394">
      <w:pPr>
        <w:pStyle w:val="Caption"/>
        <w:jc w:val="left"/>
        <w:rPr>
          <w:rStyle w:val="CommentReference"/>
          <w:b/>
          <w:szCs w:val="24"/>
        </w:rPr>
      </w:pPr>
      <w:bookmarkStart w:id="39" w:name="_Ref183080256"/>
      <w:r w:rsidRPr="0098262F">
        <w:t xml:space="preserve">Table </w:t>
      </w:r>
      <w:r>
        <w:fldChar w:fldCharType="begin" w:fldLock="1"/>
      </w:r>
      <w:r>
        <w:instrText xml:space="preserve"> SEQ Table \* ARABIC </w:instrText>
      </w:r>
      <w:r>
        <w:fldChar w:fldCharType="separate"/>
      </w:r>
      <w:r w:rsidR="00FE0BD6">
        <w:rPr>
          <w:noProof/>
        </w:rPr>
        <w:t>9</w:t>
      </w:r>
      <w:r>
        <w:rPr>
          <w:noProof/>
        </w:rPr>
        <w:fldChar w:fldCharType="end"/>
      </w:r>
      <w:bookmarkEnd w:id="39"/>
      <w:r w:rsidRPr="0098262F">
        <w:t>:</w:t>
      </w:r>
      <w:r w:rsidRPr="0098262F">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61"/>
        <w:gridCol w:w="3253"/>
        <w:gridCol w:w="3803"/>
      </w:tblGrid>
      <w:tr w:rsidR="005D2394" w:rsidRPr="006B582B" w14:paraId="3C39DD63" w14:textId="77777777" w:rsidTr="00B02702">
        <w:trPr>
          <w:cantSplit/>
          <w:tblHeader/>
        </w:trPr>
        <w:tc>
          <w:tcPr>
            <w:tcW w:w="1087" w:type="pct"/>
            <w:vAlign w:val="center"/>
          </w:tcPr>
          <w:p w14:paraId="393DF3CC" w14:textId="77777777" w:rsidR="005D2394" w:rsidRPr="006B582B" w:rsidRDefault="005D2394" w:rsidP="00155EF7">
            <w:pPr>
              <w:pStyle w:val="In-tableHeading"/>
              <w:keepNext w:val="0"/>
              <w:keepLines w:val="0"/>
              <w:widowControl w:val="0"/>
              <w:jc w:val="center"/>
              <w:rPr>
                <w:lang w:val="en-AU"/>
              </w:rPr>
            </w:pPr>
            <w:r w:rsidRPr="006B582B">
              <w:rPr>
                <w:lang w:val="en-AU"/>
              </w:rPr>
              <w:t>Component</w:t>
            </w:r>
          </w:p>
        </w:tc>
        <w:tc>
          <w:tcPr>
            <w:tcW w:w="1804" w:type="pct"/>
          </w:tcPr>
          <w:p w14:paraId="18BEB533" w14:textId="77777777" w:rsidR="005D2394" w:rsidRPr="006B582B" w:rsidRDefault="005D2394" w:rsidP="00155EF7">
            <w:pPr>
              <w:pStyle w:val="In-tableHeading"/>
              <w:keepNext w:val="0"/>
              <w:keepLines w:val="0"/>
              <w:widowControl w:val="0"/>
              <w:jc w:val="center"/>
              <w:rPr>
                <w:lang w:val="en-AU"/>
              </w:rPr>
            </w:pPr>
            <w:r w:rsidRPr="006B582B">
              <w:rPr>
                <w:lang w:val="en-AU"/>
              </w:rPr>
              <w:t>Description</w:t>
            </w:r>
          </w:p>
        </w:tc>
        <w:tc>
          <w:tcPr>
            <w:tcW w:w="2109" w:type="pct"/>
            <w:vAlign w:val="center"/>
          </w:tcPr>
          <w:p w14:paraId="673A2211" w14:textId="77777777" w:rsidR="005D2394" w:rsidRPr="00432DA5" w:rsidRDefault="005D2394" w:rsidP="00155EF7">
            <w:pPr>
              <w:pStyle w:val="In-tableHeading"/>
              <w:keepNext w:val="0"/>
              <w:keepLines w:val="0"/>
              <w:widowControl w:val="0"/>
              <w:jc w:val="center"/>
              <w:rPr>
                <w:lang w:val="en-AU"/>
              </w:rPr>
            </w:pPr>
            <w:r w:rsidRPr="00432DA5">
              <w:rPr>
                <w:lang w:val="en-AU"/>
              </w:rPr>
              <w:t>Justification/comments</w:t>
            </w:r>
          </w:p>
        </w:tc>
      </w:tr>
      <w:tr w:rsidR="005D2394" w:rsidRPr="006B582B" w14:paraId="1085769D" w14:textId="77777777" w:rsidTr="00B02702">
        <w:trPr>
          <w:cantSplit/>
        </w:trPr>
        <w:tc>
          <w:tcPr>
            <w:tcW w:w="1087" w:type="pct"/>
            <w:vAlign w:val="center"/>
          </w:tcPr>
          <w:p w14:paraId="12EEF86F" w14:textId="77777777" w:rsidR="005D2394" w:rsidRPr="006B582B" w:rsidRDefault="005D2394" w:rsidP="00155EF7">
            <w:pPr>
              <w:pStyle w:val="TableText0"/>
              <w:keepNext w:val="0"/>
              <w:keepLines w:val="0"/>
              <w:widowControl w:val="0"/>
              <w:rPr>
                <w:i/>
                <w:iCs/>
              </w:rPr>
            </w:pPr>
            <w:r w:rsidRPr="006B582B">
              <w:t>Treatments</w:t>
            </w:r>
          </w:p>
        </w:tc>
        <w:tc>
          <w:tcPr>
            <w:tcW w:w="1804" w:type="pct"/>
          </w:tcPr>
          <w:p w14:paraId="74BD6927" w14:textId="77777777" w:rsidR="005D2394" w:rsidRPr="006B582B" w:rsidRDefault="005D2394" w:rsidP="00155EF7">
            <w:pPr>
              <w:pStyle w:val="TableText0"/>
              <w:keepNext w:val="0"/>
              <w:keepLines w:val="0"/>
              <w:widowControl w:val="0"/>
              <w:rPr>
                <w:i/>
                <w:iCs/>
              </w:rPr>
            </w:pPr>
            <w:r w:rsidRPr="006B582B">
              <w:t>Enfortumab vedotin + Pembrolizumab vs Platinum chemotherapy + Gemcitabine</w:t>
            </w:r>
          </w:p>
        </w:tc>
        <w:tc>
          <w:tcPr>
            <w:tcW w:w="2109" w:type="pct"/>
            <w:vAlign w:val="center"/>
          </w:tcPr>
          <w:p w14:paraId="2177EB2A" w14:textId="6310A057" w:rsidR="005D2394" w:rsidRPr="00C11145" w:rsidRDefault="005D2394" w:rsidP="00155EF7">
            <w:pPr>
              <w:pStyle w:val="TableText0"/>
              <w:keepNext w:val="0"/>
              <w:keepLines w:val="0"/>
              <w:widowControl w:val="0"/>
            </w:pPr>
            <w:r w:rsidRPr="00C11145">
              <w:t xml:space="preserve">Australian clinical practice involves the use of avelumab in the maintenance setting (post-platinum therapy). The model inputs were derived from EV-302 </w:t>
            </w:r>
            <w:r w:rsidR="00E93CEE" w:rsidRPr="00C11145">
              <w:t>with</w:t>
            </w:r>
            <w:r w:rsidRPr="00C11145">
              <w:t xml:space="preserve"> some use of avelumab captured in this trial</w:t>
            </w:r>
            <w:r w:rsidR="00E93CEE" w:rsidRPr="00C11145">
              <w:t xml:space="preserve"> (see paragraph </w:t>
            </w:r>
            <w:r w:rsidR="00E93CEE" w:rsidRPr="00C11145">
              <w:fldChar w:fldCharType="begin" w:fldLock="1"/>
            </w:r>
            <w:r w:rsidR="00E93CEE" w:rsidRPr="00C11145">
              <w:instrText xml:space="preserve"> REF _Ref177387589 \r \h </w:instrText>
            </w:r>
            <w:r w:rsidR="00C11145">
              <w:instrText xml:space="preserve"> \* MERGEFORMAT </w:instrText>
            </w:r>
            <w:r w:rsidR="00E93CEE" w:rsidRPr="00C11145">
              <w:fldChar w:fldCharType="separate"/>
            </w:r>
            <w:r w:rsidR="00FE0BD6">
              <w:t>6.8</w:t>
            </w:r>
            <w:r w:rsidR="00E93CEE" w:rsidRPr="00C11145">
              <w:fldChar w:fldCharType="end"/>
            </w:r>
            <w:r w:rsidR="00E93CEE" w:rsidRPr="00C11145">
              <w:t>)</w:t>
            </w:r>
            <w:r w:rsidRPr="00C11145">
              <w:t>. This was reasonable.</w:t>
            </w:r>
          </w:p>
        </w:tc>
      </w:tr>
      <w:tr w:rsidR="005D2394" w:rsidRPr="006B582B" w14:paraId="1406A790" w14:textId="77777777" w:rsidTr="00B02702">
        <w:trPr>
          <w:cantSplit/>
        </w:trPr>
        <w:tc>
          <w:tcPr>
            <w:tcW w:w="1087" w:type="pct"/>
            <w:vAlign w:val="center"/>
          </w:tcPr>
          <w:p w14:paraId="6B241C08" w14:textId="77777777" w:rsidR="005D2394" w:rsidRPr="006B582B" w:rsidRDefault="005D2394" w:rsidP="00155EF7">
            <w:pPr>
              <w:pStyle w:val="TableText0"/>
              <w:keepNext w:val="0"/>
              <w:keepLines w:val="0"/>
              <w:widowControl w:val="0"/>
              <w:rPr>
                <w:i/>
                <w:iCs/>
              </w:rPr>
            </w:pPr>
            <w:r w:rsidRPr="006B582B">
              <w:t>Outcomes</w:t>
            </w:r>
          </w:p>
        </w:tc>
        <w:tc>
          <w:tcPr>
            <w:tcW w:w="1804" w:type="pct"/>
          </w:tcPr>
          <w:p w14:paraId="6354452E" w14:textId="77777777" w:rsidR="005D2394" w:rsidRPr="006B582B" w:rsidRDefault="005D2394" w:rsidP="00155EF7">
            <w:pPr>
              <w:pStyle w:val="TableText0"/>
              <w:keepNext w:val="0"/>
              <w:keepLines w:val="0"/>
              <w:widowControl w:val="0"/>
              <w:rPr>
                <w:i/>
                <w:iCs/>
              </w:rPr>
            </w:pPr>
            <w:r w:rsidRPr="006B582B">
              <w:t>Life-years gained and quality-adjusted life-years gained</w:t>
            </w:r>
          </w:p>
        </w:tc>
        <w:tc>
          <w:tcPr>
            <w:tcW w:w="2109" w:type="pct"/>
            <w:vAlign w:val="center"/>
          </w:tcPr>
          <w:p w14:paraId="32EEF3AB" w14:textId="2F58CAA5" w:rsidR="005D2394" w:rsidRPr="00C11145" w:rsidRDefault="005D2394" w:rsidP="00155EF7">
            <w:pPr>
              <w:pStyle w:val="TableText0"/>
              <w:keepNext w:val="0"/>
              <w:keepLines w:val="0"/>
              <w:widowControl w:val="0"/>
            </w:pPr>
            <w:r w:rsidRPr="00C11145">
              <w:t>These outcomes were reasonable.</w:t>
            </w:r>
          </w:p>
        </w:tc>
      </w:tr>
      <w:tr w:rsidR="005D2394" w:rsidRPr="006B582B" w14:paraId="68974BE8" w14:textId="77777777" w:rsidTr="00B02702">
        <w:trPr>
          <w:cantSplit/>
        </w:trPr>
        <w:tc>
          <w:tcPr>
            <w:tcW w:w="1087" w:type="pct"/>
            <w:vAlign w:val="center"/>
          </w:tcPr>
          <w:p w14:paraId="5E56FAE1" w14:textId="77777777" w:rsidR="005D2394" w:rsidRPr="006B582B" w:rsidRDefault="005D2394" w:rsidP="00155EF7">
            <w:pPr>
              <w:pStyle w:val="TableText0"/>
              <w:keepNext w:val="0"/>
              <w:keepLines w:val="0"/>
              <w:widowControl w:val="0"/>
              <w:rPr>
                <w:i/>
                <w:iCs/>
              </w:rPr>
            </w:pPr>
            <w:r w:rsidRPr="006B582B">
              <w:t>Time horizon</w:t>
            </w:r>
          </w:p>
        </w:tc>
        <w:tc>
          <w:tcPr>
            <w:tcW w:w="1804" w:type="pct"/>
          </w:tcPr>
          <w:p w14:paraId="49E37316" w14:textId="77777777" w:rsidR="005D2394" w:rsidRPr="006B582B" w:rsidRDefault="005D2394" w:rsidP="00155EF7">
            <w:pPr>
              <w:pStyle w:val="TableText0"/>
              <w:keepNext w:val="0"/>
              <w:keepLines w:val="0"/>
              <w:widowControl w:val="0"/>
              <w:rPr>
                <w:i/>
                <w:iCs/>
              </w:rPr>
            </w:pPr>
            <w:r w:rsidRPr="006B582B">
              <w:t>15 years in the model base case vs 17.2 months of median follow up.</w:t>
            </w:r>
          </w:p>
        </w:tc>
        <w:tc>
          <w:tcPr>
            <w:tcW w:w="2109" w:type="pct"/>
            <w:vAlign w:val="center"/>
          </w:tcPr>
          <w:p w14:paraId="35C2FBAB" w14:textId="1408D54E" w:rsidR="005D2394" w:rsidRPr="00C11145" w:rsidRDefault="005D2394" w:rsidP="00155EF7">
            <w:pPr>
              <w:pStyle w:val="TableText0"/>
              <w:keepNext w:val="0"/>
              <w:keepLines w:val="0"/>
              <w:widowControl w:val="0"/>
            </w:pPr>
            <w:r w:rsidRPr="00C11145">
              <w:t xml:space="preserve">The modelled </w:t>
            </w:r>
            <w:r w:rsidR="00C14C5D" w:rsidRPr="00C11145">
              <w:t>OS</w:t>
            </w:r>
            <w:r w:rsidRPr="00C11145">
              <w:t xml:space="preserve"> extrapolation for EV+PEM predicts that approximately 8.5% of patients will remain alive at 10 years. </w:t>
            </w:r>
            <w:r w:rsidR="00592F11" w:rsidRPr="001A4AF0">
              <w:t>The evaluation noted</w:t>
            </w:r>
            <w:r w:rsidR="00592F11">
              <w:t xml:space="preserve"> a</w:t>
            </w:r>
            <w:r w:rsidRPr="00C11145">
              <w:t xml:space="preserve"> time horizon of 15 years is likely necessary to completely capture patient survival. However, </w:t>
            </w:r>
            <w:r w:rsidR="00592F11" w:rsidRPr="003D26AD">
              <w:t>the evaluation considered that</w:t>
            </w:r>
            <w:r w:rsidR="00592F11" w:rsidRPr="00432DA5">
              <w:rPr>
                <w:i/>
                <w:iCs/>
              </w:rPr>
              <w:t xml:space="preserve"> </w:t>
            </w:r>
            <w:r w:rsidRPr="00C11145">
              <w:t xml:space="preserve">incorporating background mortality and an older cohort in the model would result </w:t>
            </w:r>
            <w:r w:rsidR="00103DCD" w:rsidRPr="00C11145">
              <w:t xml:space="preserve">in </w:t>
            </w:r>
            <w:r w:rsidRPr="00C11145">
              <w:t>a time horizon of 10 years being adequate.</w:t>
            </w:r>
          </w:p>
          <w:p w14:paraId="143D9F72" w14:textId="77777777" w:rsidR="005D2394" w:rsidRPr="00C11145" w:rsidRDefault="005D2394" w:rsidP="00155EF7">
            <w:pPr>
              <w:pStyle w:val="TableText0"/>
              <w:keepNext w:val="0"/>
              <w:keepLines w:val="0"/>
              <w:widowControl w:val="0"/>
            </w:pPr>
          </w:p>
          <w:p w14:paraId="1B1AA777" w14:textId="4E76B9C8" w:rsidR="005D2394" w:rsidRPr="00C11145" w:rsidRDefault="005D2394" w:rsidP="00155EF7">
            <w:pPr>
              <w:pStyle w:val="TableText0"/>
              <w:keepNext w:val="0"/>
              <w:keepLines w:val="0"/>
              <w:widowControl w:val="0"/>
            </w:pPr>
            <w:r w:rsidRPr="00C11145">
              <w:t>PBAC has previously considered that a 7.5 year time horizon would be appropriate for capturing the effects of treatments for locally advanced or metastatic urothelial cancer (</w:t>
            </w:r>
            <w:r w:rsidR="00155EF7" w:rsidRPr="00C11145">
              <w:t>para</w:t>
            </w:r>
            <w:r w:rsidR="009D0610">
              <w:t>graph</w:t>
            </w:r>
            <w:r w:rsidR="00155EF7" w:rsidRPr="00C11145">
              <w:t xml:space="preserve"> 7.10, 6.02 Avelumab, public summary document, March 2021 PBAC meeting</w:t>
            </w:r>
            <w:r w:rsidRPr="00C11145">
              <w:t xml:space="preserve">). </w:t>
            </w:r>
          </w:p>
        </w:tc>
      </w:tr>
      <w:tr w:rsidR="005D2394" w:rsidRPr="006B582B" w14:paraId="7FA314A6" w14:textId="77777777" w:rsidTr="00B02702">
        <w:trPr>
          <w:cantSplit/>
        </w:trPr>
        <w:tc>
          <w:tcPr>
            <w:tcW w:w="1087" w:type="pct"/>
            <w:vAlign w:val="center"/>
          </w:tcPr>
          <w:p w14:paraId="0F47EEA8" w14:textId="77777777" w:rsidR="005D2394" w:rsidRPr="006B582B" w:rsidRDefault="005D2394" w:rsidP="00155EF7">
            <w:pPr>
              <w:pStyle w:val="TableText0"/>
              <w:keepNext w:val="0"/>
              <w:keepLines w:val="0"/>
              <w:widowControl w:val="0"/>
              <w:rPr>
                <w:i/>
                <w:iCs/>
              </w:rPr>
            </w:pPr>
            <w:r w:rsidRPr="006B582B">
              <w:t>Methods used to generate results</w:t>
            </w:r>
          </w:p>
        </w:tc>
        <w:tc>
          <w:tcPr>
            <w:tcW w:w="1804" w:type="pct"/>
          </w:tcPr>
          <w:p w14:paraId="559B61AC" w14:textId="77777777" w:rsidR="005D2394" w:rsidRPr="006B582B" w:rsidRDefault="005D2394" w:rsidP="00155EF7">
            <w:pPr>
              <w:pStyle w:val="TableText0"/>
              <w:keepNext w:val="0"/>
              <w:keepLines w:val="0"/>
              <w:widowControl w:val="0"/>
              <w:rPr>
                <w:i/>
                <w:iCs/>
              </w:rPr>
            </w:pPr>
            <w:r w:rsidRPr="006B582B">
              <w:t>Partitioned survival analysis (with separate time on treatment curves)</w:t>
            </w:r>
          </w:p>
        </w:tc>
        <w:tc>
          <w:tcPr>
            <w:tcW w:w="2109" w:type="pct"/>
            <w:vAlign w:val="center"/>
          </w:tcPr>
          <w:p w14:paraId="44FED7A1" w14:textId="36DD959E" w:rsidR="005D2394" w:rsidRPr="00C11145" w:rsidRDefault="005D2394" w:rsidP="00155EF7">
            <w:pPr>
              <w:pStyle w:val="TableText0"/>
              <w:keepNext w:val="0"/>
              <w:keepLines w:val="0"/>
              <w:widowControl w:val="0"/>
            </w:pPr>
            <w:r w:rsidRPr="00C11145">
              <w:t xml:space="preserve">This approach was reasonable. </w:t>
            </w:r>
          </w:p>
        </w:tc>
      </w:tr>
      <w:tr w:rsidR="005D2394" w:rsidRPr="006B582B" w14:paraId="592C5BD8" w14:textId="77777777" w:rsidTr="00B02702">
        <w:trPr>
          <w:cantSplit/>
        </w:trPr>
        <w:tc>
          <w:tcPr>
            <w:tcW w:w="1087" w:type="pct"/>
            <w:vAlign w:val="center"/>
          </w:tcPr>
          <w:p w14:paraId="2E5C2A5A" w14:textId="77777777" w:rsidR="005D2394" w:rsidRPr="006B582B" w:rsidRDefault="005D2394" w:rsidP="00155EF7">
            <w:pPr>
              <w:pStyle w:val="TableText0"/>
              <w:keepNext w:val="0"/>
              <w:keepLines w:val="0"/>
              <w:widowControl w:val="0"/>
              <w:rPr>
                <w:i/>
                <w:iCs/>
              </w:rPr>
            </w:pPr>
            <w:r w:rsidRPr="006B582B">
              <w:t>Health states</w:t>
            </w:r>
          </w:p>
        </w:tc>
        <w:tc>
          <w:tcPr>
            <w:tcW w:w="1804" w:type="pct"/>
          </w:tcPr>
          <w:p w14:paraId="20D196E3" w14:textId="77777777" w:rsidR="005D2394" w:rsidRPr="006B582B" w:rsidRDefault="005D2394" w:rsidP="00155EF7">
            <w:pPr>
              <w:pStyle w:val="TableText0"/>
              <w:keepNext w:val="0"/>
              <w:keepLines w:val="0"/>
              <w:widowControl w:val="0"/>
              <w:rPr>
                <w:i/>
                <w:iCs/>
              </w:rPr>
            </w:pPr>
            <w:r w:rsidRPr="006B582B">
              <w:t>Progression-free, progressed and dead</w:t>
            </w:r>
          </w:p>
        </w:tc>
        <w:tc>
          <w:tcPr>
            <w:tcW w:w="2109" w:type="pct"/>
            <w:vAlign w:val="center"/>
          </w:tcPr>
          <w:p w14:paraId="2396544A" w14:textId="6DC19954" w:rsidR="005D2394" w:rsidRPr="00C11145" w:rsidRDefault="005D2394" w:rsidP="00155EF7">
            <w:pPr>
              <w:pStyle w:val="TableText0"/>
              <w:keepNext w:val="0"/>
              <w:keepLines w:val="0"/>
              <w:widowControl w:val="0"/>
            </w:pPr>
            <w:r w:rsidRPr="00C11145">
              <w:t>The health states were reasonable.</w:t>
            </w:r>
          </w:p>
        </w:tc>
      </w:tr>
      <w:tr w:rsidR="005D2394" w:rsidRPr="006B582B" w14:paraId="039EBA3B" w14:textId="77777777" w:rsidTr="00B02702">
        <w:trPr>
          <w:cantSplit/>
        </w:trPr>
        <w:tc>
          <w:tcPr>
            <w:tcW w:w="1087" w:type="pct"/>
            <w:vAlign w:val="center"/>
          </w:tcPr>
          <w:p w14:paraId="15CC59D1" w14:textId="77777777" w:rsidR="005D2394" w:rsidRPr="006B582B" w:rsidRDefault="005D2394" w:rsidP="00155EF7">
            <w:pPr>
              <w:pStyle w:val="TableText0"/>
              <w:keepNext w:val="0"/>
              <w:keepLines w:val="0"/>
              <w:widowControl w:val="0"/>
              <w:rPr>
                <w:i/>
                <w:iCs/>
              </w:rPr>
            </w:pPr>
            <w:r w:rsidRPr="006B582B">
              <w:t>Cycle length</w:t>
            </w:r>
          </w:p>
        </w:tc>
        <w:tc>
          <w:tcPr>
            <w:tcW w:w="1804" w:type="pct"/>
          </w:tcPr>
          <w:p w14:paraId="5B9E736D" w14:textId="77777777" w:rsidR="005D2394" w:rsidRPr="006B582B" w:rsidRDefault="005D2394" w:rsidP="00155EF7">
            <w:pPr>
              <w:pStyle w:val="TableText0"/>
              <w:keepNext w:val="0"/>
              <w:keepLines w:val="0"/>
              <w:widowControl w:val="0"/>
              <w:rPr>
                <w:i/>
                <w:iCs/>
              </w:rPr>
            </w:pPr>
            <w:r w:rsidRPr="006B582B">
              <w:t>1 week</w:t>
            </w:r>
          </w:p>
        </w:tc>
        <w:tc>
          <w:tcPr>
            <w:tcW w:w="2109" w:type="pct"/>
            <w:vAlign w:val="center"/>
          </w:tcPr>
          <w:p w14:paraId="68BF07E5" w14:textId="37240E92" w:rsidR="005D2394" w:rsidRPr="00C11145" w:rsidRDefault="005D2394" w:rsidP="00155EF7">
            <w:pPr>
              <w:pStyle w:val="TableText0"/>
              <w:keepNext w:val="0"/>
              <w:keepLines w:val="0"/>
              <w:widowControl w:val="0"/>
            </w:pPr>
            <w:r w:rsidRPr="00C11145">
              <w:t>This was reasonable.</w:t>
            </w:r>
          </w:p>
        </w:tc>
      </w:tr>
      <w:tr w:rsidR="005D2394" w:rsidRPr="006B582B" w14:paraId="4B1046EF" w14:textId="77777777" w:rsidTr="00B02702">
        <w:trPr>
          <w:cantSplit/>
        </w:trPr>
        <w:tc>
          <w:tcPr>
            <w:tcW w:w="1087" w:type="pct"/>
            <w:vAlign w:val="center"/>
          </w:tcPr>
          <w:p w14:paraId="7B5B1B55" w14:textId="77777777" w:rsidR="005D2394" w:rsidRPr="006B582B" w:rsidRDefault="005D2394" w:rsidP="00155EF7">
            <w:pPr>
              <w:pStyle w:val="TableText0"/>
              <w:keepNext w:val="0"/>
              <w:keepLines w:val="0"/>
              <w:widowControl w:val="0"/>
              <w:rPr>
                <w:i/>
                <w:iCs/>
              </w:rPr>
            </w:pPr>
            <w:r w:rsidRPr="006B582B">
              <w:lastRenderedPageBreak/>
              <w:t>Transition probabilities</w:t>
            </w:r>
          </w:p>
        </w:tc>
        <w:tc>
          <w:tcPr>
            <w:tcW w:w="1804" w:type="pct"/>
          </w:tcPr>
          <w:p w14:paraId="71348B08" w14:textId="62D92ACD" w:rsidR="005D2394" w:rsidRDefault="005D2394" w:rsidP="00155EF7">
            <w:pPr>
              <w:pStyle w:val="TableText0"/>
              <w:keepNext w:val="0"/>
              <w:keepLines w:val="0"/>
              <w:widowControl w:val="0"/>
            </w:pPr>
            <w:r>
              <w:t xml:space="preserve">Health state allocation is determined by the </w:t>
            </w:r>
            <w:r w:rsidR="00AC64E6">
              <w:t>PFS</w:t>
            </w:r>
            <w:r>
              <w:t xml:space="preserve"> curve and </w:t>
            </w:r>
            <w:r w:rsidR="00AC64E6">
              <w:t>OS</w:t>
            </w:r>
            <w:r>
              <w:t xml:space="preserve"> curve from EV-302, initially using the Kaplan-Meier data, then using a parametric extrapolation.</w:t>
            </w:r>
          </w:p>
          <w:p w14:paraId="07C69531" w14:textId="7AD0909D" w:rsidR="005D2394" w:rsidRPr="006B582B" w:rsidRDefault="005D2394" w:rsidP="00155EF7">
            <w:pPr>
              <w:pStyle w:val="TableText0"/>
              <w:keepNext w:val="0"/>
              <w:keepLines w:val="0"/>
              <w:widowControl w:val="0"/>
              <w:rPr>
                <w:i/>
                <w:iCs/>
              </w:rPr>
            </w:pPr>
            <w:r>
              <w:t xml:space="preserve">On-treatment and off-treatment status is estimated separately. For EV+PEM and </w:t>
            </w:r>
            <w:proofErr w:type="spellStart"/>
            <w:r>
              <w:t>Plat+GEM</w:t>
            </w:r>
            <w:proofErr w:type="spellEnd"/>
            <w:r>
              <w:t>, time on treatment curves were used to estimate the proportion of patients remaining on treatment. For subsequent therapies, time on treatment is derived from IPD analysis of EV-302 except for subsequent use of EV, which is derived from EV-301. Costs are front-loaded upon progression.</w:t>
            </w:r>
          </w:p>
        </w:tc>
        <w:tc>
          <w:tcPr>
            <w:tcW w:w="2109" w:type="pct"/>
            <w:vAlign w:val="center"/>
          </w:tcPr>
          <w:p w14:paraId="68561FD6" w14:textId="72D7AD0D" w:rsidR="005D2394" w:rsidRPr="00C11145" w:rsidRDefault="005D2394" w:rsidP="00155EF7">
            <w:pPr>
              <w:pStyle w:val="TableText0"/>
              <w:keepNext w:val="0"/>
              <w:keepLines w:val="0"/>
              <w:widowControl w:val="0"/>
            </w:pPr>
            <w:r w:rsidRPr="00C11145">
              <w:t xml:space="preserve">For estimating the duration of treatment of index treatments, this approach was reasonable. The duration of subsequent treatments </w:t>
            </w:r>
            <w:r w:rsidR="00AC64E6" w:rsidRPr="00C11145">
              <w:t>was reasonable except for the duration of subsequent line EV, which was derived from EV-301 and likely overestimates the duration of treatment.</w:t>
            </w:r>
          </w:p>
        </w:tc>
      </w:tr>
      <w:tr w:rsidR="005D2394" w:rsidRPr="006B582B" w14:paraId="6A99B443" w14:textId="77777777" w:rsidTr="00B02702">
        <w:trPr>
          <w:cantSplit/>
        </w:trPr>
        <w:tc>
          <w:tcPr>
            <w:tcW w:w="1087" w:type="pct"/>
            <w:vAlign w:val="center"/>
          </w:tcPr>
          <w:p w14:paraId="4A7E11C5" w14:textId="77777777" w:rsidR="005D2394" w:rsidRPr="006B582B" w:rsidRDefault="005D2394" w:rsidP="00155EF7">
            <w:pPr>
              <w:pStyle w:val="TableText0"/>
              <w:keepNext w:val="0"/>
              <w:keepLines w:val="0"/>
              <w:widowControl w:val="0"/>
              <w:rPr>
                <w:i/>
                <w:iCs/>
              </w:rPr>
            </w:pPr>
            <w:r>
              <w:t>Extrapolation method</w:t>
            </w:r>
          </w:p>
        </w:tc>
        <w:tc>
          <w:tcPr>
            <w:tcW w:w="1804" w:type="pct"/>
          </w:tcPr>
          <w:p w14:paraId="617C8F53" w14:textId="3C81C3AA" w:rsidR="005D2394" w:rsidRDefault="00AC64E6" w:rsidP="00155EF7">
            <w:pPr>
              <w:pStyle w:val="TableText0"/>
              <w:keepNext w:val="0"/>
              <w:keepLines w:val="0"/>
              <w:widowControl w:val="0"/>
            </w:pPr>
            <w:r>
              <w:t>PFS, OS</w:t>
            </w:r>
            <w:r w:rsidR="005D2394">
              <w:t xml:space="preserve"> and time on treatment curves were extrapolated using independently fit parametric functions. Parametric functions are used after median follow up (17.2 months).</w:t>
            </w:r>
          </w:p>
        </w:tc>
        <w:tc>
          <w:tcPr>
            <w:tcW w:w="2109" w:type="pct"/>
            <w:vAlign w:val="center"/>
          </w:tcPr>
          <w:p w14:paraId="02935E6A" w14:textId="2E48CB40" w:rsidR="005D2394" w:rsidRPr="00155EF7" w:rsidRDefault="005D2394" w:rsidP="00155EF7">
            <w:pPr>
              <w:pStyle w:val="TableText0"/>
              <w:keepNext w:val="0"/>
              <w:keepLines w:val="0"/>
              <w:widowControl w:val="0"/>
              <w:rPr>
                <w:i/>
                <w:iCs/>
              </w:rPr>
            </w:pPr>
            <w:r w:rsidRPr="00C11145">
              <w:t>The method of extrapolation was reasonable. Kaplan-Meier curves were reliable beyond median follow-up. Observed data could have been used for a greater duration</w:t>
            </w:r>
            <w:r w:rsidRPr="00155EF7">
              <w:rPr>
                <w:i/>
                <w:iCs/>
              </w:rPr>
              <w:t>.</w:t>
            </w:r>
          </w:p>
        </w:tc>
      </w:tr>
      <w:tr w:rsidR="005D2394" w:rsidRPr="006B582B" w14:paraId="33B380DC" w14:textId="77777777" w:rsidTr="00B02702">
        <w:trPr>
          <w:cantSplit/>
        </w:trPr>
        <w:tc>
          <w:tcPr>
            <w:tcW w:w="1087" w:type="pct"/>
            <w:vAlign w:val="center"/>
          </w:tcPr>
          <w:p w14:paraId="25A5718B" w14:textId="77777777" w:rsidR="005D2394" w:rsidRDefault="005D2394" w:rsidP="00155EF7">
            <w:pPr>
              <w:pStyle w:val="TableText0"/>
              <w:keepNext w:val="0"/>
              <w:keepLines w:val="0"/>
              <w:widowControl w:val="0"/>
              <w:rPr>
                <w:i/>
                <w:iCs/>
              </w:rPr>
            </w:pPr>
            <w:r>
              <w:t>Health-related quality of life</w:t>
            </w:r>
          </w:p>
        </w:tc>
        <w:tc>
          <w:tcPr>
            <w:tcW w:w="1804" w:type="pct"/>
          </w:tcPr>
          <w:p w14:paraId="5701ADFF" w14:textId="77777777" w:rsidR="005D2394" w:rsidRDefault="005D2394" w:rsidP="00155EF7">
            <w:pPr>
              <w:pStyle w:val="TableText0"/>
              <w:keepNext w:val="0"/>
              <w:keepLines w:val="0"/>
              <w:widowControl w:val="0"/>
            </w:pPr>
            <w:r>
              <w:t>Utilities for the progression-free and progressed health states were estimated from EQ-5D-5L data collected during EV-302.</w:t>
            </w:r>
          </w:p>
        </w:tc>
        <w:tc>
          <w:tcPr>
            <w:tcW w:w="2109" w:type="pct"/>
            <w:vAlign w:val="center"/>
          </w:tcPr>
          <w:p w14:paraId="767CFAEE" w14:textId="39AA259A" w:rsidR="005D2394" w:rsidRPr="00C11145" w:rsidRDefault="005D2394" w:rsidP="00155EF7">
            <w:pPr>
              <w:pStyle w:val="TableText0"/>
              <w:keepNext w:val="0"/>
              <w:keepLines w:val="0"/>
              <w:widowControl w:val="0"/>
            </w:pPr>
            <w:r w:rsidRPr="00C11145">
              <w:t>Compliance in completing EQ-5D-5L questionnaires was commonly below 80%. Estimates of utility may have been affected by nonresponse. The model is sensitive to the nominated utilities. The nominated utilities for a previous submission considered by PBAC were lower</w:t>
            </w:r>
            <w:r w:rsidR="00155EF7" w:rsidRPr="00C11145">
              <w:t xml:space="preserve"> (Table 12, 6.02 Avelumab PSD, March 2021 PBAC meeting</w:t>
            </w:r>
            <w:r w:rsidRPr="00C11145">
              <w:t xml:space="preserve">). </w:t>
            </w:r>
          </w:p>
        </w:tc>
      </w:tr>
      <w:tr w:rsidR="005D2394" w:rsidRPr="006B582B" w14:paraId="5DC0E85A" w14:textId="77777777" w:rsidTr="00B02702">
        <w:trPr>
          <w:cantSplit/>
        </w:trPr>
        <w:tc>
          <w:tcPr>
            <w:tcW w:w="1087" w:type="pct"/>
            <w:vAlign w:val="center"/>
          </w:tcPr>
          <w:p w14:paraId="08635044" w14:textId="77777777" w:rsidR="005D2394" w:rsidRPr="006B582B" w:rsidRDefault="005D2394" w:rsidP="00155EF7">
            <w:pPr>
              <w:pStyle w:val="TableText0"/>
              <w:keepNext w:val="0"/>
              <w:keepLines w:val="0"/>
              <w:widowControl w:val="0"/>
              <w:rPr>
                <w:i/>
                <w:iCs/>
              </w:rPr>
            </w:pPr>
            <w:r w:rsidRPr="006B582B">
              <w:t>Perspective</w:t>
            </w:r>
          </w:p>
        </w:tc>
        <w:tc>
          <w:tcPr>
            <w:tcW w:w="1804" w:type="pct"/>
          </w:tcPr>
          <w:p w14:paraId="650AFA19" w14:textId="77777777" w:rsidR="005D2394" w:rsidRPr="006B582B" w:rsidRDefault="005D2394" w:rsidP="00155EF7">
            <w:pPr>
              <w:pStyle w:val="TableText0"/>
              <w:keepNext w:val="0"/>
              <w:keepLines w:val="0"/>
              <w:widowControl w:val="0"/>
              <w:rPr>
                <w:i/>
                <w:iCs/>
              </w:rPr>
            </w:pPr>
            <w:r w:rsidRPr="006B582B">
              <w:t>Australian health care system, including only direct health-related costs and health-related outcomes.</w:t>
            </w:r>
          </w:p>
        </w:tc>
        <w:tc>
          <w:tcPr>
            <w:tcW w:w="2109" w:type="pct"/>
            <w:vAlign w:val="center"/>
          </w:tcPr>
          <w:p w14:paraId="7129702A" w14:textId="056EFC1C" w:rsidR="005D2394" w:rsidRPr="00C11145" w:rsidRDefault="005D2394" w:rsidP="00155EF7">
            <w:pPr>
              <w:pStyle w:val="TableText0"/>
              <w:keepNext w:val="0"/>
              <w:keepLines w:val="0"/>
              <w:widowControl w:val="0"/>
            </w:pPr>
            <w:r w:rsidRPr="00C11145">
              <w:t>This was reasonable.</w:t>
            </w:r>
          </w:p>
        </w:tc>
      </w:tr>
      <w:tr w:rsidR="005D2394" w:rsidRPr="006B582B" w14:paraId="6F978D03" w14:textId="77777777" w:rsidTr="00B02702">
        <w:trPr>
          <w:cantSplit/>
        </w:trPr>
        <w:tc>
          <w:tcPr>
            <w:tcW w:w="1087" w:type="pct"/>
            <w:vAlign w:val="center"/>
          </w:tcPr>
          <w:p w14:paraId="4C9EB084" w14:textId="77777777" w:rsidR="005D2394" w:rsidRPr="006B582B" w:rsidRDefault="005D2394" w:rsidP="00155EF7">
            <w:pPr>
              <w:pStyle w:val="TableText0"/>
              <w:keepNext w:val="0"/>
              <w:keepLines w:val="0"/>
              <w:widowControl w:val="0"/>
              <w:rPr>
                <w:i/>
                <w:iCs/>
              </w:rPr>
            </w:pPr>
            <w:r w:rsidRPr="006B582B">
              <w:t>Discounting</w:t>
            </w:r>
          </w:p>
        </w:tc>
        <w:tc>
          <w:tcPr>
            <w:tcW w:w="1804" w:type="pct"/>
          </w:tcPr>
          <w:p w14:paraId="7EE6A066" w14:textId="77777777" w:rsidR="005D2394" w:rsidRPr="006B582B" w:rsidRDefault="005D2394" w:rsidP="00155EF7">
            <w:pPr>
              <w:pStyle w:val="TableText0"/>
              <w:keepNext w:val="0"/>
              <w:keepLines w:val="0"/>
              <w:widowControl w:val="0"/>
              <w:rPr>
                <w:i/>
                <w:iCs/>
              </w:rPr>
            </w:pPr>
            <w:r w:rsidRPr="006B582B">
              <w:t>5% per annum (applied weekly).</w:t>
            </w:r>
          </w:p>
        </w:tc>
        <w:tc>
          <w:tcPr>
            <w:tcW w:w="2109" w:type="pct"/>
            <w:vAlign w:val="center"/>
          </w:tcPr>
          <w:p w14:paraId="70A47132" w14:textId="4B62D5A5" w:rsidR="005D2394" w:rsidRPr="00C11145" w:rsidRDefault="005D2394" w:rsidP="00155EF7">
            <w:pPr>
              <w:pStyle w:val="TableText0"/>
              <w:keepNext w:val="0"/>
              <w:keepLines w:val="0"/>
              <w:widowControl w:val="0"/>
            </w:pPr>
            <w:r w:rsidRPr="00C11145">
              <w:t>This was reasonable.</w:t>
            </w:r>
          </w:p>
        </w:tc>
      </w:tr>
    </w:tbl>
    <w:p w14:paraId="2409A40D" w14:textId="77777777" w:rsidR="005D2394" w:rsidRDefault="005D2394" w:rsidP="005D2394">
      <w:pPr>
        <w:pStyle w:val="TableFigureFooter"/>
      </w:pPr>
      <w:r>
        <w:t>Source: adapted from Table 3-1, p89 of the submission.</w:t>
      </w:r>
    </w:p>
    <w:p w14:paraId="665692A8" w14:textId="2D223934" w:rsidR="005D2394" w:rsidRDefault="005D2394" w:rsidP="00014CB1">
      <w:pPr>
        <w:pStyle w:val="TableFigureFooter"/>
      </w:pPr>
      <w:r>
        <w:t xml:space="preserve">EQ-5D-5L = </w:t>
      </w:r>
      <w:proofErr w:type="spellStart"/>
      <w:r>
        <w:t>EuroQOL</w:t>
      </w:r>
      <w:proofErr w:type="spellEnd"/>
      <w:r>
        <w:t xml:space="preserve"> 5-dimensions; EV = Enfortumab vedotin; Gem = Gemcitabine; PBAC = Pharmaceutical Benefits Advisory Committee; PEM = Pembrolizumab; PSD = Public summary document; Plat = Platinum-based chemotherapy; RCT = Randomised, controlled trial; SOC = System Organ Class</w:t>
      </w:r>
    </w:p>
    <w:p w14:paraId="224524A7" w14:textId="368FF100" w:rsidR="005D2394" w:rsidRPr="00C11145" w:rsidRDefault="005D2394" w:rsidP="003D16D6">
      <w:pPr>
        <w:pStyle w:val="3-BodyText"/>
      </w:pPr>
      <w:r w:rsidRPr="009E5CF2">
        <w:t xml:space="preserve">The </w:t>
      </w:r>
      <w:r>
        <w:t xml:space="preserve">submission nominated a 15-year time horizon. </w:t>
      </w:r>
      <w:r w:rsidRPr="00E658AA">
        <w:t xml:space="preserve">This is considerably longer than the time horizon recommended by ESC and PBAC (7.5 years) in its consideration of avelumab for use as maintenance therapy following treatment with </w:t>
      </w:r>
      <w:r w:rsidR="00BF1857">
        <w:t>p</w:t>
      </w:r>
      <w:r w:rsidRPr="00E658AA">
        <w:t xml:space="preserve">latinum chemotherapy for la/mUC. Although the proportion of patients remaining alive in the comparator arm at 7.5 years was low (6.35% in the base case), most plausible extrapolations for the EV+PEM arm indicated survival </w:t>
      </w:r>
      <w:r>
        <w:t>for</w:t>
      </w:r>
      <w:r w:rsidRPr="00E658AA">
        <w:t xml:space="preserve"> at least 10%</w:t>
      </w:r>
      <w:r>
        <w:t xml:space="preserve"> of patients</w:t>
      </w:r>
      <w:r w:rsidRPr="00E658AA">
        <w:t xml:space="preserve">. </w:t>
      </w:r>
      <w:r w:rsidR="00B72F95" w:rsidRPr="005D3209">
        <w:t xml:space="preserve">The PSCR noted that in the base case economic analysis, at 10 years 8.47% of EV+PEM patients were expected to remain alive, compared to 4.08% of </w:t>
      </w:r>
      <w:proofErr w:type="spellStart"/>
      <w:r w:rsidR="00B72F95" w:rsidRPr="005D3209">
        <w:t>Plat+Gem</w:t>
      </w:r>
      <w:proofErr w:type="spellEnd"/>
      <w:r w:rsidR="00B72F95" w:rsidRPr="005D3209">
        <w:t xml:space="preserve"> patients.  </w:t>
      </w:r>
      <w:r w:rsidR="00525B61" w:rsidRPr="005D3209">
        <w:t xml:space="preserve">The ESC noted accounting for background mortality resulted in 7.20% of EV+PEM and 0.35% of </w:t>
      </w:r>
      <w:proofErr w:type="spellStart"/>
      <w:r w:rsidR="00525B61" w:rsidRPr="005D3209">
        <w:t>Plat+Gem</w:t>
      </w:r>
      <w:proofErr w:type="spellEnd"/>
      <w:r w:rsidR="00525B61" w:rsidRPr="005D3209">
        <w:t xml:space="preserve"> patients being alive at 10 years. </w:t>
      </w:r>
      <w:r w:rsidR="003D26AD">
        <w:t xml:space="preserve">The pre-PBAC response accepted a reduction in the time horizon in the model from 15 years to 10 years. </w:t>
      </w:r>
    </w:p>
    <w:p w14:paraId="519BEA8A" w14:textId="4B1D4D37" w:rsidR="005D2394" w:rsidRPr="00C11145" w:rsidRDefault="005D2394" w:rsidP="003D16D6">
      <w:pPr>
        <w:pStyle w:val="3-BodyText"/>
      </w:pPr>
      <w:r>
        <w:t xml:space="preserve">The population included in the economic evaluation was the same as was included in EV-302. </w:t>
      </w:r>
      <w:r w:rsidRPr="00C11145">
        <w:t xml:space="preserve">The population included in the model (67.9 years) was younger than the </w:t>
      </w:r>
      <w:r w:rsidRPr="00C11145">
        <w:lastRenderedPageBreak/>
        <w:t>average age of patients with bladder cancer in Australia (75.3 years</w:t>
      </w:r>
      <w:r w:rsidRPr="00C11145">
        <w:rPr>
          <w:rStyle w:val="FootnoteReference"/>
        </w:rPr>
        <w:footnoteReference w:id="17"/>
      </w:r>
      <w:r w:rsidRPr="00C11145">
        <w:t xml:space="preserve">). Although the age in the model could be adjusted, the model </w:t>
      </w:r>
      <w:r w:rsidR="0091292F">
        <w:t xml:space="preserve">provided with the submission </w:t>
      </w:r>
      <w:r w:rsidRPr="00C11145">
        <w:t xml:space="preserve">did not use a reasonable method to account for background mortality, and adjusting the age had no impact on </w:t>
      </w:r>
      <w:r w:rsidR="00AC64E6" w:rsidRPr="00C11145">
        <w:t>OS</w:t>
      </w:r>
      <w:r w:rsidRPr="00C11145">
        <w:t xml:space="preserve">. During the evaluation, background mortality was applied to the parametric extrapolation of OS curves in both arms, and the age in the model was increased. As the mortality associated with </w:t>
      </w:r>
      <w:r w:rsidR="00AC64E6" w:rsidRPr="00C11145">
        <w:t>la/mUC</w:t>
      </w:r>
      <w:r w:rsidRPr="00C11145">
        <w:t xml:space="preserve"> is high, the adjustments made during the evaluation had only a small impact. The impact of incorporating background mortality associated with an average age of 75.3 years is presented in </w:t>
      </w:r>
      <w:r w:rsidRPr="00C11145">
        <w:fldChar w:fldCharType="begin" w:fldLock="1"/>
      </w:r>
      <w:r w:rsidRPr="00C11145">
        <w:instrText xml:space="preserve"> REF _Ref174099564 \h  \* MERGEFORMAT </w:instrText>
      </w:r>
      <w:r w:rsidRPr="00C11145">
        <w:fldChar w:fldCharType="separate"/>
      </w:r>
      <w:r w:rsidR="00FE0BD6">
        <w:t xml:space="preserve">Figure </w:t>
      </w:r>
      <w:r w:rsidR="00FE0BD6">
        <w:rPr>
          <w:noProof/>
        </w:rPr>
        <w:t>4</w:t>
      </w:r>
      <w:r w:rsidRPr="00C11145">
        <w:fldChar w:fldCharType="end"/>
      </w:r>
      <w:r w:rsidRPr="00C11145">
        <w:t>.</w:t>
      </w:r>
      <w:r w:rsidR="00402B6E">
        <w:t xml:space="preserve"> </w:t>
      </w:r>
      <w:r w:rsidR="00402B6E" w:rsidRPr="005D3209">
        <w:t>The ESC noted that while the average age of PBS-eligible patients may be higher than the trial population, it may not be as high as the average age of bladder cancer patients in Australia, which would include older patients not eligible for treatment. The ESC considered an assumption of an average age of 72 years would be reasonable to inform background mortality estimate.</w:t>
      </w:r>
      <w:r w:rsidR="003D26AD">
        <w:t xml:space="preserve"> The pre-PBAC response agreed with the modifications to the model to incorporate background mortality and with updating the average age to 72 years. </w:t>
      </w:r>
    </w:p>
    <w:p w14:paraId="6581A219" w14:textId="3214075A" w:rsidR="005D2394" w:rsidRPr="004E55E4" w:rsidRDefault="005D2394" w:rsidP="003D16D6">
      <w:pPr>
        <w:pStyle w:val="3-BodyText"/>
        <w:rPr>
          <w:i/>
          <w:iCs/>
        </w:rPr>
      </w:pPr>
      <w:r w:rsidRPr="00C11145">
        <w:t>It is unlikely that the adjustment made during the evaluation adequately captures the increased mortality associated with a diagnosis of urothelial cancer at an older age. Kaplan-Meier curves by age groups were not available in the submission or the EV-302</w:t>
      </w:r>
      <w:r w:rsidRPr="004E55E4">
        <w:rPr>
          <w:i/>
          <w:iCs/>
        </w:rPr>
        <w:t xml:space="preserve"> </w:t>
      </w:r>
      <w:r w:rsidRPr="00C11145">
        <w:t>clinical study report (CSR)</w:t>
      </w:r>
      <w:r w:rsidR="00AC64E6" w:rsidRPr="00C11145">
        <w:t>, but were provided by the sponsor during the evaluation</w:t>
      </w:r>
      <w:r w:rsidRPr="00C11145">
        <w:t>.</w:t>
      </w:r>
      <w:r w:rsidR="0012176D" w:rsidRPr="00C11145">
        <w:t xml:space="preserve"> Although survival in the older age group (≥65 years) was lower than survival in the total EV-302 population (included in the model), the absolute benefit of EV+PEM appeared to be maintained.</w:t>
      </w:r>
      <w:r w:rsidRPr="004E55E4">
        <w:rPr>
          <w:i/>
          <w:iCs/>
        </w:rPr>
        <w:t xml:space="preserve">  </w:t>
      </w:r>
    </w:p>
    <w:p w14:paraId="39347D7D" w14:textId="0FC7772B" w:rsidR="005D2394" w:rsidRPr="00C11145" w:rsidRDefault="005D2394" w:rsidP="003D16D6">
      <w:pPr>
        <w:pStyle w:val="3-BodyText"/>
      </w:pPr>
      <w:r>
        <w:t xml:space="preserve">The extent of use of maintenance avelumab in the model reflected the use of maintenance PD-(L)1 therapies in the key trial. </w:t>
      </w:r>
      <w:r w:rsidRPr="00C11145">
        <w:t xml:space="preserve">It is unclear whether the use of maintenance PD-(L)1 therapies was lower in EV-302 (32%) compared with the Australian setting. If it was lower, this may have both cost and effectiveness implications for the model. However, as the use of </w:t>
      </w:r>
      <w:r w:rsidR="00432DA5">
        <w:t xml:space="preserve">other </w:t>
      </w:r>
      <w:r w:rsidRPr="00C11145">
        <w:t xml:space="preserve">subsequent PD-(L)1 therapies was close to 30% (and only 70% of patients had a recorded progression event), then exposure to PD-(L)1 therapies in the </w:t>
      </w:r>
      <w:proofErr w:type="spellStart"/>
      <w:r w:rsidRPr="00C11145">
        <w:t>Plat+Gem</w:t>
      </w:r>
      <w:proofErr w:type="spellEnd"/>
      <w:r w:rsidRPr="00C11145">
        <w:t xml:space="preserve"> arm of EV-302 is reasonably high and therefore the OS curve in EV-302, applied in the model, is consistent with the use of PD-(L)1 therapies in Australia i.e. whether used as maintenance therapy or as subsequent therapy.</w:t>
      </w:r>
    </w:p>
    <w:p w14:paraId="7C5850AC" w14:textId="6D8AFDF6" w:rsidR="00402B6E" w:rsidRPr="00C11145" w:rsidRDefault="005D2394" w:rsidP="00014CB1">
      <w:pPr>
        <w:pStyle w:val="3-BodyText"/>
      </w:pPr>
      <w:r>
        <w:t xml:space="preserve">The economic evaluation applied observed (Kaplan-Meier) data until 17.2 months (median follow up in EV-302) in the base </w:t>
      </w:r>
      <w:r w:rsidR="00EA3E45">
        <w:t>case and</w:t>
      </w:r>
      <w:r>
        <w:t xml:space="preserve"> applied independently fit parametric functions extrapolated to the lifetime of the model. </w:t>
      </w:r>
      <w:r w:rsidRPr="00C11145">
        <w:t xml:space="preserve">At median follow up, the Kaplan-Meier curves for </w:t>
      </w:r>
      <w:r w:rsidR="00AC64E6" w:rsidRPr="00C11145">
        <w:t>OS</w:t>
      </w:r>
      <w:r w:rsidRPr="00C11145">
        <w:t xml:space="preserve"> indicated that there were more than 200 patients remaining at risk. There is no indication that the curves had become unstable. Applying a parametric function to extrapolate from median follow up leads to the EV+PEM extrapolated curve remaining above the remainder of the Kaplan-Meier </w:t>
      </w:r>
      <w:r w:rsidRPr="00C11145">
        <w:lastRenderedPageBreak/>
        <w:t>curve (</w:t>
      </w:r>
      <w:r w:rsidRPr="00C11145">
        <w:fldChar w:fldCharType="begin" w:fldLock="1"/>
      </w:r>
      <w:r w:rsidRPr="00C11145">
        <w:instrText xml:space="preserve"> REF _Ref174792573 \h  \* MERGEFORMAT </w:instrText>
      </w:r>
      <w:r w:rsidRPr="00C11145">
        <w:fldChar w:fldCharType="separate"/>
      </w:r>
      <w:r w:rsidR="00FE0BD6">
        <w:t xml:space="preserve">Figure </w:t>
      </w:r>
      <w:r w:rsidR="00FE0BD6">
        <w:rPr>
          <w:noProof/>
        </w:rPr>
        <w:t>3</w:t>
      </w:r>
      <w:r w:rsidRPr="00C11145">
        <w:fldChar w:fldCharType="end"/>
      </w:r>
      <w:r w:rsidRPr="00C11145">
        <w:t xml:space="preserve">). The use of Kaplan-Meier data until there are 10% of patients remaining at risk may be more reasonable given the relative stability of the Kaplan-Meier curve, and the large number of patients in the trial. Varying the truncation point for the PFS extrapolation does not have an impact on the model (as PFS is more complete at 17.2 months). </w:t>
      </w:r>
      <w:r w:rsidR="00402B6E" w:rsidRPr="005D3209">
        <w:t xml:space="preserve">The ESC noted the approach outlined in </w:t>
      </w:r>
      <w:proofErr w:type="spellStart"/>
      <w:r w:rsidR="00402B6E" w:rsidRPr="005D3209">
        <w:t>Gebski</w:t>
      </w:r>
      <w:proofErr w:type="spellEnd"/>
      <w:r w:rsidR="00402B6E" w:rsidRPr="005D3209">
        <w:t xml:space="preserve"> et al (2018)</w:t>
      </w:r>
      <w:r w:rsidR="00402B6E" w:rsidRPr="005D3209">
        <w:rPr>
          <w:rStyle w:val="FootnoteReference"/>
        </w:rPr>
        <w:footnoteReference w:id="18"/>
      </w:r>
      <w:r w:rsidR="00402B6E" w:rsidRPr="005D3209">
        <w:t xml:space="preserve"> would provide a methodologically robust method for estimating an appropriate KM truncation point.</w:t>
      </w:r>
      <w:r w:rsidR="0091292F" w:rsidRPr="005D3209">
        <w:t xml:space="preserve"> Using a truncation point of 26 months for OS for EV+PEM and 28 months for </w:t>
      </w:r>
      <w:proofErr w:type="spellStart"/>
      <w:r w:rsidR="0091292F" w:rsidRPr="005D3209">
        <w:t>Plat+Gem</w:t>
      </w:r>
      <w:proofErr w:type="spellEnd"/>
      <w:r w:rsidR="0091292F" w:rsidRPr="005D3209">
        <w:t xml:space="preserve"> increased the ICER by 15.1%. </w:t>
      </w:r>
      <w:r w:rsidR="006A7E3A">
        <w:t xml:space="preserve">The pre-PBAC response accepted the use of the approach outlined in </w:t>
      </w:r>
      <w:proofErr w:type="spellStart"/>
      <w:r w:rsidR="006A7E3A">
        <w:t>Gebski</w:t>
      </w:r>
      <w:proofErr w:type="spellEnd"/>
      <w:r w:rsidR="006A7E3A">
        <w:t xml:space="preserve"> et al (2018) as proposed by the ESC. </w:t>
      </w:r>
    </w:p>
    <w:p w14:paraId="0FB756C2" w14:textId="32853AE3" w:rsidR="005D2394" w:rsidRDefault="005D2394" w:rsidP="005D2394">
      <w:pPr>
        <w:pStyle w:val="Caption"/>
      </w:pPr>
      <w:bookmarkStart w:id="40" w:name="_Ref174792573"/>
      <w:bookmarkStart w:id="41" w:name="_Hlk174092073"/>
      <w:r>
        <w:t xml:space="preserve">Figure </w:t>
      </w:r>
      <w:r>
        <w:fldChar w:fldCharType="begin" w:fldLock="1"/>
      </w:r>
      <w:r>
        <w:instrText xml:space="preserve"> SEQ Figure \* ARABIC </w:instrText>
      </w:r>
      <w:r>
        <w:fldChar w:fldCharType="separate"/>
      </w:r>
      <w:r w:rsidR="00FE0BD6">
        <w:rPr>
          <w:noProof/>
        </w:rPr>
        <w:t>3</w:t>
      </w:r>
      <w:r>
        <w:rPr>
          <w:noProof/>
        </w:rPr>
        <w:fldChar w:fldCharType="end"/>
      </w:r>
      <w:bookmarkEnd w:id="40"/>
      <w:r>
        <w:t xml:space="preserve">: Visual comparison of using alternative truncation points for extrapolation for EV+PEM and </w:t>
      </w:r>
      <w:proofErr w:type="spellStart"/>
      <w:r>
        <w:t>Plat+Gem</w:t>
      </w:r>
      <w:proofErr w:type="spellEnd"/>
    </w:p>
    <w:bookmarkEnd w:id="41"/>
    <w:p w14:paraId="078806CE" w14:textId="63265259" w:rsidR="005D2394" w:rsidRDefault="00155EF7" w:rsidP="005D2394">
      <w:r>
        <w:rPr>
          <w:noProof/>
        </w:rPr>
        <w:drawing>
          <wp:inline distT="0" distB="0" distL="0" distR="0" wp14:anchorId="1E241BEA" wp14:editId="7CFAE149">
            <wp:extent cx="5868000" cy="2956589"/>
            <wp:effectExtent l="0" t="0" r="0" b="0"/>
            <wp:docPr id="2031364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8000" cy="2956589"/>
                    </a:xfrm>
                    <a:prstGeom prst="rect">
                      <a:avLst/>
                    </a:prstGeom>
                    <a:noFill/>
                  </pic:spPr>
                </pic:pic>
              </a:graphicData>
            </a:graphic>
          </wp:inline>
        </w:drawing>
      </w:r>
    </w:p>
    <w:p w14:paraId="0879B467" w14:textId="77777777" w:rsidR="005D2394" w:rsidRPr="00C11145" w:rsidRDefault="005D2394" w:rsidP="005D2394">
      <w:pPr>
        <w:pStyle w:val="TableFigureFooter"/>
      </w:pPr>
      <w:r w:rsidRPr="00C11145">
        <w:t xml:space="preserve">Source: </w:t>
      </w:r>
      <w:bookmarkStart w:id="42" w:name="_Hlk174984936"/>
      <w:r w:rsidRPr="00C11145">
        <w:t>generated during the evaluation from the economic evaluation excel spreadsheet.</w:t>
      </w:r>
      <w:bookmarkEnd w:id="42"/>
    </w:p>
    <w:p w14:paraId="400A834C" w14:textId="04C387E0" w:rsidR="005D2394" w:rsidRPr="00C11145" w:rsidRDefault="005D2394" w:rsidP="005D2394">
      <w:pPr>
        <w:pStyle w:val="TableFigureFooter"/>
      </w:pPr>
      <w:r w:rsidRPr="00C11145">
        <w:t>Note: x-axis is trimmed to show detail of the impact of nominating an alternative truncation point for the use of Kaplan-Meier data.</w:t>
      </w:r>
    </w:p>
    <w:p w14:paraId="2755F19F" w14:textId="2F0C8C43" w:rsidR="00155EF7" w:rsidRPr="00155EF7" w:rsidRDefault="00155EF7" w:rsidP="00155EF7">
      <w:pPr>
        <w:pStyle w:val="TableFigureFooter"/>
        <w:rPr>
          <w:i/>
          <w:iCs/>
        </w:rPr>
      </w:pPr>
      <w:r w:rsidRPr="00C11145">
        <w:t xml:space="preserve">The vertical lines on the graph represent the different truncation points based on median follow up in the trial (17.2 months), or 20% remaining at risk (21 months for EV+PEM and 19 months for </w:t>
      </w:r>
      <w:proofErr w:type="spellStart"/>
      <w:r w:rsidRPr="00C11145">
        <w:t>Plat+Gem</w:t>
      </w:r>
      <w:proofErr w:type="spellEnd"/>
      <w:r w:rsidRPr="00C11145">
        <w:t xml:space="preserve">), or 10% remaining at risk (23 moths for EV+PEM and 21 months for </w:t>
      </w:r>
      <w:proofErr w:type="spellStart"/>
      <w:r w:rsidRPr="00C11145">
        <w:t>Plat+Gem</w:t>
      </w:r>
      <w:proofErr w:type="spellEnd"/>
      <w:r w:rsidRPr="00155EF7">
        <w:rPr>
          <w:i/>
          <w:iCs/>
        </w:rPr>
        <w:t>).</w:t>
      </w:r>
    </w:p>
    <w:p w14:paraId="6B10BCCE" w14:textId="327E4496" w:rsidR="005D2394" w:rsidRPr="00F1445A" w:rsidRDefault="005D2394" w:rsidP="00FB3EA3">
      <w:pPr>
        <w:pStyle w:val="3-BodyText"/>
      </w:pPr>
      <w:r>
        <w:t xml:space="preserve">The submission nominated different parametric functions for extrapolating </w:t>
      </w:r>
      <w:r w:rsidR="00AC64E6">
        <w:t>OS</w:t>
      </w:r>
      <w:r>
        <w:t xml:space="preserve"> for each of the model arms. </w:t>
      </w:r>
      <w:r w:rsidR="006D40E3" w:rsidRPr="00C11145">
        <w:t xml:space="preserve">The submission justified the use of independent parametric functions on the basis that the two model arms had treatments with differing mechanisms of action. As such, dependent curves were not presented. It is unclear whether this approach was adequately justified. </w:t>
      </w:r>
      <w:r w:rsidR="005A738C" w:rsidRPr="00C11145">
        <w:t xml:space="preserve">The nominated extrapolation function for the </w:t>
      </w:r>
      <w:proofErr w:type="spellStart"/>
      <w:r w:rsidR="005A738C" w:rsidRPr="00C11145">
        <w:t>Plat+Gem</w:t>
      </w:r>
      <w:proofErr w:type="spellEnd"/>
      <w:r w:rsidR="005A738C" w:rsidRPr="00C11145">
        <w:t xml:space="preserve"> arm was the log-logistic function. This was reasonable and was supported by OS in observational data. </w:t>
      </w:r>
    </w:p>
    <w:p w14:paraId="7C28141B" w14:textId="2DA7108D" w:rsidR="005D2394" w:rsidRPr="00FB3EA3" w:rsidRDefault="005D2394" w:rsidP="003D16D6">
      <w:pPr>
        <w:pStyle w:val="3-BodyText"/>
        <w:rPr>
          <w:i/>
          <w:iCs/>
        </w:rPr>
      </w:pPr>
      <w:r>
        <w:lastRenderedPageBreak/>
        <w:t xml:space="preserve">The submission nominated the exponential curve to extrapolate OS in the EV+PEM arm. </w:t>
      </w:r>
      <w:r w:rsidRPr="00C11145">
        <w:t>There was no clear statistical difference between most of the possible parametric functions, and the submission d</w:t>
      </w:r>
      <w:r w:rsidR="00BF054D">
        <w:t>id</w:t>
      </w:r>
      <w:r w:rsidRPr="00C11145">
        <w:t xml:space="preserve"> not provide a discussion of the clinical plausibility of the nominated function.</w:t>
      </w:r>
      <w:r>
        <w:t xml:space="preserve"> The exponential function results in a 10 year survival that is 8.</w:t>
      </w:r>
      <w:r w:rsidR="0091292F">
        <w:t>47</w:t>
      </w:r>
      <w:r>
        <w:t>% (compared with 4.</w:t>
      </w:r>
      <w:r w:rsidR="0091292F">
        <w:t>08</w:t>
      </w:r>
      <w:r>
        <w:t xml:space="preserve">% in the </w:t>
      </w:r>
      <w:proofErr w:type="spellStart"/>
      <w:r>
        <w:t>Plat+Gem</w:t>
      </w:r>
      <w:proofErr w:type="spellEnd"/>
      <w:r>
        <w:t xml:space="preserve"> arm). Alternative functions predict lower survival or implausibly higher survival. Assuming that the </w:t>
      </w:r>
      <w:r w:rsidR="00AC64E6">
        <w:t>PFS</w:t>
      </w:r>
      <w:r>
        <w:t xml:space="preserve"> curves were reasonable (PFS is more mature than OS), the exponential curve results in a similar duration of post-progression survival compared with the </w:t>
      </w:r>
      <w:proofErr w:type="spellStart"/>
      <w:r>
        <w:t>Plat+Gem</w:t>
      </w:r>
      <w:proofErr w:type="spellEnd"/>
      <w:r>
        <w:t xml:space="preserve"> arm. </w:t>
      </w:r>
      <w:r w:rsidR="00F60AE1" w:rsidRPr="00C11145">
        <w:t>T</w:t>
      </w:r>
      <w:r w:rsidRPr="00C11145">
        <w:t>he exponential function appears to be a reasonable fit.</w:t>
      </w:r>
    </w:p>
    <w:p w14:paraId="77730720" w14:textId="2756110E" w:rsidR="005D2394" w:rsidRDefault="005D2394" w:rsidP="00014CB1">
      <w:pPr>
        <w:pStyle w:val="3-BodyText"/>
      </w:pPr>
      <w:r w:rsidRPr="00C11145">
        <w:t xml:space="preserve">Modelled </w:t>
      </w:r>
      <w:r w:rsidR="00AC64E6" w:rsidRPr="00C11145">
        <w:t>OS</w:t>
      </w:r>
      <w:r w:rsidRPr="00C11145">
        <w:t xml:space="preserve"> in the submission’s base case, after incorporating background mortality and increasing the age in the model, is presented in </w:t>
      </w:r>
      <w:r w:rsidRPr="00C11145">
        <w:fldChar w:fldCharType="begin" w:fldLock="1"/>
      </w:r>
      <w:r w:rsidRPr="00C11145">
        <w:instrText xml:space="preserve"> REF _Ref174099564 \h  \* MERGEFORMAT </w:instrText>
      </w:r>
      <w:r w:rsidRPr="00C11145">
        <w:fldChar w:fldCharType="separate"/>
      </w:r>
      <w:r w:rsidR="00FE0BD6">
        <w:t xml:space="preserve">Figure </w:t>
      </w:r>
      <w:r w:rsidR="00FE0BD6">
        <w:rPr>
          <w:noProof/>
        </w:rPr>
        <w:t>4</w:t>
      </w:r>
      <w:r w:rsidRPr="00C11145">
        <w:fldChar w:fldCharType="end"/>
      </w:r>
      <w:r w:rsidRPr="00C11145">
        <w:t>, below.</w:t>
      </w:r>
    </w:p>
    <w:p w14:paraId="12E54E83" w14:textId="55569190" w:rsidR="005D2394" w:rsidRDefault="005D2394" w:rsidP="005D2394">
      <w:pPr>
        <w:pStyle w:val="Caption"/>
      </w:pPr>
      <w:bookmarkStart w:id="43" w:name="_Ref174099564"/>
      <w:bookmarkStart w:id="44" w:name="_Ref174099558"/>
      <w:r>
        <w:t xml:space="preserve">Figure </w:t>
      </w:r>
      <w:r>
        <w:fldChar w:fldCharType="begin" w:fldLock="1"/>
      </w:r>
      <w:r>
        <w:instrText xml:space="preserve"> SEQ Figure \* ARABIC </w:instrText>
      </w:r>
      <w:r>
        <w:fldChar w:fldCharType="separate"/>
      </w:r>
      <w:r w:rsidR="00FE0BD6">
        <w:rPr>
          <w:noProof/>
        </w:rPr>
        <w:t>4</w:t>
      </w:r>
      <w:r>
        <w:rPr>
          <w:noProof/>
        </w:rPr>
        <w:fldChar w:fldCharType="end"/>
      </w:r>
      <w:bookmarkEnd w:id="43"/>
      <w:r>
        <w:t>: Base case overall survival curves and with alternative base case (incorporating background mortality, increased age and change in proposed truncation point for the use of Kaplan-Meier data</w:t>
      </w:r>
      <w:bookmarkEnd w:id="44"/>
      <w:r>
        <w:t>)</w:t>
      </w:r>
    </w:p>
    <w:p w14:paraId="0201C30C" w14:textId="77777777" w:rsidR="005D2394" w:rsidRDefault="005D2394" w:rsidP="001F614C">
      <w:pPr>
        <w:pStyle w:val="3-BodyText"/>
        <w:numPr>
          <w:ilvl w:val="0"/>
          <w:numId w:val="0"/>
        </w:numPr>
        <w:spacing w:before="0" w:after="0"/>
      </w:pPr>
      <w:r>
        <w:rPr>
          <w:noProof/>
        </w:rPr>
        <w:drawing>
          <wp:inline distT="0" distB="0" distL="0" distR="0" wp14:anchorId="46C4EEF9" wp14:editId="0C109FB3">
            <wp:extent cx="5836749" cy="3399634"/>
            <wp:effectExtent l="0" t="0" r="0" b="0"/>
            <wp:docPr id="1079380628"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80628" name="Picture 1" descr="A graph of different colored lin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79158" cy="3424335"/>
                    </a:xfrm>
                    <a:prstGeom prst="rect">
                      <a:avLst/>
                    </a:prstGeom>
                    <a:noFill/>
                  </pic:spPr>
                </pic:pic>
              </a:graphicData>
            </a:graphic>
          </wp:inline>
        </w:drawing>
      </w:r>
    </w:p>
    <w:p w14:paraId="18A45377" w14:textId="671C355F" w:rsidR="005D2394" w:rsidRPr="00432DA5" w:rsidRDefault="005D2394" w:rsidP="005D2394">
      <w:pPr>
        <w:pStyle w:val="TableFigureFooter"/>
      </w:pPr>
      <w:r w:rsidRPr="00432DA5">
        <w:t xml:space="preserve">Source: </w:t>
      </w:r>
      <w:r w:rsidR="00155EF7" w:rsidRPr="00432DA5">
        <w:t>generated during the evaluation from the economic evaluation excel spreadsheet.</w:t>
      </w:r>
    </w:p>
    <w:p w14:paraId="7322C73C" w14:textId="77777777" w:rsidR="005D2394" w:rsidRDefault="005D2394" w:rsidP="005D2394">
      <w:pPr>
        <w:pStyle w:val="TableFigureFooter"/>
      </w:pPr>
      <w:r>
        <w:t xml:space="preserve">BC = submission base case: 67.9 years of age, no addition of background mortality into the parametric extrapolations, exponential extrapolation for EV+PEM, log-logistic extrapolation for </w:t>
      </w:r>
      <w:proofErr w:type="spellStart"/>
      <w:r>
        <w:t>Plat+Gem</w:t>
      </w:r>
      <w:proofErr w:type="spellEnd"/>
      <w:r>
        <w:t>, use of Kaplan-Meier data until median follow up (17.2 months)</w:t>
      </w:r>
    </w:p>
    <w:p w14:paraId="3EA47D07" w14:textId="3431AE44" w:rsidR="005D2394" w:rsidRPr="007E2707" w:rsidRDefault="005D2394" w:rsidP="00014CB1">
      <w:pPr>
        <w:pStyle w:val="TableFigureFooter"/>
      </w:pPr>
      <w:r>
        <w:t>Alt = incorporation of higher age (75.3 years), addition of background mortality into the parametric extrapolations, the same extrapolations used as per the submission base case, and the use of Kaplan-Meier data until 10% remaining at risk.</w:t>
      </w:r>
    </w:p>
    <w:p w14:paraId="475D4E1C" w14:textId="166192F5" w:rsidR="005D2394" w:rsidRPr="00C11145" w:rsidRDefault="005D2394" w:rsidP="003D16D6">
      <w:pPr>
        <w:pStyle w:val="3-BodyText"/>
      </w:pPr>
      <w:r>
        <w:t xml:space="preserve">The submission applied a log-normal and log-logistic parametric function to the PFS Kaplan-Meier curves of the EV+PEM arm and </w:t>
      </w:r>
      <w:proofErr w:type="spellStart"/>
      <w:r>
        <w:t>Plat+Gem</w:t>
      </w:r>
      <w:proofErr w:type="spellEnd"/>
      <w:r>
        <w:t xml:space="preserve"> arm, respectively, after 17.2 months (median follow up in the EV-302 trial). </w:t>
      </w:r>
      <w:r w:rsidRPr="00C11145">
        <w:t xml:space="preserve">The model was not sensitive to the choice of parametric function, or to the duration of use of Kaplan-Meier data before changing to a parametric function. It is reasonable that the nominated parametric function was different across the arms, as the mechanism of action differs for EV+PEM and </w:t>
      </w:r>
      <w:proofErr w:type="spellStart"/>
      <w:r w:rsidRPr="00C11145">
        <w:t>Plat+Gem</w:t>
      </w:r>
      <w:proofErr w:type="spellEnd"/>
      <w:r w:rsidRPr="00C11145">
        <w:t>.</w:t>
      </w:r>
    </w:p>
    <w:p w14:paraId="618A5678" w14:textId="77E95D3A" w:rsidR="005D2394" w:rsidRPr="00061973" w:rsidRDefault="005D2394" w:rsidP="003D16D6">
      <w:pPr>
        <w:pStyle w:val="3-BodyText"/>
      </w:pPr>
      <w:bookmarkStart w:id="45" w:name="_Ref180007633"/>
      <w:r>
        <w:lastRenderedPageBreak/>
        <w:t xml:space="preserve">Time on treatment was sourced from EV-302. The time on treatment curve for </w:t>
      </w:r>
      <w:proofErr w:type="spellStart"/>
      <w:r>
        <w:t>Plat+Gem</w:t>
      </w:r>
      <w:proofErr w:type="spellEnd"/>
      <w:r>
        <w:t xml:space="preserve"> was mature, and no extrapolation was required. The time on treatment curve for maintenance avelumab was extrapolated from 17.2 months using a Weibull function. </w:t>
      </w:r>
      <w:r w:rsidRPr="00C11145">
        <w:t>It is likely that the Weibull function overestimates the duration of avelumab treatment, as it predicts an average duration of treatment of 16.5 months.</w:t>
      </w:r>
      <w:r w:rsidR="00432DA5">
        <w:t xml:space="preserve"> </w:t>
      </w:r>
      <w:r w:rsidR="00432DA5" w:rsidRPr="005D3209">
        <w:t xml:space="preserve">However, the treatment duration in the economic model is capped by the </w:t>
      </w:r>
      <w:proofErr w:type="spellStart"/>
      <w:r w:rsidR="00432DA5" w:rsidRPr="005D3209">
        <w:t>Plat+Gem</w:t>
      </w:r>
      <w:proofErr w:type="spellEnd"/>
      <w:r w:rsidR="00432DA5" w:rsidRPr="005D3209">
        <w:t xml:space="preserve"> PFS curve, which results in an average treatment duration of 12.98 months.</w:t>
      </w:r>
      <w:r w:rsidRPr="00C11145">
        <w:t xml:space="preserve"> In its consideration of avelumab maintenance treatment for urothelial cancer, the PBAC considered the exponential function best represented time on treatment, and this extrapolation predicted an average treatment duration of 12.64 months (</w:t>
      </w:r>
      <w:bookmarkStart w:id="46" w:name="_Hlk174985022"/>
      <w:r w:rsidRPr="00C11145">
        <w:t>para</w:t>
      </w:r>
      <w:r w:rsidR="009D0610">
        <w:t>graph</w:t>
      </w:r>
      <w:r w:rsidRPr="00C11145">
        <w:t xml:space="preserve"> 4.6, 4.02 Avelumab Public Summary Document, March 2022 PBAC meeting</w:t>
      </w:r>
      <w:bookmarkEnd w:id="46"/>
      <w:r w:rsidRPr="00C11145">
        <w:t xml:space="preserve">). </w:t>
      </w:r>
      <w:bookmarkEnd w:id="45"/>
    </w:p>
    <w:p w14:paraId="132432AE" w14:textId="288EBEBB" w:rsidR="005D2394" w:rsidRPr="00940D29" w:rsidRDefault="005D2394" w:rsidP="003D16D6">
      <w:pPr>
        <w:pStyle w:val="3-BodyText"/>
      </w:pPr>
      <w:r>
        <w:t xml:space="preserve">Time on treatment for </w:t>
      </w:r>
      <w:r w:rsidR="00D52BB1">
        <w:t>EV</w:t>
      </w:r>
      <w:r>
        <w:t xml:space="preserve"> was extrapolated beyond 17.2 months of Kaplan-Meier data using the generalised gamma function. Statistically, the best fitting extrapolation was the log-logistic curve, however this resulted in an average treatment duration that was considered to be implausible by the submission. </w:t>
      </w:r>
      <w:r w:rsidR="001234AD" w:rsidRPr="00C11145">
        <w:t xml:space="preserve">The choice of extrapolation was poorly justified. </w:t>
      </w:r>
      <w:r w:rsidRPr="00C11145">
        <w:t xml:space="preserve">The model was moderately sensitive to the choice of extrapolation for duration of </w:t>
      </w:r>
      <w:r w:rsidR="00332345" w:rsidRPr="00C11145">
        <w:t xml:space="preserve">EV </w:t>
      </w:r>
      <w:r w:rsidRPr="00C11145">
        <w:t>treatment.</w:t>
      </w:r>
      <w:r w:rsidR="00757086">
        <w:t xml:space="preserve"> </w:t>
      </w:r>
      <w:r w:rsidR="00757086" w:rsidRPr="005D3209">
        <w:t>The ESC noted</w:t>
      </w:r>
      <w:r w:rsidR="005920C5" w:rsidRPr="005D3209">
        <w:t xml:space="preserve"> that, in addition to being the best statistical fit, the </w:t>
      </w:r>
      <w:r w:rsidR="00757086" w:rsidRPr="005D3209">
        <w:t>log-logistic extrapolation appeared to fit the data reasonably well (</w:t>
      </w:r>
      <w:r w:rsidR="00757086" w:rsidRPr="005D3209">
        <w:fldChar w:fldCharType="begin" w:fldLock="1"/>
      </w:r>
      <w:r w:rsidR="00757086" w:rsidRPr="005D3209">
        <w:instrText xml:space="preserve"> REF _Ref180157854 \h  \* MERGEFORMAT </w:instrText>
      </w:r>
      <w:r w:rsidR="00757086" w:rsidRPr="005D3209">
        <w:fldChar w:fldCharType="separate"/>
      </w:r>
      <w:r w:rsidR="00FE0BD6" w:rsidRPr="00364045">
        <w:t xml:space="preserve">Figure </w:t>
      </w:r>
      <w:r w:rsidR="00FE0BD6">
        <w:t>5</w:t>
      </w:r>
      <w:r w:rsidR="00757086" w:rsidRPr="005D3209">
        <w:fldChar w:fldCharType="end"/>
      </w:r>
      <w:r w:rsidR="00757086" w:rsidRPr="005D3209">
        <w:t>).</w:t>
      </w:r>
      <w:r w:rsidR="005046AA">
        <w:t xml:space="preserve"> The pre-PBAC response maintained that the generalised gamma function was the more reasonable and clinically relevant choice for EV. </w:t>
      </w:r>
      <w:r w:rsidR="00364045">
        <w:t xml:space="preserve">The pre-PBAC response noted using a log-logistic extrapolation resulted in a treatment duration that was </w:t>
      </w:r>
      <w:r w:rsidR="00364045" w:rsidRPr="00364045">
        <w:t>less clinically plausible and inconsistent with the observed data from EV-302 where the mean ToT was</w:t>
      </w:r>
      <w:r w:rsidR="00EF6A85">
        <w:t xml:space="preserve"> shorter</w:t>
      </w:r>
      <w:r w:rsidR="00364045" w:rsidRPr="00364045">
        <w:t xml:space="preserve"> for EV than for PEM.</w:t>
      </w:r>
      <w:r w:rsidR="00364045">
        <w:t xml:space="preserve"> The PBAC noted the mean ToT in the EV-302 study was a truncated mean and more patients remained on EV than PEM at</w:t>
      </w:r>
      <w:r w:rsidR="00EF6A85">
        <w:t xml:space="preserve"> data cutoff</w:t>
      </w:r>
      <w:r w:rsidR="00364045">
        <w:t xml:space="preserve">. </w:t>
      </w:r>
    </w:p>
    <w:p w14:paraId="6EB90511" w14:textId="35194259" w:rsidR="005D2394" w:rsidRDefault="005D2394" w:rsidP="005D2394">
      <w:pPr>
        <w:pStyle w:val="Caption"/>
      </w:pPr>
      <w:r>
        <w:t xml:space="preserve">Table </w:t>
      </w:r>
      <w:r>
        <w:fldChar w:fldCharType="begin" w:fldLock="1"/>
      </w:r>
      <w:r>
        <w:instrText xml:space="preserve"> SEQ Table \* ARABIC </w:instrText>
      </w:r>
      <w:r>
        <w:fldChar w:fldCharType="separate"/>
      </w:r>
      <w:r w:rsidR="00FE0BD6">
        <w:rPr>
          <w:noProof/>
        </w:rPr>
        <w:t>10</w:t>
      </w:r>
      <w:r>
        <w:rPr>
          <w:noProof/>
        </w:rPr>
        <w:fldChar w:fldCharType="end"/>
      </w:r>
      <w:r>
        <w:t>: Impact of alternative parametric functions fitted to the EV time on treatment Kaplan-Meier data</w:t>
      </w:r>
    </w:p>
    <w:tbl>
      <w:tblPr>
        <w:tblStyle w:val="TableGrid"/>
        <w:tblW w:w="0" w:type="auto"/>
        <w:tblLook w:val="04A0" w:firstRow="1" w:lastRow="0" w:firstColumn="1" w:lastColumn="0" w:noHBand="0" w:noVBand="1"/>
      </w:tblPr>
      <w:tblGrid>
        <w:gridCol w:w="2254"/>
        <w:gridCol w:w="2254"/>
        <w:gridCol w:w="2254"/>
        <w:gridCol w:w="2255"/>
      </w:tblGrid>
      <w:tr w:rsidR="005D2394" w:rsidRPr="006A4BA8" w14:paraId="6A397EA3" w14:textId="77777777" w:rsidTr="00660509">
        <w:tc>
          <w:tcPr>
            <w:tcW w:w="2254" w:type="dxa"/>
            <w:vAlign w:val="bottom"/>
          </w:tcPr>
          <w:p w14:paraId="4B043E6F" w14:textId="77777777" w:rsidR="005D2394" w:rsidRPr="006A4BA8" w:rsidRDefault="005D2394" w:rsidP="00660509">
            <w:pPr>
              <w:rPr>
                <w:rFonts w:ascii="Arial Narrow" w:hAnsi="Arial Narrow"/>
                <w:i/>
                <w:iCs/>
                <w:sz w:val="20"/>
                <w:szCs w:val="20"/>
              </w:rPr>
            </w:pPr>
          </w:p>
        </w:tc>
        <w:tc>
          <w:tcPr>
            <w:tcW w:w="2254" w:type="dxa"/>
            <w:vAlign w:val="bottom"/>
          </w:tcPr>
          <w:p w14:paraId="7CDBF978"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Mean treatment duration (months)</w:t>
            </w:r>
          </w:p>
        </w:tc>
        <w:tc>
          <w:tcPr>
            <w:tcW w:w="2254" w:type="dxa"/>
            <w:vAlign w:val="bottom"/>
          </w:tcPr>
          <w:p w14:paraId="1DFE65EF"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ICER</w:t>
            </w:r>
          </w:p>
        </w:tc>
        <w:tc>
          <w:tcPr>
            <w:tcW w:w="2255" w:type="dxa"/>
            <w:vAlign w:val="bottom"/>
          </w:tcPr>
          <w:p w14:paraId="439946AF"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ICER, Change from base case</w:t>
            </w:r>
          </w:p>
        </w:tc>
      </w:tr>
      <w:tr w:rsidR="005D2394" w:rsidRPr="006A4BA8" w14:paraId="58E6F0BF" w14:textId="77777777" w:rsidTr="00660509">
        <w:tc>
          <w:tcPr>
            <w:tcW w:w="2254" w:type="dxa"/>
            <w:vAlign w:val="center"/>
          </w:tcPr>
          <w:p w14:paraId="3ABC35F7"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Exponential</w:t>
            </w:r>
          </w:p>
        </w:tc>
        <w:tc>
          <w:tcPr>
            <w:tcW w:w="2254" w:type="dxa"/>
            <w:vAlign w:val="bottom"/>
          </w:tcPr>
          <w:p w14:paraId="616F1D25"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12.5</w:t>
            </w:r>
          </w:p>
        </w:tc>
        <w:tc>
          <w:tcPr>
            <w:tcW w:w="2254" w:type="dxa"/>
            <w:vAlign w:val="bottom"/>
          </w:tcPr>
          <w:p w14:paraId="7EBDFB2A" w14:textId="60104406" w:rsidR="005D2394" w:rsidRPr="00E36DB9" w:rsidRDefault="004C53B1" w:rsidP="00660509">
            <w:pPr>
              <w:rPr>
                <w:rFonts w:ascii="Arial Narrow" w:hAnsi="Arial Narrow"/>
                <w:i/>
                <w:iCs/>
                <w:sz w:val="20"/>
                <w:szCs w:val="20"/>
                <w:highlight w:val="darkGray"/>
              </w:rPr>
            </w:pPr>
            <w:r w:rsidRPr="006F3218">
              <w:rPr>
                <w:rFonts w:ascii="Arial Narrow" w:hAnsi="Arial Narrow"/>
                <w:color w:val="000000"/>
                <w:spacing w:val="11"/>
                <w:sz w:val="20"/>
                <w:szCs w:val="20"/>
                <w:shd w:val="solid" w:color="000000" w:fill="000000"/>
                <w:fitText w:val="320" w:id="-761020157"/>
                <w14:textFill>
                  <w14:solidFill>
                    <w14:srgbClr w14:val="000000">
                      <w14:alpha w14:val="100000"/>
                    </w14:srgbClr>
                  </w14:solidFill>
                </w14:textFill>
              </w:rPr>
              <w:t>||  |</w:t>
            </w:r>
            <w:r w:rsidRPr="006F3218">
              <w:rPr>
                <w:rFonts w:ascii="Arial Narrow" w:hAnsi="Arial Narrow"/>
                <w:color w:val="000000"/>
                <w:spacing w:val="4"/>
                <w:sz w:val="20"/>
                <w:szCs w:val="20"/>
                <w:shd w:val="solid" w:color="000000" w:fill="000000"/>
                <w:fitText w:val="320" w:id="-761020157"/>
                <w14:textFill>
                  <w14:solidFill>
                    <w14:srgbClr w14:val="000000">
                      <w14:alpha w14:val="100000"/>
                    </w14:srgbClr>
                  </w14:solidFill>
                </w14:textFill>
              </w:rPr>
              <w:t>|</w:t>
            </w:r>
            <w:r w:rsidR="005C07D3" w:rsidRPr="00E36DB9">
              <w:rPr>
                <w:rFonts w:ascii="Arial Narrow" w:hAnsi="Arial Narrow"/>
                <w:sz w:val="20"/>
                <w:szCs w:val="20"/>
                <w:vertAlign w:val="superscript"/>
              </w:rPr>
              <w:t>1</w:t>
            </w:r>
          </w:p>
        </w:tc>
        <w:tc>
          <w:tcPr>
            <w:tcW w:w="2255" w:type="dxa"/>
            <w:vAlign w:val="bottom"/>
          </w:tcPr>
          <w:p w14:paraId="59597B95" w14:textId="13C4F788" w:rsidR="005D2394" w:rsidRPr="006A4BA8" w:rsidRDefault="005D2394" w:rsidP="00660509">
            <w:pPr>
              <w:rPr>
                <w:rFonts w:ascii="Arial Narrow" w:hAnsi="Arial Narrow"/>
                <w:i/>
                <w:iCs/>
                <w:sz w:val="20"/>
                <w:szCs w:val="20"/>
              </w:rPr>
            </w:pPr>
            <w:r w:rsidRPr="006A4BA8">
              <w:rPr>
                <w:rFonts w:ascii="Arial Narrow" w:hAnsi="Arial Narrow"/>
                <w:sz w:val="20"/>
                <w:szCs w:val="20"/>
              </w:rPr>
              <w:t>-</w:t>
            </w:r>
            <w:r w:rsidR="006F3218" w:rsidRPr="006F3218">
              <w:rPr>
                <w:rFonts w:ascii="Arial Narrow" w:hAnsi="Arial Narrow"/>
                <w:color w:val="000000"/>
                <w:spacing w:val="11"/>
                <w:sz w:val="20"/>
                <w:szCs w:val="20"/>
                <w:shd w:val="solid" w:color="000000" w:fill="000000"/>
                <w:fitText w:val="320" w:id="-761020157"/>
                <w14:textFill>
                  <w14:solidFill>
                    <w14:srgbClr w14:val="000000">
                      <w14:alpha w14:val="100000"/>
                    </w14:srgbClr>
                  </w14:solidFill>
                </w14:textFill>
              </w:rPr>
              <w:t>||  |</w:t>
            </w:r>
            <w:r w:rsidR="006F3218" w:rsidRPr="006F3218">
              <w:rPr>
                <w:rFonts w:ascii="Arial Narrow" w:hAnsi="Arial Narrow"/>
                <w:color w:val="000000"/>
                <w:spacing w:val="4"/>
                <w:sz w:val="20"/>
                <w:szCs w:val="20"/>
                <w:shd w:val="solid" w:color="000000" w:fill="000000"/>
                <w:fitText w:val="320" w:id="-761020157"/>
                <w14:textFill>
                  <w14:solidFill>
                    <w14:srgbClr w14:val="000000">
                      <w14:alpha w14:val="100000"/>
                    </w14:srgbClr>
                  </w14:solidFill>
                </w14:textFill>
              </w:rPr>
              <w:t>|</w:t>
            </w:r>
            <w:r w:rsidRPr="006A4BA8">
              <w:rPr>
                <w:rFonts w:ascii="Arial Narrow" w:hAnsi="Arial Narrow"/>
                <w:sz w:val="20"/>
                <w:szCs w:val="20"/>
              </w:rPr>
              <w:t>%</w:t>
            </w:r>
          </w:p>
        </w:tc>
      </w:tr>
      <w:tr w:rsidR="005D2394" w:rsidRPr="006A4BA8" w14:paraId="0761BCE8" w14:textId="77777777" w:rsidTr="00660509">
        <w:tc>
          <w:tcPr>
            <w:tcW w:w="2254" w:type="dxa"/>
            <w:vAlign w:val="center"/>
          </w:tcPr>
          <w:p w14:paraId="2EAEC5A0"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Weibull</w:t>
            </w:r>
          </w:p>
        </w:tc>
        <w:tc>
          <w:tcPr>
            <w:tcW w:w="2254" w:type="dxa"/>
            <w:vAlign w:val="bottom"/>
          </w:tcPr>
          <w:p w14:paraId="01E056BB"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11.9</w:t>
            </w:r>
          </w:p>
        </w:tc>
        <w:tc>
          <w:tcPr>
            <w:tcW w:w="2254" w:type="dxa"/>
            <w:vAlign w:val="bottom"/>
          </w:tcPr>
          <w:p w14:paraId="166C01FA" w14:textId="048161EB" w:rsidR="005D2394" w:rsidRPr="00E36DB9" w:rsidRDefault="004C53B1" w:rsidP="00660509">
            <w:pPr>
              <w:rPr>
                <w:rFonts w:ascii="Arial Narrow" w:hAnsi="Arial Narrow"/>
                <w:i/>
                <w:iCs/>
                <w:sz w:val="20"/>
                <w:szCs w:val="20"/>
                <w:highlight w:val="darkGray"/>
              </w:rPr>
            </w:pPr>
            <w:r w:rsidRPr="004C53B1">
              <w:rPr>
                <w:rFonts w:ascii="Arial Narrow" w:hAnsi="Arial Narrow"/>
                <w:color w:val="000000"/>
                <w:spacing w:val="11"/>
                <w:sz w:val="20"/>
                <w:szCs w:val="20"/>
                <w:shd w:val="solid" w:color="000000" w:fill="000000"/>
                <w:fitText w:val="320" w:id="-761020156"/>
                <w14:textFill>
                  <w14:solidFill>
                    <w14:srgbClr w14:val="000000">
                      <w14:alpha w14:val="100000"/>
                    </w14:srgbClr>
                  </w14:solidFill>
                </w14:textFill>
              </w:rPr>
              <w:t>||  |</w:t>
            </w:r>
            <w:r w:rsidRPr="004C53B1">
              <w:rPr>
                <w:rFonts w:ascii="Arial Narrow" w:hAnsi="Arial Narrow"/>
                <w:color w:val="000000"/>
                <w:spacing w:val="4"/>
                <w:sz w:val="20"/>
                <w:szCs w:val="20"/>
                <w:shd w:val="solid" w:color="000000" w:fill="000000"/>
                <w:fitText w:val="320" w:id="-761020156"/>
                <w14:textFill>
                  <w14:solidFill>
                    <w14:srgbClr w14:val="000000">
                      <w14:alpha w14:val="100000"/>
                    </w14:srgbClr>
                  </w14:solidFill>
                </w14:textFill>
              </w:rPr>
              <w:t>|</w:t>
            </w:r>
            <w:r w:rsidR="005C07D3" w:rsidRPr="00450C49">
              <w:rPr>
                <w:rFonts w:ascii="Arial Narrow" w:hAnsi="Arial Narrow"/>
                <w:sz w:val="20"/>
                <w:szCs w:val="20"/>
                <w:vertAlign w:val="superscript"/>
              </w:rPr>
              <w:t>1</w:t>
            </w:r>
          </w:p>
        </w:tc>
        <w:tc>
          <w:tcPr>
            <w:tcW w:w="2255" w:type="dxa"/>
            <w:vAlign w:val="bottom"/>
          </w:tcPr>
          <w:p w14:paraId="48949695" w14:textId="67528D39" w:rsidR="005D2394" w:rsidRPr="006A4BA8" w:rsidRDefault="006F3218" w:rsidP="00660509">
            <w:pPr>
              <w:rPr>
                <w:rFonts w:ascii="Arial Narrow" w:hAnsi="Arial Narrow"/>
                <w:i/>
                <w:iCs/>
                <w:sz w:val="20"/>
                <w:szCs w:val="20"/>
              </w:rPr>
            </w:pPr>
            <w:r w:rsidRPr="006A4BA8">
              <w:rPr>
                <w:rFonts w:ascii="Arial Narrow" w:hAnsi="Arial Narrow"/>
                <w:sz w:val="20"/>
                <w:szCs w:val="20"/>
              </w:rPr>
              <w:t>-</w:t>
            </w:r>
            <w:r w:rsidRPr="006F3218">
              <w:rPr>
                <w:rFonts w:ascii="Arial Narrow" w:hAnsi="Arial Narrow"/>
                <w:color w:val="000000"/>
                <w:spacing w:val="11"/>
                <w:sz w:val="20"/>
                <w:szCs w:val="20"/>
                <w:shd w:val="solid" w:color="000000" w:fill="000000"/>
                <w:fitText w:val="320" w:id="-761020157"/>
                <w14:textFill>
                  <w14:solidFill>
                    <w14:srgbClr w14:val="000000">
                      <w14:alpha w14:val="100000"/>
                    </w14:srgbClr>
                  </w14:solidFill>
                </w14:textFill>
              </w:rPr>
              <w:t>||  |</w:t>
            </w:r>
            <w:r w:rsidRPr="006F3218">
              <w:rPr>
                <w:rFonts w:ascii="Arial Narrow" w:hAnsi="Arial Narrow"/>
                <w:color w:val="000000"/>
                <w:spacing w:val="4"/>
                <w:sz w:val="20"/>
                <w:szCs w:val="20"/>
                <w:shd w:val="solid" w:color="000000" w:fill="000000"/>
                <w:fitText w:val="320" w:id="-761020157"/>
                <w14:textFill>
                  <w14:solidFill>
                    <w14:srgbClr w14:val="000000">
                      <w14:alpha w14:val="100000"/>
                    </w14:srgbClr>
                  </w14:solidFill>
                </w14:textFill>
              </w:rPr>
              <w:t>|</w:t>
            </w:r>
            <w:r w:rsidRPr="006A4BA8">
              <w:rPr>
                <w:rFonts w:ascii="Arial Narrow" w:hAnsi="Arial Narrow"/>
                <w:sz w:val="20"/>
                <w:szCs w:val="20"/>
              </w:rPr>
              <w:t>%</w:t>
            </w:r>
          </w:p>
        </w:tc>
      </w:tr>
      <w:tr w:rsidR="005D2394" w:rsidRPr="006A4BA8" w14:paraId="31E95A75" w14:textId="77777777" w:rsidTr="00660509">
        <w:tc>
          <w:tcPr>
            <w:tcW w:w="2254" w:type="dxa"/>
            <w:vAlign w:val="center"/>
          </w:tcPr>
          <w:p w14:paraId="4B98BD8A"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Log-normal</w:t>
            </w:r>
          </w:p>
        </w:tc>
        <w:tc>
          <w:tcPr>
            <w:tcW w:w="2254" w:type="dxa"/>
            <w:vAlign w:val="bottom"/>
          </w:tcPr>
          <w:p w14:paraId="3DAC25E2"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15.5</w:t>
            </w:r>
          </w:p>
        </w:tc>
        <w:tc>
          <w:tcPr>
            <w:tcW w:w="2254" w:type="dxa"/>
            <w:vAlign w:val="bottom"/>
          </w:tcPr>
          <w:p w14:paraId="10362546" w14:textId="57E826AF" w:rsidR="005D2394" w:rsidRPr="00E36DB9" w:rsidRDefault="004C53B1" w:rsidP="00660509">
            <w:pPr>
              <w:rPr>
                <w:rFonts w:ascii="Arial Narrow" w:hAnsi="Arial Narrow"/>
                <w:i/>
                <w:iCs/>
                <w:sz w:val="20"/>
                <w:szCs w:val="20"/>
                <w:highlight w:val="darkGray"/>
              </w:rPr>
            </w:pPr>
            <w:r w:rsidRPr="004C53B1">
              <w:rPr>
                <w:rFonts w:ascii="Arial Narrow" w:hAnsi="Arial Narrow"/>
                <w:color w:val="000000"/>
                <w:spacing w:val="11"/>
                <w:sz w:val="20"/>
                <w:szCs w:val="20"/>
                <w:shd w:val="solid" w:color="000000" w:fill="000000"/>
                <w:fitText w:val="320" w:id="-761020155"/>
                <w14:textFill>
                  <w14:solidFill>
                    <w14:srgbClr w14:val="000000">
                      <w14:alpha w14:val="100000"/>
                    </w14:srgbClr>
                  </w14:solidFill>
                </w14:textFill>
              </w:rPr>
              <w:t>||  |</w:t>
            </w:r>
            <w:r w:rsidRPr="004C53B1">
              <w:rPr>
                <w:rFonts w:ascii="Arial Narrow" w:hAnsi="Arial Narrow"/>
                <w:color w:val="000000"/>
                <w:spacing w:val="4"/>
                <w:sz w:val="20"/>
                <w:szCs w:val="20"/>
                <w:shd w:val="solid" w:color="000000" w:fill="000000"/>
                <w:fitText w:val="320" w:id="-761020155"/>
                <w14:textFill>
                  <w14:solidFill>
                    <w14:srgbClr w14:val="000000">
                      <w14:alpha w14:val="100000"/>
                    </w14:srgbClr>
                  </w14:solidFill>
                </w14:textFill>
              </w:rPr>
              <w:t>|</w:t>
            </w:r>
            <w:r w:rsidR="005C07D3" w:rsidRPr="00450C49">
              <w:rPr>
                <w:rFonts w:ascii="Arial Narrow" w:hAnsi="Arial Narrow"/>
                <w:sz w:val="20"/>
                <w:szCs w:val="20"/>
                <w:vertAlign w:val="superscript"/>
              </w:rPr>
              <w:t>1</w:t>
            </w:r>
          </w:p>
        </w:tc>
        <w:tc>
          <w:tcPr>
            <w:tcW w:w="2255" w:type="dxa"/>
            <w:vAlign w:val="bottom"/>
          </w:tcPr>
          <w:p w14:paraId="08409D90" w14:textId="0631274F" w:rsidR="005D2394" w:rsidRPr="006A4BA8" w:rsidRDefault="006F3218" w:rsidP="00660509">
            <w:pPr>
              <w:rPr>
                <w:rFonts w:ascii="Arial Narrow" w:hAnsi="Arial Narrow"/>
                <w:i/>
                <w:iCs/>
                <w:sz w:val="20"/>
                <w:szCs w:val="20"/>
              </w:rPr>
            </w:pPr>
            <w:r w:rsidRPr="006F3218">
              <w:rPr>
                <w:rFonts w:ascii="Arial Narrow" w:hAnsi="Arial Narrow"/>
                <w:color w:val="000000"/>
                <w:spacing w:val="11"/>
                <w:sz w:val="20"/>
                <w:szCs w:val="20"/>
                <w:shd w:val="solid" w:color="000000" w:fill="000000"/>
                <w:fitText w:val="320" w:id="-761020157"/>
                <w14:textFill>
                  <w14:solidFill>
                    <w14:srgbClr w14:val="000000">
                      <w14:alpha w14:val="100000"/>
                    </w14:srgbClr>
                  </w14:solidFill>
                </w14:textFill>
              </w:rPr>
              <w:t>||  |</w:t>
            </w:r>
            <w:r w:rsidRPr="006F3218">
              <w:rPr>
                <w:rFonts w:ascii="Arial Narrow" w:hAnsi="Arial Narrow"/>
                <w:color w:val="000000"/>
                <w:spacing w:val="4"/>
                <w:sz w:val="20"/>
                <w:szCs w:val="20"/>
                <w:shd w:val="solid" w:color="000000" w:fill="000000"/>
                <w:fitText w:val="320" w:id="-761020157"/>
                <w14:textFill>
                  <w14:solidFill>
                    <w14:srgbClr w14:val="000000">
                      <w14:alpha w14:val="100000"/>
                    </w14:srgbClr>
                  </w14:solidFill>
                </w14:textFill>
              </w:rPr>
              <w:t>|</w:t>
            </w:r>
            <w:r w:rsidRPr="006A4BA8">
              <w:rPr>
                <w:rFonts w:ascii="Arial Narrow" w:hAnsi="Arial Narrow"/>
                <w:sz w:val="20"/>
                <w:szCs w:val="20"/>
              </w:rPr>
              <w:t>%</w:t>
            </w:r>
          </w:p>
        </w:tc>
      </w:tr>
      <w:tr w:rsidR="005D2394" w:rsidRPr="006A4BA8" w14:paraId="1883CEF2" w14:textId="77777777" w:rsidTr="00660509">
        <w:tc>
          <w:tcPr>
            <w:tcW w:w="2254" w:type="dxa"/>
            <w:vAlign w:val="center"/>
          </w:tcPr>
          <w:p w14:paraId="603FF65F"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Log-logistic</w:t>
            </w:r>
          </w:p>
        </w:tc>
        <w:tc>
          <w:tcPr>
            <w:tcW w:w="2254" w:type="dxa"/>
            <w:vAlign w:val="bottom"/>
          </w:tcPr>
          <w:p w14:paraId="10DB7960"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15.9</w:t>
            </w:r>
          </w:p>
        </w:tc>
        <w:tc>
          <w:tcPr>
            <w:tcW w:w="2254" w:type="dxa"/>
            <w:vAlign w:val="bottom"/>
          </w:tcPr>
          <w:p w14:paraId="4ECC09B4" w14:textId="1386E81D" w:rsidR="005D2394" w:rsidRPr="00E36DB9" w:rsidRDefault="004C53B1" w:rsidP="00660509">
            <w:pPr>
              <w:rPr>
                <w:rFonts w:ascii="Arial Narrow" w:hAnsi="Arial Narrow"/>
                <w:i/>
                <w:iCs/>
                <w:sz w:val="20"/>
                <w:szCs w:val="20"/>
                <w:highlight w:val="darkGray"/>
              </w:rPr>
            </w:pPr>
            <w:r w:rsidRPr="004C53B1">
              <w:rPr>
                <w:rFonts w:ascii="Arial Narrow" w:hAnsi="Arial Narrow"/>
                <w:color w:val="000000"/>
                <w:spacing w:val="11"/>
                <w:sz w:val="20"/>
                <w:szCs w:val="20"/>
                <w:shd w:val="solid" w:color="000000" w:fill="000000"/>
                <w:fitText w:val="320" w:id="-761020154"/>
                <w14:textFill>
                  <w14:solidFill>
                    <w14:srgbClr w14:val="000000">
                      <w14:alpha w14:val="100000"/>
                    </w14:srgbClr>
                  </w14:solidFill>
                </w14:textFill>
              </w:rPr>
              <w:t>||  |</w:t>
            </w:r>
            <w:r w:rsidRPr="004C53B1">
              <w:rPr>
                <w:rFonts w:ascii="Arial Narrow" w:hAnsi="Arial Narrow"/>
                <w:color w:val="000000"/>
                <w:spacing w:val="4"/>
                <w:sz w:val="20"/>
                <w:szCs w:val="20"/>
                <w:shd w:val="solid" w:color="000000" w:fill="000000"/>
                <w:fitText w:val="320" w:id="-761020154"/>
                <w14:textFill>
                  <w14:solidFill>
                    <w14:srgbClr w14:val="000000">
                      <w14:alpha w14:val="100000"/>
                    </w14:srgbClr>
                  </w14:solidFill>
                </w14:textFill>
              </w:rPr>
              <w:t>|</w:t>
            </w:r>
            <w:r w:rsidR="005C07D3" w:rsidRPr="00450C49">
              <w:rPr>
                <w:rFonts w:ascii="Arial Narrow" w:hAnsi="Arial Narrow"/>
                <w:sz w:val="20"/>
                <w:szCs w:val="20"/>
                <w:vertAlign w:val="superscript"/>
              </w:rPr>
              <w:t>1</w:t>
            </w:r>
          </w:p>
        </w:tc>
        <w:tc>
          <w:tcPr>
            <w:tcW w:w="2255" w:type="dxa"/>
            <w:vAlign w:val="bottom"/>
          </w:tcPr>
          <w:p w14:paraId="049D1037" w14:textId="57E66F1A" w:rsidR="005D2394" w:rsidRPr="006A4BA8" w:rsidRDefault="006F3218" w:rsidP="00660509">
            <w:pPr>
              <w:rPr>
                <w:rFonts w:ascii="Arial Narrow" w:hAnsi="Arial Narrow"/>
                <w:i/>
                <w:iCs/>
                <w:sz w:val="20"/>
                <w:szCs w:val="20"/>
              </w:rPr>
            </w:pPr>
            <w:r w:rsidRPr="006F3218">
              <w:rPr>
                <w:rFonts w:ascii="Arial Narrow" w:hAnsi="Arial Narrow"/>
                <w:color w:val="000000"/>
                <w:spacing w:val="11"/>
                <w:sz w:val="20"/>
                <w:szCs w:val="20"/>
                <w:shd w:val="solid" w:color="000000" w:fill="000000"/>
                <w:fitText w:val="320" w:id="-761020157"/>
                <w14:textFill>
                  <w14:solidFill>
                    <w14:srgbClr w14:val="000000">
                      <w14:alpha w14:val="100000"/>
                    </w14:srgbClr>
                  </w14:solidFill>
                </w14:textFill>
              </w:rPr>
              <w:t>||  |</w:t>
            </w:r>
            <w:r w:rsidRPr="006F3218">
              <w:rPr>
                <w:rFonts w:ascii="Arial Narrow" w:hAnsi="Arial Narrow"/>
                <w:color w:val="000000"/>
                <w:spacing w:val="4"/>
                <w:sz w:val="20"/>
                <w:szCs w:val="20"/>
                <w:shd w:val="solid" w:color="000000" w:fill="000000"/>
                <w:fitText w:val="320" w:id="-761020157"/>
                <w14:textFill>
                  <w14:solidFill>
                    <w14:srgbClr w14:val="000000">
                      <w14:alpha w14:val="100000"/>
                    </w14:srgbClr>
                  </w14:solidFill>
                </w14:textFill>
              </w:rPr>
              <w:t>|</w:t>
            </w:r>
            <w:r w:rsidRPr="006A4BA8">
              <w:rPr>
                <w:rFonts w:ascii="Arial Narrow" w:hAnsi="Arial Narrow"/>
                <w:sz w:val="20"/>
                <w:szCs w:val="20"/>
              </w:rPr>
              <w:t>%</w:t>
            </w:r>
          </w:p>
        </w:tc>
      </w:tr>
      <w:tr w:rsidR="005D2394" w:rsidRPr="006A4BA8" w14:paraId="6BD5057B" w14:textId="77777777" w:rsidTr="00660509">
        <w:tc>
          <w:tcPr>
            <w:tcW w:w="2254" w:type="dxa"/>
            <w:vAlign w:val="center"/>
          </w:tcPr>
          <w:p w14:paraId="13A6DFE6"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Gompertz</w:t>
            </w:r>
          </w:p>
        </w:tc>
        <w:tc>
          <w:tcPr>
            <w:tcW w:w="2254" w:type="dxa"/>
            <w:vAlign w:val="bottom"/>
          </w:tcPr>
          <w:p w14:paraId="03E8470F"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12.6</w:t>
            </w:r>
          </w:p>
        </w:tc>
        <w:tc>
          <w:tcPr>
            <w:tcW w:w="2254" w:type="dxa"/>
            <w:vAlign w:val="bottom"/>
          </w:tcPr>
          <w:p w14:paraId="00FACF63" w14:textId="4C2AFCAB" w:rsidR="005D2394" w:rsidRPr="00E36DB9" w:rsidRDefault="004C53B1" w:rsidP="00660509">
            <w:pPr>
              <w:rPr>
                <w:rFonts w:ascii="Arial Narrow" w:hAnsi="Arial Narrow"/>
                <w:i/>
                <w:iCs/>
                <w:sz w:val="20"/>
                <w:szCs w:val="20"/>
                <w:highlight w:val="darkGray"/>
              </w:rPr>
            </w:pPr>
            <w:r w:rsidRPr="004C53B1">
              <w:rPr>
                <w:rFonts w:ascii="Arial Narrow" w:hAnsi="Arial Narrow"/>
                <w:color w:val="000000"/>
                <w:spacing w:val="11"/>
                <w:sz w:val="20"/>
                <w:szCs w:val="20"/>
                <w:shd w:val="solid" w:color="000000" w:fill="000000"/>
                <w:fitText w:val="320" w:id="-761020153"/>
                <w14:textFill>
                  <w14:solidFill>
                    <w14:srgbClr w14:val="000000">
                      <w14:alpha w14:val="100000"/>
                    </w14:srgbClr>
                  </w14:solidFill>
                </w14:textFill>
              </w:rPr>
              <w:t>||  |</w:t>
            </w:r>
            <w:r w:rsidRPr="004C53B1">
              <w:rPr>
                <w:rFonts w:ascii="Arial Narrow" w:hAnsi="Arial Narrow"/>
                <w:color w:val="000000"/>
                <w:spacing w:val="4"/>
                <w:sz w:val="20"/>
                <w:szCs w:val="20"/>
                <w:shd w:val="solid" w:color="000000" w:fill="000000"/>
                <w:fitText w:val="320" w:id="-761020153"/>
                <w14:textFill>
                  <w14:solidFill>
                    <w14:srgbClr w14:val="000000">
                      <w14:alpha w14:val="100000"/>
                    </w14:srgbClr>
                  </w14:solidFill>
                </w14:textFill>
              </w:rPr>
              <w:t>|</w:t>
            </w:r>
            <w:r w:rsidR="005C07D3" w:rsidRPr="00450C49">
              <w:rPr>
                <w:rFonts w:ascii="Arial Narrow" w:hAnsi="Arial Narrow"/>
                <w:sz w:val="20"/>
                <w:szCs w:val="20"/>
                <w:vertAlign w:val="superscript"/>
              </w:rPr>
              <w:t>1</w:t>
            </w:r>
          </w:p>
        </w:tc>
        <w:tc>
          <w:tcPr>
            <w:tcW w:w="2255" w:type="dxa"/>
            <w:vAlign w:val="bottom"/>
          </w:tcPr>
          <w:p w14:paraId="30F2C0A3" w14:textId="68B09B97" w:rsidR="005D2394" w:rsidRPr="006A4BA8" w:rsidRDefault="006F3218" w:rsidP="00660509">
            <w:pPr>
              <w:rPr>
                <w:rFonts w:ascii="Arial Narrow" w:hAnsi="Arial Narrow"/>
                <w:i/>
                <w:iCs/>
                <w:sz w:val="20"/>
                <w:szCs w:val="20"/>
              </w:rPr>
            </w:pPr>
            <w:r w:rsidRPr="006A4BA8">
              <w:rPr>
                <w:rFonts w:ascii="Arial Narrow" w:hAnsi="Arial Narrow"/>
                <w:sz w:val="20"/>
                <w:szCs w:val="20"/>
              </w:rPr>
              <w:t>-</w:t>
            </w:r>
            <w:r w:rsidRPr="006F3218">
              <w:rPr>
                <w:rFonts w:ascii="Arial Narrow" w:hAnsi="Arial Narrow"/>
                <w:color w:val="000000"/>
                <w:spacing w:val="11"/>
                <w:sz w:val="20"/>
                <w:szCs w:val="20"/>
                <w:shd w:val="solid" w:color="000000" w:fill="000000"/>
                <w:fitText w:val="320" w:id="-761020157"/>
                <w14:textFill>
                  <w14:solidFill>
                    <w14:srgbClr w14:val="000000">
                      <w14:alpha w14:val="100000"/>
                    </w14:srgbClr>
                  </w14:solidFill>
                </w14:textFill>
              </w:rPr>
              <w:t>||  |</w:t>
            </w:r>
            <w:r w:rsidRPr="006F3218">
              <w:rPr>
                <w:rFonts w:ascii="Arial Narrow" w:hAnsi="Arial Narrow"/>
                <w:color w:val="000000"/>
                <w:spacing w:val="4"/>
                <w:sz w:val="20"/>
                <w:szCs w:val="20"/>
                <w:shd w:val="solid" w:color="000000" w:fill="000000"/>
                <w:fitText w:val="320" w:id="-761020157"/>
                <w14:textFill>
                  <w14:solidFill>
                    <w14:srgbClr w14:val="000000">
                      <w14:alpha w14:val="100000"/>
                    </w14:srgbClr>
                  </w14:solidFill>
                </w14:textFill>
              </w:rPr>
              <w:t>|</w:t>
            </w:r>
            <w:r w:rsidRPr="006A4BA8">
              <w:rPr>
                <w:rFonts w:ascii="Arial Narrow" w:hAnsi="Arial Narrow"/>
                <w:sz w:val="20"/>
                <w:szCs w:val="20"/>
              </w:rPr>
              <w:t>%</w:t>
            </w:r>
          </w:p>
        </w:tc>
      </w:tr>
      <w:tr w:rsidR="005D2394" w:rsidRPr="006A4BA8" w14:paraId="4A45E360" w14:textId="77777777" w:rsidTr="00660509">
        <w:tc>
          <w:tcPr>
            <w:tcW w:w="2254" w:type="dxa"/>
            <w:vAlign w:val="center"/>
          </w:tcPr>
          <w:p w14:paraId="664023F9"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Generalised gamma</w:t>
            </w:r>
          </w:p>
        </w:tc>
        <w:tc>
          <w:tcPr>
            <w:tcW w:w="2254" w:type="dxa"/>
            <w:vAlign w:val="bottom"/>
          </w:tcPr>
          <w:p w14:paraId="45B0F96C" w14:textId="77777777" w:rsidR="005D2394" w:rsidRPr="006A4BA8" w:rsidRDefault="005D2394" w:rsidP="00660509">
            <w:pPr>
              <w:rPr>
                <w:rFonts w:ascii="Arial Narrow" w:hAnsi="Arial Narrow"/>
                <w:i/>
                <w:iCs/>
                <w:sz w:val="20"/>
                <w:szCs w:val="20"/>
              </w:rPr>
            </w:pPr>
            <w:r w:rsidRPr="006A4BA8">
              <w:rPr>
                <w:rFonts w:ascii="Arial Narrow" w:hAnsi="Arial Narrow"/>
                <w:sz w:val="20"/>
                <w:szCs w:val="20"/>
              </w:rPr>
              <w:t>13.8</w:t>
            </w:r>
          </w:p>
        </w:tc>
        <w:tc>
          <w:tcPr>
            <w:tcW w:w="2254" w:type="dxa"/>
            <w:vAlign w:val="bottom"/>
          </w:tcPr>
          <w:p w14:paraId="315D88A4" w14:textId="7232BC6D" w:rsidR="005D2394" w:rsidRPr="00E36DB9" w:rsidRDefault="004C53B1" w:rsidP="00660509">
            <w:pPr>
              <w:rPr>
                <w:rFonts w:ascii="Arial Narrow" w:hAnsi="Arial Narrow"/>
                <w:i/>
                <w:iCs/>
                <w:sz w:val="20"/>
                <w:szCs w:val="20"/>
                <w:highlight w:val="darkGray"/>
              </w:rPr>
            </w:pPr>
            <w:r w:rsidRPr="004C53B1">
              <w:rPr>
                <w:rFonts w:ascii="Arial Narrow" w:hAnsi="Arial Narrow"/>
                <w:color w:val="000000"/>
                <w:spacing w:val="11"/>
                <w:sz w:val="20"/>
                <w:szCs w:val="20"/>
                <w:shd w:val="solid" w:color="000000" w:fill="000000"/>
                <w:fitText w:val="320" w:id="-761020152"/>
                <w14:textFill>
                  <w14:solidFill>
                    <w14:srgbClr w14:val="000000">
                      <w14:alpha w14:val="100000"/>
                    </w14:srgbClr>
                  </w14:solidFill>
                </w14:textFill>
              </w:rPr>
              <w:t>||  |</w:t>
            </w:r>
            <w:r w:rsidRPr="004C53B1">
              <w:rPr>
                <w:rFonts w:ascii="Arial Narrow" w:hAnsi="Arial Narrow"/>
                <w:color w:val="000000"/>
                <w:spacing w:val="4"/>
                <w:sz w:val="20"/>
                <w:szCs w:val="20"/>
                <w:shd w:val="solid" w:color="000000" w:fill="000000"/>
                <w:fitText w:val="320" w:id="-761020152"/>
                <w14:textFill>
                  <w14:solidFill>
                    <w14:srgbClr w14:val="000000">
                      <w14:alpha w14:val="100000"/>
                    </w14:srgbClr>
                  </w14:solidFill>
                </w14:textFill>
              </w:rPr>
              <w:t>|</w:t>
            </w:r>
            <w:r w:rsidR="005C07D3" w:rsidRPr="00450C49">
              <w:rPr>
                <w:rFonts w:ascii="Arial Narrow" w:hAnsi="Arial Narrow"/>
                <w:sz w:val="20"/>
                <w:szCs w:val="20"/>
                <w:vertAlign w:val="superscript"/>
              </w:rPr>
              <w:t>1</w:t>
            </w:r>
          </w:p>
        </w:tc>
        <w:tc>
          <w:tcPr>
            <w:tcW w:w="2255" w:type="dxa"/>
            <w:vAlign w:val="bottom"/>
          </w:tcPr>
          <w:p w14:paraId="6C4FBE56" w14:textId="77777777" w:rsidR="005D2394" w:rsidRPr="006A4BA8" w:rsidRDefault="005D2394" w:rsidP="00660509">
            <w:pPr>
              <w:rPr>
                <w:rFonts w:ascii="Arial Narrow" w:hAnsi="Arial Narrow"/>
                <w:i/>
                <w:iCs/>
                <w:sz w:val="20"/>
                <w:szCs w:val="20"/>
              </w:rPr>
            </w:pPr>
            <w:r>
              <w:rPr>
                <w:rFonts w:ascii="Arial Narrow" w:hAnsi="Arial Narrow"/>
                <w:sz w:val="20"/>
                <w:szCs w:val="20"/>
              </w:rPr>
              <w:t>Base case</w:t>
            </w:r>
          </w:p>
        </w:tc>
      </w:tr>
    </w:tbl>
    <w:p w14:paraId="7630B6B5" w14:textId="77777777" w:rsidR="005D2394" w:rsidRDefault="005D2394" w:rsidP="005D2394">
      <w:pPr>
        <w:pStyle w:val="TableFigureFooter"/>
      </w:pPr>
      <w:r>
        <w:t>Source: generated during the evaluation from the economic evaluation spreadsheet.</w:t>
      </w:r>
    </w:p>
    <w:p w14:paraId="587BA7B1" w14:textId="77777777" w:rsidR="002F09BA" w:rsidRDefault="005D2394" w:rsidP="00961DC3">
      <w:pPr>
        <w:pStyle w:val="TableFigureFooter"/>
      </w:pPr>
      <w:r>
        <w:t>EV = Enfortumab vedotin; ICER = Incremental cost-effectiveness ratio</w:t>
      </w:r>
      <w:r w:rsidR="00961DC3">
        <w:t xml:space="preserve"> </w:t>
      </w:r>
    </w:p>
    <w:p w14:paraId="1CA519B9" w14:textId="51B5AC3D" w:rsidR="00961DC3" w:rsidRPr="006F3218" w:rsidRDefault="002F09BA" w:rsidP="00961DC3">
      <w:pPr>
        <w:pStyle w:val="TableFigureFooter"/>
        <w:rPr>
          <w:i/>
          <w:iCs/>
        </w:rPr>
      </w:pPr>
      <w:r w:rsidRPr="006F3218">
        <w:rPr>
          <w:i/>
          <w:iCs/>
        </w:rPr>
        <w:t>T</w:t>
      </w:r>
      <w:r w:rsidR="00961DC3" w:rsidRPr="006F3218">
        <w:rPr>
          <w:i/>
          <w:iCs/>
        </w:rPr>
        <w:t>he redacted values correspond to the following ranges:</w:t>
      </w:r>
    </w:p>
    <w:p w14:paraId="2EDCD51E" w14:textId="30F9F897" w:rsidR="00757086" w:rsidRPr="006F3218" w:rsidRDefault="00961DC3" w:rsidP="00014CB1">
      <w:pPr>
        <w:pStyle w:val="TableFigureFooter"/>
        <w:rPr>
          <w:i/>
          <w:iCs/>
        </w:rPr>
      </w:pPr>
      <w:r w:rsidRPr="006F3218">
        <w:rPr>
          <w:i/>
          <w:iCs/>
        </w:rPr>
        <w:t xml:space="preserve">1 </w:t>
      </w:r>
      <w:r w:rsidR="000C460A" w:rsidRPr="006F3218">
        <w:rPr>
          <w:i/>
          <w:iCs/>
        </w:rPr>
        <w:t>$155,000 to &lt; $255,000</w:t>
      </w:r>
    </w:p>
    <w:p w14:paraId="64FA69DB" w14:textId="4D83E48E" w:rsidR="00757086" w:rsidRPr="00364045" w:rsidRDefault="00757086" w:rsidP="00757086">
      <w:pPr>
        <w:pStyle w:val="Caption"/>
      </w:pPr>
      <w:bookmarkStart w:id="47" w:name="_Ref180157854"/>
      <w:r w:rsidRPr="00364045">
        <w:lastRenderedPageBreak/>
        <w:t xml:space="preserve">Figure </w:t>
      </w:r>
      <w:r>
        <w:fldChar w:fldCharType="begin" w:fldLock="1"/>
      </w:r>
      <w:r>
        <w:instrText xml:space="preserve"> SEQ Figure \* ARABIC </w:instrText>
      </w:r>
      <w:r>
        <w:fldChar w:fldCharType="separate"/>
      </w:r>
      <w:r w:rsidR="00FE0BD6">
        <w:rPr>
          <w:noProof/>
        </w:rPr>
        <w:t>5</w:t>
      </w:r>
      <w:r>
        <w:rPr>
          <w:noProof/>
        </w:rPr>
        <w:fldChar w:fldCharType="end"/>
      </w:r>
      <w:bookmarkEnd w:id="47"/>
      <w:r w:rsidRPr="00364045">
        <w:t>: Time to treatment discontinuation curves for enfortumab vedotin in the EV+PEM arm</w:t>
      </w:r>
    </w:p>
    <w:p w14:paraId="75BBD916" w14:textId="77777777" w:rsidR="00757086" w:rsidRPr="00364045" w:rsidRDefault="00757086" w:rsidP="00757086">
      <w:r w:rsidRPr="00364045">
        <w:rPr>
          <w:noProof/>
        </w:rPr>
        <w:drawing>
          <wp:inline distT="0" distB="0" distL="0" distR="0" wp14:anchorId="685414DA" wp14:editId="7CB0E68D">
            <wp:extent cx="6045200" cy="3497561"/>
            <wp:effectExtent l="0" t="0" r="0" b="0"/>
            <wp:docPr id="1433301872" name="Picture 9" descr="A graph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01872" name="Picture 9" descr="A graph with colorful line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4991" cy="3503226"/>
                    </a:xfrm>
                    <a:prstGeom prst="rect">
                      <a:avLst/>
                    </a:prstGeom>
                    <a:noFill/>
                  </pic:spPr>
                </pic:pic>
              </a:graphicData>
            </a:graphic>
          </wp:inline>
        </w:drawing>
      </w:r>
    </w:p>
    <w:p w14:paraId="42841BBA" w14:textId="77777777" w:rsidR="00757086" w:rsidRPr="00364045" w:rsidRDefault="00757086" w:rsidP="00757086">
      <w:pPr>
        <w:pStyle w:val="TableFigureFooter"/>
      </w:pPr>
      <w:r w:rsidRPr="00364045">
        <w:t>Source: Figure 3-7, p99 of the submission.</w:t>
      </w:r>
    </w:p>
    <w:p w14:paraId="37D9D41B" w14:textId="316B74FC" w:rsidR="00757086" w:rsidRDefault="00757086" w:rsidP="00014CB1">
      <w:pPr>
        <w:pStyle w:val="TableFigureFooter"/>
      </w:pPr>
      <w:r w:rsidRPr="00364045">
        <w:t>EV = enfortumab vedotin; KM = Kaplan-Meier; PEM = pembrolizumab; ToT = time on treatment; Tx = treatment arm in EV-302 containing enfortumab vedotin and pembrolizumab – in this figure, only the KM curve for enfortumab vedotin is presented.</w:t>
      </w:r>
    </w:p>
    <w:p w14:paraId="7A494E55" w14:textId="7AA521F0" w:rsidR="005D2394" w:rsidRDefault="005D2394" w:rsidP="003D16D6">
      <w:pPr>
        <w:pStyle w:val="3-BodyText"/>
      </w:pPr>
      <w:r w:rsidRPr="00940D29">
        <w:t xml:space="preserve">The time on treatment curve for </w:t>
      </w:r>
      <w:r w:rsidR="00D52BB1">
        <w:t>PEM</w:t>
      </w:r>
      <w:r w:rsidRPr="00940D29">
        <w:t xml:space="preserve"> </w:t>
      </w:r>
      <w:r w:rsidR="00D52BB1">
        <w:t>was</w:t>
      </w:r>
      <w:r w:rsidRPr="00940D29">
        <w:t xml:space="preserve"> reasonably mature, and the model assume</w:t>
      </w:r>
      <w:r w:rsidR="00D52BB1">
        <w:t>d</w:t>
      </w:r>
      <w:r w:rsidRPr="00940D29">
        <w:t xml:space="preserve"> that patients remaining on treatment w</w:t>
      </w:r>
      <w:r w:rsidR="00D52BB1">
        <w:t>ould</w:t>
      </w:r>
      <w:r w:rsidRPr="00940D29">
        <w:t xml:space="preserve"> cease at 2 years. </w:t>
      </w:r>
      <w:r w:rsidRPr="00C11145">
        <w:t xml:space="preserve">This assumption </w:t>
      </w:r>
      <w:r w:rsidR="00D52BB1" w:rsidRPr="00C11145">
        <w:t>was</w:t>
      </w:r>
      <w:r w:rsidRPr="00C11145">
        <w:t xml:space="preserve"> consistent with PBS listings for </w:t>
      </w:r>
      <w:r w:rsidR="00D52BB1" w:rsidRPr="00C11145">
        <w:t>PEM</w:t>
      </w:r>
      <w:r w:rsidRPr="00C11145">
        <w:t xml:space="preserve"> that include a maximum treatment duration with PD-(L)1 inhibitors of 2 years. The model </w:t>
      </w:r>
      <w:r w:rsidR="005920C5" w:rsidRPr="005920C5">
        <w:rPr>
          <w:i/>
          <w:iCs/>
        </w:rPr>
        <w:t>(</w:t>
      </w:r>
      <w:r w:rsidR="005920C5" w:rsidRPr="005D3209">
        <w:t>and the treatment duration of PEM</w:t>
      </w:r>
      <w:r w:rsidR="005920C5">
        <w:t xml:space="preserve">) </w:t>
      </w:r>
      <w:r w:rsidRPr="00C11145">
        <w:t xml:space="preserve">was not sensitive to the choice of extrapolation for </w:t>
      </w:r>
      <w:r w:rsidR="00D52BB1" w:rsidRPr="00C11145">
        <w:t>PEM</w:t>
      </w:r>
      <w:r w:rsidRPr="00C11145">
        <w:t xml:space="preserve"> time on treatment.</w:t>
      </w:r>
    </w:p>
    <w:p w14:paraId="2589FD57" w14:textId="444A606B" w:rsidR="002C5F57" w:rsidRDefault="002C5F57" w:rsidP="002C5F57">
      <w:pPr>
        <w:pStyle w:val="Caption"/>
      </w:pPr>
      <w:r>
        <w:lastRenderedPageBreak/>
        <w:t xml:space="preserve">Figure </w:t>
      </w:r>
      <w:r>
        <w:fldChar w:fldCharType="begin" w:fldLock="1"/>
      </w:r>
      <w:r>
        <w:instrText xml:space="preserve"> SEQ Figure \* ARABIC </w:instrText>
      </w:r>
      <w:r>
        <w:fldChar w:fldCharType="separate"/>
      </w:r>
      <w:r w:rsidR="00FE0BD6">
        <w:rPr>
          <w:noProof/>
        </w:rPr>
        <w:t>6</w:t>
      </w:r>
      <w:r>
        <w:rPr>
          <w:noProof/>
        </w:rPr>
        <w:fldChar w:fldCharType="end"/>
      </w:r>
      <w:r>
        <w:t xml:space="preserve">: </w:t>
      </w:r>
      <w:r w:rsidRPr="0071050E">
        <w:t>Kaplan-Meier data and extrapolation graphs for the modelled economic evaluation</w:t>
      </w:r>
    </w:p>
    <w:p w14:paraId="39C8C8A0" w14:textId="77777777" w:rsidR="002C5F57" w:rsidRPr="0071050E" w:rsidRDefault="002C5F57" w:rsidP="002C5F57">
      <w:pPr>
        <w:pStyle w:val="TableFigureFooter"/>
      </w:pPr>
      <w:r w:rsidRPr="0071050E">
        <w:rPr>
          <w:noProof/>
        </w:rPr>
        <w:drawing>
          <wp:inline distT="0" distB="0" distL="0" distR="0" wp14:anchorId="3E7423F5" wp14:editId="08944F7D">
            <wp:extent cx="5816552" cy="3004974"/>
            <wp:effectExtent l="0" t="0" r="0" b="5080"/>
            <wp:docPr id="909336068" name="Picture 5"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36068" name="Picture 5" descr="A graph of different colored lin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2369" cy="3007979"/>
                    </a:xfrm>
                    <a:prstGeom prst="rect">
                      <a:avLst/>
                    </a:prstGeom>
                    <a:noFill/>
                  </pic:spPr>
                </pic:pic>
              </a:graphicData>
            </a:graphic>
          </wp:inline>
        </w:drawing>
      </w:r>
    </w:p>
    <w:p w14:paraId="3C690FA5" w14:textId="5258D947" w:rsidR="002C5F57" w:rsidRDefault="002C5F57" w:rsidP="002C5F57">
      <w:pPr>
        <w:pStyle w:val="TableFigureFooter"/>
      </w:pPr>
      <w:r w:rsidRPr="0071050E">
        <w:t xml:space="preserve">Source: </w:t>
      </w:r>
      <w:r>
        <w:t>Figure 3-12, p109 of the submission.</w:t>
      </w:r>
    </w:p>
    <w:p w14:paraId="2E14F31C" w14:textId="6DFD58A6" w:rsidR="00B90F80" w:rsidRPr="00E83566" w:rsidRDefault="00B90F80" w:rsidP="006F3218">
      <w:pPr>
        <w:pStyle w:val="TableFigureFooter"/>
        <w:jc w:val="both"/>
      </w:pPr>
      <w:r>
        <w:t xml:space="preserve">Ave = avelumab; Cx = </w:t>
      </w:r>
      <w:proofErr w:type="spellStart"/>
      <w:r>
        <w:t>Plat+Gem</w:t>
      </w:r>
      <w:proofErr w:type="spellEnd"/>
      <w:r>
        <w:t xml:space="preserve"> arm; EV = enfortumab vedotin; gem = gemcitabine; pembro = pembrolizumab; Plat = platinum chemotherapy; S(t) = proportion surviving; Tx = enfortumab vedotin + pembrolizumab arm.</w:t>
      </w:r>
    </w:p>
    <w:p w14:paraId="7A085C8D" w14:textId="0737CDA6" w:rsidR="00D8241A" w:rsidRPr="00C11145" w:rsidRDefault="005D2394" w:rsidP="005E4D14">
      <w:pPr>
        <w:pStyle w:val="3-BodyText"/>
      </w:pPr>
      <w:r w:rsidRPr="004959BA">
        <w:t>The submission sourced quality-of-life estimates from EQ-5D-5L questionnaires administered in EV-302. Utilities were derived using Australian-specific value sets</w:t>
      </w:r>
      <w:r w:rsidRPr="004959BA">
        <w:rPr>
          <w:rStyle w:val="FootnoteReference"/>
        </w:rPr>
        <w:footnoteReference w:id="19"/>
      </w:r>
      <w:r w:rsidRPr="004959BA">
        <w:t>.</w:t>
      </w:r>
      <w:r w:rsidRPr="00D8241A">
        <w:rPr>
          <w:i/>
          <w:iCs/>
        </w:rPr>
        <w:t xml:space="preserve"> </w:t>
      </w:r>
      <w:r w:rsidRPr="00C11145">
        <w:t>The submission noted that utilities were available from the assessment of avelumab used in the maintenance setting, however dismissed these as not appropriate as they are based on a different treatment and population. This claim is not well supported. The utilities used in the avelumab submission have been considered by PBAC (</w:t>
      </w:r>
      <w:r w:rsidR="00DF601F" w:rsidRPr="00C11145">
        <w:t xml:space="preserve">Table 12, 6.02 avelumab, PSD, </w:t>
      </w:r>
      <w:r w:rsidRPr="00C11145">
        <w:t xml:space="preserve">March 2021 </w:t>
      </w:r>
      <w:r w:rsidR="00DF601F" w:rsidRPr="00C11145">
        <w:t>PBAC meeting</w:t>
      </w:r>
      <w:r w:rsidRPr="00C11145">
        <w:t>)</w:t>
      </w:r>
      <w:r w:rsidR="00B575C5" w:rsidRPr="00C11145">
        <w:t xml:space="preserve">. </w:t>
      </w:r>
      <w:r w:rsidRPr="00C11145">
        <w:t>The base case ICER increased by 7.4% when the utilities from the Avelumab PSD were used.</w:t>
      </w:r>
      <w:r w:rsidR="0048666A">
        <w:t xml:space="preserve"> </w:t>
      </w:r>
      <w:r w:rsidR="0048666A" w:rsidRPr="005D3209">
        <w:t>The PSCR  argued that in order to ensure internal validity of the model, trial-based utilities derived from Australian tariffs were used in the base case economic evaluation.</w:t>
      </w:r>
      <w:r w:rsidR="0048666A">
        <w:rPr>
          <w:i/>
          <w:iCs/>
        </w:rPr>
        <w:t xml:space="preserve"> </w:t>
      </w:r>
    </w:p>
    <w:p w14:paraId="7D38464A" w14:textId="77777777" w:rsidR="005D2394" w:rsidRPr="000909E5" w:rsidRDefault="005D2394" w:rsidP="003D16D6">
      <w:pPr>
        <w:pStyle w:val="3-BodyText"/>
      </w:pPr>
      <w:r w:rsidRPr="000909E5">
        <w:t>The submission included index drug costs, drug costs for subsequent lines of treatment, administration costs, costs associated with Grade 3+ adverse events, costs associated with disease management in each health state, and terminal care costs.</w:t>
      </w:r>
    </w:p>
    <w:p w14:paraId="72ED6D8E" w14:textId="409A26E4" w:rsidR="005D2394" w:rsidRPr="000909E5" w:rsidRDefault="005D2394" w:rsidP="003D16D6">
      <w:pPr>
        <w:pStyle w:val="3-BodyText"/>
      </w:pPr>
      <w:r w:rsidRPr="000909E5">
        <w:t xml:space="preserve">Published drug costs were used for platinum chemotherapies, gemcitabine and pre-medications. The submission applied a 50% discount to the published prices for avelumab and </w:t>
      </w:r>
      <w:r w:rsidR="00D52BB1">
        <w:t>PEM</w:t>
      </w:r>
      <w:r w:rsidRPr="000909E5">
        <w:t xml:space="preserve"> (when used in the 2L setting)</w:t>
      </w:r>
      <w:r>
        <w:t xml:space="preserve"> as these drugs have special pricing arrangements</w:t>
      </w:r>
      <w:r w:rsidRPr="000909E5">
        <w:t xml:space="preserve">. The effective price of </w:t>
      </w:r>
      <w:r w:rsidR="00D52BB1">
        <w:t>EV</w:t>
      </w:r>
      <w:r w:rsidRPr="000909E5">
        <w:t xml:space="preserve"> was applied when used in the later line.</w:t>
      </w:r>
      <w:r>
        <w:t xml:space="preserve"> </w:t>
      </w:r>
    </w:p>
    <w:p w14:paraId="1990D75A" w14:textId="02D91840" w:rsidR="005D2394" w:rsidRPr="000909E5" w:rsidRDefault="005D2394" w:rsidP="003D16D6">
      <w:pPr>
        <w:pStyle w:val="3-BodyText"/>
      </w:pPr>
      <w:r w:rsidRPr="000909E5">
        <w:lastRenderedPageBreak/>
        <w:t xml:space="preserve">The submission has used the proposed published prices for </w:t>
      </w:r>
      <w:r w:rsidR="00D52BB1">
        <w:t>EV</w:t>
      </w:r>
      <w:r w:rsidRPr="000909E5">
        <w:t xml:space="preserve"> and </w:t>
      </w:r>
      <w:r w:rsidR="00D52BB1">
        <w:t>PEM</w:t>
      </w:r>
      <w:r w:rsidRPr="000909E5">
        <w:t xml:space="preserve"> when used in the 1L setting. However, the submission has back calculated the total cost of combined </w:t>
      </w:r>
      <w:r w:rsidR="00D52BB1">
        <w:t>EV</w:t>
      </w:r>
      <w:r w:rsidRPr="000909E5">
        <w:t xml:space="preserve"> and </w:t>
      </w:r>
      <w:r w:rsidR="00D52BB1">
        <w:t>PEM</w:t>
      </w:r>
      <w:r w:rsidRPr="000909E5">
        <w:t xml:space="preserve"> </w:t>
      </w:r>
      <w:r>
        <w:t>in order</w:t>
      </w:r>
      <w:r w:rsidRPr="000909E5">
        <w:t xml:space="preserve"> to achieve an ICER of </w:t>
      </w:r>
      <w:r w:rsidR="006A1F3F" w:rsidRPr="006A1F3F">
        <w:t>$75,000 to &lt; $95,000</w:t>
      </w:r>
      <w:r w:rsidRPr="000909E5">
        <w:t xml:space="preserve">/QALY. </w:t>
      </w:r>
    </w:p>
    <w:p w14:paraId="64A2476C" w14:textId="77777777" w:rsidR="005D2394" w:rsidRPr="00C11145" w:rsidRDefault="005D2394" w:rsidP="003D16D6">
      <w:pPr>
        <w:pStyle w:val="3-BodyText"/>
      </w:pPr>
      <w:r w:rsidRPr="000909E5">
        <w:t xml:space="preserve">The submission estimated the cost of subsequent treatments based on the proportion of patients in EV-302 that received subsequent treatments. </w:t>
      </w:r>
      <w:r w:rsidRPr="00432DA5">
        <w:t>This was not reasonable</w:t>
      </w:r>
      <w:r>
        <w:rPr>
          <w:i/>
          <w:iCs/>
        </w:rPr>
        <w:t xml:space="preserve">. </w:t>
      </w:r>
      <w:r w:rsidRPr="00C11145">
        <w:t xml:space="preserve">Only 50% of patients receiving EV+PEM and 70% of patients receiving </w:t>
      </w:r>
      <w:proofErr w:type="spellStart"/>
      <w:r w:rsidRPr="00C11145">
        <w:t>Plat+Gem</w:t>
      </w:r>
      <w:proofErr w:type="spellEnd"/>
      <w:r w:rsidRPr="00C11145">
        <w:t xml:space="preserve"> were recorded as progressed in EV-302. As all patients will eventually progress, a greater proportion will receive subsequent treatments than was recorded in EV-302. Adjusting for the number who have progressed in the </w:t>
      </w:r>
      <w:proofErr w:type="spellStart"/>
      <w:r w:rsidRPr="00C11145">
        <w:t>Plat+Gem</w:t>
      </w:r>
      <w:proofErr w:type="spellEnd"/>
      <w:r w:rsidRPr="00C11145">
        <w:t xml:space="preserve"> arm, all patients would, on average, receive an additional line of treatment. As the post-progression period was estimated to be similar across the arms, it may be reasonable to assume that all patients across both arms will receive, on average, one additional line of therapy. This assumption increases the use of post-progression therapies in the EV+PEM arm to a greater extent than the </w:t>
      </w:r>
      <w:proofErr w:type="spellStart"/>
      <w:r w:rsidRPr="00C11145">
        <w:t>Plat+Gem</w:t>
      </w:r>
      <w:proofErr w:type="spellEnd"/>
      <w:r w:rsidRPr="00C11145">
        <w:t xml:space="preserve"> arm, however, as therapies available to the patients progressing on </w:t>
      </w:r>
      <w:proofErr w:type="spellStart"/>
      <w:r w:rsidRPr="00C11145">
        <w:t>Plat+Gem</w:t>
      </w:r>
      <w:proofErr w:type="spellEnd"/>
      <w:r w:rsidRPr="00C11145">
        <w:t xml:space="preserve"> are more costly, the overall cost in the </w:t>
      </w:r>
      <w:proofErr w:type="spellStart"/>
      <w:r w:rsidRPr="00C11145">
        <w:t>Plat+Gem</w:t>
      </w:r>
      <w:proofErr w:type="spellEnd"/>
      <w:r w:rsidRPr="00C11145">
        <w:t xml:space="preserve"> arm increases more. </w:t>
      </w:r>
    </w:p>
    <w:p w14:paraId="2934A9EF" w14:textId="5AD1BBF9" w:rsidR="005D2394" w:rsidRDefault="005D2394" w:rsidP="005D2394">
      <w:pPr>
        <w:pStyle w:val="3-BodyText"/>
      </w:pPr>
      <w:r>
        <w:t xml:space="preserve">The duration of treatment with post-progression </w:t>
      </w:r>
      <w:r w:rsidR="00D52BB1">
        <w:t>PEM</w:t>
      </w:r>
      <w:r>
        <w:t xml:space="preserve"> and chemotherapy was informed by an individual patient data (IPD) analysis of EV-302. This is reasonable. </w:t>
      </w:r>
      <w:r w:rsidRPr="00C11145">
        <w:t xml:space="preserve">However, the duration of treatment with post-progression </w:t>
      </w:r>
      <w:r w:rsidR="00D52BB1" w:rsidRPr="00C11145">
        <w:t>EV</w:t>
      </w:r>
      <w:r w:rsidRPr="00C11145">
        <w:t xml:space="preserve"> was informed by the average duration of treatment in the EV-301 study. This is not appropriate. Patients enrolled in EV-301 met eligibility criteria and were likely to be fitter than the average patient receiving later line treatment with </w:t>
      </w:r>
      <w:r w:rsidR="00D52BB1" w:rsidRPr="00C11145">
        <w:t>EV</w:t>
      </w:r>
      <w:r w:rsidRPr="00C11145">
        <w:t xml:space="preserve"> in EV-302. The base case analysis was not sensitive to the duration of treatment of later-line </w:t>
      </w:r>
      <w:r w:rsidR="00D52BB1" w:rsidRPr="00C11145">
        <w:t>EV</w:t>
      </w:r>
      <w:r w:rsidRPr="00C11145">
        <w:t>.</w:t>
      </w:r>
    </w:p>
    <w:p w14:paraId="44819019" w14:textId="5D83F28A" w:rsidR="005D2394" w:rsidRPr="005D3209" w:rsidRDefault="005D2394" w:rsidP="003D16D6">
      <w:pPr>
        <w:pStyle w:val="3-BodyText"/>
      </w:pPr>
      <w:r w:rsidRPr="009F2B2F">
        <w:t xml:space="preserve">Terminal care costs were derived from a study of the </w:t>
      </w:r>
      <w:r>
        <w:t xml:space="preserve">direct healthcare </w:t>
      </w:r>
      <w:r w:rsidRPr="009F2B2F">
        <w:t>cost</w:t>
      </w:r>
      <w:r>
        <w:t>s</w:t>
      </w:r>
      <w:r w:rsidRPr="009F2B2F">
        <w:t xml:space="preserve"> of different cancer types incurred over the final year of life. The study separated out MBS and PBS costs from the overall cost and the submission removed these to avoid double counting. The resulting cost was then inflated to 2023 Australian dollars using the Reserve Bank of Australia (RBA) inflation calculator. </w:t>
      </w:r>
      <w:r>
        <w:t xml:space="preserve">The cost of terminal care, estimated to be </w:t>
      </w:r>
      <w:r w:rsidR="003142E9" w:rsidRPr="003142E9">
        <w:t>$45,000 to &lt; $55,000</w:t>
      </w:r>
      <w:r>
        <w:t xml:space="preserve">, is applied in the model on transition to death. </w:t>
      </w:r>
      <w:r w:rsidRPr="00C11145">
        <w:t xml:space="preserve">As fewer patients in the EV+PEM arm transition to death within the time horizon, this cost is applied in a higher proportion of patients in the </w:t>
      </w:r>
      <w:proofErr w:type="spellStart"/>
      <w:r w:rsidRPr="00C11145">
        <w:t>Plat+Gem</w:t>
      </w:r>
      <w:proofErr w:type="spellEnd"/>
      <w:r w:rsidRPr="00C11145">
        <w:t xml:space="preserve"> arm. Th</w:t>
      </w:r>
      <w:r w:rsidR="00364045">
        <w:t xml:space="preserve">e evaluation considered this was </w:t>
      </w:r>
      <w:r w:rsidRPr="00C11145">
        <w:t xml:space="preserve">inappropriate </w:t>
      </w:r>
      <w:r w:rsidR="00364045">
        <w:t>a</w:t>
      </w:r>
      <w:r w:rsidRPr="00C11145">
        <w:t xml:space="preserve">s there is no indication that EV+PEM results in a cure, all patients will die with or of la/mUC and will incur costs associated with terminal care. </w:t>
      </w:r>
      <w:r w:rsidR="00E65641" w:rsidRPr="005D3209">
        <w:t xml:space="preserve">The ESC noted removal of terminal care costs increased the ICER by &lt;2% for the base case model provided in the submission and the respecified ESC base case model. </w:t>
      </w:r>
      <w:r w:rsidR="005046AA">
        <w:t xml:space="preserve">The pre-PBAC response argued that terminal care costs should be retained in the model as, although not a cure, the survival benefits afforded by EV+PEM will result in terminal care costs being incurred at a later time compared to </w:t>
      </w:r>
      <w:proofErr w:type="spellStart"/>
      <w:r w:rsidR="005046AA">
        <w:t>Plat+Gem</w:t>
      </w:r>
      <w:proofErr w:type="spellEnd"/>
      <w:r w:rsidR="005046AA">
        <w:t xml:space="preserve">, and these will be discounted. </w:t>
      </w:r>
      <w:r w:rsidR="009609B4">
        <w:t xml:space="preserve">The PBAC noted there were 6% of patients alive in the EV arm at 10 years compared to 3% in the </w:t>
      </w:r>
      <w:proofErr w:type="spellStart"/>
      <w:r w:rsidR="009609B4">
        <w:t>Plat+Gem</w:t>
      </w:r>
      <w:proofErr w:type="spellEnd"/>
      <w:r w:rsidR="009609B4">
        <w:t xml:space="preserve"> arm in the respecified economic model.  </w:t>
      </w:r>
    </w:p>
    <w:p w14:paraId="52B2DDAA" w14:textId="1F93C764" w:rsidR="005D2394" w:rsidRPr="0071050E" w:rsidRDefault="005D2394" w:rsidP="00FE0BD6">
      <w:pPr>
        <w:pStyle w:val="3-BodyText"/>
      </w:pPr>
      <w:r>
        <w:t xml:space="preserve">The key drivers of the model are </w:t>
      </w:r>
      <w:r w:rsidRPr="000159B6">
        <w:t xml:space="preserve">presented in </w:t>
      </w:r>
      <w:r w:rsidR="000159B6" w:rsidRPr="000159B6">
        <w:fldChar w:fldCharType="begin" w:fldLock="1"/>
      </w:r>
      <w:r w:rsidR="000159B6" w:rsidRPr="000159B6">
        <w:instrText xml:space="preserve"> REF _Ref104805122 \h  \* MERGEFORMAT </w:instrText>
      </w:r>
      <w:r w:rsidR="000159B6" w:rsidRPr="000159B6">
        <w:fldChar w:fldCharType="separate"/>
      </w:r>
      <w:r w:rsidR="00FE0BD6" w:rsidRPr="0098262F">
        <w:rPr>
          <w:noProof/>
        </w:rPr>
        <w:t xml:space="preserve">Table </w:t>
      </w:r>
      <w:r w:rsidR="00FE0BD6">
        <w:rPr>
          <w:noProof/>
        </w:rPr>
        <w:t>11</w:t>
      </w:r>
      <w:r w:rsidR="000159B6" w:rsidRPr="000159B6">
        <w:fldChar w:fldCharType="end"/>
      </w:r>
      <w:r w:rsidRPr="000159B6">
        <w:t>. The</w:t>
      </w:r>
      <w:r>
        <w:t xml:space="preserve"> impact on the ICER should be interpreted in the context of the submission base case ICER, which is </w:t>
      </w:r>
      <w:r w:rsidR="009646F6" w:rsidRPr="009646F6">
        <w:lastRenderedPageBreak/>
        <w:t>$155,000</w:t>
      </w:r>
      <w:r w:rsidR="006F3218">
        <w:t> </w:t>
      </w:r>
      <w:r w:rsidR="009646F6" w:rsidRPr="009646F6">
        <w:t>to</w:t>
      </w:r>
      <w:r w:rsidR="006F3218">
        <w:t> </w:t>
      </w:r>
      <w:r w:rsidR="009646F6" w:rsidRPr="009646F6">
        <w:t>&lt;</w:t>
      </w:r>
      <w:r w:rsidR="006F3218">
        <w:t> </w:t>
      </w:r>
      <w:r w:rsidR="009646F6" w:rsidRPr="009646F6">
        <w:t>$255,000</w:t>
      </w:r>
      <w:r>
        <w:t>. Therefore, even small percentage changes to the ICER may reflect large absolute changes in costs or outcomes.</w:t>
      </w:r>
    </w:p>
    <w:p w14:paraId="32EEAC2F" w14:textId="2A509AF6" w:rsidR="005D2394" w:rsidRPr="0098262F" w:rsidRDefault="005D2394" w:rsidP="005D2394">
      <w:pPr>
        <w:pStyle w:val="Caption"/>
        <w:jc w:val="left"/>
        <w:rPr>
          <w:rStyle w:val="CommentReference"/>
          <w:b/>
          <w:szCs w:val="24"/>
        </w:rPr>
      </w:pPr>
      <w:bookmarkStart w:id="48" w:name="_Ref104805122"/>
      <w:r w:rsidRPr="0098262F">
        <w:t xml:space="preserve">Table </w:t>
      </w:r>
      <w:r>
        <w:fldChar w:fldCharType="begin" w:fldLock="1"/>
      </w:r>
      <w:r>
        <w:instrText xml:space="preserve"> SEQ Table \* ARABIC </w:instrText>
      </w:r>
      <w:r>
        <w:fldChar w:fldCharType="separate"/>
      </w:r>
      <w:r w:rsidR="00FE0BD6">
        <w:rPr>
          <w:noProof/>
        </w:rPr>
        <w:t>11</w:t>
      </w:r>
      <w:r>
        <w:rPr>
          <w:noProof/>
        </w:rPr>
        <w:fldChar w:fldCharType="end"/>
      </w:r>
      <w:bookmarkEnd w:id="48"/>
      <w:r w:rsidRPr="0098262F">
        <w:t>:</w:t>
      </w:r>
      <w:r w:rsidRPr="0098262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5D2394" w:rsidRPr="0098262F" w14:paraId="5B57A730" w14:textId="77777777" w:rsidTr="00660509">
        <w:trPr>
          <w:tblHeader/>
        </w:trPr>
        <w:tc>
          <w:tcPr>
            <w:tcW w:w="626" w:type="pct"/>
            <w:shd w:val="clear" w:color="auto" w:fill="auto"/>
            <w:vAlign w:val="center"/>
          </w:tcPr>
          <w:p w14:paraId="0950505C" w14:textId="77777777" w:rsidR="005D2394" w:rsidRPr="0098262F" w:rsidRDefault="005D2394" w:rsidP="00660509">
            <w:pPr>
              <w:pStyle w:val="In-tableHeading"/>
              <w:jc w:val="center"/>
              <w:rPr>
                <w:lang w:val="en-AU"/>
              </w:rPr>
            </w:pPr>
            <w:r w:rsidRPr="0098262F">
              <w:rPr>
                <w:lang w:val="en-AU"/>
              </w:rPr>
              <w:t>Description</w:t>
            </w:r>
          </w:p>
        </w:tc>
        <w:tc>
          <w:tcPr>
            <w:tcW w:w="2830" w:type="pct"/>
            <w:shd w:val="clear" w:color="auto" w:fill="auto"/>
            <w:vAlign w:val="center"/>
          </w:tcPr>
          <w:p w14:paraId="69277F42" w14:textId="77777777" w:rsidR="005D2394" w:rsidRPr="0098262F" w:rsidRDefault="005D2394" w:rsidP="00660509">
            <w:pPr>
              <w:pStyle w:val="In-tableHeading"/>
              <w:jc w:val="center"/>
              <w:rPr>
                <w:lang w:val="en-AU"/>
              </w:rPr>
            </w:pPr>
            <w:r w:rsidRPr="0098262F">
              <w:rPr>
                <w:lang w:val="en-AU"/>
              </w:rPr>
              <w:t>Method/Value</w:t>
            </w:r>
          </w:p>
        </w:tc>
        <w:tc>
          <w:tcPr>
            <w:tcW w:w="1544" w:type="pct"/>
            <w:shd w:val="clear" w:color="auto" w:fill="auto"/>
            <w:vAlign w:val="center"/>
          </w:tcPr>
          <w:p w14:paraId="2B49FCC4" w14:textId="77777777" w:rsidR="005D2394" w:rsidRPr="002C058F" w:rsidRDefault="005D2394" w:rsidP="00660509">
            <w:pPr>
              <w:pStyle w:val="In-tableHeading"/>
              <w:jc w:val="center"/>
              <w:rPr>
                <w:lang w:val="en-AU"/>
              </w:rPr>
            </w:pPr>
            <w:r w:rsidRPr="002C058F">
              <w:rPr>
                <w:lang w:val="en-AU"/>
              </w:rPr>
              <w:t>Impact</w:t>
            </w:r>
          </w:p>
          <w:p w14:paraId="5072B35C" w14:textId="6B6148F0" w:rsidR="005D2394" w:rsidRPr="002C058F" w:rsidRDefault="005D2394" w:rsidP="00660509">
            <w:pPr>
              <w:pStyle w:val="In-tableHeading"/>
              <w:jc w:val="center"/>
              <w:rPr>
                <w:lang w:val="en-AU"/>
              </w:rPr>
            </w:pPr>
            <w:r w:rsidRPr="002C058F">
              <w:rPr>
                <w:rFonts w:cs="Arial"/>
                <w:szCs w:val="20"/>
                <w:lang w:val="en-AU"/>
              </w:rPr>
              <w:t xml:space="preserve">Base case: </w:t>
            </w:r>
            <w:r w:rsidR="004C53B1" w:rsidRPr="004C53B1">
              <w:rPr>
                <w:rFonts w:cs="Arial"/>
                <w:color w:val="000000"/>
                <w:spacing w:val="168"/>
                <w:szCs w:val="20"/>
                <w:shd w:val="solid" w:color="000000" w:fill="000000"/>
                <w:fitText w:val="260" w:id="-761020151"/>
                <w:lang w:val="en-AU"/>
                <w14:textFill>
                  <w14:solidFill>
                    <w14:srgbClr w14:val="000000">
                      <w14:alpha w14:val="100000"/>
                    </w14:srgbClr>
                  </w14:solidFill>
                </w14:textFill>
              </w:rPr>
              <w:t>|</w:t>
            </w:r>
            <w:r w:rsidR="004C53B1" w:rsidRPr="004C53B1">
              <w:rPr>
                <w:rFonts w:cs="Arial"/>
                <w:color w:val="000000"/>
                <w:spacing w:val="1"/>
                <w:szCs w:val="20"/>
                <w:shd w:val="solid" w:color="000000" w:fill="000000"/>
                <w:fitText w:val="260" w:id="-761020151"/>
                <w:lang w:val="en-AU"/>
                <w14:textFill>
                  <w14:solidFill>
                    <w14:srgbClr w14:val="000000">
                      <w14:alpha w14:val="100000"/>
                    </w14:srgbClr>
                  </w14:solidFill>
                </w14:textFill>
              </w:rPr>
              <w:t>|</w:t>
            </w:r>
            <w:r w:rsidR="00E415CB" w:rsidRPr="00E36DB9">
              <w:rPr>
                <w:rFonts w:cs="Arial"/>
                <w:szCs w:val="20"/>
                <w:vertAlign w:val="superscript"/>
                <w:lang w:val="en-AU"/>
              </w:rPr>
              <w:t>1</w:t>
            </w:r>
            <w:r w:rsidRPr="002C058F">
              <w:rPr>
                <w:rFonts w:cs="Arial"/>
                <w:szCs w:val="20"/>
                <w:lang w:val="en-AU"/>
              </w:rPr>
              <w:t>/QALY gained</w:t>
            </w:r>
          </w:p>
        </w:tc>
      </w:tr>
      <w:tr w:rsidR="005D2394" w:rsidRPr="0098262F" w14:paraId="3D9AEE86" w14:textId="77777777" w:rsidTr="00660509">
        <w:tc>
          <w:tcPr>
            <w:tcW w:w="626" w:type="pct"/>
            <w:shd w:val="clear" w:color="auto" w:fill="auto"/>
            <w:vAlign w:val="center"/>
          </w:tcPr>
          <w:p w14:paraId="4CB5C350" w14:textId="77777777" w:rsidR="005D2394" w:rsidRPr="0098262F" w:rsidRDefault="005D2394" w:rsidP="00660509">
            <w:pPr>
              <w:pStyle w:val="TableText0"/>
            </w:pPr>
            <w:r>
              <w:t>Overall survival</w:t>
            </w:r>
          </w:p>
        </w:tc>
        <w:tc>
          <w:tcPr>
            <w:tcW w:w="2830" w:type="pct"/>
            <w:shd w:val="clear" w:color="auto" w:fill="auto"/>
            <w:vAlign w:val="center"/>
          </w:tcPr>
          <w:p w14:paraId="7412BCF6" w14:textId="77777777" w:rsidR="005D2394" w:rsidRDefault="005D2394" w:rsidP="00660509">
            <w:pPr>
              <w:pStyle w:val="TableText0"/>
            </w:pPr>
            <w:r>
              <w:t>The average age of bladder cancer patients in the Australian setting is 75.3 years. The average age of patients in EV-302 was 67.9 years.</w:t>
            </w:r>
          </w:p>
          <w:p w14:paraId="0DE80E99" w14:textId="77777777" w:rsidR="005D2394" w:rsidRDefault="005D2394" w:rsidP="00660509">
            <w:pPr>
              <w:pStyle w:val="TableText0"/>
            </w:pPr>
          </w:p>
          <w:p w14:paraId="1A84C659" w14:textId="77777777" w:rsidR="005D2394" w:rsidRPr="002C058F" w:rsidRDefault="005D2394" w:rsidP="00BC1C41">
            <w:pPr>
              <w:pStyle w:val="TableText0"/>
              <w:numPr>
                <w:ilvl w:val="0"/>
                <w:numId w:val="8"/>
              </w:numPr>
            </w:pPr>
            <w:r w:rsidRPr="002C058F">
              <w:t>Background mortality was not appropriately accounted for in the model.</w:t>
            </w:r>
          </w:p>
          <w:p w14:paraId="627BBC58" w14:textId="26F20F44" w:rsidR="005D2394" w:rsidRPr="0098262F" w:rsidRDefault="005D2394" w:rsidP="00660509">
            <w:pPr>
              <w:pStyle w:val="TableText0"/>
              <w:numPr>
                <w:ilvl w:val="0"/>
                <w:numId w:val="8"/>
              </w:numPr>
            </w:pPr>
            <w:r w:rsidRPr="002C058F">
              <w:t xml:space="preserve">Subgroup analysis of patients &lt;65 years vs ≥65 years indicated that survival is considerably longer for the younger age group. The relative benefit of EV+PEM appeared stable across the age groups presented in EV-302. However, the absolute benefit of EV+PEM vs </w:t>
            </w:r>
            <w:proofErr w:type="spellStart"/>
            <w:r w:rsidRPr="002C058F">
              <w:t>Plat+Gem</w:t>
            </w:r>
            <w:proofErr w:type="spellEnd"/>
            <w:r w:rsidRPr="002C058F">
              <w:t xml:space="preserve"> was lower in older age groups</w:t>
            </w:r>
            <w:r>
              <w:t xml:space="preserve">. </w:t>
            </w:r>
          </w:p>
        </w:tc>
        <w:tc>
          <w:tcPr>
            <w:tcW w:w="1544" w:type="pct"/>
            <w:shd w:val="clear" w:color="auto" w:fill="auto"/>
            <w:vAlign w:val="center"/>
          </w:tcPr>
          <w:p w14:paraId="3FF57055" w14:textId="77777777" w:rsidR="005D2394" w:rsidRPr="002C058F" w:rsidRDefault="005D2394" w:rsidP="00660509">
            <w:pPr>
              <w:pStyle w:val="TableText0"/>
            </w:pPr>
            <w:r w:rsidRPr="002C058F">
              <w:t>High, favours EV+PEM</w:t>
            </w:r>
          </w:p>
          <w:p w14:paraId="45E34A17" w14:textId="77777777" w:rsidR="005D2394" w:rsidRPr="002C058F" w:rsidRDefault="005D2394" w:rsidP="00660509">
            <w:pPr>
              <w:pStyle w:val="TableText0"/>
            </w:pPr>
          </w:p>
          <w:p w14:paraId="3B9E2CB2" w14:textId="6963235C" w:rsidR="005D2394" w:rsidRPr="002C058F" w:rsidRDefault="005D2394" w:rsidP="00660509">
            <w:pPr>
              <w:pStyle w:val="TableText0"/>
            </w:pPr>
            <w:r w:rsidRPr="002C058F">
              <w:t>Incorporating background mortality and increasing the age in the model increases the ICER by 9.6%.</w:t>
            </w:r>
          </w:p>
          <w:p w14:paraId="3E25886C" w14:textId="77777777" w:rsidR="005D2394" w:rsidRPr="002C058F" w:rsidRDefault="005D2394" w:rsidP="00660509">
            <w:pPr>
              <w:pStyle w:val="TableText0"/>
            </w:pPr>
          </w:p>
          <w:p w14:paraId="40EF7652" w14:textId="39174697" w:rsidR="005D2394" w:rsidRPr="002C058F" w:rsidRDefault="005D2394" w:rsidP="00660509">
            <w:pPr>
              <w:pStyle w:val="TableText0"/>
            </w:pPr>
            <w:r w:rsidRPr="002C058F">
              <w:t xml:space="preserve">The impact of the use of more favourable survival curves derived from EV-302 cannot be </w:t>
            </w:r>
            <w:r w:rsidR="00EA3E45" w:rsidRPr="002C058F">
              <w:t>measured but</w:t>
            </w:r>
            <w:r w:rsidRPr="002C058F">
              <w:t xml:space="preserve"> will favour EV+PEM.</w:t>
            </w:r>
          </w:p>
        </w:tc>
      </w:tr>
      <w:tr w:rsidR="005D2394" w:rsidRPr="0098262F" w14:paraId="32DB39FD" w14:textId="77777777" w:rsidTr="00660509">
        <w:tc>
          <w:tcPr>
            <w:tcW w:w="626" w:type="pct"/>
            <w:shd w:val="clear" w:color="auto" w:fill="auto"/>
            <w:vAlign w:val="center"/>
          </w:tcPr>
          <w:p w14:paraId="7BBD5023" w14:textId="77777777" w:rsidR="005D2394" w:rsidRDefault="005D2394" w:rsidP="00660509">
            <w:pPr>
              <w:pStyle w:val="TableText0"/>
            </w:pPr>
            <w:r>
              <w:t>Truncation point</w:t>
            </w:r>
          </w:p>
        </w:tc>
        <w:tc>
          <w:tcPr>
            <w:tcW w:w="2830" w:type="pct"/>
            <w:shd w:val="clear" w:color="auto" w:fill="auto"/>
            <w:vAlign w:val="center"/>
          </w:tcPr>
          <w:p w14:paraId="28B8372B" w14:textId="38D16A99" w:rsidR="005D2394" w:rsidRPr="0098262F" w:rsidRDefault="005D2394" w:rsidP="00660509">
            <w:pPr>
              <w:pStyle w:val="TableText0"/>
            </w:pPr>
            <w:r>
              <w:t xml:space="preserve">The submission used Kaplan-Meier data to 17.2 months (median follow up in the EV-302 study). </w:t>
            </w:r>
            <w:r w:rsidRPr="002C058F">
              <w:t>Given the size of the study, the apparent stability of the Kaplan-Meier curve, and the projection of the parametric functions at different truncation points, it was reasonable to use Kaplan-Meier data until only 10% of patients remained at risk.</w:t>
            </w:r>
          </w:p>
        </w:tc>
        <w:tc>
          <w:tcPr>
            <w:tcW w:w="1544" w:type="pct"/>
            <w:shd w:val="clear" w:color="auto" w:fill="auto"/>
            <w:vAlign w:val="center"/>
          </w:tcPr>
          <w:p w14:paraId="3E292831" w14:textId="77777777" w:rsidR="005D2394" w:rsidRPr="002C058F" w:rsidRDefault="005D2394" w:rsidP="00660509">
            <w:pPr>
              <w:pStyle w:val="TableText0"/>
            </w:pPr>
            <w:r w:rsidRPr="002C058F">
              <w:t>Moderate, favours EV+PEM</w:t>
            </w:r>
          </w:p>
          <w:p w14:paraId="4BF7A2C9" w14:textId="77777777" w:rsidR="005D2394" w:rsidRPr="002C058F" w:rsidRDefault="005D2394" w:rsidP="00660509">
            <w:pPr>
              <w:pStyle w:val="TableText0"/>
            </w:pPr>
          </w:p>
          <w:p w14:paraId="762CE1B1" w14:textId="6065BA67" w:rsidR="005D2394" w:rsidRPr="002C058F" w:rsidRDefault="005D2394" w:rsidP="00660509">
            <w:pPr>
              <w:pStyle w:val="TableText0"/>
            </w:pPr>
            <w:r w:rsidRPr="002C058F">
              <w:t>Using the later truncation point results in an increase in the ICER of 6.8%.</w:t>
            </w:r>
          </w:p>
        </w:tc>
      </w:tr>
      <w:tr w:rsidR="005D2394" w:rsidRPr="0098262F" w14:paraId="18CF1C3B" w14:textId="77777777" w:rsidTr="00660509">
        <w:tc>
          <w:tcPr>
            <w:tcW w:w="626" w:type="pct"/>
            <w:shd w:val="clear" w:color="auto" w:fill="auto"/>
            <w:vAlign w:val="center"/>
          </w:tcPr>
          <w:p w14:paraId="1F4C6DF6" w14:textId="77777777" w:rsidR="005D2394" w:rsidRDefault="005D2394" w:rsidP="00660509">
            <w:pPr>
              <w:pStyle w:val="TableText0"/>
            </w:pPr>
            <w:r>
              <w:t>Utilities</w:t>
            </w:r>
          </w:p>
        </w:tc>
        <w:tc>
          <w:tcPr>
            <w:tcW w:w="2830" w:type="pct"/>
            <w:shd w:val="clear" w:color="auto" w:fill="auto"/>
            <w:vAlign w:val="center"/>
          </w:tcPr>
          <w:p w14:paraId="5223420B" w14:textId="65299906" w:rsidR="005D2394" w:rsidRPr="0098262F" w:rsidRDefault="005D2394" w:rsidP="00660509">
            <w:pPr>
              <w:pStyle w:val="TableText0"/>
            </w:pPr>
            <w:r>
              <w:t xml:space="preserve">The utility values for the model health states were derived from EQ-5D-5L data from EV-302. </w:t>
            </w:r>
            <w:r w:rsidRPr="002C058F">
              <w:t>Questionnaire compliance was low in EV-302, and no discussion was provided regarding the nature of the nonresponse. The utility values from the avelumab submission (</w:t>
            </w:r>
            <w:r w:rsidR="002C5F57">
              <w:t>Table 12</w:t>
            </w:r>
            <w:r w:rsidR="002C5F57" w:rsidRPr="002C5F57">
              <w:t>, 6.02 Avelumab PSD, March 2021 PBAC meeting</w:t>
            </w:r>
            <w:r w:rsidR="002C5F57">
              <w:t>)</w:t>
            </w:r>
            <w:r w:rsidR="00C969A7">
              <w:t>.</w:t>
            </w:r>
            <w:r w:rsidRPr="002C058F">
              <w:t xml:space="preserve"> </w:t>
            </w:r>
          </w:p>
        </w:tc>
        <w:tc>
          <w:tcPr>
            <w:tcW w:w="1544" w:type="pct"/>
            <w:shd w:val="clear" w:color="auto" w:fill="auto"/>
            <w:vAlign w:val="center"/>
          </w:tcPr>
          <w:p w14:paraId="2DA98B5F" w14:textId="77777777" w:rsidR="005D2394" w:rsidRPr="002C058F" w:rsidRDefault="005D2394" w:rsidP="00660509">
            <w:pPr>
              <w:pStyle w:val="TableText0"/>
            </w:pPr>
            <w:r w:rsidRPr="002C058F">
              <w:t>Moderate, favours EV+PEM</w:t>
            </w:r>
          </w:p>
          <w:p w14:paraId="5C547A26" w14:textId="77777777" w:rsidR="005D2394" w:rsidRPr="002C058F" w:rsidRDefault="005D2394" w:rsidP="00660509">
            <w:pPr>
              <w:pStyle w:val="TableText0"/>
            </w:pPr>
          </w:p>
          <w:p w14:paraId="2FDEFE50" w14:textId="0854E5BD" w:rsidR="005D2394" w:rsidRPr="002C058F" w:rsidRDefault="005D2394" w:rsidP="00660509">
            <w:pPr>
              <w:pStyle w:val="TableText0"/>
            </w:pPr>
            <w:r w:rsidRPr="002C058F">
              <w:t>Using the lower utility values results in an increase in the ICER by 7.4%.</w:t>
            </w:r>
          </w:p>
        </w:tc>
      </w:tr>
    </w:tbl>
    <w:p w14:paraId="1F181141" w14:textId="77777777" w:rsidR="005D2394" w:rsidRDefault="005D2394" w:rsidP="005D2394">
      <w:pPr>
        <w:pStyle w:val="TableFigureFooter"/>
      </w:pPr>
      <w:r>
        <w:t>Source: generated during the evaluation from the economic model spreadsheet.</w:t>
      </w:r>
    </w:p>
    <w:p w14:paraId="795A9CE3" w14:textId="77777777" w:rsidR="005D2394" w:rsidRDefault="005D2394" w:rsidP="005D2394">
      <w:pPr>
        <w:pStyle w:val="TableFigureFooter"/>
      </w:pPr>
      <w:r>
        <w:t xml:space="preserve">EQ-5D-5L = </w:t>
      </w:r>
      <w:proofErr w:type="spellStart"/>
      <w:r>
        <w:t>EuroQOL</w:t>
      </w:r>
      <w:proofErr w:type="spellEnd"/>
      <w:r>
        <w:t xml:space="preserve"> 5-dimensions; EV = Enfortumab vedotin; Gem = Gemcitabine; ICER = Incremental cost-effectiveness ratio; NICE = National Institute for Health and Care Excellence; PEM = Pembrolizumab; PSD = Public summary document; Plat = Platinum-based chemotherapy; QALY = Quality-adjusted life-year</w:t>
      </w:r>
    </w:p>
    <w:p w14:paraId="2FCD9059" w14:textId="7DB07480" w:rsidR="00E415CB" w:rsidRPr="006F3218" w:rsidRDefault="00E415CB" w:rsidP="00E415CB">
      <w:pPr>
        <w:pStyle w:val="TableFigureFooter"/>
        <w:rPr>
          <w:i/>
          <w:iCs/>
        </w:rPr>
      </w:pPr>
      <w:r w:rsidRPr="006F3218">
        <w:rPr>
          <w:i/>
          <w:iCs/>
        </w:rPr>
        <w:t>The redacted values correspond to the following ranges:</w:t>
      </w:r>
    </w:p>
    <w:p w14:paraId="2441AC19" w14:textId="7C2785A3" w:rsidR="005D2394" w:rsidRPr="006F3218" w:rsidRDefault="00E415CB" w:rsidP="00E36DB9">
      <w:pPr>
        <w:pStyle w:val="TableFigureFooter"/>
        <w:spacing w:after="120"/>
        <w:rPr>
          <w:i/>
          <w:iCs/>
        </w:rPr>
      </w:pPr>
      <w:r w:rsidRPr="006F3218">
        <w:rPr>
          <w:i/>
          <w:iCs/>
        </w:rPr>
        <w:t>1 $155,000 to &lt; $255,000</w:t>
      </w:r>
    </w:p>
    <w:p w14:paraId="5021EBE7" w14:textId="0354F7F6" w:rsidR="0049677F" w:rsidRPr="00A63017" w:rsidRDefault="005D2394" w:rsidP="00A63017">
      <w:pPr>
        <w:pStyle w:val="3-BodyText"/>
      </w:pPr>
      <w:r>
        <w:t xml:space="preserve">The submission base case resulted in an ICER of </w:t>
      </w:r>
      <w:r w:rsidR="00E415CB" w:rsidRPr="00E415CB">
        <w:t>$155,000 to &lt; $255,000</w:t>
      </w:r>
      <w:r w:rsidR="006F3218">
        <w:t xml:space="preserve"> </w:t>
      </w:r>
      <w:r>
        <w:t xml:space="preserve">per additional QALY. The stepped analysis presented in the submission includes a modelled analysis truncated at three years that reported cost per additional LY, the same analysis extended to 15 years, </w:t>
      </w:r>
      <w:r w:rsidRPr="000E7B7A">
        <w:t>and a modelled analysis at 15 years that reported cost per additional QALY (</w:t>
      </w:r>
      <w:r w:rsidRPr="000E7B7A">
        <w:fldChar w:fldCharType="begin" w:fldLock="1"/>
      </w:r>
      <w:r w:rsidRPr="000E7B7A">
        <w:instrText xml:space="preserve"> REF _Ref174128841 \h  \* MERGEFORMAT </w:instrText>
      </w:r>
      <w:r w:rsidRPr="000E7B7A">
        <w:fldChar w:fldCharType="separate"/>
      </w:r>
      <w:r w:rsidR="00FE0BD6">
        <w:t>Table</w:t>
      </w:r>
      <w:r w:rsidR="00FE0BD6">
        <w:rPr>
          <w:noProof/>
        </w:rPr>
        <w:t xml:space="preserve"> 12</w:t>
      </w:r>
      <w:r w:rsidRPr="000E7B7A">
        <w:fldChar w:fldCharType="end"/>
      </w:r>
      <w:r w:rsidRPr="000E7B7A">
        <w:t>).</w:t>
      </w:r>
      <w:bookmarkStart w:id="49" w:name="_Ref174128841"/>
    </w:p>
    <w:p w14:paraId="2CAA068C" w14:textId="1FCA19AF" w:rsidR="005D2394" w:rsidRDefault="005D2394" w:rsidP="00A63017">
      <w:pPr>
        <w:pStyle w:val="Caption"/>
      </w:pPr>
      <w:r>
        <w:lastRenderedPageBreak/>
        <w:t xml:space="preserve">Table </w:t>
      </w:r>
      <w:r>
        <w:fldChar w:fldCharType="begin" w:fldLock="1"/>
      </w:r>
      <w:r>
        <w:instrText xml:space="preserve"> SEQ Table \* ARABIC </w:instrText>
      </w:r>
      <w:r>
        <w:fldChar w:fldCharType="separate"/>
      </w:r>
      <w:r w:rsidR="00FE0BD6">
        <w:rPr>
          <w:noProof/>
        </w:rPr>
        <w:t>12</w:t>
      </w:r>
      <w:r>
        <w:rPr>
          <w:noProof/>
        </w:rPr>
        <w:fldChar w:fldCharType="end"/>
      </w:r>
      <w:bookmarkEnd w:id="49"/>
      <w:r>
        <w:t>: Results of the stepped analysis (submission base case)</w:t>
      </w:r>
      <w:r w:rsidR="0021622A">
        <w:t xml:space="preserve"> using published EV + PEM prices</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492"/>
        <w:gridCol w:w="1521"/>
        <w:gridCol w:w="1548"/>
        <w:gridCol w:w="1547"/>
        <w:gridCol w:w="1445"/>
      </w:tblGrid>
      <w:tr w:rsidR="005D2394" w:rsidRPr="00CF4A34" w14:paraId="0F97068D" w14:textId="77777777" w:rsidTr="00660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11C9FE5B" w14:textId="77777777" w:rsidR="005D2394" w:rsidRPr="00CF4A34" w:rsidRDefault="005D2394" w:rsidP="00A63017">
            <w:pPr>
              <w:pStyle w:val="TableH28pt"/>
              <w:rPr>
                <w:rFonts w:ascii="Arial Narrow" w:hAnsi="Arial Narrow"/>
                <w:b/>
                <w:bCs w:val="0"/>
                <w:sz w:val="20"/>
              </w:rPr>
            </w:pPr>
            <w:r w:rsidRPr="00CF4A34">
              <w:rPr>
                <w:rFonts w:ascii="Arial Narrow" w:hAnsi="Arial Narrow"/>
                <w:b/>
                <w:bCs w:val="0"/>
                <w:sz w:val="20"/>
              </w:rPr>
              <w:t>Step</w:t>
            </w:r>
          </w:p>
        </w:tc>
        <w:tc>
          <w:tcPr>
            <w:tcW w:w="1492" w:type="dxa"/>
          </w:tcPr>
          <w:p w14:paraId="0D2FA634" w14:textId="04A10F02" w:rsidR="005D2394" w:rsidRPr="00CF4A34" w:rsidRDefault="005D2394" w:rsidP="00A63017">
            <w:pPr>
              <w:pStyle w:val="TableH28pt"/>
              <w:jc w:val="center"/>
              <w:cnfStyle w:val="100000000000" w:firstRow="1" w:lastRow="0" w:firstColumn="0" w:lastColumn="0" w:oddVBand="0" w:evenVBand="0" w:oddHBand="0" w:evenHBand="0" w:firstRowFirstColumn="0" w:firstRowLastColumn="0" w:lastRowFirstColumn="0" w:lastRowLastColumn="0"/>
              <w:rPr>
                <w:rFonts w:ascii="Arial Narrow" w:hAnsi="Arial Narrow"/>
                <w:b/>
                <w:bCs w:val="0"/>
                <w:sz w:val="20"/>
              </w:rPr>
            </w:pPr>
            <w:r w:rsidRPr="00CF4A34">
              <w:rPr>
                <w:rFonts w:ascii="Arial Narrow" w:hAnsi="Arial Narrow"/>
                <w:b/>
                <w:bCs w:val="0"/>
                <w:sz w:val="20"/>
              </w:rPr>
              <w:t>Cost</w:t>
            </w:r>
            <w:r w:rsidR="00380173">
              <w:rPr>
                <w:rFonts w:ascii="Arial Narrow" w:hAnsi="Arial Narrow"/>
                <w:b/>
                <w:bCs w:val="0"/>
                <w:sz w:val="20"/>
              </w:rPr>
              <w:t xml:space="preserve"> ($)</w:t>
            </w:r>
          </w:p>
        </w:tc>
        <w:tc>
          <w:tcPr>
            <w:tcW w:w="1521" w:type="dxa"/>
          </w:tcPr>
          <w:p w14:paraId="7807D4C1" w14:textId="42CC4127" w:rsidR="005D2394" w:rsidRPr="00CF4A34" w:rsidRDefault="005D2394" w:rsidP="00A63017">
            <w:pPr>
              <w:pStyle w:val="TableH28pt"/>
              <w:jc w:val="center"/>
              <w:cnfStyle w:val="100000000000" w:firstRow="1" w:lastRow="0" w:firstColumn="0" w:lastColumn="0" w:oddVBand="0" w:evenVBand="0" w:oddHBand="0" w:evenHBand="0" w:firstRowFirstColumn="0" w:firstRowLastColumn="0" w:lastRowFirstColumn="0" w:lastRowLastColumn="0"/>
              <w:rPr>
                <w:rFonts w:ascii="Arial Narrow" w:hAnsi="Arial Narrow"/>
                <w:b/>
                <w:bCs w:val="0"/>
                <w:sz w:val="20"/>
              </w:rPr>
            </w:pPr>
            <w:r w:rsidRPr="00CF4A34">
              <w:rPr>
                <w:rFonts w:ascii="Arial Narrow" w:hAnsi="Arial Narrow"/>
                <w:b/>
                <w:bCs w:val="0"/>
                <w:sz w:val="20"/>
              </w:rPr>
              <w:t>Incremental cost</w:t>
            </w:r>
            <w:r w:rsidR="00380173">
              <w:rPr>
                <w:rFonts w:ascii="Arial Narrow" w:hAnsi="Arial Narrow"/>
                <w:b/>
                <w:bCs w:val="0"/>
                <w:sz w:val="20"/>
              </w:rPr>
              <w:t xml:space="preserve"> ($)</w:t>
            </w:r>
          </w:p>
        </w:tc>
        <w:tc>
          <w:tcPr>
            <w:tcW w:w="1548" w:type="dxa"/>
          </w:tcPr>
          <w:p w14:paraId="5F79F556" w14:textId="77777777" w:rsidR="005D2394" w:rsidRPr="00CF4A34" w:rsidRDefault="005D2394" w:rsidP="00A63017">
            <w:pPr>
              <w:pStyle w:val="TableH28pt"/>
              <w:jc w:val="center"/>
              <w:cnfStyle w:val="100000000000" w:firstRow="1" w:lastRow="0" w:firstColumn="0" w:lastColumn="0" w:oddVBand="0" w:evenVBand="0" w:oddHBand="0" w:evenHBand="0" w:firstRowFirstColumn="0" w:firstRowLastColumn="0" w:lastRowFirstColumn="0" w:lastRowLastColumn="0"/>
              <w:rPr>
                <w:rFonts w:ascii="Arial Narrow" w:hAnsi="Arial Narrow"/>
                <w:b/>
                <w:bCs w:val="0"/>
                <w:sz w:val="20"/>
              </w:rPr>
            </w:pPr>
            <w:r w:rsidRPr="00CF4A34">
              <w:rPr>
                <w:rFonts w:ascii="Arial Narrow" w:hAnsi="Arial Narrow"/>
                <w:b/>
                <w:bCs w:val="0"/>
                <w:sz w:val="20"/>
              </w:rPr>
              <w:t>Effectiveness</w:t>
            </w:r>
          </w:p>
        </w:tc>
        <w:tc>
          <w:tcPr>
            <w:tcW w:w="1547" w:type="dxa"/>
          </w:tcPr>
          <w:p w14:paraId="64C5BC95" w14:textId="77777777" w:rsidR="005D2394" w:rsidRPr="00CF4A34" w:rsidRDefault="005D2394" w:rsidP="00A63017">
            <w:pPr>
              <w:pStyle w:val="TableH28pt"/>
              <w:jc w:val="center"/>
              <w:cnfStyle w:val="100000000000" w:firstRow="1" w:lastRow="0" w:firstColumn="0" w:lastColumn="0" w:oddVBand="0" w:evenVBand="0" w:oddHBand="0" w:evenHBand="0" w:firstRowFirstColumn="0" w:firstRowLastColumn="0" w:lastRowFirstColumn="0" w:lastRowLastColumn="0"/>
              <w:rPr>
                <w:rFonts w:ascii="Arial Narrow" w:hAnsi="Arial Narrow"/>
                <w:b/>
                <w:bCs w:val="0"/>
                <w:sz w:val="20"/>
              </w:rPr>
            </w:pPr>
            <w:r w:rsidRPr="00CF4A34">
              <w:rPr>
                <w:rFonts w:ascii="Arial Narrow" w:hAnsi="Arial Narrow"/>
                <w:b/>
                <w:bCs w:val="0"/>
                <w:sz w:val="20"/>
              </w:rPr>
              <w:t>Incremental effectiveness</w:t>
            </w:r>
          </w:p>
        </w:tc>
        <w:tc>
          <w:tcPr>
            <w:tcW w:w="1445" w:type="dxa"/>
          </w:tcPr>
          <w:p w14:paraId="10E07FE4" w14:textId="77777777" w:rsidR="005D2394" w:rsidRPr="00CF4A34" w:rsidRDefault="005D2394" w:rsidP="00A63017">
            <w:pPr>
              <w:pStyle w:val="TableH28pt"/>
              <w:jc w:val="center"/>
              <w:cnfStyle w:val="100000000000" w:firstRow="1" w:lastRow="0" w:firstColumn="0" w:lastColumn="0" w:oddVBand="0" w:evenVBand="0" w:oddHBand="0" w:evenHBand="0" w:firstRowFirstColumn="0" w:firstRowLastColumn="0" w:lastRowFirstColumn="0" w:lastRowLastColumn="0"/>
              <w:rPr>
                <w:rFonts w:ascii="Arial Narrow" w:hAnsi="Arial Narrow"/>
                <w:b/>
                <w:bCs w:val="0"/>
                <w:sz w:val="20"/>
              </w:rPr>
            </w:pPr>
            <w:r w:rsidRPr="00CF4A34">
              <w:rPr>
                <w:rFonts w:ascii="Arial Narrow" w:hAnsi="Arial Narrow"/>
                <w:b/>
                <w:bCs w:val="0"/>
                <w:sz w:val="20"/>
              </w:rPr>
              <w:t>ICER</w:t>
            </w:r>
          </w:p>
        </w:tc>
      </w:tr>
      <w:tr w:rsidR="005D2394" w:rsidRPr="00CF4A34" w14:paraId="35CE1D77" w14:textId="77777777" w:rsidTr="00660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6"/>
          </w:tcPr>
          <w:p w14:paraId="2FE315F5" w14:textId="77777777" w:rsidR="005D2394" w:rsidRPr="00CF4A34" w:rsidRDefault="005D2394" w:rsidP="00A63017">
            <w:pPr>
              <w:pStyle w:val="Tabletext8pt"/>
              <w:rPr>
                <w:rFonts w:ascii="Arial Narrow" w:hAnsi="Arial Narrow"/>
                <w:b/>
                <w:bCs w:val="0"/>
                <w:sz w:val="20"/>
                <w:szCs w:val="20"/>
              </w:rPr>
            </w:pPr>
            <w:r w:rsidRPr="00CF4A34">
              <w:rPr>
                <w:rFonts w:ascii="Arial Narrow" w:hAnsi="Arial Narrow"/>
                <w:b/>
                <w:bCs w:val="0"/>
                <w:sz w:val="20"/>
                <w:szCs w:val="20"/>
              </w:rPr>
              <w:t>Step 1: Cost per LY over 3-year trial horizon</w:t>
            </w:r>
          </w:p>
        </w:tc>
      </w:tr>
      <w:tr w:rsidR="005D2394" w:rsidRPr="00CF4A34" w14:paraId="2894310B" w14:textId="77777777" w:rsidTr="004C53B1">
        <w:tc>
          <w:tcPr>
            <w:cnfStyle w:val="001000000000" w:firstRow="0" w:lastRow="0" w:firstColumn="1" w:lastColumn="0" w:oddVBand="0" w:evenVBand="0" w:oddHBand="0" w:evenHBand="0" w:firstRowFirstColumn="0" w:firstRowLastColumn="0" w:lastRowFirstColumn="0" w:lastRowLastColumn="0"/>
            <w:tcW w:w="1464" w:type="dxa"/>
          </w:tcPr>
          <w:p w14:paraId="3F4D2051" w14:textId="77777777" w:rsidR="005D2394" w:rsidRPr="00CF4A34" w:rsidRDefault="005D2394" w:rsidP="00A63017">
            <w:pPr>
              <w:pStyle w:val="Tabletext8pt"/>
              <w:rPr>
                <w:rFonts w:ascii="Arial Narrow" w:hAnsi="Arial Narrow"/>
                <w:sz w:val="20"/>
                <w:szCs w:val="20"/>
              </w:rPr>
            </w:pPr>
            <w:r w:rsidRPr="00CF4A34">
              <w:rPr>
                <w:rFonts w:ascii="Arial Narrow" w:hAnsi="Arial Narrow"/>
                <w:sz w:val="20"/>
                <w:szCs w:val="20"/>
              </w:rPr>
              <w:t>EV+PEM</w:t>
            </w:r>
          </w:p>
        </w:tc>
        <w:tc>
          <w:tcPr>
            <w:tcW w:w="1492" w:type="dxa"/>
            <w:tcBorders>
              <w:bottom w:val="single" w:sz="4" w:space="0" w:color="auto"/>
            </w:tcBorders>
            <w:shd w:val="solid" w:color="000000" w:fill="000000"/>
          </w:tcPr>
          <w:p w14:paraId="0CDDA536" w14:textId="49FA3D6C" w:rsidR="005D2394" w:rsidRPr="00E36DB9" w:rsidRDefault="004C53B1"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4C53B1">
              <w:rPr>
                <w:rFonts w:ascii="Arial Narrow" w:hAnsi="Arial Narrow"/>
                <w:color w:val="000000"/>
                <w:sz w:val="20"/>
                <w:szCs w:val="20"/>
                <w14:textFill>
                  <w14:solidFill>
                    <w14:srgbClr w14:val="000000">
                      <w14:alpha w14:val="100000"/>
                    </w14:srgbClr>
                  </w14:solidFill>
                </w14:textFill>
              </w:rPr>
              <w:t>|</w:t>
            </w:r>
          </w:p>
        </w:tc>
        <w:tc>
          <w:tcPr>
            <w:tcW w:w="1521" w:type="dxa"/>
            <w:vMerge w:val="restart"/>
            <w:tcBorders>
              <w:bottom w:val="single" w:sz="4" w:space="0" w:color="7F7F7F" w:themeColor="text1" w:themeTint="80"/>
            </w:tcBorders>
            <w:shd w:val="solid" w:color="000000" w:fill="000000"/>
            <w:vAlign w:val="center"/>
          </w:tcPr>
          <w:p w14:paraId="2E17BDAB" w14:textId="6EB8D3A6" w:rsidR="005D2394" w:rsidRPr="00CF4A34" w:rsidRDefault="004C53B1"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C53B1">
              <w:rPr>
                <w:rFonts w:ascii="Arial Narrow" w:hAnsi="Arial Narrow"/>
                <w:color w:val="000000"/>
                <w:sz w:val="20"/>
                <w:szCs w:val="20"/>
                <w14:textFill>
                  <w14:solidFill>
                    <w14:srgbClr w14:val="000000">
                      <w14:alpha w14:val="100000"/>
                    </w14:srgbClr>
                  </w14:solidFill>
                </w14:textFill>
              </w:rPr>
              <w:t>|</w:t>
            </w:r>
          </w:p>
        </w:tc>
        <w:tc>
          <w:tcPr>
            <w:tcW w:w="1548" w:type="dxa"/>
          </w:tcPr>
          <w:p w14:paraId="5FD413AC" w14:textId="77777777" w:rsidR="005D2394" w:rsidRPr="00CF4A34" w:rsidRDefault="005D2394"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2.013</w:t>
            </w:r>
          </w:p>
        </w:tc>
        <w:tc>
          <w:tcPr>
            <w:tcW w:w="1547" w:type="dxa"/>
            <w:vMerge w:val="restart"/>
            <w:vAlign w:val="center"/>
          </w:tcPr>
          <w:p w14:paraId="6603A36B" w14:textId="77777777" w:rsidR="005D2394" w:rsidRPr="00CF4A34" w:rsidRDefault="005D2394"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0.545</w:t>
            </w:r>
          </w:p>
        </w:tc>
        <w:tc>
          <w:tcPr>
            <w:tcW w:w="1445" w:type="dxa"/>
            <w:vMerge w:val="restart"/>
            <w:vAlign w:val="center"/>
          </w:tcPr>
          <w:p w14:paraId="34A13C54" w14:textId="3C02BADD" w:rsidR="005D2394" w:rsidRPr="00CF4A34" w:rsidRDefault="004C53B1"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C53B1">
              <w:rPr>
                <w:rFonts w:ascii="Arial Narrow" w:hAnsi="Arial Narrow"/>
                <w:color w:val="000000"/>
                <w:sz w:val="20"/>
                <w:szCs w:val="20"/>
                <w:shd w:val="solid" w:color="000000" w:fill="000000"/>
                <w14:textFill>
                  <w14:solidFill>
                    <w14:srgbClr w14:val="000000">
                      <w14:alpha w14:val="100000"/>
                    </w14:srgbClr>
                  </w14:solidFill>
                </w14:textFill>
              </w:rPr>
              <w:t>|</w:t>
            </w:r>
            <w:r w:rsidR="00380173" w:rsidRPr="00E36DB9">
              <w:rPr>
                <w:rFonts w:ascii="Arial Narrow" w:hAnsi="Arial Narrow"/>
                <w:sz w:val="20"/>
                <w:szCs w:val="20"/>
                <w:vertAlign w:val="superscript"/>
              </w:rPr>
              <w:t>1</w:t>
            </w:r>
          </w:p>
        </w:tc>
      </w:tr>
      <w:tr w:rsidR="005D2394" w:rsidRPr="00CF4A34" w14:paraId="68B202B1" w14:textId="77777777" w:rsidTr="004C5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582A3442" w14:textId="77777777" w:rsidR="005D2394" w:rsidRPr="00CF4A34" w:rsidRDefault="005D2394" w:rsidP="00A63017">
            <w:pPr>
              <w:pStyle w:val="Tabletext8pt"/>
              <w:rPr>
                <w:rFonts w:ascii="Arial Narrow" w:hAnsi="Arial Narrow"/>
                <w:sz w:val="20"/>
                <w:szCs w:val="20"/>
              </w:rPr>
            </w:pPr>
            <w:r w:rsidRPr="00CF4A34">
              <w:rPr>
                <w:rFonts w:ascii="Arial Narrow" w:hAnsi="Arial Narrow"/>
                <w:sz w:val="20"/>
                <w:szCs w:val="20"/>
              </w:rPr>
              <w:t>Plat+Gem</w:t>
            </w:r>
          </w:p>
        </w:tc>
        <w:tc>
          <w:tcPr>
            <w:tcW w:w="1492" w:type="dxa"/>
            <w:tcBorders>
              <w:top w:val="single" w:sz="4" w:space="0" w:color="auto"/>
            </w:tcBorders>
            <w:shd w:val="solid" w:color="000000" w:fill="000000"/>
          </w:tcPr>
          <w:p w14:paraId="6623A9D5" w14:textId="49066006" w:rsidR="005D2394" w:rsidRPr="00E36DB9" w:rsidRDefault="004C53B1"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darkGray"/>
              </w:rPr>
            </w:pPr>
            <w:r w:rsidRPr="004C53B1">
              <w:rPr>
                <w:rFonts w:ascii="Arial Narrow" w:hAnsi="Arial Narrow"/>
                <w:color w:val="000000"/>
                <w:sz w:val="20"/>
                <w:szCs w:val="20"/>
                <w14:textFill>
                  <w14:solidFill>
                    <w14:srgbClr w14:val="000000">
                      <w14:alpha w14:val="100000"/>
                    </w14:srgbClr>
                  </w14:solidFill>
                </w14:textFill>
              </w:rPr>
              <w:t>|</w:t>
            </w:r>
          </w:p>
        </w:tc>
        <w:tc>
          <w:tcPr>
            <w:tcW w:w="1521" w:type="dxa"/>
            <w:vMerge/>
            <w:tcBorders>
              <w:top w:val="single" w:sz="4" w:space="0" w:color="auto"/>
            </w:tcBorders>
            <w:shd w:val="solid" w:color="000000" w:fill="000000"/>
          </w:tcPr>
          <w:p w14:paraId="013732C4"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548" w:type="dxa"/>
          </w:tcPr>
          <w:p w14:paraId="3DA32946"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1.468</w:t>
            </w:r>
          </w:p>
        </w:tc>
        <w:tc>
          <w:tcPr>
            <w:tcW w:w="1547" w:type="dxa"/>
            <w:vMerge/>
          </w:tcPr>
          <w:p w14:paraId="37733261"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445" w:type="dxa"/>
            <w:vMerge/>
          </w:tcPr>
          <w:p w14:paraId="59609146"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5D2394" w:rsidRPr="00CF4A34" w14:paraId="73752858" w14:textId="77777777" w:rsidTr="00660509">
        <w:tc>
          <w:tcPr>
            <w:cnfStyle w:val="001000000000" w:firstRow="0" w:lastRow="0" w:firstColumn="1" w:lastColumn="0" w:oddVBand="0" w:evenVBand="0" w:oddHBand="0" w:evenHBand="0" w:firstRowFirstColumn="0" w:firstRowLastColumn="0" w:lastRowFirstColumn="0" w:lastRowLastColumn="0"/>
            <w:tcW w:w="9017" w:type="dxa"/>
            <w:gridSpan w:val="6"/>
          </w:tcPr>
          <w:p w14:paraId="101E3F75" w14:textId="77777777" w:rsidR="005D2394" w:rsidRPr="00CF4A34" w:rsidRDefault="005D2394" w:rsidP="00A63017">
            <w:pPr>
              <w:pStyle w:val="Tabletext8pt"/>
              <w:rPr>
                <w:rFonts w:ascii="Arial Narrow" w:hAnsi="Arial Narrow"/>
                <w:b/>
                <w:bCs w:val="0"/>
                <w:sz w:val="20"/>
                <w:szCs w:val="20"/>
              </w:rPr>
            </w:pPr>
            <w:r w:rsidRPr="00CF4A34">
              <w:rPr>
                <w:rFonts w:ascii="Arial Narrow" w:hAnsi="Arial Narrow"/>
                <w:b/>
                <w:bCs w:val="0"/>
                <w:sz w:val="20"/>
                <w:szCs w:val="20"/>
              </w:rPr>
              <w:t>Step 2: Cost per LY over a 15-year time horizon</w:t>
            </w:r>
          </w:p>
        </w:tc>
      </w:tr>
      <w:tr w:rsidR="005D2394" w:rsidRPr="00CF4A34" w14:paraId="1F02F2C6" w14:textId="77777777" w:rsidTr="004C5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7099A4B0" w14:textId="77777777" w:rsidR="005D2394" w:rsidRPr="00CF4A34" w:rsidRDefault="005D2394" w:rsidP="00A63017">
            <w:pPr>
              <w:pStyle w:val="Tabletext8pt"/>
              <w:rPr>
                <w:rFonts w:ascii="Arial Narrow" w:hAnsi="Arial Narrow"/>
                <w:sz w:val="20"/>
                <w:szCs w:val="20"/>
              </w:rPr>
            </w:pPr>
            <w:r w:rsidRPr="00CF4A34">
              <w:rPr>
                <w:rFonts w:ascii="Arial Narrow" w:hAnsi="Arial Narrow"/>
                <w:sz w:val="20"/>
                <w:szCs w:val="20"/>
              </w:rPr>
              <w:t>EV+PEM</w:t>
            </w:r>
          </w:p>
        </w:tc>
        <w:tc>
          <w:tcPr>
            <w:tcW w:w="1492" w:type="dxa"/>
            <w:tcBorders>
              <w:bottom w:val="single" w:sz="4" w:space="0" w:color="auto"/>
            </w:tcBorders>
            <w:shd w:val="solid" w:color="000000" w:fill="000000"/>
          </w:tcPr>
          <w:p w14:paraId="514FE35B" w14:textId="07D0632B" w:rsidR="005D2394" w:rsidRPr="00E36DB9" w:rsidRDefault="004C53B1"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darkGray"/>
              </w:rPr>
            </w:pPr>
            <w:r w:rsidRPr="004C53B1">
              <w:rPr>
                <w:rFonts w:ascii="Arial Narrow" w:hAnsi="Arial Narrow"/>
                <w:color w:val="000000"/>
                <w:sz w:val="20"/>
                <w:szCs w:val="20"/>
                <w14:textFill>
                  <w14:solidFill>
                    <w14:srgbClr w14:val="000000">
                      <w14:alpha w14:val="100000"/>
                    </w14:srgbClr>
                  </w14:solidFill>
                </w14:textFill>
              </w:rPr>
              <w:t>|</w:t>
            </w:r>
          </w:p>
        </w:tc>
        <w:tc>
          <w:tcPr>
            <w:tcW w:w="1521" w:type="dxa"/>
            <w:vMerge w:val="restart"/>
            <w:tcBorders>
              <w:bottom w:val="single" w:sz="4" w:space="0" w:color="auto"/>
            </w:tcBorders>
            <w:shd w:val="solid" w:color="000000" w:fill="000000"/>
            <w:vAlign w:val="center"/>
          </w:tcPr>
          <w:p w14:paraId="00D1F7CC" w14:textId="6015C868" w:rsidR="005D2394" w:rsidRPr="00CF4A34" w:rsidRDefault="004C53B1"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C53B1">
              <w:rPr>
                <w:rFonts w:ascii="Arial Narrow" w:hAnsi="Arial Narrow"/>
                <w:color w:val="000000"/>
                <w:sz w:val="20"/>
                <w:szCs w:val="20"/>
                <w14:textFill>
                  <w14:solidFill>
                    <w14:srgbClr w14:val="000000">
                      <w14:alpha w14:val="100000"/>
                    </w14:srgbClr>
                  </w14:solidFill>
                </w14:textFill>
              </w:rPr>
              <w:t>|</w:t>
            </w:r>
          </w:p>
        </w:tc>
        <w:tc>
          <w:tcPr>
            <w:tcW w:w="1548" w:type="dxa"/>
          </w:tcPr>
          <w:p w14:paraId="121C0981"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3.372</w:t>
            </w:r>
          </w:p>
        </w:tc>
        <w:tc>
          <w:tcPr>
            <w:tcW w:w="1547" w:type="dxa"/>
            <w:vMerge w:val="restart"/>
            <w:vAlign w:val="center"/>
          </w:tcPr>
          <w:p w14:paraId="58A55CC6"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1.329</w:t>
            </w:r>
          </w:p>
        </w:tc>
        <w:tc>
          <w:tcPr>
            <w:tcW w:w="1445" w:type="dxa"/>
            <w:vMerge w:val="restart"/>
            <w:vAlign w:val="center"/>
          </w:tcPr>
          <w:p w14:paraId="5AE50523" w14:textId="4C974C8C" w:rsidR="005D2394" w:rsidRPr="00CF4A34" w:rsidRDefault="004C53B1"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C53B1">
              <w:rPr>
                <w:rFonts w:ascii="Arial Narrow" w:hAnsi="Arial Narrow"/>
                <w:color w:val="000000"/>
                <w:sz w:val="20"/>
                <w:szCs w:val="20"/>
                <w:shd w:val="solid" w:color="000000" w:fill="000000"/>
                <w14:textFill>
                  <w14:solidFill>
                    <w14:srgbClr w14:val="000000">
                      <w14:alpha w14:val="100000"/>
                    </w14:srgbClr>
                  </w14:solidFill>
                </w14:textFill>
              </w:rPr>
              <w:t>|</w:t>
            </w:r>
            <w:r w:rsidR="00380173" w:rsidRPr="00E36DB9">
              <w:rPr>
                <w:rFonts w:ascii="Arial Narrow" w:hAnsi="Arial Narrow"/>
                <w:sz w:val="20"/>
                <w:szCs w:val="20"/>
                <w:vertAlign w:val="superscript"/>
              </w:rPr>
              <w:t>2</w:t>
            </w:r>
          </w:p>
        </w:tc>
      </w:tr>
      <w:tr w:rsidR="005D2394" w:rsidRPr="00CF4A34" w14:paraId="3D551161" w14:textId="77777777" w:rsidTr="004C53B1">
        <w:tc>
          <w:tcPr>
            <w:cnfStyle w:val="001000000000" w:firstRow="0" w:lastRow="0" w:firstColumn="1" w:lastColumn="0" w:oddVBand="0" w:evenVBand="0" w:oddHBand="0" w:evenHBand="0" w:firstRowFirstColumn="0" w:firstRowLastColumn="0" w:lastRowFirstColumn="0" w:lastRowLastColumn="0"/>
            <w:tcW w:w="1464" w:type="dxa"/>
            <w:tcBorders>
              <w:top w:val="single" w:sz="4" w:space="0" w:color="auto"/>
            </w:tcBorders>
          </w:tcPr>
          <w:p w14:paraId="4F284E5A" w14:textId="77777777" w:rsidR="005D2394" w:rsidRPr="00CF4A34" w:rsidRDefault="005D2394" w:rsidP="00A63017">
            <w:pPr>
              <w:pStyle w:val="Tabletext8pt"/>
              <w:rPr>
                <w:rFonts w:ascii="Arial Narrow" w:hAnsi="Arial Narrow"/>
                <w:sz w:val="20"/>
                <w:szCs w:val="20"/>
              </w:rPr>
            </w:pPr>
            <w:r w:rsidRPr="00CF4A34">
              <w:rPr>
                <w:rFonts w:ascii="Arial Narrow" w:hAnsi="Arial Narrow"/>
                <w:sz w:val="20"/>
                <w:szCs w:val="20"/>
              </w:rPr>
              <w:t>Plat+Gem</w:t>
            </w:r>
          </w:p>
        </w:tc>
        <w:tc>
          <w:tcPr>
            <w:tcW w:w="1492" w:type="dxa"/>
            <w:tcBorders>
              <w:top w:val="single" w:sz="4" w:space="0" w:color="auto"/>
            </w:tcBorders>
            <w:shd w:val="solid" w:color="000000" w:fill="000000"/>
          </w:tcPr>
          <w:p w14:paraId="5852A3EB" w14:textId="75969C35" w:rsidR="005D2394" w:rsidRPr="00E36DB9" w:rsidRDefault="004C53B1"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4C53B1">
              <w:rPr>
                <w:rFonts w:ascii="Arial Narrow" w:hAnsi="Arial Narrow"/>
                <w:color w:val="000000"/>
                <w:sz w:val="20"/>
                <w:szCs w:val="20"/>
                <w14:textFill>
                  <w14:solidFill>
                    <w14:srgbClr w14:val="000000">
                      <w14:alpha w14:val="100000"/>
                    </w14:srgbClr>
                  </w14:solidFill>
                </w14:textFill>
              </w:rPr>
              <w:t>|</w:t>
            </w:r>
          </w:p>
        </w:tc>
        <w:tc>
          <w:tcPr>
            <w:tcW w:w="1521" w:type="dxa"/>
            <w:vMerge/>
            <w:shd w:val="solid" w:color="000000" w:fill="000000"/>
          </w:tcPr>
          <w:p w14:paraId="75674450" w14:textId="77777777" w:rsidR="005D2394" w:rsidRPr="00CF4A34" w:rsidRDefault="005D2394"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548" w:type="dxa"/>
          </w:tcPr>
          <w:p w14:paraId="15B49804" w14:textId="77777777" w:rsidR="005D2394" w:rsidRPr="00CF4A34" w:rsidRDefault="005D2394"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2.043</w:t>
            </w:r>
          </w:p>
        </w:tc>
        <w:tc>
          <w:tcPr>
            <w:tcW w:w="1547" w:type="dxa"/>
            <w:vMerge/>
          </w:tcPr>
          <w:p w14:paraId="4C389B1B" w14:textId="77777777" w:rsidR="005D2394" w:rsidRPr="00CF4A34" w:rsidRDefault="005D2394"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445" w:type="dxa"/>
            <w:vMerge/>
          </w:tcPr>
          <w:p w14:paraId="32A349DA" w14:textId="77777777" w:rsidR="005D2394" w:rsidRPr="00CF4A34" w:rsidRDefault="005D2394"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5D2394" w:rsidRPr="00CF4A34" w14:paraId="26AD9C3A" w14:textId="77777777" w:rsidTr="006605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6"/>
          </w:tcPr>
          <w:p w14:paraId="03888045" w14:textId="77777777" w:rsidR="005D2394" w:rsidRPr="00CF4A34" w:rsidRDefault="005D2394" w:rsidP="00A63017">
            <w:pPr>
              <w:pStyle w:val="Tabletext8pt"/>
              <w:rPr>
                <w:rFonts w:ascii="Arial Narrow" w:hAnsi="Arial Narrow"/>
                <w:b/>
                <w:bCs w:val="0"/>
                <w:sz w:val="20"/>
                <w:szCs w:val="20"/>
              </w:rPr>
            </w:pPr>
            <w:r w:rsidRPr="00CF4A34">
              <w:rPr>
                <w:rFonts w:ascii="Arial Narrow" w:hAnsi="Arial Narrow"/>
                <w:b/>
                <w:bCs w:val="0"/>
                <w:sz w:val="20"/>
                <w:szCs w:val="20"/>
              </w:rPr>
              <w:t>Step 3: Cost per QALY over a 15-year time horizon</w:t>
            </w:r>
          </w:p>
        </w:tc>
      </w:tr>
      <w:tr w:rsidR="005D2394" w:rsidRPr="00CF4A34" w14:paraId="5581B107" w14:textId="77777777" w:rsidTr="004C53B1">
        <w:tc>
          <w:tcPr>
            <w:cnfStyle w:val="001000000000" w:firstRow="0" w:lastRow="0" w:firstColumn="1" w:lastColumn="0" w:oddVBand="0" w:evenVBand="0" w:oddHBand="0" w:evenHBand="0" w:firstRowFirstColumn="0" w:firstRowLastColumn="0" w:lastRowFirstColumn="0" w:lastRowLastColumn="0"/>
            <w:tcW w:w="1464" w:type="dxa"/>
          </w:tcPr>
          <w:p w14:paraId="6D4F29A5" w14:textId="77777777" w:rsidR="005D2394" w:rsidRPr="00CF4A34" w:rsidRDefault="005D2394" w:rsidP="00A63017">
            <w:pPr>
              <w:pStyle w:val="Tabletext8pt"/>
              <w:rPr>
                <w:rFonts w:ascii="Arial Narrow" w:hAnsi="Arial Narrow"/>
                <w:sz w:val="20"/>
                <w:szCs w:val="20"/>
              </w:rPr>
            </w:pPr>
            <w:r w:rsidRPr="00CF4A34">
              <w:rPr>
                <w:rFonts w:ascii="Arial Narrow" w:hAnsi="Arial Narrow"/>
                <w:sz w:val="20"/>
                <w:szCs w:val="20"/>
              </w:rPr>
              <w:t>EV+PEM</w:t>
            </w:r>
          </w:p>
        </w:tc>
        <w:tc>
          <w:tcPr>
            <w:tcW w:w="1492" w:type="dxa"/>
            <w:tcBorders>
              <w:bottom w:val="single" w:sz="4" w:space="0" w:color="auto"/>
            </w:tcBorders>
            <w:shd w:val="solid" w:color="000000" w:fill="000000"/>
          </w:tcPr>
          <w:p w14:paraId="10FD9136" w14:textId="2A349829" w:rsidR="005D2394" w:rsidRPr="00E36DB9" w:rsidRDefault="004C53B1"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4C53B1">
              <w:rPr>
                <w:rFonts w:ascii="Arial Narrow" w:hAnsi="Arial Narrow"/>
                <w:color w:val="000000"/>
                <w:sz w:val="20"/>
                <w:szCs w:val="20"/>
                <w14:textFill>
                  <w14:solidFill>
                    <w14:srgbClr w14:val="000000">
                      <w14:alpha w14:val="100000"/>
                    </w14:srgbClr>
                  </w14:solidFill>
                </w14:textFill>
              </w:rPr>
              <w:t>|</w:t>
            </w:r>
          </w:p>
        </w:tc>
        <w:tc>
          <w:tcPr>
            <w:tcW w:w="1521" w:type="dxa"/>
            <w:vMerge w:val="restart"/>
            <w:vAlign w:val="center"/>
          </w:tcPr>
          <w:p w14:paraId="6AB8783E" w14:textId="73F0C8AB" w:rsidR="005D2394" w:rsidRPr="00CF4A34" w:rsidRDefault="005D2394"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w:t>
            </w:r>
            <w:r w:rsidR="004C53B1" w:rsidRPr="004C53B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548" w:type="dxa"/>
          </w:tcPr>
          <w:p w14:paraId="41E9C222" w14:textId="77777777" w:rsidR="005D2394" w:rsidRPr="00CF4A34" w:rsidRDefault="005D2394"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2.704</w:t>
            </w:r>
          </w:p>
        </w:tc>
        <w:tc>
          <w:tcPr>
            <w:tcW w:w="1547" w:type="dxa"/>
            <w:vMerge w:val="restart"/>
            <w:vAlign w:val="center"/>
          </w:tcPr>
          <w:p w14:paraId="3FC96380" w14:textId="77777777" w:rsidR="005D2394" w:rsidRPr="00CF4A34" w:rsidRDefault="005D2394"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1.104</w:t>
            </w:r>
          </w:p>
        </w:tc>
        <w:tc>
          <w:tcPr>
            <w:tcW w:w="1445" w:type="dxa"/>
            <w:vMerge w:val="restart"/>
            <w:vAlign w:val="center"/>
          </w:tcPr>
          <w:p w14:paraId="2BFAF47A" w14:textId="2865293A" w:rsidR="005D2394" w:rsidRPr="00CF4A34" w:rsidRDefault="004C53B1" w:rsidP="00A63017">
            <w:pPr>
              <w:pStyle w:val="Tabletext8p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C53B1">
              <w:rPr>
                <w:rFonts w:ascii="Arial Narrow" w:hAnsi="Arial Narrow"/>
                <w:color w:val="000000"/>
                <w:sz w:val="20"/>
                <w:szCs w:val="20"/>
                <w:shd w:val="solid" w:color="000000" w:fill="000000"/>
                <w14:textFill>
                  <w14:solidFill>
                    <w14:srgbClr w14:val="000000">
                      <w14:alpha w14:val="100000"/>
                    </w14:srgbClr>
                  </w14:solidFill>
                </w14:textFill>
              </w:rPr>
              <w:t>|</w:t>
            </w:r>
            <w:r w:rsidR="00380173" w:rsidRPr="00450C49">
              <w:rPr>
                <w:rFonts w:ascii="Arial Narrow" w:hAnsi="Arial Narrow"/>
                <w:sz w:val="20"/>
                <w:szCs w:val="20"/>
                <w:vertAlign w:val="superscript"/>
              </w:rPr>
              <w:t>2</w:t>
            </w:r>
          </w:p>
        </w:tc>
      </w:tr>
      <w:tr w:rsidR="005D2394" w:rsidRPr="00CF4A34" w14:paraId="6D56DD59" w14:textId="77777777" w:rsidTr="004C53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6B714909" w14:textId="77777777" w:rsidR="005D2394" w:rsidRPr="00CF4A34" w:rsidRDefault="005D2394" w:rsidP="00A63017">
            <w:pPr>
              <w:pStyle w:val="Tabletext8pt"/>
              <w:rPr>
                <w:rFonts w:ascii="Arial Narrow" w:hAnsi="Arial Narrow"/>
                <w:sz w:val="20"/>
                <w:szCs w:val="20"/>
              </w:rPr>
            </w:pPr>
            <w:r w:rsidRPr="00CF4A34">
              <w:rPr>
                <w:rFonts w:ascii="Arial Narrow" w:hAnsi="Arial Narrow"/>
                <w:sz w:val="20"/>
                <w:szCs w:val="20"/>
              </w:rPr>
              <w:t>Plat+Gem</w:t>
            </w:r>
          </w:p>
        </w:tc>
        <w:tc>
          <w:tcPr>
            <w:tcW w:w="1492" w:type="dxa"/>
            <w:tcBorders>
              <w:top w:val="single" w:sz="4" w:space="0" w:color="auto"/>
            </w:tcBorders>
            <w:shd w:val="solid" w:color="000000" w:fill="000000"/>
          </w:tcPr>
          <w:p w14:paraId="740BC2E5" w14:textId="7C4965F4" w:rsidR="005D2394" w:rsidRPr="00E36DB9" w:rsidRDefault="004C53B1"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highlight w:val="darkGray"/>
              </w:rPr>
            </w:pPr>
            <w:r w:rsidRPr="004C53B1">
              <w:rPr>
                <w:rFonts w:ascii="Arial Narrow" w:hAnsi="Arial Narrow"/>
                <w:color w:val="000000"/>
                <w:sz w:val="20"/>
                <w:szCs w:val="20"/>
                <w14:textFill>
                  <w14:solidFill>
                    <w14:srgbClr w14:val="000000">
                      <w14:alpha w14:val="100000"/>
                    </w14:srgbClr>
                  </w14:solidFill>
                </w14:textFill>
              </w:rPr>
              <w:t>|</w:t>
            </w:r>
          </w:p>
        </w:tc>
        <w:tc>
          <w:tcPr>
            <w:tcW w:w="1521" w:type="dxa"/>
            <w:vMerge/>
          </w:tcPr>
          <w:p w14:paraId="0240C94D"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548" w:type="dxa"/>
          </w:tcPr>
          <w:p w14:paraId="0A773710"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CF4A34">
              <w:rPr>
                <w:rFonts w:ascii="Arial Narrow" w:hAnsi="Arial Narrow"/>
                <w:sz w:val="20"/>
                <w:szCs w:val="20"/>
              </w:rPr>
              <w:t>1.599</w:t>
            </w:r>
          </w:p>
        </w:tc>
        <w:tc>
          <w:tcPr>
            <w:tcW w:w="1547" w:type="dxa"/>
            <w:vMerge/>
          </w:tcPr>
          <w:p w14:paraId="1A881B1D"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445" w:type="dxa"/>
            <w:vMerge/>
          </w:tcPr>
          <w:p w14:paraId="7284D7C7" w14:textId="77777777" w:rsidR="005D2394" w:rsidRPr="00CF4A34" w:rsidRDefault="005D2394" w:rsidP="00A63017">
            <w:pPr>
              <w:pStyle w:val="Tabletext8p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bl>
    <w:p w14:paraId="38767EB7" w14:textId="77777777" w:rsidR="005D2394" w:rsidRDefault="005D2394" w:rsidP="00A63017">
      <w:pPr>
        <w:pStyle w:val="TableFigureFooter"/>
        <w:keepNext/>
      </w:pPr>
      <w:r>
        <w:t>Source: Table 3-22, p111 of the submission.</w:t>
      </w:r>
    </w:p>
    <w:p w14:paraId="0E842BC7" w14:textId="77777777" w:rsidR="003C0781" w:rsidRDefault="005D2394" w:rsidP="00A63017">
      <w:pPr>
        <w:pStyle w:val="TableFigureFooter"/>
        <w:keepNext/>
      </w:pPr>
      <w:r>
        <w:t>EV = Enfortumab vedotin; Gem = Gemcitabine; ICER = Incremental cost-effectiveness ratio; LY = Life year; PEM = Pembrolizumab; Plat = Platinum-based chemotherapy; QALY = Quality-adjusted life-year</w:t>
      </w:r>
      <w:r w:rsidR="003C0781">
        <w:t xml:space="preserve"> </w:t>
      </w:r>
    </w:p>
    <w:p w14:paraId="25E84782" w14:textId="77777777" w:rsidR="003B4249" w:rsidRPr="006F3218" w:rsidRDefault="003C0781" w:rsidP="00A63017">
      <w:pPr>
        <w:pStyle w:val="TableFigureFooter"/>
        <w:keepNext/>
        <w:rPr>
          <w:i/>
          <w:iCs/>
        </w:rPr>
      </w:pPr>
      <w:r w:rsidRPr="006F3218">
        <w:rPr>
          <w:i/>
          <w:iCs/>
        </w:rPr>
        <w:t>The redacted values correspond to the following ranges:</w:t>
      </w:r>
    </w:p>
    <w:p w14:paraId="48CAEAC8" w14:textId="2E76FD83" w:rsidR="003C0781" w:rsidRPr="006F3218" w:rsidRDefault="003B4249" w:rsidP="003C0781">
      <w:pPr>
        <w:pStyle w:val="TableFigureFooter"/>
        <w:rPr>
          <w:i/>
          <w:iCs/>
        </w:rPr>
      </w:pPr>
      <w:r w:rsidRPr="006F3218">
        <w:rPr>
          <w:i/>
          <w:iCs/>
        </w:rPr>
        <w:t>1 $355,000 to &lt; $455,000</w:t>
      </w:r>
    </w:p>
    <w:p w14:paraId="34E81529" w14:textId="376B683F" w:rsidR="005D2394" w:rsidRPr="006F3218" w:rsidRDefault="000530D8" w:rsidP="003C0781">
      <w:pPr>
        <w:pStyle w:val="TableFigureFooter"/>
        <w:rPr>
          <w:i/>
          <w:iCs/>
        </w:rPr>
      </w:pPr>
      <w:r w:rsidRPr="006F3218">
        <w:rPr>
          <w:i/>
          <w:iCs/>
        </w:rPr>
        <w:t>2</w:t>
      </w:r>
      <w:r w:rsidR="003C0781" w:rsidRPr="006F3218">
        <w:rPr>
          <w:i/>
          <w:iCs/>
        </w:rPr>
        <w:t xml:space="preserve"> $155,000 to &lt; $255,000</w:t>
      </w:r>
    </w:p>
    <w:p w14:paraId="4680A833" w14:textId="355A5A44" w:rsidR="00357EAE" w:rsidRDefault="005D2394" w:rsidP="00206BD3">
      <w:pPr>
        <w:pStyle w:val="3-BodyText"/>
        <w:rPr>
          <w:i/>
        </w:rPr>
      </w:pPr>
      <w:bookmarkStart w:id="50" w:name="_Ref177503110"/>
      <w:r w:rsidRPr="0098262F">
        <w:t xml:space="preserve">These results were based on the </w:t>
      </w:r>
      <w:r>
        <w:t xml:space="preserve">proposed published price of </w:t>
      </w:r>
      <w:r w:rsidR="00D52BB1">
        <w:t>EV</w:t>
      </w:r>
      <w:r>
        <w:t xml:space="preserve"> and </w:t>
      </w:r>
      <w:r w:rsidR="00D52BB1">
        <w:t>PEM</w:t>
      </w:r>
      <w:r>
        <w:t xml:space="preserve">, and on prices for avelumab and </w:t>
      </w:r>
      <w:r w:rsidR="00D52BB1">
        <w:t>PEM</w:t>
      </w:r>
      <w:r>
        <w:t xml:space="preserve"> (2L) that were 50% of the published price.</w:t>
      </w:r>
      <w:r w:rsidR="00013533">
        <w:t xml:space="preserve"> The base case ICER </w:t>
      </w:r>
      <w:r w:rsidR="00207261" w:rsidRPr="00207261">
        <w:t>$155,000 to &lt; $255,000</w:t>
      </w:r>
      <w:r w:rsidR="00013533">
        <w:t>) is derived using a combined treatment cost of EV+PEM of $</w:t>
      </w:r>
      <w:r w:rsidR="004C53B1" w:rsidRPr="00AF450C">
        <w:rPr>
          <w:color w:val="000000"/>
          <w:w w:val="15"/>
          <w:shd w:val="solid" w:color="000000" w:fill="000000"/>
          <w:fitText w:val="-20" w:id="-761019904"/>
          <w14:textFill>
            <w14:solidFill>
              <w14:srgbClr w14:val="000000">
                <w14:alpha w14:val="100000"/>
              </w14:srgbClr>
            </w14:solidFill>
          </w14:textFill>
        </w:rPr>
        <w:t xml:space="preserve">|  </w:t>
      </w:r>
      <w:r w:rsidR="004C53B1" w:rsidRPr="00AF450C">
        <w:rPr>
          <w:color w:val="000000"/>
          <w:spacing w:val="-69"/>
          <w:w w:val="15"/>
          <w:shd w:val="solid" w:color="000000" w:fill="000000"/>
          <w:fitText w:val="-20" w:id="-761019904"/>
          <w14:textFill>
            <w14:solidFill>
              <w14:srgbClr w14:val="000000">
                <w14:alpha w14:val="100000"/>
              </w14:srgbClr>
            </w14:solidFill>
          </w14:textFill>
        </w:rPr>
        <w:t>|</w:t>
      </w:r>
      <w:r w:rsidR="00013533">
        <w:t xml:space="preserve"> </w:t>
      </w:r>
      <w:r w:rsidR="00DE02AD">
        <w:t>(discounted; $</w:t>
      </w:r>
      <w:r w:rsidR="004C53B1" w:rsidRPr="00AF450C">
        <w:rPr>
          <w:color w:val="000000"/>
          <w:w w:val="15"/>
          <w:shd w:val="solid" w:color="000000" w:fill="000000"/>
          <w:fitText w:val="-20" w:id="-761019903"/>
          <w14:textFill>
            <w14:solidFill>
              <w14:srgbClr w14:val="000000">
                <w14:alpha w14:val="100000"/>
              </w14:srgbClr>
            </w14:solidFill>
          </w14:textFill>
        </w:rPr>
        <w:t xml:space="preserve">|  </w:t>
      </w:r>
      <w:r w:rsidR="004C53B1" w:rsidRPr="00AF450C">
        <w:rPr>
          <w:color w:val="000000"/>
          <w:spacing w:val="-69"/>
          <w:w w:val="15"/>
          <w:shd w:val="solid" w:color="000000" w:fill="000000"/>
          <w:fitText w:val="-20" w:id="-761019903"/>
          <w14:textFill>
            <w14:solidFill>
              <w14:srgbClr w14:val="000000">
                <w14:alpha w14:val="100000"/>
              </w14:srgbClr>
            </w14:solidFill>
          </w14:textFill>
        </w:rPr>
        <w:t>|</w:t>
      </w:r>
      <w:r w:rsidR="00DE02AD">
        <w:t xml:space="preserve"> undiscounted) </w:t>
      </w:r>
      <w:r w:rsidR="00013533">
        <w:t xml:space="preserve">per patient. The submission has presented the combined price of EV+PEM required to achieve an ICER of </w:t>
      </w:r>
      <w:r w:rsidR="00D6723A" w:rsidRPr="00D6723A">
        <w:t>$75,000 to &lt; $95,000</w:t>
      </w:r>
      <w:r w:rsidR="00013533">
        <w:t>/QALY.</w:t>
      </w:r>
      <w:r w:rsidRPr="00C11145">
        <w:rPr>
          <w:iCs/>
        </w:rPr>
        <w:t xml:space="preserve"> </w:t>
      </w:r>
      <w:bookmarkEnd w:id="50"/>
    </w:p>
    <w:p w14:paraId="50C1925B" w14:textId="63E05BB8" w:rsidR="005D2394" w:rsidRDefault="005D2394" w:rsidP="00357EAE">
      <w:pPr>
        <w:pStyle w:val="Caption"/>
        <w:rPr>
          <w:rStyle w:val="CommentReference"/>
          <w:b/>
          <w:szCs w:val="24"/>
        </w:rPr>
      </w:pPr>
      <w:bookmarkStart w:id="51" w:name="_Ref104804865"/>
      <w:r w:rsidRPr="0098262F">
        <w:t xml:space="preserve">Table </w:t>
      </w:r>
      <w:r>
        <w:fldChar w:fldCharType="begin" w:fldLock="1"/>
      </w:r>
      <w:r>
        <w:instrText xml:space="preserve"> SEQ Table \* ARABIC </w:instrText>
      </w:r>
      <w:r>
        <w:fldChar w:fldCharType="separate"/>
      </w:r>
      <w:r w:rsidR="00FE0BD6">
        <w:rPr>
          <w:noProof/>
        </w:rPr>
        <w:t>13</w:t>
      </w:r>
      <w:r>
        <w:rPr>
          <w:noProof/>
        </w:rPr>
        <w:fldChar w:fldCharType="end"/>
      </w:r>
      <w:bookmarkEnd w:id="51"/>
      <w:r w:rsidRPr="0098262F">
        <w:t>:</w:t>
      </w:r>
      <w:r w:rsidRPr="0098262F">
        <w:rPr>
          <w:rStyle w:val="CommentReference"/>
          <w:b/>
          <w:szCs w:val="24"/>
        </w:rPr>
        <w:t xml:space="preserve"> </w:t>
      </w:r>
      <w:r>
        <w:rPr>
          <w:rStyle w:val="CommentReference"/>
          <w:b/>
          <w:szCs w:val="24"/>
        </w:rPr>
        <w:t>S</w:t>
      </w:r>
      <w:r w:rsidRPr="0098262F">
        <w:rPr>
          <w:rStyle w:val="CommentReference"/>
          <w:b/>
          <w:szCs w:val="24"/>
        </w:rPr>
        <w:t>ensitivity analyses</w:t>
      </w:r>
      <w:r>
        <w:rPr>
          <w:rStyle w:val="CommentReference"/>
          <w:b/>
          <w:szCs w:val="24"/>
        </w:rPr>
        <w:t xml:space="preserve"> presented in the </w:t>
      </w:r>
      <w:r w:rsidR="00CB4811">
        <w:rPr>
          <w:rStyle w:val="CommentReference"/>
          <w:b/>
          <w:szCs w:val="24"/>
        </w:rPr>
        <w:t>evaluation</w:t>
      </w:r>
    </w:p>
    <w:tbl>
      <w:tblPr>
        <w:tblStyle w:val="AZTable"/>
        <w:tblpPr w:leftFromText="181" w:rightFromText="181" w:vertAnchor="text" w:tblpY="1"/>
        <w:tblOverlap w:val="never"/>
        <w:tblW w:w="5000" w:type="pct"/>
        <w:tblLayout w:type="fixed"/>
        <w:tblLook w:val="04A0" w:firstRow="1" w:lastRow="0" w:firstColumn="1" w:lastColumn="0" w:noHBand="0" w:noVBand="1"/>
      </w:tblPr>
      <w:tblGrid>
        <w:gridCol w:w="564"/>
        <w:gridCol w:w="3542"/>
        <w:gridCol w:w="992"/>
        <w:gridCol w:w="1134"/>
        <w:gridCol w:w="1560"/>
        <w:gridCol w:w="1225"/>
      </w:tblGrid>
      <w:tr w:rsidR="00357EAE" w:rsidRPr="00C11145" w14:paraId="2B92FBBF" w14:textId="77777777" w:rsidTr="00A63017">
        <w:trPr>
          <w:cnfStyle w:val="100000000000" w:firstRow="1" w:lastRow="0" w:firstColumn="0" w:lastColumn="0" w:oddVBand="0" w:evenVBand="0" w:oddHBand="0" w:evenHBand="0" w:firstRowFirstColumn="0" w:firstRowLastColumn="0" w:lastRowFirstColumn="0" w:lastRowLastColumn="0"/>
          <w:tblHeader/>
        </w:trPr>
        <w:tc>
          <w:tcPr>
            <w:tcW w:w="313" w:type="pct"/>
          </w:tcPr>
          <w:p w14:paraId="2B136395" w14:textId="77777777" w:rsidR="004E55E4" w:rsidRPr="001D64F1" w:rsidRDefault="004E55E4" w:rsidP="00357EAE">
            <w:pPr>
              <w:pStyle w:val="Tabletext"/>
              <w:keepNext/>
              <w:keepLines/>
              <w:rPr>
                <w:b/>
                <w:szCs w:val="20"/>
              </w:rPr>
            </w:pPr>
            <w:bookmarkStart w:id="52" w:name="_Hlk177480117"/>
            <w:r w:rsidRPr="001D64F1">
              <w:rPr>
                <w:b/>
                <w:szCs w:val="20"/>
              </w:rPr>
              <w:t>SA#</w:t>
            </w:r>
          </w:p>
        </w:tc>
        <w:tc>
          <w:tcPr>
            <w:tcW w:w="1964" w:type="pct"/>
          </w:tcPr>
          <w:p w14:paraId="21E027AB" w14:textId="77777777" w:rsidR="004E55E4" w:rsidRPr="001D64F1" w:rsidRDefault="004E55E4" w:rsidP="00357EAE">
            <w:pPr>
              <w:pStyle w:val="Tabletext"/>
              <w:keepNext/>
              <w:keepLines/>
              <w:rPr>
                <w:b/>
                <w:szCs w:val="20"/>
              </w:rPr>
            </w:pPr>
            <w:r w:rsidRPr="001D64F1">
              <w:rPr>
                <w:b/>
                <w:szCs w:val="20"/>
              </w:rPr>
              <w:t>Variable or assumption</w:t>
            </w:r>
          </w:p>
        </w:tc>
        <w:tc>
          <w:tcPr>
            <w:tcW w:w="1179" w:type="pct"/>
            <w:gridSpan w:val="2"/>
          </w:tcPr>
          <w:p w14:paraId="2F5E8B1C" w14:textId="77777777" w:rsidR="004E55E4" w:rsidRPr="001D64F1" w:rsidRDefault="004E55E4" w:rsidP="00357EAE">
            <w:pPr>
              <w:pStyle w:val="Tabletext"/>
              <w:keepNext/>
              <w:keepLines/>
              <w:jc w:val="center"/>
              <w:rPr>
                <w:b/>
                <w:szCs w:val="20"/>
              </w:rPr>
            </w:pPr>
            <w:r w:rsidRPr="001D64F1">
              <w:rPr>
                <w:b/>
                <w:szCs w:val="20"/>
              </w:rPr>
              <w:t>ICER derived using published EV + PEM prices</w:t>
            </w:r>
          </w:p>
        </w:tc>
        <w:tc>
          <w:tcPr>
            <w:tcW w:w="1544" w:type="pct"/>
            <w:gridSpan w:val="2"/>
          </w:tcPr>
          <w:p w14:paraId="590B8FA8" w14:textId="4BF48A87" w:rsidR="004E55E4" w:rsidRPr="001D64F1" w:rsidRDefault="004E55E4" w:rsidP="00357EAE">
            <w:pPr>
              <w:pStyle w:val="Tabletext"/>
              <w:keepNext/>
              <w:keepLines/>
              <w:jc w:val="center"/>
              <w:rPr>
                <w:b/>
                <w:szCs w:val="20"/>
              </w:rPr>
            </w:pPr>
            <w:r w:rsidRPr="001D64F1">
              <w:rPr>
                <w:b/>
                <w:szCs w:val="20"/>
              </w:rPr>
              <w:t>Treatment cost required to achieve an ICER of $</w:t>
            </w:r>
            <w:r w:rsidR="004C53B1" w:rsidRPr="004C53B1">
              <w:rPr>
                <w:b/>
                <w:color w:val="000000"/>
                <w:szCs w:val="20"/>
                <w:shd w:val="solid" w:color="000000" w:fill="000000"/>
                <w14:textFill>
                  <w14:solidFill>
                    <w14:srgbClr w14:val="000000">
                      <w14:alpha w14:val="100000"/>
                    </w14:srgbClr>
                  </w14:solidFill>
                </w14:textFill>
              </w:rPr>
              <w:t>|</w:t>
            </w:r>
            <w:r w:rsidR="00FA7E12" w:rsidRPr="00E36DB9">
              <w:rPr>
                <w:b/>
                <w:szCs w:val="20"/>
                <w:vertAlign w:val="superscript"/>
              </w:rPr>
              <w:t>1</w:t>
            </w:r>
            <w:r w:rsidRPr="001D64F1">
              <w:rPr>
                <w:b/>
                <w:szCs w:val="20"/>
              </w:rPr>
              <w:t>/QALY</w:t>
            </w:r>
          </w:p>
        </w:tc>
      </w:tr>
      <w:tr w:rsidR="004E55E4" w:rsidRPr="00C11145" w14:paraId="432260C7" w14:textId="77777777" w:rsidTr="00A63017">
        <w:trPr>
          <w:cnfStyle w:val="100000000000" w:firstRow="1" w:lastRow="0" w:firstColumn="0" w:lastColumn="0" w:oddVBand="0" w:evenVBand="0" w:oddHBand="0" w:evenHBand="0" w:firstRowFirstColumn="0" w:firstRowLastColumn="0" w:lastRowFirstColumn="0" w:lastRowLastColumn="0"/>
          <w:tblHeader/>
        </w:trPr>
        <w:tc>
          <w:tcPr>
            <w:tcW w:w="313" w:type="pct"/>
          </w:tcPr>
          <w:p w14:paraId="40D08E73" w14:textId="77777777" w:rsidR="004E55E4" w:rsidRPr="001D64F1" w:rsidRDefault="004E55E4" w:rsidP="00357EAE">
            <w:pPr>
              <w:pStyle w:val="Tabletext"/>
              <w:keepNext/>
              <w:keepLines/>
              <w:rPr>
                <w:b/>
                <w:szCs w:val="20"/>
              </w:rPr>
            </w:pPr>
          </w:p>
        </w:tc>
        <w:tc>
          <w:tcPr>
            <w:tcW w:w="1964" w:type="pct"/>
          </w:tcPr>
          <w:p w14:paraId="1BF5B73C" w14:textId="77777777" w:rsidR="004E55E4" w:rsidRPr="001D64F1" w:rsidRDefault="004E55E4" w:rsidP="00357EAE">
            <w:pPr>
              <w:pStyle w:val="Tabletext"/>
              <w:keepNext/>
              <w:keepLines/>
              <w:rPr>
                <w:b/>
                <w:szCs w:val="20"/>
              </w:rPr>
            </w:pPr>
          </w:p>
        </w:tc>
        <w:tc>
          <w:tcPr>
            <w:tcW w:w="550" w:type="pct"/>
          </w:tcPr>
          <w:p w14:paraId="3C832A06" w14:textId="77777777" w:rsidR="004E55E4" w:rsidRPr="001D64F1" w:rsidRDefault="004E55E4" w:rsidP="00357EAE">
            <w:pPr>
              <w:pStyle w:val="Tabletext"/>
              <w:keepNext/>
              <w:keepLines/>
              <w:jc w:val="center"/>
              <w:rPr>
                <w:b/>
                <w:szCs w:val="20"/>
              </w:rPr>
            </w:pPr>
            <w:r w:rsidRPr="001D64F1">
              <w:rPr>
                <w:b/>
                <w:szCs w:val="20"/>
              </w:rPr>
              <w:t>ICER</w:t>
            </w:r>
          </w:p>
        </w:tc>
        <w:tc>
          <w:tcPr>
            <w:tcW w:w="629" w:type="pct"/>
          </w:tcPr>
          <w:p w14:paraId="0EF00EFC" w14:textId="77777777" w:rsidR="004E55E4" w:rsidRPr="001D64F1" w:rsidRDefault="004E55E4" w:rsidP="00357EAE">
            <w:pPr>
              <w:pStyle w:val="Tabletext"/>
              <w:keepNext/>
              <w:keepLines/>
              <w:jc w:val="center"/>
              <w:rPr>
                <w:b/>
                <w:szCs w:val="20"/>
              </w:rPr>
            </w:pPr>
            <w:r w:rsidRPr="001D64F1">
              <w:rPr>
                <w:b/>
                <w:szCs w:val="20"/>
              </w:rPr>
              <w:t>% ∆ from Base Case</w:t>
            </w:r>
          </w:p>
        </w:tc>
        <w:tc>
          <w:tcPr>
            <w:tcW w:w="865" w:type="pct"/>
            <w:tcBorders>
              <w:bottom w:val="single" w:sz="4" w:space="0" w:color="auto"/>
            </w:tcBorders>
          </w:tcPr>
          <w:p w14:paraId="2A7B951E" w14:textId="75871623" w:rsidR="004E55E4" w:rsidRPr="001D64F1" w:rsidRDefault="004E55E4" w:rsidP="00357EAE">
            <w:pPr>
              <w:pStyle w:val="Tabletext"/>
              <w:keepNext/>
              <w:keepLines/>
              <w:jc w:val="center"/>
              <w:rPr>
                <w:b/>
                <w:szCs w:val="20"/>
              </w:rPr>
            </w:pPr>
            <w:r w:rsidRPr="001D64F1">
              <w:rPr>
                <w:b/>
                <w:szCs w:val="20"/>
              </w:rPr>
              <w:t>Estimated EV+PEM treatment cost (discounted)</w:t>
            </w:r>
            <w:r w:rsidR="006500BB">
              <w:rPr>
                <w:b/>
                <w:szCs w:val="20"/>
              </w:rPr>
              <w:t xml:space="preserve"> ($)</w:t>
            </w:r>
          </w:p>
        </w:tc>
        <w:tc>
          <w:tcPr>
            <w:tcW w:w="679" w:type="pct"/>
          </w:tcPr>
          <w:p w14:paraId="621462E2" w14:textId="77777777" w:rsidR="004E55E4" w:rsidRPr="001D64F1" w:rsidRDefault="004E55E4" w:rsidP="00357EAE">
            <w:pPr>
              <w:pStyle w:val="TableH28pt"/>
              <w:jc w:val="center"/>
              <w:rPr>
                <w:rFonts w:ascii="Arial Narrow" w:eastAsiaTheme="minorHAnsi" w:hAnsi="Arial Narrow" w:cs="Times New Roman"/>
                <w:snapToGrid w:val="0"/>
                <w:sz w:val="20"/>
              </w:rPr>
            </w:pPr>
            <w:r w:rsidRPr="001D64F1">
              <w:rPr>
                <w:rFonts w:ascii="Arial Narrow" w:eastAsiaTheme="minorHAnsi" w:hAnsi="Arial Narrow" w:cs="Times New Roman"/>
                <w:snapToGrid w:val="0"/>
                <w:sz w:val="20"/>
              </w:rPr>
              <w:t>% ∆ from Base Case</w:t>
            </w:r>
          </w:p>
        </w:tc>
      </w:tr>
      <w:tr w:rsidR="004E55E4" w:rsidRPr="00C11145" w14:paraId="6D02775C" w14:textId="77777777" w:rsidTr="00A63017">
        <w:tc>
          <w:tcPr>
            <w:tcW w:w="2277" w:type="pct"/>
            <w:gridSpan w:val="2"/>
            <w:shd w:val="clear" w:color="auto" w:fill="D9D9D9" w:themeFill="background1" w:themeFillShade="D9"/>
            <w:vAlign w:val="center"/>
          </w:tcPr>
          <w:p w14:paraId="18E7829E" w14:textId="77777777" w:rsidR="004E55E4" w:rsidRPr="001D64F1" w:rsidRDefault="004E55E4" w:rsidP="00357EAE">
            <w:pPr>
              <w:pStyle w:val="Tabletext"/>
              <w:keepNext/>
              <w:keepLines/>
              <w:rPr>
                <w:b/>
                <w:bCs/>
                <w:szCs w:val="20"/>
              </w:rPr>
            </w:pPr>
            <w:r w:rsidRPr="001D64F1">
              <w:rPr>
                <w:b/>
                <w:bCs/>
                <w:szCs w:val="20"/>
              </w:rPr>
              <w:t>Base case</w:t>
            </w:r>
          </w:p>
        </w:tc>
        <w:tc>
          <w:tcPr>
            <w:tcW w:w="550" w:type="pct"/>
            <w:shd w:val="clear" w:color="auto" w:fill="D9D9D9" w:themeFill="background1" w:themeFillShade="D9"/>
            <w:vAlign w:val="center"/>
          </w:tcPr>
          <w:p w14:paraId="048AB674" w14:textId="39B1DE6A" w:rsidR="004E55E4" w:rsidRPr="001D64F1" w:rsidRDefault="004C53B1" w:rsidP="00357EAE">
            <w:pPr>
              <w:pStyle w:val="Tabletext"/>
              <w:keepNext/>
              <w:keepLines/>
              <w:jc w:val="center"/>
              <w:rPr>
                <w:b/>
                <w:bCs/>
                <w:szCs w:val="20"/>
              </w:rPr>
            </w:pP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007A27F7" w:rsidRPr="00E36DB9">
              <w:rPr>
                <w:b/>
                <w:bCs/>
                <w:color w:val="000000"/>
                <w:szCs w:val="20"/>
                <w:vertAlign w:val="superscript"/>
              </w:rPr>
              <w:t>2</w:t>
            </w:r>
          </w:p>
        </w:tc>
        <w:tc>
          <w:tcPr>
            <w:tcW w:w="629" w:type="pct"/>
            <w:shd w:val="clear" w:color="auto" w:fill="D9D9D9" w:themeFill="background1" w:themeFillShade="D9"/>
            <w:vAlign w:val="center"/>
          </w:tcPr>
          <w:p w14:paraId="58862574" w14:textId="77777777" w:rsidR="004E55E4" w:rsidRPr="001D64F1" w:rsidRDefault="004E55E4" w:rsidP="00357EAE">
            <w:pPr>
              <w:pStyle w:val="Tabletext"/>
              <w:keepNext/>
              <w:keepLines/>
              <w:jc w:val="center"/>
              <w:rPr>
                <w:b/>
                <w:bCs/>
                <w:szCs w:val="20"/>
              </w:rPr>
            </w:pPr>
            <w:r w:rsidRPr="001D64F1">
              <w:rPr>
                <w:b/>
                <w:bCs/>
                <w:color w:val="000000"/>
                <w:szCs w:val="20"/>
              </w:rPr>
              <w:t>0.0%</w:t>
            </w:r>
          </w:p>
        </w:tc>
        <w:tc>
          <w:tcPr>
            <w:tcW w:w="865" w:type="pct"/>
            <w:shd w:val="solid" w:color="000000" w:fill="000000"/>
            <w:vAlign w:val="center"/>
          </w:tcPr>
          <w:p w14:paraId="2D57BE84" w14:textId="488FDFA2" w:rsidR="004E55E4" w:rsidRPr="001D64F1" w:rsidRDefault="004C53B1" w:rsidP="00357EAE">
            <w:pPr>
              <w:pStyle w:val="Tabletext"/>
              <w:keepNext/>
              <w:keepLines/>
              <w:jc w:val="center"/>
              <w:rPr>
                <w:rFonts w:cs="Calibri"/>
                <w:b/>
                <w:bCs/>
                <w:color w:val="000000"/>
                <w:szCs w:val="20"/>
              </w:rPr>
            </w:pPr>
            <w:r w:rsidRPr="004C53B1">
              <w:rPr>
                <w:b/>
                <w:bCs/>
                <w:color w:val="000000"/>
                <w:szCs w:val="20"/>
                <w14:textFill>
                  <w14:solidFill>
                    <w14:srgbClr w14:val="000000">
                      <w14:alpha w14:val="100000"/>
                    </w14:srgbClr>
                  </w14:solidFill>
                </w14:textFill>
              </w:rPr>
              <w:t>|</w:t>
            </w:r>
          </w:p>
        </w:tc>
        <w:tc>
          <w:tcPr>
            <w:tcW w:w="679" w:type="pct"/>
            <w:shd w:val="clear" w:color="auto" w:fill="D9D9D9" w:themeFill="background1" w:themeFillShade="D9"/>
            <w:vAlign w:val="center"/>
          </w:tcPr>
          <w:p w14:paraId="1A348C99" w14:textId="77777777" w:rsidR="004E55E4" w:rsidRPr="001D64F1" w:rsidRDefault="004E55E4" w:rsidP="00357EAE">
            <w:pPr>
              <w:pStyle w:val="Tabletext"/>
              <w:keepNext/>
              <w:keepLines/>
              <w:jc w:val="center"/>
              <w:rPr>
                <w:rFonts w:cs="Calibri"/>
                <w:b/>
                <w:bCs/>
                <w:color w:val="000000"/>
                <w:szCs w:val="20"/>
              </w:rPr>
            </w:pPr>
            <w:r w:rsidRPr="001D64F1">
              <w:rPr>
                <w:b/>
                <w:bCs/>
                <w:color w:val="000000"/>
                <w:szCs w:val="20"/>
              </w:rPr>
              <w:t>0.0%</w:t>
            </w:r>
          </w:p>
        </w:tc>
      </w:tr>
      <w:tr w:rsidR="004E55E4" w:rsidRPr="00C11145" w14:paraId="1F66611D" w14:textId="77777777" w:rsidTr="00357EAE">
        <w:tc>
          <w:tcPr>
            <w:tcW w:w="5000" w:type="pct"/>
            <w:gridSpan w:val="6"/>
            <w:shd w:val="clear" w:color="auto" w:fill="D9D9D9" w:themeFill="background1" w:themeFillShade="D9"/>
            <w:vAlign w:val="center"/>
          </w:tcPr>
          <w:p w14:paraId="12AA03F4" w14:textId="77777777" w:rsidR="004E55E4" w:rsidRPr="001D64F1" w:rsidRDefault="004E55E4" w:rsidP="00357EAE">
            <w:pPr>
              <w:pStyle w:val="Tabletext"/>
              <w:keepNext/>
              <w:keepLines/>
              <w:rPr>
                <w:b/>
                <w:bCs/>
                <w:szCs w:val="20"/>
              </w:rPr>
            </w:pPr>
            <w:r w:rsidRPr="001D64F1">
              <w:rPr>
                <w:b/>
                <w:bCs/>
                <w:color w:val="000000"/>
                <w:szCs w:val="20"/>
              </w:rPr>
              <w:t>Mortality: base case = no background mortality applied to curves, average age 67.9 years</w:t>
            </w:r>
          </w:p>
        </w:tc>
      </w:tr>
      <w:tr w:rsidR="00853660" w:rsidRPr="00C11145" w14:paraId="43A05C9B" w14:textId="77777777" w:rsidTr="008856C6">
        <w:tc>
          <w:tcPr>
            <w:tcW w:w="313" w:type="pct"/>
            <w:vAlign w:val="center"/>
          </w:tcPr>
          <w:p w14:paraId="35A8553A" w14:textId="77777777" w:rsidR="00853660" w:rsidRPr="001D64F1" w:rsidRDefault="00853660" w:rsidP="00853660">
            <w:pPr>
              <w:pStyle w:val="Tabletext"/>
              <w:keepNext/>
              <w:keepLines/>
              <w:rPr>
                <w:szCs w:val="20"/>
              </w:rPr>
            </w:pPr>
            <w:r w:rsidRPr="001D64F1">
              <w:rPr>
                <w:color w:val="000000"/>
                <w:szCs w:val="20"/>
              </w:rPr>
              <w:t>1</w:t>
            </w:r>
          </w:p>
        </w:tc>
        <w:tc>
          <w:tcPr>
            <w:tcW w:w="1964" w:type="pct"/>
            <w:vAlign w:val="center"/>
          </w:tcPr>
          <w:p w14:paraId="15DA54AF" w14:textId="4C8E2D87" w:rsidR="00853660" w:rsidRPr="001D64F1" w:rsidRDefault="00853660" w:rsidP="00853660">
            <w:pPr>
              <w:pStyle w:val="Tabletext"/>
              <w:keepNext/>
              <w:keepLines/>
              <w:rPr>
                <w:szCs w:val="20"/>
              </w:rPr>
            </w:pPr>
            <w:r w:rsidRPr="001D64F1">
              <w:rPr>
                <w:color w:val="000000"/>
                <w:szCs w:val="20"/>
              </w:rPr>
              <w:t xml:space="preserve">Incorporate background mortality </w:t>
            </w:r>
          </w:p>
        </w:tc>
        <w:tc>
          <w:tcPr>
            <w:tcW w:w="550" w:type="pct"/>
            <w:vAlign w:val="center"/>
          </w:tcPr>
          <w:p w14:paraId="73EF8368" w14:textId="662B89ED" w:rsidR="00853660" w:rsidRPr="00E36DB9" w:rsidRDefault="00853660" w:rsidP="00853660">
            <w:pPr>
              <w:pStyle w:val="Tabletext"/>
              <w:keepNext/>
              <w:keepLines/>
              <w:jc w:val="center"/>
              <w:rPr>
                <w:szCs w:val="20"/>
                <w:highlight w:val="darkGray"/>
              </w:rPr>
            </w:pPr>
            <w:r w:rsidRPr="004C53B1">
              <w:rPr>
                <w:rFonts w:hint="eastAsia"/>
                <w:color w:val="000000"/>
                <w:w w:val="22"/>
                <w:szCs w:val="20"/>
                <w:shd w:val="solid" w:color="000000" w:fill="000000"/>
                <w:fitText w:val="100" w:id="-761019901"/>
                <w14:textFill>
                  <w14:solidFill>
                    <w14:srgbClr w14:val="000000">
                      <w14:alpha w14:val="100000"/>
                    </w14:srgbClr>
                  </w14:solidFill>
                </w14:textFill>
              </w:rPr>
              <w:t xml:space="preserve">　</w:t>
            </w:r>
            <w:r w:rsidRPr="004C53B1">
              <w:rPr>
                <w:color w:val="000000"/>
                <w:w w:val="22"/>
                <w:szCs w:val="20"/>
                <w:shd w:val="solid" w:color="000000" w:fill="000000"/>
                <w:fitText w:val="100" w:id="-761019901"/>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901"/>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469111B6" w14:textId="1BD0F903" w:rsidR="00853660" w:rsidRPr="001D64F1" w:rsidRDefault="00853660" w:rsidP="00853660">
            <w:pPr>
              <w:pStyle w:val="Tabletext"/>
              <w:keepNext/>
              <w:keepLines/>
              <w:jc w:val="center"/>
              <w:rPr>
                <w:szCs w:val="20"/>
              </w:rPr>
            </w:pPr>
            <w:r w:rsidRPr="00561A30">
              <w:rPr>
                <w:rFonts w:hint="eastAsia"/>
                <w:b/>
                <w:bCs/>
                <w:color w:val="000000"/>
                <w:w w:val="31"/>
                <w:szCs w:val="20"/>
                <w:shd w:val="solid" w:color="000000" w:fill="000000"/>
                <w14:textFill>
                  <w14:solidFill>
                    <w14:srgbClr w14:val="000000">
                      <w14:alpha w14:val="100000"/>
                    </w14:srgbClr>
                  </w14:solidFill>
                </w14:textFill>
              </w:rPr>
              <w:t xml:space="preserve">　</w:t>
            </w:r>
            <w:r w:rsidRPr="00561A30">
              <w:rPr>
                <w:b/>
                <w:bCs/>
                <w:color w:val="000000"/>
                <w:w w:val="31"/>
                <w:szCs w:val="20"/>
                <w:shd w:val="solid" w:color="000000" w:fill="000000"/>
                <w14:textFill>
                  <w14:solidFill>
                    <w14:srgbClr w14:val="000000">
                      <w14:alpha w14:val="100000"/>
                    </w14:srgbClr>
                  </w14:solidFill>
                </w14:textFill>
              </w:rPr>
              <w:t>|</w:t>
            </w:r>
            <w:r w:rsidRPr="00561A30">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561A30">
              <w:rPr>
                <w:b/>
                <w:bCs/>
                <w:color w:val="000000"/>
                <w:szCs w:val="20"/>
              </w:rPr>
              <w:t>%</w:t>
            </w:r>
          </w:p>
        </w:tc>
        <w:tc>
          <w:tcPr>
            <w:tcW w:w="865" w:type="pct"/>
            <w:tcBorders>
              <w:bottom w:val="single" w:sz="4" w:space="0" w:color="auto"/>
            </w:tcBorders>
            <w:shd w:val="solid" w:color="000000" w:fill="000000"/>
            <w:vAlign w:val="center"/>
          </w:tcPr>
          <w:p w14:paraId="4661405E" w14:textId="4B328668" w:rsidR="00853660" w:rsidRPr="00E36DB9" w:rsidRDefault="00853660" w:rsidP="00853660">
            <w:pPr>
              <w:pStyle w:val="Tabletext"/>
              <w:keepNext/>
              <w:keepLines/>
              <w:jc w:val="center"/>
              <w:rPr>
                <w:rFonts w:cs="Calibri"/>
                <w:color w:val="000000"/>
                <w:szCs w:val="20"/>
                <w:highlight w:val="darkGray"/>
              </w:rPr>
            </w:pPr>
            <w:r w:rsidRPr="004C53B1">
              <w:rPr>
                <w:color w:val="000000"/>
                <w:szCs w:val="20"/>
                <w14:textFill>
                  <w14:solidFill>
                    <w14:srgbClr w14:val="000000">
                      <w14:alpha w14:val="100000"/>
                    </w14:srgbClr>
                  </w14:solidFill>
                </w14:textFill>
              </w:rPr>
              <w:t>|</w:t>
            </w:r>
          </w:p>
        </w:tc>
        <w:tc>
          <w:tcPr>
            <w:tcW w:w="679" w:type="pct"/>
            <w:vAlign w:val="center"/>
          </w:tcPr>
          <w:p w14:paraId="1BEF3A68" w14:textId="215B783A" w:rsidR="00853660" w:rsidRPr="001D64F1" w:rsidRDefault="00853660" w:rsidP="00853660">
            <w:pPr>
              <w:pStyle w:val="Tabletext"/>
              <w:keepNext/>
              <w:keepLines/>
              <w:jc w:val="center"/>
              <w:rPr>
                <w:rFonts w:cs="Calibri"/>
                <w:color w:val="000000"/>
                <w:szCs w:val="20"/>
              </w:rPr>
            </w:pPr>
            <w:r w:rsidRPr="001D64F1">
              <w:rPr>
                <w:color w:val="000000"/>
                <w:szCs w:val="20"/>
              </w:rPr>
              <w:t>-</w:t>
            </w: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r>
      <w:tr w:rsidR="00853660" w:rsidRPr="00C11145" w14:paraId="548EC1E6" w14:textId="77777777" w:rsidTr="00672959">
        <w:tc>
          <w:tcPr>
            <w:tcW w:w="313" w:type="pct"/>
            <w:vAlign w:val="center"/>
          </w:tcPr>
          <w:p w14:paraId="7A0D8251" w14:textId="3E0B75E4" w:rsidR="00853660" w:rsidRPr="001D64F1" w:rsidRDefault="00853660" w:rsidP="00853660">
            <w:pPr>
              <w:pStyle w:val="Tabletext"/>
              <w:keepNext/>
              <w:keepLines/>
              <w:rPr>
                <w:szCs w:val="20"/>
              </w:rPr>
            </w:pPr>
            <w:r w:rsidRPr="001D64F1">
              <w:rPr>
                <w:color w:val="000000"/>
                <w:szCs w:val="20"/>
              </w:rPr>
              <w:t>2</w:t>
            </w:r>
          </w:p>
        </w:tc>
        <w:tc>
          <w:tcPr>
            <w:tcW w:w="1964" w:type="pct"/>
            <w:vAlign w:val="center"/>
          </w:tcPr>
          <w:p w14:paraId="734D5FB9" w14:textId="77777777" w:rsidR="00853660" w:rsidRPr="001D64F1" w:rsidRDefault="00853660" w:rsidP="00853660">
            <w:pPr>
              <w:pStyle w:val="Tabletext"/>
              <w:keepNext/>
              <w:keepLines/>
              <w:rPr>
                <w:szCs w:val="20"/>
              </w:rPr>
            </w:pPr>
            <w:r w:rsidRPr="001D64F1">
              <w:rPr>
                <w:color w:val="000000"/>
                <w:szCs w:val="20"/>
              </w:rPr>
              <w:t>Increase age in model to 75.3 years</w:t>
            </w:r>
          </w:p>
        </w:tc>
        <w:tc>
          <w:tcPr>
            <w:tcW w:w="550" w:type="pct"/>
            <w:vAlign w:val="center"/>
          </w:tcPr>
          <w:p w14:paraId="7A5E379C" w14:textId="6EF2F789" w:rsidR="00853660" w:rsidRPr="00E36DB9" w:rsidRDefault="00853660" w:rsidP="00853660">
            <w:pPr>
              <w:pStyle w:val="Tabletext"/>
              <w:keepNext/>
              <w:keepLines/>
              <w:jc w:val="center"/>
              <w:rPr>
                <w:szCs w:val="20"/>
                <w:highlight w:val="darkGray"/>
              </w:rPr>
            </w:pPr>
            <w:r w:rsidRPr="004C53B1">
              <w:rPr>
                <w:rFonts w:hint="eastAsia"/>
                <w:color w:val="000000"/>
                <w:w w:val="22"/>
                <w:szCs w:val="20"/>
                <w:shd w:val="solid" w:color="000000" w:fill="000000"/>
                <w:fitText w:val="100" w:id="-761019900"/>
                <w14:textFill>
                  <w14:solidFill>
                    <w14:srgbClr w14:val="000000">
                      <w14:alpha w14:val="100000"/>
                    </w14:srgbClr>
                  </w14:solidFill>
                </w14:textFill>
              </w:rPr>
              <w:t xml:space="preserve">　</w:t>
            </w:r>
            <w:r w:rsidRPr="004C53B1">
              <w:rPr>
                <w:color w:val="000000"/>
                <w:w w:val="22"/>
                <w:szCs w:val="20"/>
                <w:shd w:val="solid" w:color="000000" w:fill="000000"/>
                <w:fitText w:val="100" w:id="-761019900"/>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900"/>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0B88622C" w14:textId="47CC42FA" w:rsidR="00853660" w:rsidRPr="001D64F1" w:rsidRDefault="00853660" w:rsidP="00853660">
            <w:pPr>
              <w:pStyle w:val="Tabletext"/>
              <w:keepNext/>
              <w:keepLines/>
              <w:jc w:val="center"/>
              <w:rPr>
                <w:szCs w:val="20"/>
              </w:rPr>
            </w:pPr>
            <w:r w:rsidRPr="00561A30">
              <w:rPr>
                <w:rFonts w:hint="eastAsia"/>
                <w:b/>
                <w:bCs/>
                <w:color w:val="000000"/>
                <w:w w:val="31"/>
                <w:szCs w:val="20"/>
                <w:shd w:val="solid" w:color="000000" w:fill="000000"/>
                <w14:textFill>
                  <w14:solidFill>
                    <w14:srgbClr w14:val="000000">
                      <w14:alpha w14:val="100000"/>
                    </w14:srgbClr>
                  </w14:solidFill>
                </w14:textFill>
              </w:rPr>
              <w:t xml:space="preserve">　</w:t>
            </w:r>
            <w:r w:rsidRPr="00561A30">
              <w:rPr>
                <w:b/>
                <w:bCs/>
                <w:color w:val="000000"/>
                <w:w w:val="31"/>
                <w:szCs w:val="20"/>
                <w:shd w:val="solid" w:color="000000" w:fill="000000"/>
                <w14:textFill>
                  <w14:solidFill>
                    <w14:srgbClr w14:val="000000">
                      <w14:alpha w14:val="100000"/>
                    </w14:srgbClr>
                  </w14:solidFill>
                </w14:textFill>
              </w:rPr>
              <w:t>|</w:t>
            </w:r>
            <w:r w:rsidRPr="00561A30">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561A30">
              <w:rPr>
                <w:b/>
                <w:bCs/>
                <w:color w:val="000000"/>
                <w:szCs w:val="20"/>
              </w:rPr>
              <w:t>%</w:t>
            </w:r>
          </w:p>
        </w:tc>
        <w:tc>
          <w:tcPr>
            <w:tcW w:w="865" w:type="pct"/>
            <w:tcBorders>
              <w:bottom w:val="single" w:sz="4" w:space="0" w:color="auto"/>
            </w:tcBorders>
            <w:shd w:val="solid" w:color="000000" w:fill="000000"/>
            <w:vAlign w:val="center"/>
          </w:tcPr>
          <w:p w14:paraId="0A2AE743" w14:textId="0FC8EE3F" w:rsidR="00853660" w:rsidRPr="00E36DB9" w:rsidRDefault="00853660" w:rsidP="00853660">
            <w:pPr>
              <w:pStyle w:val="Tabletext"/>
              <w:keepNext/>
              <w:keepLines/>
              <w:jc w:val="center"/>
              <w:rPr>
                <w:rFonts w:cs="Calibri"/>
                <w:color w:val="000000"/>
                <w:szCs w:val="20"/>
                <w:highlight w:val="darkGray"/>
              </w:rPr>
            </w:pPr>
            <w:r w:rsidRPr="004C53B1">
              <w:rPr>
                <w:color w:val="000000"/>
                <w:szCs w:val="20"/>
                <w14:textFill>
                  <w14:solidFill>
                    <w14:srgbClr w14:val="000000">
                      <w14:alpha w14:val="100000"/>
                    </w14:srgbClr>
                  </w14:solidFill>
                </w14:textFill>
              </w:rPr>
              <w:t>|</w:t>
            </w:r>
          </w:p>
        </w:tc>
        <w:tc>
          <w:tcPr>
            <w:tcW w:w="679" w:type="pct"/>
          </w:tcPr>
          <w:p w14:paraId="2AF6AE70" w14:textId="641286A2" w:rsidR="00853660" w:rsidRPr="001D64F1" w:rsidRDefault="00853660" w:rsidP="00853660">
            <w:pPr>
              <w:pStyle w:val="Tabletext"/>
              <w:keepNext/>
              <w:keepLines/>
              <w:jc w:val="center"/>
              <w:rPr>
                <w:rFonts w:cs="Calibri"/>
                <w:color w:val="000000"/>
                <w:szCs w:val="20"/>
              </w:rPr>
            </w:pPr>
            <w:r w:rsidRPr="00954A3F">
              <w:rPr>
                <w:rFonts w:hint="eastAsia"/>
                <w:b/>
                <w:bCs/>
                <w:color w:val="000000"/>
                <w:w w:val="31"/>
                <w:szCs w:val="20"/>
                <w:shd w:val="solid" w:color="000000" w:fill="000000"/>
                <w14:textFill>
                  <w14:solidFill>
                    <w14:srgbClr w14:val="000000">
                      <w14:alpha w14:val="100000"/>
                    </w14:srgbClr>
                  </w14:solidFill>
                </w14:textFill>
              </w:rPr>
              <w:t xml:space="preserve">　</w:t>
            </w:r>
            <w:r w:rsidRPr="00954A3F">
              <w:rPr>
                <w:b/>
                <w:bCs/>
                <w:color w:val="000000"/>
                <w:w w:val="31"/>
                <w:szCs w:val="20"/>
                <w:shd w:val="solid" w:color="000000" w:fill="000000"/>
                <w14:textFill>
                  <w14:solidFill>
                    <w14:srgbClr w14:val="000000">
                      <w14:alpha w14:val="100000"/>
                    </w14:srgbClr>
                  </w14:solidFill>
                </w14:textFill>
              </w:rPr>
              <w:t>|</w:t>
            </w:r>
            <w:r w:rsidRPr="00954A3F">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954A3F">
              <w:rPr>
                <w:b/>
                <w:bCs/>
                <w:color w:val="000000"/>
                <w:szCs w:val="20"/>
              </w:rPr>
              <w:t>%</w:t>
            </w:r>
          </w:p>
        </w:tc>
      </w:tr>
      <w:tr w:rsidR="00853660" w:rsidRPr="00C11145" w14:paraId="17A08D60" w14:textId="77777777" w:rsidTr="00672959">
        <w:tc>
          <w:tcPr>
            <w:tcW w:w="313" w:type="pct"/>
            <w:vAlign w:val="center"/>
          </w:tcPr>
          <w:p w14:paraId="0A08F8CB" w14:textId="3574115C" w:rsidR="00853660" w:rsidRPr="001D64F1" w:rsidRDefault="00853660" w:rsidP="00853660">
            <w:pPr>
              <w:pStyle w:val="Tabletext"/>
              <w:keepNext/>
              <w:keepLines/>
              <w:rPr>
                <w:color w:val="000000"/>
                <w:szCs w:val="20"/>
              </w:rPr>
            </w:pPr>
            <w:r w:rsidRPr="001D64F1">
              <w:rPr>
                <w:color w:val="000000"/>
                <w:szCs w:val="20"/>
              </w:rPr>
              <w:t>2a</w:t>
            </w:r>
          </w:p>
        </w:tc>
        <w:tc>
          <w:tcPr>
            <w:tcW w:w="1964" w:type="pct"/>
            <w:vAlign w:val="center"/>
          </w:tcPr>
          <w:p w14:paraId="153D4529" w14:textId="085ED5FB" w:rsidR="00853660" w:rsidRPr="001D64F1" w:rsidRDefault="00853660" w:rsidP="00853660">
            <w:pPr>
              <w:pStyle w:val="Tabletext"/>
              <w:keepNext/>
              <w:keepLines/>
              <w:rPr>
                <w:color w:val="000000"/>
                <w:szCs w:val="20"/>
                <w:vertAlign w:val="superscript"/>
              </w:rPr>
            </w:pPr>
            <w:r w:rsidRPr="001D64F1">
              <w:rPr>
                <w:color w:val="000000"/>
                <w:szCs w:val="20"/>
              </w:rPr>
              <w:t xml:space="preserve">Increase age in model to 72 years </w:t>
            </w:r>
            <w:r w:rsidRPr="001D64F1">
              <w:rPr>
                <w:color w:val="000000"/>
                <w:szCs w:val="20"/>
                <w:vertAlign w:val="superscript"/>
              </w:rPr>
              <w:t>a</w:t>
            </w:r>
          </w:p>
        </w:tc>
        <w:tc>
          <w:tcPr>
            <w:tcW w:w="550" w:type="pct"/>
            <w:vAlign w:val="center"/>
          </w:tcPr>
          <w:p w14:paraId="6A92FF52" w14:textId="530B796D" w:rsidR="00853660" w:rsidRPr="00E36DB9" w:rsidRDefault="00853660" w:rsidP="00853660">
            <w:pPr>
              <w:pStyle w:val="Tabletext"/>
              <w:keepNext/>
              <w:keepLines/>
              <w:jc w:val="center"/>
              <w:rPr>
                <w:color w:val="000000"/>
                <w:szCs w:val="20"/>
                <w:highlight w:val="darkGray"/>
              </w:rPr>
            </w:pPr>
            <w:r w:rsidRPr="004C53B1">
              <w:rPr>
                <w:rFonts w:hint="eastAsia"/>
                <w:color w:val="000000"/>
                <w:w w:val="22"/>
                <w:szCs w:val="20"/>
                <w:shd w:val="solid" w:color="000000" w:fill="000000"/>
                <w:fitText w:val="100" w:id="-761019899"/>
                <w14:textFill>
                  <w14:solidFill>
                    <w14:srgbClr w14:val="000000">
                      <w14:alpha w14:val="100000"/>
                    </w14:srgbClr>
                  </w14:solidFill>
                </w14:textFill>
              </w:rPr>
              <w:t xml:space="preserve">　</w:t>
            </w:r>
            <w:r w:rsidRPr="004C53B1">
              <w:rPr>
                <w:color w:val="000000"/>
                <w:w w:val="22"/>
                <w:szCs w:val="20"/>
                <w:shd w:val="solid" w:color="000000" w:fill="000000"/>
                <w:fitText w:val="100" w:id="-761019899"/>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899"/>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2459ED4B" w14:textId="60471178" w:rsidR="00853660" w:rsidRPr="001D64F1" w:rsidRDefault="00853660" w:rsidP="00853660">
            <w:pPr>
              <w:pStyle w:val="Tabletext"/>
              <w:keepNext/>
              <w:keepLines/>
              <w:jc w:val="center"/>
              <w:rPr>
                <w:color w:val="000000"/>
                <w:szCs w:val="20"/>
              </w:rPr>
            </w:pPr>
            <w:r w:rsidRPr="00561A30">
              <w:rPr>
                <w:rFonts w:hint="eastAsia"/>
                <w:b/>
                <w:bCs/>
                <w:color w:val="000000"/>
                <w:w w:val="31"/>
                <w:szCs w:val="20"/>
                <w:shd w:val="solid" w:color="000000" w:fill="000000"/>
                <w14:textFill>
                  <w14:solidFill>
                    <w14:srgbClr w14:val="000000">
                      <w14:alpha w14:val="100000"/>
                    </w14:srgbClr>
                  </w14:solidFill>
                </w14:textFill>
              </w:rPr>
              <w:t xml:space="preserve">　</w:t>
            </w:r>
            <w:r w:rsidRPr="00561A30">
              <w:rPr>
                <w:b/>
                <w:bCs/>
                <w:color w:val="000000"/>
                <w:w w:val="31"/>
                <w:szCs w:val="20"/>
                <w:shd w:val="solid" w:color="000000" w:fill="000000"/>
                <w14:textFill>
                  <w14:solidFill>
                    <w14:srgbClr w14:val="000000">
                      <w14:alpha w14:val="100000"/>
                    </w14:srgbClr>
                  </w14:solidFill>
                </w14:textFill>
              </w:rPr>
              <w:t>|</w:t>
            </w:r>
            <w:r w:rsidRPr="00561A30">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561A30">
              <w:rPr>
                <w:b/>
                <w:bCs/>
                <w:color w:val="000000"/>
                <w:szCs w:val="20"/>
              </w:rPr>
              <w:t>%</w:t>
            </w:r>
          </w:p>
        </w:tc>
        <w:tc>
          <w:tcPr>
            <w:tcW w:w="865" w:type="pct"/>
            <w:shd w:val="solid" w:color="000000" w:fill="000000"/>
            <w:vAlign w:val="center"/>
          </w:tcPr>
          <w:p w14:paraId="28F11D6E" w14:textId="468102FC" w:rsidR="00853660" w:rsidRPr="00E36DB9" w:rsidRDefault="00853660" w:rsidP="00853660">
            <w:pPr>
              <w:pStyle w:val="Tabletext"/>
              <w:keepNext/>
              <w:keepLines/>
              <w:jc w:val="center"/>
              <w:rPr>
                <w:color w:val="000000"/>
                <w:szCs w:val="20"/>
                <w:highlight w:val="darkGray"/>
              </w:rPr>
            </w:pPr>
            <w:r w:rsidRPr="004C53B1">
              <w:rPr>
                <w:color w:val="000000"/>
                <w:szCs w:val="20"/>
                <w14:textFill>
                  <w14:solidFill>
                    <w14:srgbClr w14:val="000000">
                      <w14:alpha w14:val="100000"/>
                    </w14:srgbClr>
                  </w14:solidFill>
                </w14:textFill>
              </w:rPr>
              <w:t>|</w:t>
            </w:r>
          </w:p>
        </w:tc>
        <w:tc>
          <w:tcPr>
            <w:tcW w:w="679" w:type="pct"/>
          </w:tcPr>
          <w:p w14:paraId="4502CDDE" w14:textId="3472A740" w:rsidR="00853660" w:rsidRPr="001D64F1" w:rsidRDefault="00853660" w:rsidP="00853660">
            <w:pPr>
              <w:pStyle w:val="Tabletext"/>
              <w:keepNext/>
              <w:keepLines/>
              <w:jc w:val="center"/>
              <w:rPr>
                <w:color w:val="000000"/>
                <w:szCs w:val="20"/>
              </w:rPr>
            </w:pPr>
            <w:r w:rsidRPr="00954A3F">
              <w:rPr>
                <w:rFonts w:hint="eastAsia"/>
                <w:b/>
                <w:bCs/>
                <w:color w:val="000000"/>
                <w:w w:val="31"/>
                <w:szCs w:val="20"/>
                <w:shd w:val="solid" w:color="000000" w:fill="000000"/>
                <w14:textFill>
                  <w14:solidFill>
                    <w14:srgbClr w14:val="000000">
                      <w14:alpha w14:val="100000"/>
                    </w14:srgbClr>
                  </w14:solidFill>
                </w14:textFill>
              </w:rPr>
              <w:t xml:space="preserve">　</w:t>
            </w:r>
            <w:r w:rsidRPr="00954A3F">
              <w:rPr>
                <w:b/>
                <w:bCs/>
                <w:color w:val="000000"/>
                <w:w w:val="31"/>
                <w:szCs w:val="20"/>
                <w:shd w:val="solid" w:color="000000" w:fill="000000"/>
                <w14:textFill>
                  <w14:solidFill>
                    <w14:srgbClr w14:val="000000">
                      <w14:alpha w14:val="100000"/>
                    </w14:srgbClr>
                  </w14:solidFill>
                </w14:textFill>
              </w:rPr>
              <w:t>|</w:t>
            </w:r>
            <w:r w:rsidRPr="00954A3F">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954A3F">
              <w:rPr>
                <w:b/>
                <w:bCs/>
                <w:color w:val="000000"/>
                <w:szCs w:val="20"/>
              </w:rPr>
              <w:t>%</w:t>
            </w:r>
          </w:p>
        </w:tc>
      </w:tr>
      <w:tr w:rsidR="00F776FF" w:rsidRPr="00C11145" w14:paraId="48804EE4" w14:textId="77777777" w:rsidTr="00357EAE">
        <w:tc>
          <w:tcPr>
            <w:tcW w:w="5000" w:type="pct"/>
            <w:gridSpan w:val="6"/>
            <w:shd w:val="clear" w:color="auto" w:fill="D9D9D9" w:themeFill="background1" w:themeFillShade="D9"/>
            <w:vAlign w:val="center"/>
          </w:tcPr>
          <w:p w14:paraId="03B16BC6" w14:textId="2BE50015" w:rsidR="00F776FF" w:rsidRPr="001D64F1" w:rsidRDefault="00F776FF" w:rsidP="00F776FF">
            <w:pPr>
              <w:pStyle w:val="Tabletext"/>
              <w:keepNext/>
              <w:keepLines/>
              <w:rPr>
                <w:rFonts w:cs="Calibri"/>
                <w:b/>
                <w:bCs/>
                <w:color w:val="000000"/>
                <w:szCs w:val="20"/>
              </w:rPr>
            </w:pPr>
            <w:r w:rsidRPr="001D64F1">
              <w:rPr>
                <w:b/>
                <w:bCs/>
                <w:color w:val="000000"/>
                <w:szCs w:val="20"/>
              </w:rPr>
              <w:t xml:space="preserve">Use of KM data: base case 17.2 months for OS </w:t>
            </w:r>
            <w:r w:rsidRPr="001D64F1">
              <w:rPr>
                <w:b/>
                <w:color w:val="000000"/>
                <w:szCs w:val="20"/>
              </w:rPr>
              <w:t>and PFS</w:t>
            </w:r>
          </w:p>
        </w:tc>
      </w:tr>
      <w:tr w:rsidR="00853660" w:rsidRPr="00C11145" w14:paraId="43D0D664" w14:textId="77777777" w:rsidTr="007A4595">
        <w:tc>
          <w:tcPr>
            <w:tcW w:w="313" w:type="pct"/>
            <w:vAlign w:val="center"/>
          </w:tcPr>
          <w:p w14:paraId="7D5F50FF" w14:textId="77777777" w:rsidR="00853660" w:rsidRPr="001D64F1" w:rsidRDefault="00853660" w:rsidP="00853660">
            <w:pPr>
              <w:pStyle w:val="Tabletext"/>
              <w:keepNext/>
              <w:keepLines/>
              <w:rPr>
                <w:szCs w:val="20"/>
              </w:rPr>
            </w:pPr>
            <w:r w:rsidRPr="001D64F1">
              <w:rPr>
                <w:color w:val="000000"/>
                <w:szCs w:val="20"/>
              </w:rPr>
              <w:t>3</w:t>
            </w:r>
          </w:p>
        </w:tc>
        <w:tc>
          <w:tcPr>
            <w:tcW w:w="1964" w:type="pct"/>
            <w:vAlign w:val="center"/>
          </w:tcPr>
          <w:p w14:paraId="4CB3547A" w14:textId="77777777" w:rsidR="00853660" w:rsidRPr="001D64F1" w:rsidRDefault="00853660" w:rsidP="00853660">
            <w:pPr>
              <w:pStyle w:val="Tabletext"/>
              <w:keepNext/>
              <w:keepLines/>
              <w:rPr>
                <w:szCs w:val="20"/>
              </w:rPr>
            </w:pPr>
            <w:r w:rsidRPr="001D64F1">
              <w:rPr>
                <w:color w:val="000000"/>
                <w:szCs w:val="20"/>
              </w:rPr>
              <w:t xml:space="preserve">Use KM data until 10% remaining at risk (EV+PEM = 23 months; </w:t>
            </w:r>
            <w:proofErr w:type="spellStart"/>
            <w:r w:rsidRPr="001D64F1">
              <w:rPr>
                <w:color w:val="000000"/>
                <w:szCs w:val="20"/>
              </w:rPr>
              <w:t>Plat+Gem</w:t>
            </w:r>
            <w:proofErr w:type="spellEnd"/>
            <w:r w:rsidRPr="001D64F1">
              <w:rPr>
                <w:color w:val="000000"/>
                <w:szCs w:val="20"/>
              </w:rPr>
              <w:t xml:space="preserve"> = 21 months)</w:t>
            </w:r>
          </w:p>
        </w:tc>
        <w:tc>
          <w:tcPr>
            <w:tcW w:w="550" w:type="pct"/>
            <w:vAlign w:val="center"/>
          </w:tcPr>
          <w:p w14:paraId="16BCA051" w14:textId="1C9D0A74" w:rsidR="00853660" w:rsidRPr="00E36DB9" w:rsidRDefault="00853660" w:rsidP="00853660">
            <w:pPr>
              <w:pStyle w:val="Tabletext"/>
              <w:keepNext/>
              <w:keepLines/>
              <w:jc w:val="center"/>
              <w:rPr>
                <w:szCs w:val="20"/>
                <w:highlight w:val="darkGray"/>
              </w:rPr>
            </w:pPr>
            <w:r w:rsidRPr="004C53B1">
              <w:rPr>
                <w:rFonts w:hint="eastAsia"/>
                <w:color w:val="000000"/>
                <w:w w:val="22"/>
                <w:szCs w:val="20"/>
                <w:shd w:val="solid" w:color="000000" w:fill="000000"/>
                <w:fitText w:val="100" w:id="-761019898"/>
                <w14:textFill>
                  <w14:solidFill>
                    <w14:srgbClr w14:val="000000">
                      <w14:alpha w14:val="100000"/>
                    </w14:srgbClr>
                  </w14:solidFill>
                </w14:textFill>
              </w:rPr>
              <w:t xml:space="preserve">　</w:t>
            </w:r>
            <w:r w:rsidRPr="004C53B1">
              <w:rPr>
                <w:color w:val="000000"/>
                <w:w w:val="22"/>
                <w:szCs w:val="20"/>
                <w:shd w:val="solid" w:color="000000" w:fill="000000"/>
                <w:fitText w:val="100" w:id="-761019898"/>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898"/>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5D5F0EA7" w14:textId="293BB208" w:rsidR="00853660" w:rsidRPr="001D64F1" w:rsidRDefault="00853660" w:rsidP="00853660">
            <w:pPr>
              <w:pStyle w:val="Tabletext"/>
              <w:keepNext/>
              <w:keepLines/>
              <w:jc w:val="center"/>
              <w:rPr>
                <w:szCs w:val="20"/>
              </w:rPr>
            </w:pPr>
            <w:r w:rsidRPr="004B70BF">
              <w:rPr>
                <w:rFonts w:hint="eastAsia"/>
                <w:b/>
                <w:bCs/>
                <w:color w:val="000000"/>
                <w:w w:val="31"/>
                <w:szCs w:val="20"/>
                <w:shd w:val="solid" w:color="000000" w:fill="000000"/>
                <w14:textFill>
                  <w14:solidFill>
                    <w14:srgbClr w14:val="000000">
                      <w14:alpha w14:val="100000"/>
                    </w14:srgbClr>
                  </w14:solidFill>
                </w14:textFill>
              </w:rPr>
              <w:t xml:space="preserve">　</w:t>
            </w:r>
            <w:r w:rsidRPr="004B70BF">
              <w:rPr>
                <w:b/>
                <w:bCs/>
                <w:color w:val="000000"/>
                <w:w w:val="31"/>
                <w:szCs w:val="20"/>
                <w:shd w:val="solid" w:color="000000" w:fill="000000"/>
                <w14:textFill>
                  <w14:solidFill>
                    <w14:srgbClr w14:val="000000">
                      <w14:alpha w14:val="100000"/>
                    </w14:srgbClr>
                  </w14:solidFill>
                </w14:textFill>
              </w:rPr>
              <w:t>|</w:t>
            </w:r>
            <w:r w:rsidRPr="004B70BF">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70BF">
              <w:rPr>
                <w:b/>
                <w:bCs/>
                <w:color w:val="000000"/>
                <w:szCs w:val="20"/>
              </w:rPr>
              <w:t>%</w:t>
            </w:r>
          </w:p>
        </w:tc>
        <w:tc>
          <w:tcPr>
            <w:tcW w:w="865" w:type="pct"/>
            <w:tcBorders>
              <w:bottom w:val="single" w:sz="4" w:space="0" w:color="auto"/>
            </w:tcBorders>
            <w:shd w:val="solid" w:color="000000" w:fill="000000"/>
            <w:vAlign w:val="center"/>
          </w:tcPr>
          <w:p w14:paraId="22C20498" w14:textId="3CB5BEFC" w:rsidR="00853660" w:rsidRPr="00E36DB9" w:rsidRDefault="00853660" w:rsidP="00853660">
            <w:pPr>
              <w:pStyle w:val="Tabletext"/>
              <w:keepNext/>
              <w:keepLines/>
              <w:jc w:val="center"/>
              <w:rPr>
                <w:rFonts w:cs="Calibri"/>
                <w:color w:val="000000"/>
                <w:szCs w:val="20"/>
                <w:highlight w:val="darkGray"/>
              </w:rPr>
            </w:pPr>
            <w:r w:rsidRPr="004C53B1">
              <w:rPr>
                <w:color w:val="000000"/>
                <w:szCs w:val="20"/>
                <w14:textFill>
                  <w14:solidFill>
                    <w14:srgbClr w14:val="000000">
                      <w14:alpha w14:val="100000"/>
                    </w14:srgbClr>
                  </w14:solidFill>
                </w14:textFill>
              </w:rPr>
              <w:t>|</w:t>
            </w:r>
          </w:p>
        </w:tc>
        <w:tc>
          <w:tcPr>
            <w:tcW w:w="679" w:type="pct"/>
          </w:tcPr>
          <w:p w14:paraId="08371297" w14:textId="12EF4D76" w:rsidR="00853660" w:rsidRPr="001D64F1" w:rsidRDefault="00853660" w:rsidP="00853660">
            <w:pPr>
              <w:pStyle w:val="Tabletext"/>
              <w:keepNext/>
              <w:keepLines/>
              <w:jc w:val="center"/>
              <w:rPr>
                <w:rFonts w:cs="Calibri"/>
                <w:color w:val="000000"/>
                <w:szCs w:val="20"/>
              </w:rPr>
            </w:pPr>
            <w:r w:rsidRPr="00231ACB">
              <w:rPr>
                <w:color w:val="000000"/>
                <w:szCs w:val="20"/>
              </w:rPr>
              <w:t>-</w:t>
            </w:r>
            <w:r w:rsidRPr="00231ACB">
              <w:rPr>
                <w:rFonts w:hint="eastAsia"/>
                <w:b/>
                <w:bCs/>
                <w:color w:val="000000"/>
                <w:w w:val="31"/>
                <w:szCs w:val="20"/>
                <w:shd w:val="solid" w:color="000000" w:fill="000000"/>
                <w14:textFill>
                  <w14:solidFill>
                    <w14:srgbClr w14:val="000000">
                      <w14:alpha w14:val="100000"/>
                    </w14:srgbClr>
                  </w14:solidFill>
                </w14:textFill>
              </w:rPr>
              <w:t xml:space="preserve">　</w:t>
            </w:r>
            <w:r w:rsidRPr="00231ACB">
              <w:rPr>
                <w:b/>
                <w:bCs/>
                <w:color w:val="000000"/>
                <w:w w:val="31"/>
                <w:szCs w:val="20"/>
                <w:shd w:val="solid" w:color="000000" w:fill="000000"/>
                <w14:textFill>
                  <w14:solidFill>
                    <w14:srgbClr w14:val="000000">
                      <w14:alpha w14:val="100000"/>
                    </w14:srgbClr>
                  </w14:solidFill>
                </w14:textFill>
              </w:rPr>
              <w:t>|</w:t>
            </w:r>
            <w:r w:rsidRPr="00231ACB">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231ACB">
              <w:rPr>
                <w:b/>
                <w:bCs/>
                <w:color w:val="000000"/>
                <w:szCs w:val="20"/>
              </w:rPr>
              <w:t>%</w:t>
            </w:r>
          </w:p>
        </w:tc>
      </w:tr>
      <w:tr w:rsidR="00853660" w:rsidRPr="00C11145" w14:paraId="6F9AFC96" w14:textId="77777777" w:rsidTr="00A63017">
        <w:tc>
          <w:tcPr>
            <w:tcW w:w="313" w:type="pct"/>
          </w:tcPr>
          <w:p w14:paraId="200F3586" w14:textId="1C00DE64" w:rsidR="00853660" w:rsidRPr="001D64F1" w:rsidRDefault="00853660" w:rsidP="00853660">
            <w:pPr>
              <w:pStyle w:val="Tabletext"/>
              <w:keepNext/>
              <w:keepLines/>
              <w:rPr>
                <w:color w:val="000000"/>
                <w:szCs w:val="20"/>
              </w:rPr>
            </w:pPr>
            <w:r w:rsidRPr="001D64F1">
              <w:t>3a</w:t>
            </w:r>
          </w:p>
        </w:tc>
        <w:tc>
          <w:tcPr>
            <w:tcW w:w="1964" w:type="pct"/>
          </w:tcPr>
          <w:p w14:paraId="028512AD" w14:textId="7625C500" w:rsidR="00853660" w:rsidRPr="001D64F1" w:rsidRDefault="00853660" w:rsidP="00853660">
            <w:pPr>
              <w:pStyle w:val="Tabletext"/>
              <w:keepNext/>
              <w:keepLines/>
              <w:rPr>
                <w:color w:val="000000"/>
                <w:szCs w:val="20"/>
                <w:vertAlign w:val="superscript"/>
              </w:rPr>
            </w:pPr>
            <w:r w:rsidRPr="001D64F1">
              <w:t xml:space="preserve">Use OS KM data up to </w:t>
            </w:r>
            <w:proofErr w:type="spellStart"/>
            <w:r w:rsidRPr="001D64F1">
              <w:t>Gebski</w:t>
            </w:r>
            <w:proofErr w:type="spellEnd"/>
            <w:r w:rsidRPr="001D64F1">
              <w:t xml:space="preserve"> et al 2018 criteria 2 (EV+PEM = 26 months; </w:t>
            </w:r>
            <w:proofErr w:type="spellStart"/>
            <w:r w:rsidRPr="001D64F1">
              <w:t>Plat+Gem</w:t>
            </w:r>
            <w:proofErr w:type="spellEnd"/>
            <w:r w:rsidRPr="001D64F1">
              <w:t xml:space="preserve"> = 28 months) </w:t>
            </w:r>
            <w:r w:rsidRPr="001D64F1">
              <w:rPr>
                <w:vertAlign w:val="superscript"/>
              </w:rPr>
              <w:t>a</w:t>
            </w:r>
          </w:p>
        </w:tc>
        <w:tc>
          <w:tcPr>
            <w:tcW w:w="550" w:type="pct"/>
          </w:tcPr>
          <w:p w14:paraId="462A24C7" w14:textId="011867C1" w:rsidR="00853660" w:rsidRPr="00E36DB9" w:rsidRDefault="00853660" w:rsidP="00853660">
            <w:pPr>
              <w:pStyle w:val="Tabletext"/>
              <w:keepNext/>
              <w:keepLines/>
              <w:jc w:val="center"/>
              <w:rPr>
                <w:color w:val="000000"/>
                <w:szCs w:val="20"/>
                <w:highlight w:val="darkGray"/>
              </w:rPr>
            </w:pPr>
            <w:r w:rsidRPr="004C53B1">
              <w:rPr>
                <w:rFonts w:hint="eastAsia"/>
                <w:color w:val="000000"/>
                <w:w w:val="22"/>
                <w:shd w:val="solid" w:color="000000" w:fill="000000"/>
                <w:fitText w:val="100" w:id="-761019897"/>
                <w14:textFill>
                  <w14:solidFill>
                    <w14:srgbClr w14:val="000000">
                      <w14:alpha w14:val="100000"/>
                    </w14:srgbClr>
                  </w14:solidFill>
                </w14:textFill>
              </w:rPr>
              <w:t xml:space="preserve">　</w:t>
            </w:r>
            <w:r w:rsidRPr="004C53B1">
              <w:rPr>
                <w:color w:val="000000"/>
                <w:w w:val="22"/>
                <w:shd w:val="solid" w:color="000000" w:fill="000000"/>
                <w:fitText w:val="100" w:id="-761019897"/>
                <w14:textFill>
                  <w14:solidFill>
                    <w14:srgbClr w14:val="000000">
                      <w14:alpha w14:val="100000"/>
                    </w14:srgbClr>
                  </w14:solidFill>
                </w14:textFill>
              </w:rPr>
              <w:t>|</w:t>
            </w:r>
            <w:r w:rsidRPr="004C53B1">
              <w:rPr>
                <w:rFonts w:hint="eastAsia"/>
                <w:color w:val="000000"/>
                <w:spacing w:val="3"/>
                <w:w w:val="22"/>
                <w:shd w:val="solid" w:color="000000" w:fill="000000"/>
                <w:fitText w:val="100" w:id="-761019897"/>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59D1CD65" w14:textId="42F32A7A" w:rsidR="00853660" w:rsidRPr="001D64F1" w:rsidRDefault="00853660" w:rsidP="00853660">
            <w:pPr>
              <w:pStyle w:val="Tabletext"/>
              <w:keepNext/>
              <w:keepLines/>
              <w:jc w:val="center"/>
              <w:rPr>
                <w:color w:val="000000"/>
                <w:szCs w:val="20"/>
              </w:rPr>
            </w:pPr>
            <w:r w:rsidRPr="004B70BF">
              <w:rPr>
                <w:rFonts w:hint="eastAsia"/>
                <w:b/>
                <w:bCs/>
                <w:color w:val="000000"/>
                <w:w w:val="31"/>
                <w:szCs w:val="20"/>
                <w:shd w:val="solid" w:color="000000" w:fill="000000"/>
                <w14:textFill>
                  <w14:solidFill>
                    <w14:srgbClr w14:val="000000">
                      <w14:alpha w14:val="100000"/>
                    </w14:srgbClr>
                  </w14:solidFill>
                </w14:textFill>
              </w:rPr>
              <w:t xml:space="preserve">　</w:t>
            </w:r>
            <w:r w:rsidRPr="004B70BF">
              <w:rPr>
                <w:b/>
                <w:bCs/>
                <w:color w:val="000000"/>
                <w:w w:val="31"/>
                <w:szCs w:val="20"/>
                <w:shd w:val="solid" w:color="000000" w:fill="000000"/>
                <w14:textFill>
                  <w14:solidFill>
                    <w14:srgbClr w14:val="000000">
                      <w14:alpha w14:val="100000"/>
                    </w14:srgbClr>
                  </w14:solidFill>
                </w14:textFill>
              </w:rPr>
              <w:t>|</w:t>
            </w:r>
            <w:r w:rsidRPr="004B70BF">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70BF">
              <w:rPr>
                <w:b/>
                <w:bCs/>
                <w:color w:val="000000"/>
                <w:szCs w:val="20"/>
              </w:rPr>
              <w:t>%</w:t>
            </w:r>
          </w:p>
        </w:tc>
        <w:tc>
          <w:tcPr>
            <w:tcW w:w="865" w:type="pct"/>
            <w:tcBorders>
              <w:bottom w:val="single" w:sz="4" w:space="0" w:color="auto"/>
            </w:tcBorders>
            <w:shd w:val="solid" w:color="000000" w:fill="000000"/>
          </w:tcPr>
          <w:p w14:paraId="60C18A22" w14:textId="20688B5C" w:rsidR="00853660" w:rsidRPr="00E36DB9" w:rsidRDefault="00853660" w:rsidP="00853660">
            <w:pPr>
              <w:pStyle w:val="Tabletext"/>
              <w:keepNext/>
              <w:keepLines/>
              <w:jc w:val="center"/>
              <w:rPr>
                <w:color w:val="000000"/>
                <w:szCs w:val="20"/>
                <w:highlight w:val="darkGray"/>
              </w:rPr>
            </w:pPr>
            <w:r w:rsidRPr="004C53B1">
              <w:rPr>
                <w:color w:val="000000"/>
                <w14:textFill>
                  <w14:solidFill>
                    <w14:srgbClr w14:val="000000">
                      <w14:alpha w14:val="100000"/>
                    </w14:srgbClr>
                  </w14:solidFill>
                </w14:textFill>
              </w:rPr>
              <w:t>|</w:t>
            </w:r>
          </w:p>
        </w:tc>
        <w:tc>
          <w:tcPr>
            <w:tcW w:w="679" w:type="pct"/>
          </w:tcPr>
          <w:p w14:paraId="7BDD3083" w14:textId="76D8F4B4" w:rsidR="00853660" w:rsidRPr="001D64F1" w:rsidRDefault="00853660" w:rsidP="00853660">
            <w:pPr>
              <w:pStyle w:val="Tabletext"/>
              <w:keepNext/>
              <w:keepLines/>
              <w:jc w:val="center"/>
              <w:rPr>
                <w:color w:val="000000"/>
                <w:szCs w:val="20"/>
              </w:rPr>
            </w:pPr>
            <w:r w:rsidRPr="00231ACB">
              <w:rPr>
                <w:color w:val="000000"/>
                <w:szCs w:val="20"/>
              </w:rPr>
              <w:t>-</w:t>
            </w:r>
            <w:r w:rsidRPr="00231ACB">
              <w:rPr>
                <w:rFonts w:hint="eastAsia"/>
                <w:b/>
                <w:bCs/>
                <w:color w:val="000000"/>
                <w:w w:val="31"/>
                <w:szCs w:val="20"/>
                <w:shd w:val="solid" w:color="000000" w:fill="000000"/>
                <w14:textFill>
                  <w14:solidFill>
                    <w14:srgbClr w14:val="000000">
                      <w14:alpha w14:val="100000"/>
                    </w14:srgbClr>
                  </w14:solidFill>
                </w14:textFill>
              </w:rPr>
              <w:t xml:space="preserve">　</w:t>
            </w:r>
            <w:r w:rsidRPr="00231ACB">
              <w:rPr>
                <w:b/>
                <w:bCs/>
                <w:color w:val="000000"/>
                <w:w w:val="31"/>
                <w:szCs w:val="20"/>
                <w:shd w:val="solid" w:color="000000" w:fill="000000"/>
                <w14:textFill>
                  <w14:solidFill>
                    <w14:srgbClr w14:val="000000">
                      <w14:alpha w14:val="100000"/>
                    </w14:srgbClr>
                  </w14:solidFill>
                </w14:textFill>
              </w:rPr>
              <w:t>|</w:t>
            </w:r>
            <w:r w:rsidRPr="00231ACB">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231ACB">
              <w:rPr>
                <w:b/>
                <w:bCs/>
                <w:color w:val="000000"/>
                <w:szCs w:val="20"/>
              </w:rPr>
              <w:t>%</w:t>
            </w:r>
          </w:p>
        </w:tc>
      </w:tr>
      <w:tr w:rsidR="00853660" w:rsidRPr="00C11145" w14:paraId="0372ECA5" w14:textId="77777777" w:rsidTr="00A63017">
        <w:tc>
          <w:tcPr>
            <w:tcW w:w="313" w:type="pct"/>
          </w:tcPr>
          <w:p w14:paraId="004830DC" w14:textId="7C856363" w:rsidR="00853660" w:rsidRPr="001D64F1" w:rsidRDefault="00853660" w:rsidP="00853660">
            <w:pPr>
              <w:pStyle w:val="Tabletext"/>
              <w:keepNext/>
              <w:keepLines/>
              <w:rPr>
                <w:color w:val="000000"/>
                <w:szCs w:val="20"/>
              </w:rPr>
            </w:pPr>
            <w:r w:rsidRPr="001D64F1">
              <w:t>3b</w:t>
            </w:r>
          </w:p>
        </w:tc>
        <w:tc>
          <w:tcPr>
            <w:tcW w:w="1964" w:type="pct"/>
          </w:tcPr>
          <w:p w14:paraId="6C872596" w14:textId="7EB26087" w:rsidR="00853660" w:rsidRPr="001D64F1" w:rsidRDefault="00853660" w:rsidP="00853660">
            <w:pPr>
              <w:pStyle w:val="Tabletext"/>
              <w:keepNext/>
              <w:keepLines/>
              <w:rPr>
                <w:color w:val="000000"/>
                <w:szCs w:val="20"/>
                <w:vertAlign w:val="superscript"/>
              </w:rPr>
            </w:pPr>
            <w:r w:rsidRPr="001D64F1">
              <w:t xml:space="preserve">Use PFS KM data up to </w:t>
            </w:r>
            <w:proofErr w:type="spellStart"/>
            <w:r w:rsidRPr="001D64F1">
              <w:t>Gebski</w:t>
            </w:r>
            <w:proofErr w:type="spellEnd"/>
            <w:r w:rsidRPr="001D64F1">
              <w:t xml:space="preserve"> et al 2018 criteria 2 (EV+PEM = 24 months; </w:t>
            </w:r>
            <w:proofErr w:type="spellStart"/>
            <w:r w:rsidRPr="001D64F1">
              <w:t>Plat+Gem</w:t>
            </w:r>
            <w:proofErr w:type="spellEnd"/>
            <w:r w:rsidRPr="001D64F1">
              <w:t xml:space="preserve"> = 24 months) </w:t>
            </w:r>
            <w:r w:rsidRPr="001D64F1">
              <w:rPr>
                <w:vertAlign w:val="superscript"/>
              </w:rPr>
              <w:t>a</w:t>
            </w:r>
          </w:p>
        </w:tc>
        <w:tc>
          <w:tcPr>
            <w:tcW w:w="550" w:type="pct"/>
          </w:tcPr>
          <w:p w14:paraId="17B9D824" w14:textId="2E32675B" w:rsidR="00853660" w:rsidRPr="001D64F1" w:rsidRDefault="00853660" w:rsidP="00853660">
            <w:pPr>
              <w:pStyle w:val="Tabletext"/>
              <w:keepNext/>
              <w:keepLines/>
              <w:jc w:val="center"/>
              <w:rPr>
                <w:color w:val="000000"/>
                <w:szCs w:val="20"/>
              </w:rPr>
            </w:pPr>
            <w:r w:rsidRPr="004C53B1">
              <w:rPr>
                <w:rFonts w:hint="eastAsia"/>
                <w:color w:val="000000"/>
                <w:w w:val="22"/>
                <w:shd w:val="solid" w:color="000000" w:fill="000000"/>
                <w:fitText w:val="100" w:id="-761019896"/>
                <w14:textFill>
                  <w14:solidFill>
                    <w14:srgbClr w14:val="000000">
                      <w14:alpha w14:val="100000"/>
                    </w14:srgbClr>
                  </w14:solidFill>
                </w14:textFill>
              </w:rPr>
              <w:t xml:space="preserve">　</w:t>
            </w:r>
            <w:r w:rsidRPr="004C53B1">
              <w:rPr>
                <w:color w:val="000000"/>
                <w:w w:val="22"/>
                <w:shd w:val="solid" w:color="000000" w:fill="000000"/>
                <w:fitText w:val="100" w:id="-761019896"/>
                <w14:textFill>
                  <w14:solidFill>
                    <w14:srgbClr w14:val="000000">
                      <w14:alpha w14:val="100000"/>
                    </w14:srgbClr>
                  </w14:solidFill>
                </w14:textFill>
              </w:rPr>
              <w:t>|</w:t>
            </w:r>
            <w:r w:rsidRPr="004C53B1">
              <w:rPr>
                <w:rFonts w:hint="eastAsia"/>
                <w:color w:val="000000"/>
                <w:spacing w:val="3"/>
                <w:w w:val="22"/>
                <w:shd w:val="solid" w:color="000000" w:fill="000000"/>
                <w:fitText w:val="100" w:id="-761019896"/>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4FA5AD7A" w14:textId="00035A17" w:rsidR="00853660" w:rsidRPr="001D64F1" w:rsidRDefault="00853660" w:rsidP="00853660">
            <w:pPr>
              <w:pStyle w:val="Tabletext"/>
              <w:keepNext/>
              <w:keepLines/>
              <w:jc w:val="center"/>
              <w:rPr>
                <w:color w:val="000000"/>
                <w:szCs w:val="20"/>
              </w:rPr>
            </w:pPr>
            <w:r w:rsidRPr="004B70BF">
              <w:rPr>
                <w:rFonts w:hint="eastAsia"/>
                <w:b/>
                <w:bCs/>
                <w:color w:val="000000"/>
                <w:w w:val="31"/>
                <w:szCs w:val="20"/>
                <w:shd w:val="solid" w:color="000000" w:fill="000000"/>
                <w14:textFill>
                  <w14:solidFill>
                    <w14:srgbClr w14:val="000000">
                      <w14:alpha w14:val="100000"/>
                    </w14:srgbClr>
                  </w14:solidFill>
                </w14:textFill>
              </w:rPr>
              <w:t xml:space="preserve">　</w:t>
            </w:r>
            <w:r w:rsidRPr="004B70BF">
              <w:rPr>
                <w:b/>
                <w:bCs/>
                <w:color w:val="000000"/>
                <w:w w:val="31"/>
                <w:szCs w:val="20"/>
                <w:shd w:val="solid" w:color="000000" w:fill="000000"/>
                <w14:textFill>
                  <w14:solidFill>
                    <w14:srgbClr w14:val="000000">
                      <w14:alpha w14:val="100000"/>
                    </w14:srgbClr>
                  </w14:solidFill>
                </w14:textFill>
              </w:rPr>
              <w:t>|</w:t>
            </w:r>
            <w:r w:rsidRPr="004B70BF">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70BF">
              <w:rPr>
                <w:b/>
                <w:bCs/>
                <w:color w:val="000000"/>
                <w:szCs w:val="20"/>
              </w:rPr>
              <w:t>%</w:t>
            </w:r>
          </w:p>
        </w:tc>
        <w:tc>
          <w:tcPr>
            <w:tcW w:w="865" w:type="pct"/>
            <w:shd w:val="solid" w:color="000000" w:fill="000000"/>
          </w:tcPr>
          <w:p w14:paraId="21FCF757" w14:textId="2A018877" w:rsidR="00853660" w:rsidRPr="00E36DB9" w:rsidRDefault="00853660" w:rsidP="00853660">
            <w:pPr>
              <w:pStyle w:val="Tabletext"/>
              <w:keepNext/>
              <w:keepLines/>
              <w:jc w:val="center"/>
              <w:rPr>
                <w:color w:val="000000"/>
                <w:szCs w:val="20"/>
                <w:highlight w:val="darkGray"/>
              </w:rPr>
            </w:pPr>
            <w:r w:rsidRPr="004C53B1">
              <w:rPr>
                <w:color w:val="000000"/>
                <w14:textFill>
                  <w14:solidFill>
                    <w14:srgbClr w14:val="000000">
                      <w14:alpha w14:val="100000"/>
                    </w14:srgbClr>
                  </w14:solidFill>
                </w14:textFill>
              </w:rPr>
              <w:t>|</w:t>
            </w:r>
          </w:p>
        </w:tc>
        <w:tc>
          <w:tcPr>
            <w:tcW w:w="679" w:type="pct"/>
          </w:tcPr>
          <w:p w14:paraId="00A98C2B" w14:textId="4452B19E" w:rsidR="00853660" w:rsidRPr="001D64F1" w:rsidRDefault="00853660" w:rsidP="00853660">
            <w:pPr>
              <w:pStyle w:val="Tabletext"/>
              <w:keepNext/>
              <w:keepLines/>
              <w:jc w:val="center"/>
              <w:rPr>
                <w:color w:val="000000"/>
                <w:szCs w:val="20"/>
              </w:rPr>
            </w:pP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r>
      <w:tr w:rsidR="00F776FF" w:rsidRPr="00C11145" w14:paraId="2A3B0634" w14:textId="77777777" w:rsidTr="00357EAE">
        <w:tc>
          <w:tcPr>
            <w:tcW w:w="5000" w:type="pct"/>
            <w:gridSpan w:val="6"/>
            <w:shd w:val="clear" w:color="auto" w:fill="D9D9D9" w:themeFill="background1" w:themeFillShade="D9"/>
            <w:vAlign w:val="center"/>
          </w:tcPr>
          <w:p w14:paraId="3DBD8242" w14:textId="77777777" w:rsidR="00F776FF" w:rsidRPr="001D64F1" w:rsidRDefault="00F776FF" w:rsidP="00F776FF">
            <w:pPr>
              <w:pStyle w:val="Tabletext"/>
              <w:keepNext/>
              <w:keepLines/>
              <w:rPr>
                <w:rFonts w:cs="Calibri"/>
                <w:b/>
                <w:bCs/>
                <w:color w:val="000000"/>
                <w:szCs w:val="20"/>
              </w:rPr>
            </w:pPr>
            <w:r w:rsidRPr="001D64F1">
              <w:rPr>
                <w:b/>
                <w:bCs/>
                <w:color w:val="000000"/>
                <w:szCs w:val="20"/>
              </w:rPr>
              <w:t>Model time horizon: base case = 15 years</w:t>
            </w:r>
          </w:p>
        </w:tc>
      </w:tr>
      <w:tr w:rsidR="00853660" w:rsidRPr="00C11145" w14:paraId="3081B1CA" w14:textId="77777777" w:rsidTr="006357E8">
        <w:tc>
          <w:tcPr>
            <w:tcW w:w="313" w:type="pct"/>
            <w:vAlign w:val="center"/>
          </w:tcPr>
          <w:p w14:paraId="3569C5C5" w14:textId="77777777" w:rsidR="00853660" w:rsidRPr="001D64F1" w:rsidRDefault="00853660" w:rsidP="00853660">
            <w:pPr>
              <w:pStyle w:val="Tabletext"/>
              <w:keepNext/>
              <w:keepLines/>
              <w:rPr>
                <w:szCs w:val="20"/>
              </w:rPr>
            </w:pPr>
            <w:r w:rsidRPr="001D64F1">
              <w:rPr>
                <w:color w:val="000000"/>
                <w:szCs w:val="20"/>
              </w:rPr>
              <w:t>4</w:t>
            </w:r>
          </w:p>
        </w:tc>
        <w:tc>
          <w:tcPr>
            <w:tcW w:w="1964" w:type="pct"/>
            <w:vAlign w:val="center"/>
          </w:tcPr>
          <w:p w14:paraId="35D4D7FB" w14:textId="77777777" w:rsidR="00853660" w:rsidRPr="001D64F1" w:rsidRDefault="00853660" w:rsidP="00853660">
            <w:pPr>
              <w:pStyle w:val="Tabletext"/>
              <w:keepNext/>
              <w:keepLines/>
              <w:rPr>
                <w:szCs w:val="20"/>
              </w:rPr>
            </w:pPr>
            <w:r w:rsidRPr="001D64F1">
              <w:rPr>
                <w:color w:val="000000"/>
                <w:szCs w:val="20"/>
              </w:rPr>
              <w:t>Time horizon = 10 years</w:t>
            </w:r>
          </w:p>
        </w:tc>
        <w:tc>
          <w:tcPr>
            <w:tcW w:w="550" w:type="pct"/>
            <w:vAlign w:val="center"/>
          </w:tcPr>
          <w:p w14:paraId="416E819D" w14:textId="53F69B85" w:rsidR="00853660" w:rsidRPr="00E36DB9" w:rsidRDefault="00853660" w:rsidP="00853660">
            <w:pPr>
              <w:pStyle w:val="Tabletext"/>
              <w:keepNext/>
              <w:keepLines/>
              <w:jc w:val="center"/>
              <w:rPr>
                <w:szCs w:val="20"/>
                <w:highlight w:val="darkGray"/>
              </w:rPr>
            </w:pPr>
            <w:r w:rsidRPr="004C53B1">
              <w:rPr>
                <w:rFonts w:hint="eastAsia"/>
                <w:color w:val="000000"/>
                <w:w w:val="22"/>
                <w:szCs w:val="20"/>
                <w:shd w:val="solid" w:color="000000" w:fill="000000"/>
                <w:fitText w:val="100" w:id="-761019895"/>
                <w14:textFill>
                  <w14:solidFill>
                    <w14:srgbClr w14:val="000000">
                      <w14:alpha w14:val="100000"/>
                    </w14:srgbClr>
                  </w14:solidFill>
                </w14:textFill>
              </w:rPr>
              <w:t xml:space="preserve">　</w:t>
            </w:r>
            <w:r w:rsidRPr="004C53B1">
              <w:rPr>
                <w:color w:val="000000"/>
                <w:w w:val="22"/>
                <w:szCs w:val="20"/>
                <w:shd w:val="solid" w:color="000000" w:fill="000000"/>
                <w:fitText w:val="100" w:id="-761019895"/>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895"/>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476F3E2C" w14:textId="54BD8C23" w:rsidR="00853660" w:rsidRPr="001D64F1" w:rsidRDefault="00853660" w:rsidP="00853660">
            <w:pPr>
              <w:pStyle w:val="Tabletext"/>
              <w:keepNext/>
              <w:keepLines/>
              <w:jc w:val="center"/>
              <w:rPr>
                <w:szCs w:val="20"/>
              </w:rPr>
            </w:pPr>
            <w:r w:rsidRPr="001103CA">
              <w:rPr>
                <w:rFonts w:hint="eastAsia"/>
                <w:b/>
                <w:bCs/>
                <w:color w:val="000000"/>
                <w:w w:val="31"/>
                <w:szCs w:val="20"/>
                <w:shd w:val="solid" w:color="000000" w:fill="000000"/>
                <w14:textFill>
                  <w14:solidFill>
                    <w14:srgbClr w14:val="000000">
                      <w14:alpha w14:val="100000"/>
                    </w14:srgbClr>
                  </w14:solidFill>
                </w14:textFill>
              </w:rPr>
              <w:t xml:space="preserve">　</w:t>
            </w:r>
            <w:r w:rsidRPr="001103CA">
              <w:rPr>
                <w:b/>
                <w:bCs/>
                <w:color w:val="000000"/>
                <w:w w:val="31"/>
                <w:szCs w:val="20"/>
                <w:shd w:val="solid" w:color="000000" w:fill="000000"/>
                <w14:textFill>
                  <w14:solidFill>
                    <w14:srgbClr w14:val="000000">
                      <w14:alpha w14:val="100000"/>
                    </w14:srgbClr>
                  </w14:solidFill>
                </w14:textFill>
              </w:rPr>
              <w:t>|</w:t>
            </w:r>
            <w:r w:rsidRPr="001103CA">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1103CA">
              <w:rPr>
                <w:b/>
                <w:bCs/>
                <w:color w:val="000000"/>
                <w:szCs w:val="20"/>
              </w:rPr>
              <w:t>%</w:t>
            </w:r>
          </w:p>
        </w:tc>
        <w:tc>
          <w:tcPr>
            <w:tcW w:w="865" w:type="pct"/>
            <w:tcBorders>
              <w:bottom w:val="single" w:sz="4" w:space="0" w:color="auto"/>
            </w:tcBorders>
            <w:shd w:val="solid" w:color="000000" w:fill="000000"/>
            <w:vAlign w:val="center"/>
          </w:tcPr>
          <w:p w14:paraId="11B10B88" w14:textId="24D940B8" w:rsidR="00853660" w:rsidRPr="00E36DB9" w:rsidRDefault="00853660" w:rsidP="00853660">
            <w:pPr>
              <w:pStyle w:val="Tabletext"/>
              <w:keepNext/>
              <w:keepLines/>
              <w:jc w:val="center"/>
              <w:rPr>
                <w:rFonts w:cs="Calibri"/>
                <w:color w:val="000000"/>
                <w:szCs w:val="20"/>
                <w:highlight w:val="darkGray"/>
              </w:rPr>
            </w:pPr>
            <w:r w:rsidRPr="004C53B1">
              <w:rPr>
                <w:color w:val="000000"/>
                <w:szCs w:val="20"/>
                <w14:textFill>
                  <w14:solidFill>
                    <w14:srgbClr w14:val="000000">
                      <w14:alpha w14:val="100000"/>
                    </w14:srgbClr>
                  </w14:solidFill>
                </w14:textFill>
              </w:rPr>
              <w:t>|</w:t>
            </w:r>
          </w:p>
        </w:tc>
        <w:tc>
          <w:tcPr>
            <w:tcW w:w="679" w:type="pct"/>
          </w:tcPr>
          <w:p w14:paraId="50142950" w14:textId="167809A6" w:rsidR="00853660" w:rsidRPr="001D64F1" w:rsidRDefault="00853660" w:rsidP="00853660">
            <w:pPr>
              <w:pStyle w:val="Tabletext"/>
              <w:keepNext/>
              <w:keepLines/>
              <w:jc w:val="center"/>
              <w:rPr>
                <w:rFonts w:cs="Calibri"/>
                <w:color w:val="000000"/>
                <w:szCs w:val="20"/>
              </w:rPr>
            </w:pPr>
            <w:r w:rsidRPr="009A6B7F">
              <w:rPr>
                <w:color w:val="000000"/>
                <w:szCs w:val="20"/>
              </w:rPr>
              <w:t>-</w:t>
            </w:r>
            <w:r w:rsidRPr="009A6B7F">
              <w:rPr>
                <w:rFonts w:hint="eastAsia"/>
                <w:b/>
                <w:bCs/>
                <w:color w:val="000000"/>
                <w:w w:val="31"/>
                <w:szCs w:val="20"/>
                <w:shd w:val="solid" w:color="000000" w:fill="000000"/>
                <w14:textFill>
                  <w14:solidFill>
                    <w14:srgbClr w14:val="000000">
                      <w14:alpha w14:val="100000"/>
                    </w14:srgbClr>
                  </w14:solidFill>
                </w14:textFill>
              </w:rPr>
              <w:t xml:space="preserve">　</w:t>
            </w:r>
            <w:r w:rsidRPr="009A6B7F">
              <w:rPr>
                <w:b/>
                <w:bCs/>
                <w:color w:val="000000"/>
                <w:w w:val="31"/>
                <w:szCs w:val="20"/>
                <w:shd w:val="solid" w:color="000000" w:fill="000000"/>
                <w14:textFill>
                  <w14:solidFill>
                    <w14:srgbClr w14:val="000000">
                      <w14:alpha w14:val="100000"/>
                    </w14:srgbClr>
                  </w14:solidFill>
                </w14:textFill>
              </w:rPr>
              <w:t>|</w:t>
            </w:r>
            <w:r w:rsidRPr="009A6B7F">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9A6B7F">
              <w:rPr>
                <w:b/>
                <w:bCs/>
                <w:color w:val="000000"/>
                <w:szCs w:val="20"/>
              </w:rPr>
              <w:t>%</w:t>
            </w:r>
          </w:p>
        </w:tc>
      </w:tr>
      <w:tr w:rsidR="00853660" w:rsidRPr="00C11145" w14:paraId="1B98290D" w14:textId="77777777" w:rsidTr="006357E8">
        <w:tc>
          <w:tcPr>
            <w:tcW w:w="313" w:type="pct"/>
            <w:vAlign w:val="center"/>
          </w:tcPr>
          <w:p w14:paraId="743A3B50" w14:textId="44541ACE" w:rsidR="00853660" w:rsidRPr="001D64F1" w:rsidRDefault="00853660" w:rsidP="00853660">
            <w:pPr>
              <w:pStyle w:val="Tabletext"/>
              <w:keepNext/>
              <w:keepLines/>
              <w:rPr>
                <w:color w:val="000000"/>
                <w:szCs w:val="20"/>
                <w:highlight w:val="green"/>
              </w:rPr>
            </w:pPr>
            <w:r w:rsidRPr="001D64F1">
              <w:rPr>
                <w:color w:val="000000"/>
                <w:szCs w:val="20"/>
              </w:rPr>
              <w:t xml:space="preserve">4a </w:t>
            </w:r>
          </w:p>
        </w:tc>
        <w:tc>
          <w:tcPr>
            <w:tcW w:w="1964" w:type="pct"/>
            <w:vAlign w:val="center"/>
          </w:tcPr>
          <w:p w14:paraId="79025F73" w14:textId="2E42C3F2" w:rsidR="00853660" w:rsidRPr="001D64F1" w:rsidRDefault="00853660" w:rsidP="00853660">
            <w:pPr>
              <w:pStyle w:val="Tabletext"/>
              <w:keepNext/>
              <w:keepLines/>
              <w:rPr>
                <w:color w:val="000000"/>
                <w:szCs w:val="20"/>
                <w:vertAlign w:val="superscript"/>
              </w:rPr>
            </w:pPr>
            <w:r w:rsidRPr="001D64F1">
              <w:rPr>
                <w:color w:val="000000"/>
                <w:szCs w:val="20"/>
              </w:rPr>
              <w:t xml:space="preserve">Time horizon = 7.5 years </w:t>
            </w:r>
            <w:r w:rsidRPr="001D64F1">
              <w:rPr>
                <w:color w:val="000000"/>
                <w:szCs w:val="20"/>
                <w:vertAlign w:val="superscript"/>
              </w:rPr>
              <w:t>a</w:t>
            </w:r>
          </w:p>
        </w:tc>
        <w:tc>
          <w:tcPr>
            <w:tcW w:w="550" w:type="pct"/>
            <w:vAlign w:val="center"/>
          </w:tcPr>
          <w:p w14:paraId="6B14B47D" w14:textId="2FDBAF85" w:rsidR="00853660" w:rsidRPr="00E36DB9" w:rsidRDefault="00853660" w:rsidP="00853660">
            <w:pPr>
              <w:pStyle w:val="Tabletext"/>
              <w:keepNext/>
              <w:keepLines/>
              <w:jc w:val="center"/>
              <w:rPr>
                <w:b/>
                <w:bCs/>
                <w:color w:val="000000"/>
                <w:szCs w:val="20"/>
                <w:highlight w:val="darkGray"/>
              </w:rPr>
            </w:pPr>
            <w:r w:rsidRPr="004C53B1">
              <w:rPr>
                <w:rFonts w:hint="eastAsia"/>
                <w:color w:val="000000"/>
                <w:w w:val="22"/>
                <w:szCs w:val="20"/>
                <w:shd w:val="solid" w:color="000000" w:fill="000000"/>
                <w:fitText w:val="100" w:id="-761019894"/>
                <w14:textFill>
                  <w14:solidFill>
                    <w14:srgbClr w14:val="000000">
                      <w14:alpha w14:val="100000"/>
                    </w14:srgbClr>
                  </w14:solidFill>
                </w14:textFill>
              </w:rPr>
              <w:t xml:space="preserve">　</w:t>
            </w:r>
            <w:r w:rsidRPr="004C53B1">
              <w:rPr>
                <w:color w:val="000000"/>
                <w:w w:val="22"/>
                <w:szCs w:val="20"/>
                <w:shd w:val="solid" w:color="000000" w:fill="000000"/>
                <w:fitText w:val="100" w:id="-761019894"/>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894"/>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145D070A" w14:textId="1105D423" w:rsidR="00853660" w:rsidRPr="001D64F1" w:rsidRDefault="00853660" w:rsidP="00853660">
            <w:pPr>
              <w:pStyle w:val="Tabletext"/>
              <w:keepNext/>
              <w:keepLines/>
              <w:jc w:val="center"/>
              <w:rPr>
                <w:color w:val="000000"/>
                <w:szCs w:val="20"/>
              </w:rPr>
            </w:pPr>
            <w:r w:rsidRPr="001103CA">
              <w:rPr>
                <w:rFonts w:hint="eastAsia"/>
                <w:b/>
                <w:bCs/>
                <w:color w:val="000000"/>
                <w:w w:val="31"/>
                <w:szCs w:val="20"/>
                <w:shd w:val="solid" w:color="000000" w:fill="000000"/>
                <w14:textFill>
                  <w14:solidFill>
                    <w14:srgbClr w14:val="000000">
                      <w14:alpha w14:val="100000"/>
                    </w14:srgbClr>
                  </w14:solidFill>
                </w14:textFill>
              </w:rPr>
              <w:t xml:space="preserve">　</w:t>
            </w:r>
            <w:r w:rsidRPr="001103CA">
              <w:rPr>
                <w:b/>
                <w:bCs/>
                <w:color w:val="000000"/>
                <w:w w:val="31"/>
                <w:szCs w:val="20"/>
                <w:shd w:val="solid" w:color="000000" w:fill="000000"/>
                <w14:textFill>
                  <w14:solidFill>
                    <w14:srgbClr w14:val="000000">
                      <w14:alpha w14:val="100000"/>
                    </w14:srgbClr>
                  </w14:solidFill>
                </w14:textFill>
              </w:rPr>
              <w:t>|</w:t>
            </w:r>
            <w:r w:rsidRPr="001103CA">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1103CA">
              <w:rPr>
                <w:b/>
                <w:bCs/>
                <w:color w:val="000000"/>
                <w:szCs w:val="20"/>
              </w:rPr>
              <w:t>%</w:t>
            </w:r>
          </w:p>
        </w:tc>
        <w:tc>
          <w:tcPr>
            <w:tcW w:w="865" w:type="pct"/>
            <w:shd w:val="solid" w:color="000000" w:fill="000000"/>
            <w:vAlign w:val="center"/>
          </w:tcPr>
          <w:p w14:paraId="4FE3C633" w14:textId="00639659" w:rsidR="00853660" w:rsidRPr="00E36DB9" w:rsidRDefault="00853660" w:rsidP="00853660">
            <w:pPr>
              <w:pStyle w:val="Tabletext"/>
              <w:keepNext/>
              <w:keepLines/>
              <w:jc w:val="center"/>
              <w:rPr>
                <w:color w:val="000000"/>
                <w:szCs w:val="20"/>
                <w:highlight w:val="darkGray"/>
              </w:rPr>
            </w:pPr>
            <w:r w:rsidRPr="004C53B1">
              <w:rPr>
                <w:color w:val="000000"/>
                <w:szCs w:val="20"/>
                <w14:textFill>
                  <w14:solidFill>
                    <w14:srgbClr w14:val="000000">
                      <w14:alpha w14:val="100000"/>
                    </w14:srgbClr>
                  </w14:solidFill>
                </w14:textFill>
              </w:rPr>
              <w:t>|</w:t>
            </w:r>
          </w:p>
        </w:tc>
        <w:tc>
          <w:tcPr>
            <w:tcW w:w="679" w:type="pct"/>
          </w:tcPr>
          <w:p w14:paraId="70377BE0" w14:textId="05FFFCE6" w:rsidR="00853660" w:rsidRPr="001D64F1" w:rsidRDefault="00853660" w:rsidP="00853660">
            <w:pPr>
              <w:pStyle w:val="Tabletext"/>
              <w:keepNext/>
              <w:keepLines/>
              <w:jc w:val="center"/>
              <w:rPr>
                <w:color w:val="000000"/>
                <w:szCs w:val="20"/>
              </w:rPr>
            </w:pPr>
            <w:r w:rsidRPr="009A6B7F">
              <w:rPr>
                <w:color w:val="000000"/>
                <w:szCs w:val="20"/>
              </w:rPr>
              <w:t>-</w:t>
            </w:r>
            <w:r w:rsidRPr="009A6B7F">
              <w:rPr>
                <w:rFonts w:hint="eastAsia"/>
                <w:b/>
                <w:bCs/>
                <w:color w:val="000000"/>
                <w:w w:val="31"/>
                <w:szCs w:val="20"/>
                <w:shd w:val="solid" w:color="000000" w:fill="000000"/>
                <w14:textFill>
                  <w14:solidFill>
                    <w14:srgbClr w14:val="000000">
                      <w14:alpha w14:val="100000"/>
                    </w14:srgbClr>
                  </w14:solidFill>
                </w14:textFill>
              </w:rPr>
              <w:t xml:space="preserve">　</w:t>
            </w:r>
            <w:r w:rsidRPr="009A6B7F">
              <w:rPr>
                <w:b/>
                <w:bCs/>
                <w:color w:val="000000"/>
                <w:w w:val="31"/>
                <w:szCs w:val="20"/>
                <w:shd w:val="solid" w:color="000000" w:fill="000000"/>
                <w14:textFill>
                  <w14:solidFill>
                    <w14:srgbClr w14:val="000000">
                      <w14:alpha w14:val="100000"/>
                    </w14:srgbClr>
                  </w14:solidFill>
                </w14:textFill>
              </w:rPr>
              <w:t>|</w:t>
            </w:r>
            <w:r w:rsidRPr="009A6B7F">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9A6B7F">
              <w:rPr>
                <w:b/>
                <w:bCs/>
                <w:color w:val="000000"/>
                <w:szCs w:val="20"/>
              </w:rPr>
              <w:t>%</w:t>
            </w:r>
          </w:p>
        </w:tc>
      </w:tr>
      <w:tr w:rsidR="00432DA5" w:rsidRPr="00C11145" w14:paraId="504412D7" w14:textId="77777777" w:rsidTr="00432DA5">
        <w:tc>
          <w:tcPr>
            <w:tcW w:w="5000" w:type="pct"/>
            <w:gridSpan w:val="6"/>
            <w:vAlign w:val="center"/>
          </w:tcPr>
          <w:p w14:paraId="316D7C3E" w14:textId="5516918A" w:rsidR="00432DA5" w:rsidRPr="001D64F1" w:rsidRDefault="00432DA5" w:rsidP="00432DA5">
            <w:pPr>
              <w:pStyle w:val="Tabletext"/>
              <w:keepNext/>
              <w:keepLines/>
              <w:rPr>
                <w:color w:val="000000"/>
                <w:szCs w:val="20"/>
              </w:rPr>
            </w:pPr>
            <w:r w:rsidRPr="001D64F1">
              <w:rPr>
                <w:b/>
                <w:bCs/>
                <w:color w:val="000000"/>
                <w:szCs w:val="20"/>
              </w:rPr>
              <w:t>Terminal care costs: base case = $52,291.45 upon transition to death</w:t>
            </w:r>
          </w:p>
        </w:tc>
      </w:tr>
      <w:tr w:rsidR="00432DA5" w:rsidRPr="00C11145" w14:paraId="649307D6" w14:textId="77777777" w:rsidTr="00A63017">
        <w:tc>
          <w:tcPr>
            <w:tcW w:w="313" w:type="pct"/>
            <w:vAlign w:val="center"/>
          </w:tcPr>
          <w:p w14:paraId="6E2F1ACC" w14:textId="4978DD5A" w:rsidR="00432DA5" w:rsidRPr="001D64F1" w:rsidRDefault="00432DA5" w:rsidP="00432DA5">
            <w:pPr>
              <w:pStyle w:val="Tabletext"/>
              <w:keepNext/>
              <w:keepLines/>
              <w:rPr>
                <w:color w:val="000000"/>
                <w:szCs w:val="20"/>
              </w:rPr>
            </w:pPr>
            <w:r w:rsidRPr="001D64F1">
              <w:rPr>
                <w:color w:val="000000"/>
                <w:szCs w:val="20"/>
              </w:rPr>
              <w:t>5</w:t>
            </w:r>
          </w:p>
        </w:tc>
        <w:tc>
          <w:tcPr>
            <w:tcW w:w="1964" w:type="pct"/>
            <w:vAlign w:val="center"/>
          </w:tcPr>
          <w:p w14:paraId="2023F7E0" w14:textId="1C78819B" w:rsidR="00432DA5" w:rsidRPr="001D64F1" w:rsidRDefault="00432DA5" w:rsidP="00432DA5">
            <w:pPr>
              <w:pStyle w:val="Tabletext"/>
              <w:keepNext/>
              <w:keepLines/>
              <w:rPr>
                <w:color w:val="000000"/>
                <w:szCs w:val="20"/>
              </w:rPr>
            </w:pPr>
            <w:r w:rsidRPr="001D64F1">
              <w:rPr>
                <w:color w:val="000000"/>
                <w:szCs w:val="20"/>
              </w:rPr>
              <w:t>Remove all terminal care costs</w:t>
            </w:r>
          </w:p>
        </w:tc>
        <w:tc>
          <w:tcPr>
            <w:tcW w:w="550" w:type="pct"/>
            <w:vAlign w:val="center"/>
          </w:tcPr>
          <w:p w14:paraId="1EE91848" w14:textId="4086875C" w:rsidR="00432DA5" w:rsidRPr="001D64F1" w:rsidRDefault="004C53B1" w:rsidP="00432DA5">
            <w:pPr>
              <w:pStyle w:val="Tabletext"/>
              <w:keepNext/>
              <w:keepLines/>
              <w:jc w:val="center"/>
              <w:rPr>
                <w:color w:val="000000"/>
                <w:szCs w:val="20"/>
              </w:rPr>
            </w:pPr>
            <w:r w:rsidRPr="004C53B1">
              <w:rPr>
                <w:rFonts w:hint="eastAsia"/>
                <w:color w:val="000000"/>
                <w:w w:val="22"/>
                <w:szCs w:val="20"/>
                <w:shd w:val="solid" w:color="000000" w:fill="000000"/>
                <w:fitText w:val="100" w:id="-761019893"/>
                <w14:textFill>
                  <w14:solidFill>
                    <w14:srgbClr w14:val="000000">
                      <w14:alpha w14:val="100000"/>
                    </w14:srgbClr>
                  </w14:solidFill>
                </w14:textFill>
              </w:rPr>
              <w:t xml:space="preserve">　</w:t>
            </w:r>
            <w:r w:rsidRPr="004C53B1">
              <w:rPr>
                <w:color w:val="000000"/>
                <w:w w:val="22"/>
                <w:szCs w:val="20"/>
                <w:shd w:val="solid" w:color="000000" w:fill="000000"/>
                <w:fitText w:val="100" w:id="-761019893"/>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893"/>
                <w14:textFill>
                  <w14:solidFill>
                    <w14:srgbClr w14:val="000000">
                      <w14:alpha w14:val="100000"/>
                    </w14:srgbClr>
                  </w14:solidFill>
                </w14:textFill>
              </w:rPr>
              <w:t xml:space="preserve">　</w:t>
            </w:r>
            <w:r w:rsidR="007B2A30" w:rsidRPr="00E36DB9">
              <w:rPr>
                <w:color w:val="000000"/>
                <w:szCs w:val="20"/>
                <w:vertAlign w:val="superscript"/>
              </w:rPr>
              <w:t>2</w:t>
            </w:r>
          </w:p>
        </w:tc>
        <w:tc>
          <w:tcPr>
            <w:tcW w:w="629" w:type="pct"/>
            <w:vAlign w:val="center"/>
          </w:tcPr>
          <w:p w14:paraId="6F5535B4" w14:textId="384307A7" w:rsidR="00432DA5" w:rsidRPr="001D64F1" w:rsidRDefault="00853660" w:rsidP="00432DA5">
            <w:pPr>
              <w:pStyle w:val="Tabletext"/>
              <w:keepNext/>
              <w:keepLines/>
              <w:jc w:val="center"/>
              <w:rPr>
                <w:color w:val="000000"/>
                <w:szCs w:val="20"/>
              </w:rPr>
            </w:pP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c>
          <w:tcPr>
            <w:tcW w:w="865" w:type="pct"/>
            <w:shd w:val="solid" w:color="000000" w:fill="000000"/>
            <w:vAlign w:val="center"/>
          </w:tcPr>
          <w:p w14:paraId="32FA3965" w14:textId="1632836E" w:rsidR="00432DA5" w:rsidRPr="001D64F1" w:rsidRDefault="004C53B1" w:rsidP="00432DA5">
            <w:pPr>
              <w:pStyle w:val="Tabletext"/>
              <w:keepNext/>
              <w:keepLines/>
              <w:jc w:val="center"/>
              <w:rPr>
                <w:color w:val="000000"/>
                <w:szCs w:val="20"/>
              </w:rPr>
            </w:pPr>
            <w:r w:rsidRPr="004C53B1">
              <w:rPr>
                <w:color w:val="000000"/>
                <w14:textFill>
                  <w14:solidFill>
                    <w14:srgbClr w14:val="000000">
                      <w14:alpha w14:val="100000"/>
                    </w14:srgbClr>
                  </w14:solidFill>
                </w14:textFill>
              </w:rPr>
              <w:t>|</w:t>
            </w:r>
          </w:p>
        </w:tc>
        <w:tc>
          <w:tcPr>
            <w:tcW w:w="679" w:type="pct"/>
            <w:vAlign w:val="center"/>
          </w:tcPr>
          <w:p w14:paraId="4478AD09" w14:textId="2318ACD5" w:rsidR="00432DA5" w:rsidRPr="001D64F1" w:rsidRDefault="00853660" w:rsidP="00432DA5">
            <w:pPr>
              <w:pStyle w:val="Tabletext"/>
              <w:keepNext/>
              <w:keepLines/>
              <w:jc w:val="center"/>
              <w:rPr>
                <w:color w:val="000000"/>
                <w:szCs w:val="20"/>
              </w:rPr>
            </w:pPr>
            <w:r w:rsidRPr="001D64F1">
              <w:rPr>
                <w:color w:val="000000"/>
                <w:szCs w:val="20"/>
              </w:rPr>
              <w:t>-</w:t>
            </w: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r>
      <w:tr w:rsidR="00757086" w:rsidRPr="00C11145" w14:paraId="1695D6AE" w14:textId="77777777" w:rsidTr="00757086">
        <w:tc>
          <w:tcPr>
            <w:tcW w:w="5000" w:type="pct"/>
            <w:gridSpan w:val="6"/>
          </w:tcPr>
          <w:p w14:paraId="71C11029" w14:textId="26B5ACB1" w:rsidR="00757086" w:rsidRPr="001D64F1" w:rsidRDefault="00757086" w:rsidP="00757086">
            <w:pPr>
              <w:pStyle w:val="Tabletext"/>
              <w:keepNext/>
              <w:keepLines/>
            </w:pPr>
            <w:r w:rsidRPr="001D64F1">
              <w:rPr>
                <w:b/>
                <w:bCs/>
                <w:szCs w:val="20"/>
              </w:rPr>
              <w:lastRenderedPageBreak/>
              <w:t>Time on treatment extrapolation: base case = generalised gamma for EV and Weibull curve for avelumab</w:t>
            </w:r>
          </w:p>
        </w:tc>
      </w:tr>
      <w:tr w:rsidR="00757086" w:rsidRPr="00C11145" w14:paraId="763F5EBC" w14:textId="77777777" w:rsidTr="00A63017">
        <w:tc>
          <w:tcPr>
            <w:tcW w:w="313" w:type="pct"/>
          </w:tcPr>
          <w:p w14:paraId="789B60B3" w14:textId="6D2E2533" w:rsidR="00757086" w:rsidRPr="001D64F1" w:rsidRDefault="00757086" w:rsidP="00757086">
            <w:pPr>
              <w:pStyle w:val="Tabletext"/>
              <w:keepNext/>
              <w:keepLines/>
              <w:rPr>
                <w:color w:val="000000"/>
                <w:szCs w:val="20"/>
              </w:rPr>
            </w:pPr>
            <w:r w:rsidRPr="001D64F1">
              <w:rPr>
                <w:szCs w:val="20"/>
              </w:rPr>
              <w:t xml:space="preserve"> 6</w:t>
            </w:r>
          </w:p>
        </w:tc>
        <w:tc>
          <w:tcPr>
            <w:tcW w:w="1964" w:type="pct"/>
            <w:vAlign w:val="bottom"/>
          </w:tcPr>
          <w:p w14:paraId="7BD9A60A" w14:textId="5CCEA305" w:rsidR="00757086" w:rsidRPr="001D64F1" w:rsidRDefault="00757086" w:rsidP="00757086">
            <w:pPr>
              <w:pStyle w:val="Tabletext"/>
              <w:keepNext/>
              <w:keepLines/>
              <w:rPr>
                <w:color w:val="000000"/>
                <w:szCs w:val="20"/>
                <w:vertAlign w:val="superscript"/>
              </w:rPr>
            </w:pPr>
            <w:r w:rsidRPr="001D64F1">
              <w:rPr>
                <w:szCs w:val="20"/>
              </w:rPr>
              <w:t>Loglogistic curve for EV ToT (best fitting)</w:t>
            </w:r>
            <w:r w:rsidR="001D64F1" w:rsidRPr="001D64F1">
              <w:rPr>
                <w:szCs w:val="20"/>
              </w:rPr>
              <w:t xml:space="preserve"> </w:t>
            </w:r>
            <w:r w:rsidR="001D64F1" w:rsidRPr="001D64F1">
              <w:rPr>
                <w:szCs w:val="20"/>
                <w:vertAlign w:val="superscript"/>
              </w:rPr>
              <w:t>a</w:t>
            </w:r>
          </w:p>
        </w:tc>
        <w:tc>
          <w:tcPr>
            <w:tcW w:w="550" w:type="pct"/>
            <w:vAlign w:val="bottom"/>
          </w:tcPr>
          <w:p w14:paraId="67C3C6F1" w14:textId="079F4FAE" w:rsidR="00757086" w:rsidRPr="001D64F1" w:rsidRDefault="004C53B1" w:rsidP="00757086">
            <w:pPr>
              <w:pStyle w:val="Tabletext"/>
              <w:keepNext/>
              <w:keepLines/>
              <w:jc w:val="center"/>
              <w:rPr>
                <w:color w:val="000000"/>
                <w:szCs w:val="20"/>
              </w:rPr>
            </w:pPr>
            <w:r w:rsidRPr="004C53B1">
              <w:rPr>
                <w:rFonts w:hint="eastAsia"/>
                <w:color w:val="000000"/>
                <w:w w:val="22"/>
                <w:szCs w:val="20"/>
                <w:shd w:val="solid" w:color="000000" w:fill="000000"/>
                <w:fitText w:val="100" w:id="-761019892"/>
                <w14:textFill>
                  <w14:solidFill>
                    <w14:srgbClr w14:val="000000">
                      <w14:alpha w14:val="100000"/>
                    </w14:srgbClr>
                  </w14:solidFill>
                </w14:textFill>
              </w:rPr>
              <w:t xml:space="preserve">　</w:t>
            </w:r>
            <w:r w:rsidRPr="004C53B1">
              <w:rPr>
                <w:color w:val="000000"/>
                <w:w w:val="22"/>
                <w:szCs w:val="20"/>
                <w:shd w:val="solid" w:color="000000" w:fill="000000"/>
                <w:fitText w:val="100" w:id="-761019892"/>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892"/>
                <w14:textFill>
                  <w14:solidFill>
                    <w14:srgbClr w14:val="000000">
                      <w14:alpha w14:val="100000"/>
                    </w14:srgbClr>
                  </w14:solidFill>
                </w14:textFill>
              </w:rPr>
              <w:t xml:space="preserve">　</w:t>
            </w:r>
            <w:r w:rsidR="00BC547D" w:rsidRPr="00450C49">
              <w:rPr>
                <w:b/>
                <w:bCs/>
                <w:color w:val="000000"/>
                <w:szCs w:val="20"/>
                <w:vertAlign w:val="superscript"/>
              </w:rPr>
              <w:t>2</w:t>
            </w:r>
          </w:p>
        </w:tc>
        <w:tc>
          <w:tcPr>
            <w:tcW w:w="629" w:type="pct"/>
            <w:vAlign w:val="bottom"/>
          </w:tcPr>
          <w:p w14:paraId="5CB3E863" w14:textId="760E4D01" w:rsidR="00757086" w:rsidRPr="001D64F1" w:rsidRDefault="00853660" w:rsidP="00757086">
            <w:pPr>
              <w:pStyle w:val="Tabletext"/>
              <w:keepNext/>
              <w:keepLines/>
              <w:jc w:val="center"/>
            </w:pP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c>
          <w:tcPr>
            <w:tcW w:w="865" w:type="pct"/>
            <w:shd w:val="solid" w:color="000000" w:fill="000000"/>
            <w:vAlign w:val="bottom"/>
          </w:tcPr>
          <w:p w14:paraId="7CE6F9D3" w14:textId="37A85D87" w:rsidR="00757086" w:rsidRPr="001D64F1" w:rsidRDefault="004C53B1" w:rsidP="00757086">
            <w:pPr>
              <w:pStyle w:val="Tabletext"/>
              <w:keepNext/>
              <w:keepLines/>
              <w:jc w:val="center"/>
            </w:pPr>
            <w:r w:rsidRPr="004C53B1">
              <w:rPr>
                <w:color w:val="000000"/>
                <w:szCs w:val="20"/>
                <w14:textFill>
                  <w14:solidFill>
                    <w14:srgbClr w14:val="000000">
                      <w14:alpha w14:val="100000"/>
                    </w14:srgbClr>
                  </w14:solidFill>
                </w14:textFill>
              </w:rPr>
              <w:t>|</w:t>
            </w:r>
          </w:p>
        </w:tc>
        <w:tc>
          <w:tcPr>
            <w:tcW w:w="679" w:type="pct"/>
            <w:vAlign w:val="bottom"/>
          </w:tcPr>
          <w:p w14:paraId="440B0804" w14:textId="37AFE180" w:rsidR="00757086" w:rsidRPr="001D64F1" w:rsidRDefault="00853660" w:rsidP="00757086">
            <w:pPr>
              <w:pStyle w:val="Tabletext"/>
              <w:keepNext/>
              <w:keepLines/>
              <w:jc w:val="center"/>
            </w:pPr>
            <w:r w:rsidRPr="001D64F1">
              <w:rPr>
                <w:color w:val="000000"/>
                <w:szCs w:val="20"/>
              </w:rPr>
              <w:t>-</w:t>
            </w: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r>
      <w:tr w:rsidR="00757086" w:rsidRPr="00C11145" w14:paraId="308EC2F1" w14:textId="77777777" w:rsidTr="00432DA5">
        <w:tc>
          <w:tcPr>
            <w:tcW w:w="5000" w:type="pct"/>
            <w:gridSpan w:val="6"/>
            <w:shd w:val="clear" w:color="auto" w:fill="D9D9D9" w:themeFill="background1" w:themeFillShade="D9"/>
            <w:vAlign w:val="center"/>
          </w:tcPr>
          <w:p w14:paraId="4B6659C5" w14:textId="521E47DF" w:rsidR="00757086" w:rsidRPr="001D64F1" w:rsidRDefault="00757086" w:rsidP="00757086">
            <w:pPr>
              <w:pStyle w:val="Tabletext"/>
              <w:keepNext/>
              <w:keepLines/>
              <w:rPr>
                <w:color w:val="000000"/>
                <w:szCs w:val="20"/>
              </w:rPr>
            </w:pPr>
            <w:r w:rsidRPr="001D64F1">
              <w:rPr>
                <w:b/>
                <w:bCs/>
                <w:color w:val="000000"/>
                <w:szCs w:val="20"/>
              </w:rPr>
              <w:t>Utility values: base case PF = 0.829, PD = 0.759 (from EV-302)</w:t>
            </w:r>
          </w:p>
        </w:tc>
      </w:tr>
      <w:tr w:rsidR="00757086" w:rsidRPr="00C11145" w14:paraId="73A360AF" w14:textId="77777777" w:rsidTr="00A63017">
        <w:tc>
          <w:tcPr>
            <w:tcW w:w="313" w:type="pct"/>
            <w:vAlign w:val="center"/>
          </w:tcPr>
          <w:p w14:paraId="23D2F464" w14:textId="161799F1" w:rsidR="00757086" w:rsidRPr="001D64F1" w:rsidRDefault="00757086" w:rsidP="00757086">
            <w:pPr>
              <w:pStyle w:val="Tabletext"/>
              <w:keepNext/>
              <w:keepLines/>
              <w:rPr>
                <w:color w:val="000000"/>
                <w:szCs w:val="20"/>
              </w:rPr>
            </w:pPr>
            <w:r w:rsidRPr="001D64F1">
              <w:rPr>
                <w:color w:val="000000"/>
                <w:szCs w:val="20"/>
              </w:rPr>
              <w:t>7</w:t>
            </w:r>
          </w:p>
        </w:tc>
        <w:tc>
          <w:tcPr>
            <w:tcW w:w="1964" w:type="pct"/>
            <w:vAlign w:val="center"/>
          </w:tcPr>
          <w:p w14:paraId="6EF66183" w14:textId="1A73AFC1" w:rsidR="00757086" w:rsidRPr="001D64F1" w:rsidRDefault="00757086" w:rsidP="00757086">
            <w:pPr>
              <w:pStyle w:val="Tabletext"/>
              <w:keepNext/>
              <w:keepLines/>
              <w:rPr>
                <w:color w:val="000000"/>
                <w:szCs w:val="20"/>
              </w:rPr>
            </w:pPr>
            <w:r w:rsidRPr="001D64F1">
              <w:rPr>
                <w:color w:val="000000"/>
                <w:szCs w:val="20"/>
              </w:rPr>
              <w:t>PF = 0.772, PD = 0.698 (considered by PBAC for maintenance avelumab submission)</w:t>
            </w:r>
          </w:p>
        </w:tc>
        <w:tc>
          <w:tcPr>
            <w:tcW w:w="550" w:type="pct"/>
            <w:vAlign w:val="center"/>
          </w:tcPr>
          <w:p w14:paraId="7D07DFD6" w14:textId="74EFEEEF" w:rsidR="00757086" w:rsidRPr="001D64F1" w:rsidRDefault="004C53B1" w:rsidP="00757086">
            <w:pPr>
              <w:pStyle w:val="Tabletext"/>
              <w:keepNext/>
              <w:keepLines/>
              <w:jc w:val="center"/>
              <w:rPr>
                <w:color w:val="000000"/>
                <w:szCs w:val="20"/>
              </w:rPr>
            </w:pPr>
            <w:r w:rsidRPr="004C53B1">
              <w:rPr>
                <w:rFonts w:hint="eastAsia"/>
                <w:color w:val="000000"/>
                <w:w w:val="22"/>
                <w:szCs w:val="20"/>
                <w:shd w:val="solid" w:color="000000" w:fill="000000"/>
                <w:fitText w:val="100" w:id="-761019891"/>
                <w14:textFill>
                  <w14:solidFill>
                    <w14:srgbClr w14:val="000000">
                      <w14:alpha w14:val="100000"/>
                    </w14:srgbClr>
                  </w14:solidFill>
                </w14:textFill>
              </w:rPr>
              <w:t xml:space="preserve">　</w:t>
            </w:r>
            <w:r w:rsidRPr="004C53B1">
              <w:rPr>
                <w:color w:val="000000"/>
                <w:w w:val="22"/>
                <w:szCs w:val="20"/>
                <w:shd w:val="solid" w:color="000000" w:fill="000000"/>
                <w:fitText w:val="100" w:id="-761019891"/>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891"/>
                <w14:textFill>
                  <w14:solidFill>
                    <w14:srgbClr w14:val="000000">
                      <w14:alpha w14:val="100000"/>
                    </w14:srgbClr>
                  </w14:solidFill>
                </w14:textFill>
              </w:rPr>
              <w:t xml:space="preserve">　</w:t>
            </w:r>
            <w:r w:rsidR="00BC547D" w:rsidRPr="00450C49">
              <w:rPr>
                <w:b/>
                <w:bCs/>
                <w:color w:val="000000"/>
                <w:szCs w:val="20"/>
                <w:vertAlign w:val="superscript"/>
              </w:rPr>
              <w:t>2</w:t>
            </w:r>
          </w:p>
        </w:tc>
        <w:tc>
          <w:tcPr>
            <w:tcW w:w="629" w:type="pct"/>
            <w:vAlign w:val="center"/>
          </w:tcPr>
          <w:p w14:paraId="322321AF" w14:textId="12B5710D" w:rsidR="00757086" w:rsidRPr="001D64F1" w:rsidRDefault="00853660" w:rsidP="00757086">
            <w:pPr>
              <w:pStyle w:val="Tabletext"/>
              <w:keepNext/>
              <w:keepLines/>
              <w:jc w:val="center"/>
              <w:rPr>
                <w:color w:val="000000"/>
                <w:szCs w:val="20"/>
              </w:rPr>
            </w:pP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c>
          <w:tcPr>
            <w:tcW w:w="865" w:type="pct"/>
            <w:shd w:val="solid" w:color="000000" w:fill="000000"/>
            <w:vAlign w:val="center"/>
          </w:tcPr>
          <w:p w14:paraId="08D003AE" w14:textId="0D75F1EA" w:rsidR="00757086" w:rsidRPr="001D64F1" w:rsidRDefault="004C53B1" w:rsidP="00757086">
            <w:pPr>
              <w:pStyle w:val="Tabletext"/>
              <w:keepNext/>
              <w:keepLines/>
              <w:jc w:val="center"/>
              <w:rPr>
                <w:color w:val="000000"/>
                <w:szCs w:val="20"/>
              </w:rPr>
            </w:pPr>
            <w:r w:rsidRPr="004C53B1">
              <w:rPr>
                <w:color w:val="000000"/>
                <w:szCs w:val="20"/>
                <w14:textFill>
                  <w14:solidFill>
                    <w14:srgbClr w14:val="000000">
                      <w14:alpha w14:val="100000"/>
                    </w14:srgbClr>
                  </w14:solidFill>
                </w14:textFill>
              </w:rPr>
              <w:t>|</w:t>
            </w:r>
          </w:p>
        </w:tc>
        <w:tc>
          <w:tcPr>
            <w:tcW w:w="679" w:type="pct"/>
            <w:vAlign w:val="center"/>
          </w:tcPr>
          <w:p w14:paraId="2F29DA2B" w14:textId="283E2AFC" w:rsidR="00757086" w:rsidRPr="001D64F1" w:rsidRDefault="00853660" w:rsidP="00757086">
            <w:pPr>
              <w:pStyle w:val="Tabletext"/>
              <w:keepNext/>
              <w:keepLines/>
              <w:jc w:val="center"/>
              <w:rPr>
                <w:color w:val="000000"/>
                <w:szCs w:val="20"/>
              </w:rPr>
            </w:pPr>
            <w:r w:rsidRPr="001D64F1">
              <w:rPr>
                <w:color w:val="000000"/>
                <w:szCs w:val="20"/>
              </w:rPr>
              <w:t>-</w:t>
            </w: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r>
      <w:tr w:rsidR="00757086" w:rsidRPr="00C11145" w14:paraId="40A1C901" w14:textId="77777777" w:rsidTr="00357EAE">
        <w:tc>
          <w:tcPr>
            <w:tcW w:w="5000" w:type="pct"/>
            <w:gridSpan w:val="6"/>
            <w:shd w:val="clear" w:color="auto" w:fill="D9D9D9" w:themeFill="background1" w:themeFillShade="D9"/>
            <w:vAlign w:val="center"/>
          </w:tcPr>
          <w:p w14:paraId="7A8E500C" w14:textId="77777777" w:rsidR="00757086" w:rsidRPr="001D64F1" w:rsidRDefault="00757086" w:rsidP="00757086">
            <w:pPr>
              <w:pStyle w:val="Tabletext"/>
              <w:keepNext/>
              <w:keepLines/>
              <w:rPr>
                <w:rFonts w:cs="Calibri"/>
                <w:b/>
                <w:bCs/>
                <w:color w:val="000000"/>
                <w:szCs w:val="20"/>
              </w:rPr>
            </w:pPr>
            <w:r w:rsidRPr="001D64F1">
              <w:rPr>
                <w:b/>
                <w:bCs/>
                <w:color w:val="000000"/>
                <w:szCs w:val="20"/>
              </w:rPr>
              <w:t>Treatment duration of maintenance avelumab: base case = Weibull extrapolation fitted to EV-302 data</w:t>
            </w:r>
          </w:p>
        </w:tc>
      </w:tr>
      <w:tr w:rsidR="00757086" w:rsidRPr="00C11145" w14:paraId="6175E898" w14:textId="77777777" w:rsidTr="00A63017">
        <w:tc>
          <w:tcPr>
            <w:tcW w:w="313" w:type="pct"/>
            <w:vAlign w:val="center"/>
          </w:tcPr>
          <w:p w14:paraId="19A913E4" w14:textId="69D6CD7C" w:rsidR="00757086" w:rsidRPr="001D64F1" w:rsidRDefault="00757086" w:rsidP="00757086">
            <w:pPr>
              <w:pStyle w:val="Tabletext"/>
              <w:keepNext/>
              <w:keepLines/>
              <w:rPr>
                <w:szCs w:val="20"/>
              </w:rPr>
            </w:pPr>
            <w:r w:rsidRPr="001D64F1">
              <w:rPr>
                <w:color w:val="000000"/>
                <w:szCs w:val="20"/>
              </w:rPr>
              <w:t>8</w:t>
            </w:r>
          </w:p>
        </w:tc>
        <w:tc>
          <w:tcPr>
            <w:tcW w:w="1964" w:type="pct"/>
            <w:vAlign w:val="center"/>
          </w:tcPr>
          <w:p w14:paraId="066CD438" w14:textId="77777777" w:rsidR="00757086" w:rsidRPr="001D64F1" w:rsidRDefault="00757086" w:rsidP="00757086">
            <w:pPr>
              <w:pStyle w:val="Tabletext"/>
              <w:keepNext/>
              <w:keepLines/>
              <w:rPr>
                <w:szCs w:val="20"/>
              </w:rPr>
            </w:pPr>
            <w:r w:rsidRPr="001D64F1">
              <w:rPr>
                <w:color w:val="000000"/>
                <w:szCs w:val="20"/>
              </w:rPr>
              <w:t>Exponential function fitted to EV-302 data</w:t>
            </w:r>
          </w:p>
        </w:tc>
        <w:tc>
          <w:tcPr>
            <w:tcW w:w="550" w:type="pct"/>
            <w:vAlign w:val="center"/>
          </w:tcPr>
          <w:p w14:paraId="18161946" w14:textId="4325C98D" w:rsidR="00757086" w:rsidRPr="001D64F1" w:rsidRDefault="00757086" w:rsidP="00757086">
            <w:pPr>
              <w:pStyle w:val="Tabletext"/>
              <w:keepNext/>
              <w:keepLines/>
              <w:jc w:val="center"/>
              <w:rPr>
                <w:szCs w:val="20"/>
              </w:rPr>
            </w:pPr>
            <w:r w:rsidRPr="001D64F1">
              <w:rPr>
                <w:color w:val="000000"/>
                <w:szCs w:val="20"/>
              </w:rPr>
              <w:t>$</w:t>
            </w:r>
            <w:r w:rsidR="004C53B1" w:rsidRPr="004C53B1">
              <w:rPr>
                <w:color w:val="000000"/>
                <w:spacing w:val="94"/>
                <w:szCs w:val="20"/>
                <w:shd w:val="solid" w:color="000000" w:fill="000000"/>
                <w:fitText w:val="180" w:id="-761019890"/>
                <w14:textFill>
                  <w14:solidFill>
                    <w14:srgbClr w14:val="000000">
                      <w14:alpha w14:val="100000"/>
                    </w14:srgbClr>
                  </w14:solidFill>
                </w14:textFill>
              </w:rPr>
              <w:t>|</w:t>
            </w:r>
            <w:r w:rsidR="004C53B1" w:rsidRPr="004C53B1">
              <w:rPr>
                <w:color w:val="000000"/>
                <w:spacing w:val="1"/>
                <w:szCs w:val="20"/>
                <w:shd w:val="solid" w:color="000000" w:fill="000000"/>
                <w:fitText w:val="180" w:id="-761019890"/>
                <w14:textFill>
                  <w14:solidFill>
                    <w14:srgbClr w14:val="000000">
                      <w14:alpha w14:val="100000"/>
                    </w14:srgbClr>
                  </w14:solidFill>
                </w14:textFill>
              </w:rPr>
              <w:t>|</w:t>
            </w:r>
            <w:r w:rsidR="00BC547D" w:rsidRPr="00450C49">
              <w:rPr>
                <w:b/>
                <w:bCs/>
                <w:color w:val="000000"/>
                <w:szCs w:val="20"/>
                <w:vertAlign w:val="superscript"/>
              </w:rPr>
              <w:t>2</w:t>
            </w:r>
          </w:p>
        </w:tc>
        <w:tc>
          <w:tcPr>
            <w:tcW w:w="629" w:type="pct"/>
            <w:vAlign w:val="center"/>
          </w:tcPr>
          <w:p w14:paraId="22D45D5C" w14:textId="1080169B" w:rsidR="00757086" w:rsidRPr="001D64F1" w:rsidRDefault="00853660" w:rsidP="00757086">
            <w:pPr>
              <w:pStyle w:val="Tabletext"/>
              <w:keepNext/>
              <w:keepLines/>
              <w:jc w:val="center"/>
              <w:rPr>
                <w:szCs w:val="20"/>
              </w:rPr>
            </w:pP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c>
          <w:tcPr>
            <w:tcW w:w="865" w:type="pct"/>
            <w:shd w:val="solid" w:color="000000" w:fill="000000"/>
            <w:vAlign w:val="center"/>
          </w:tcPr>
          <w:p w14:paraId="480E5E79" w14:textId="28F8A168" w:rsidR="00757086" w:rsidRPr="001D64F1" w:rsidRDefault="004C53B1" w:rsidP="00757086">
            <w:pPr>
              <w:pStyle w:val="Tabletext"/>
              <w:keepNext/>
              <w:keepLines/>
              <w:jc w:val="center"/>
              <w:rPr>
                <w:rFonts w:cs="Calibri"/>
                <w:color w:val="000000"/>
                <w:szCs w:val="20"/>
              </w:rPr>
            </w:pPr>
            <w:r w:rsidRPr="004C53B1">
              <w:rPr>
                <w:color w:val="000000"/>
                <w:szCs w:val="20"/>
                <w14:textFill>
                  <w14:solidFill>
                    <w14:srgbClr w14:val="000000">
                      <w14:alpha w14:val="100000"/>
                    </w14:srgbClr>
                  </w14:solidFill>
                </w14:textFill>
              </w:rPr>
              <w:t>|</w:t>
            </w:r>
          </w:p>
        </w:tc>
        <w:tc>
          <w:tcPr>
            <w:tcW w:w="679" w:type="pct"/>
            <w:vAlign w:val="center"/>
          </w:tcPr>
          <w:p w14:paraId="6A4B2FCE" w14:textId="531F3054" w:rsidR="00757086" w:rsidRPr="001D64F1" w:rsidRDefault="00853660" w:rsidP="00757086">
            <w:pPr>
              <w:pStyle w:val="Tabletext"/>
              <w:keepNext/>
              <w:keepLines/>
              <w:jc w:val="center"/>
              <w:rPr>
                <w:rFonts w:cs="Calibri"/>
                <w:color w:val="000000"/>
                <w:szCs w:val="20"/>
              </w:rPr>
            </w:pPr>
            <w:r w:rsidRPr="001D64F1">
              <w:rPr>
                <w:color w:val="000000"/>
                <w:szCs w:val="20"/>
              </w:rPr>
              <w:t>-</w:t>
            </w: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r>
      <w:tr w:rsidR="00757086" w:rsidRPr="00C11145" w14:paraId="0DA92A8F" w14:textId="77777777" w:rsidTr="00357EAE">
        <w:tc>
          <w:tcPr>
            <w:tcW w:w="5000" w:type="pct"/>
            <w:gridSpan w:val="6"/>
            <w:shd w:val="clear" w:color="auto" w:fill="D9D9D9" w:themeFill="background1" w:themeFillShade="D9"/>
            <w:vAlign w:val="center"/>
          </w:tcPr>
          <w:p w14:paraId="5199A058" w14:textId="77777777" w:rsidR="00757086" w:rsidRPr="001D64F1" w:rsidRDefault="00757086" w:rsidP="00757086">
            <w:pPr>
              <w:pStyle w:val="Tabletext"/>
              <w:keepNext/>
              <w:keepLines/>
              <w:rPr>
                <w:b/>
                <w:bCs/>
                <w:color w:val="000000"/>
                <w:szCs w:val="20"/>
              </w:rPr>
            </w:pPr>
            <w:r w:rsidRPr="001D64F1">
              <w:rPr>
                <w:b/>
                <w:bCs/>
                <w:color w:val="000000"/>
                <w:szCs w:val="20"/>
              </w:rPr>
              <w:t>MBS costs: base case includes prices that have been updated</w:t>
            </w:r>
          </w:p>
        </w:tc>
      </w:tr>
      <w:tr w:rsidR="00757086" w:rsidRPr="00C11145" w14:paraId="306CDE06" w14:textId="77777777" w:rsidTr="00A63017">
        <w:tc>
          <w:tcPr>
            <w:tcW w:w="313" w:type="pct"/>
            <w:vAlign w:val="center"/>
          </w:tcPr>
          <w:p w14:paraId="2DD27A94" w14:textId="6CE227B5" w:rsidR="00757086" w:rsidRPr="001D64F1" w:rsidRDefault="00757086" w:rsidP="00757086">
            <w:pPr>
              <w:pStyle w:val="Tabletext"/>
              <w:keepNext/>
              <w:keepLines/>
              <w:rPr>
                <w:szCs w:val="20"/>
              </w:rPr>
            </w:pPr>
            <w:r w:rsidRPr="001D64F1">
              <w:rPr>
                <w:color w:val="000000"/>
                <w:szCs w:val="20"/>
              </w:rPr>
              <w:t>9</w:t>
            </w:r>
          </w:p>
        </w:tc>
        <w:tc>
          <w:tcPr>
            <w:tcW w:w="1964" w:type="pct"/>
            <w:vAlign w:val="center"/>
          </w:tcPr>
          <w:p w14:paraId="7EB5564E" w14:textId="77777777" w:rsidR="00757086" w:rsidRPr="001D64F1" w:rsidRDefault="00757086" w:rsidP="00757086">
            <w:pPr>
              <w:pStyle w:val="Tabletext"/>
              <w:keepNext/>
              <w:keepLines/>
              <w:rPr>
                <w:szCs w:val="20"/>
              </w:rPr>
            </w:pPr>
            <w:r w:rsidRPr="001D64F1">
              <w:rPr>
                <w:color w:val="000000"/>
                <w:szCs w:val="20"/>
              </w:rPr>
              <w:t>Updated prices (1/7/2024)</w:t>
            </w:r>
          </w:p>
        </w:tc>
        <w:tc>
          <w:tcPr>
            <w:tcW w:w="550" w:type="pct"/>
            <w:vAlign w:val="center"/>
          </w:tcPr>
          <w:p w14:paraId="0DBCE6AD" w14:textId="3B8C014C" w:rsidR="00757086" w:rsidRPr="001D64F1" w:rsidRDefault="004C53B1" w:rsidP="00757086">
            <w:pPr>
              <w:pStyle w:val="Tabletext"/>
              <w:keepNext/>
              <w:keepLines/>
              <w:jc w:val="center"/>
              <w:rPr>
                <w:color w:val="000000"/>
                <w:szCs w:val="20"/>
              </w:rPr>
            </w:pPr>
            <w:r w:rsidRPr="004C53B1">
              <w:rPr>
                <w:rFonts w:hint="eastAsia"/>
                <w:color w:val="000000"/>
                <w:w w:val="22"/>
                <w:szCs w:val="20"/>
                <w:shd w:val="solid" w:color="000000" w:fill="000000"/>
                <w:fitText w:val="100" w:id="-761019889"/>
                <w14:textFill>
                  <w14:solidFill>
                    <w14:srgbClr w14:val="000000">
                      <w14:alpha w14:val="100000"/>
                    </w14:srgbClr>
                  </w14:solidFill>
                </w14:textFill>
              </w:rPr>
              <w:t xml:space="preserve">　</w:t>
            </w:r>
            <w:r w:rsidRPr="004C53B1">
              <w:rPr>
                <w:color w:val="000000"/>
                <w:w w:val="22"/>
                <w:szCs w:val="20"/>
                <w:shd w:val="solid" w:color="000000" w:fill="000000"/>
                <w:fitText w:val="100" w:id="-761019889"/>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889"/>
                <w14:textFill>
                  <w14:solidFill>
                    <w14:srgbClr w14:val="000000">
                      <w14:alpha w14:val="100000"/>
                    </w14:srgbClr>
                  </w14:solidFill>
                </w14:textFill>
              </w:rPr>
              <w:t xml:space="preserve">　</w:t>
            </w:r>
            <w:r w:rsidR="00BC547D" w:rsidRPr="00450C49">
              <w:rPr>
                <w:b/>
                <w:bCs/>
                <w:color w:val="000000"/>
                <w:szCs w:val="20"/>
                <w:vertAlign w:val="superscript"/>
              </w:rPr>
              <w:t>2</w:t>
            </w:r>
          </w:p>
        </w:tc>
        <w:tc>
          <w:tcPr>
            <w:tcW w:w="629" w:type="pct"/>
            <w:vAlign w:val="center"/>
          </w:tcPr>
          <w:p w14:paraId="22EA2389" w14:textId="3E238DF0" w:rsidR="00757086" w:rsidRPr="001D64F1" w:rsidRDefault="00853660" w:rsidP="00757086">
            <w:pPr>
              <w:pStyle w:val="Tabletext"/>
              <w:keepNext/>
              <w:keepLines/>
              <w:jc w:val="center"/>
              <w:rPr>
                <w:color w:val="000000"/>
                <w:szCs w:val="20"/>
              </w:rPr>
            </w:pP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c>
          <w:tcPr>
            <w:tcW w:w="865" w:type="pct"/>
            <w:shd w:val="solid" w:color="000000" w:fill="000000"/>
            <w:vAlign w:val="center"/>
          </w:tcPr>
          <w:p w14:paraId="0B620A73" w14:textId="3B54DA3A" w:rsidR="00757086" w:rsidRPr="001D64F1" w:rsidRDefault="004C53B1" w:rsidP="00757086">
            <w:pPr>
              <w:pStyle w:val="Tabletext"/>
              <w:keepNext/>
              <w:keepLines/>
              <w:jc w:val="center"/>
              <w:rPr>
                <w:color w:val="000000"/>
                <w:szCs w:val="20"/>
              </w:rPr>
            </w:pPr>
            <w:r w:rsidRPr="004C53B1">
              <w:rPr>
                <w:color w:val="000000"/>
                <w:szCs w:val="20"/>
                <w14:textFill>
                  <w14:solidFill>
                    <w14:srgbClr w14:val="000000">
                      <w14:alpha w14:val="100000"/>
                    </w14:srgbClr>
                  </w14:solidFill>
                </w14:textFill>
              </w:rPr>
              <w:t>|</w:t>
            </w:r>
          </w:p>
        </w:tc>
        <w:tc>
          <w:tcPr>
            <w:tcW w:w="679" w:type="pct"/>
            <w:vAlign w:val="center"/>
          </w:tcPr>
          <w:p w14:paraId="4B37A2C9" w14:textId="5246E75A" w:rsidR="00757086" w:rsidRPr="001D64F1" w:rsidRDefault="00853660" w:rsidP="00757086">
            <w:pPr>
              <w:pStyle w:val="Tabletext"/>
              <w:keepNext/>
              <w:keepLines/>
              <w:jc w:val="center"/>
              <w:rPr>
                <w:color w:val="000000"/>
                <w:szCs w:val="20"/>
              </w:rPr>
            </w:pPr>
            <w:r w:rsidRPr="001D64F1">
              <w:rPr>
                <w:color w:val="000000"/>
                <w:szCs w:val="20"/>
              </w:rPr>
              <w:t>-</w:t>
            </w: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r>
      <w:tr w:rsidR="00757086" w:rsidRPr="00C11145" w14:paraId="00122952" w14:textId="77777777" w:rsidTr="00357EAE">
        <w:tc>
          <w:tcPr>
            <w:tcW w:w="5000" w:type="pct"/>
            <w:gridSpan w:val="6"/>
            <w:shd w:val="clear" w:color="auto" w:fill="D9D9D9" w:themeFill="background1" w:themeFillShade="D9"/>
            <w:vAlign w:val="center"/>
          </w:tcPr>
          <w:p w14:paraId="5B8E6053" w14:textId="77777777" w:rsidR="00757086" w:rsidRPr="001D64F1" w:rsidRDefault="00757086" w:rsidP="00757086">
            <w:pPr>
              <w:pStyle w:val="Tabletext"/>
              <w:keepNext/>
              <w:keepLines/>
              <w:rPr>
                <w:b/>
                <w:bCs/>
                <w:color w:val="000000"/>
                <w:szCs w:val="20"/>
              </w:rPr>
            </w:pPr>
            <w:r w:rsidRPr="001D64F1">
              <w:rPr>
                <w:b/>
                <w:bCs/>
                <w:color w:val="000000"/>
                <w:szCs w:val="20"/>
              </w:rPr>
              <w:t xml:space="preserve">Proportion of patients receiving subsequent therapies: base case = EV+PEM arm 30.5%, </w:t>
            </w:r>
            <w:proofErr w:type="spellStart"/>
            <w:r w:rsidRPr="001D64F1">
              <w:rPr>
                <w:b/>
                <w:bCs/>
                <w:color w:val="000000"/>
                <w:szCs w:val="20"/>
              </w:rPr>
              <w:t>Plat+Gem</w:t>
            </w:r>
            <w:proofErr w:type="spellEnd"/>
            <w:r w:rsidRPr="001D64F1">
              <w:rPr>
                <w:b/>
                <w:bCs/>
                <w:color w:val="000000"/>
                <w:szCs w:val="20"/>
              </w:rPr>
              <w:t xml:space="preserve"> arm 48%</w:t>
            </w:r>
          </w:p>
        </w:tc>
      </w:tr>
      <w:tr w:rsidR="00757086" w:rsidRPr="00C11145" w14:paraId="362F0A18" w14:textId="77777777" w:rsidTr="00A63017">
        <w:tc>
          <w:tcPr>
            <w:tcW w:w="313" w:type="pct"/>
            <w:vAlign w:val="center"/>
          </w:tcPr>
          <w:p w14:paraId="53C7E81C" w14:textId="77E6C759" w:rsidR="00757086" w:rsidRPr="001D64F1" w:rsidRDefault="00757086" w:rsidP="00757086">
            <w:pPr>
              <w:pStyle w:val="Tabletext"/>
              <w:keepNext/>
              <w:keepLines/>
              <w:rPr>
                <w:szCs w:val="20"/>
              </w:rPr>
            </w:pPr>
            <w:r w:rsidRPr="001D64F1">
              <w:rPr>
                <w:color w:val="000000"/>
                <w:szCs w:val="20"/>
              </w:rPr>
              <w:t>10</w:t>
            </w:r>
          </w:p>
        </w:tc>
        <w:tc>
          <w:tcPr>
            <w:tcW w:w="1964" w:type="pct"/>
            <w:vAlign w:val="center"/>
          </w:tcPr>
          <w:p w14:paraId="3720524A" w14:textId="0B7DB297" w:rsidR="00757086" w:rsidRPr="001D64F1" w:rsidRDefault="00757086" w:rsidP="00757086">
            <w:pPr>
              <w:pStyle w:val="Tabletext"/>
              <w:keepNext/>
              <w:keepLines/>
              <w:rPr>
                <w:szCs w:val="20"/>
              </w:rPr>
            </w:pPr>
            <w:r w:rsidRPr="001D64F1">
              <w:rPr>
                <w:color w:val="000000"/>
                <w:szCs w:val="20"/>
              </w:rPr>
              <w:t xml:space="preserve">Subsequent therapies are recalculated as a proportion of patients who had progressed (EV+PEM 60.5%, </w:t>
            </w:r>
            <w:proofErr w:type="spellStart"/>
            <w:r w:rsidRPr="001D64F1">
              <w:rPr>
                <w:color w:val="000000"/>
                <w:szCs w:val="20"/>
              </w:rPr>
              <w:t>Plat+Gem</w:t>
            </w:r>
            <w:proofErr w:type="spellEnd"/>
            <w:r w:rsidRPr="001D64F1">
              <w:rPr>
                <w:color w:val="000000"/>
                <w:szCs w:val="20"/>
              </w:rPr>
              <w:t xml:space="preserve"> 69.4%) </w:t>
            </w:r>
          </w:p>
        </w:tc>
        <w:tc>
          <w:tcPr>
            <w:tcW w:w="550" w:type="pct"/>
            <w:vAlign w:val="center"/>
          </w:tcPr>
          <w:p w14:paraId="6E01B95F" w14:textId="532BD0CC" w:rsidR="00757086" w:rsidRPr="001D64F1" w:rsidRDefault="004C53B1" w:rsidP="00757086">
            <w:pPr>
              <w:pStyle w:val="Tabletext"/>
              <w:keepNext/>
              <w:keepLines/>
              <w:jc w:val="center"/>
              <w:rPr>
                <w:color w:val="000000"/>
                <w:szCs w:val="20"/>
              </w:rPr>
            </w:pPr>
            <w:r w:rsidRPr="004C53B1">
              <w:rPr>
                <w:rFonts w:hint="eastAsia"/>
                <w:color w:val="000000"/>
                <w:w w:val="22"/>
                <w:szCs w:val="20"/>
                <w:shd w:val="solid" w:color="000000" w:fill="000000"/>
                <w:fitText w:val="100" w:id="-761019888"/>
                <w14:textFill>
                  <w14:solidFill>
                    <w14:srgbClr w14:val="000000">
                      <w14:alpha w14:val="100000"/>
                    </w14:srgbClr>
                  </w14:solidFill>
                </w14:textFill>
              </w:rPr>
              <w:t xml:space="preserve">　</w:t>
            </w:r>
            <w:r w:rsidRPr="004C53B1">
              <w:rPr>
                <w:color w:val="000000"/>
                <w:w w:val="22"/>
                <w:szCs w:val="20"/>
                <w:shd w:val="solid" w:color="000000" w:fill="000000"/>
                <w:fitText w:val="100" w:id="-761019888"/>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888"/>
                <w14:textFill>
                  <w14:solidFill>
                    <w14:srgbClr w14:val="000000">
                      <w14:alpha w14:val="100000"/>
                    </w14:srgbClr>
                  </w14:solidFill>
                </w14:textFill>
              </w:rPr>
              <w:t xml:space="preserve">　</w:t>
            </w:r>
            <w:r w:rsidR="00BC547D" w:rsidRPr="00450C49">
              <w:rPr>
                <w:b/>
                <w:bCs/>
                <w:color w:val="000000"/>
                <w:szCs w:val="20"/>
                <w:vertAlign w:val="superscript"/>
              </w:rPr>
              <w:t>2</w:t>
            </w:r>
          </w:p>
        </w:tc>
        <w:tc>
          <w:tcPr>
            <w:tcW w:w="629" w:type="pct"/>
            <w:vAlign w:val="center"/>
          </w:tcPr>
          <w:p w14:paraId="53315F35" w14:textId="2A5357EC" w:rsidR="00757086" w:rsidRPr="001D64F1" w:rsidRDefault="00853660" w:rsidP="00757086">
            <w:pPr>
              <w:pStyle w:val="Tabletext"/>
              <w:keepNext/>
              <w:keepLines/>
              <w:jc w:val="center"/>
              <w:rPr>
                <w:color w:val="000000"/>
                <w:szCs w:val="20"/>
              </w:rPr>
            </w:pPr>
            <w:r w:rsidRPr="001D64F1">
              <w:rPr>
                <w:color w:val="000000"/>
                <w:szCs w:val="20"/>
              </w:rPr>
              <w:t>-</w:t>
            </w: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c>
          <w:tcPr>
            <w:tcW w:w="865" w:type="pct"/>
            <w:shd w:val="solid" w:color="000000" w:fill="000000"/>
            <w:vAlign w:val="center"/>
          </w:tcPr>
          <w:p w14:paraId="281E4B19" w14:textId="415E6872" w:rsidR="00757086" w:rsidRPr="001D64F1" w:rsidRDefault="004C53B1" w:rsidP="00757086">
            <w:pPr>
              <w:pStyle w:val="Tabletext"/>
              <w:keepNext/>
              <w:keepLines/>
              <w:jc w:val="center"/>
              <w:rPr>
                <w:color w:val="000000"/>
                <w:szCs w:val="20"/>
              </w:rPr>
            </w:pPr>
            <w:r w:rsidRPr="004C53B1">
              <w:rPr>
                <w:color w:val="000000"/>
                <w:szCs w:val="20"/>
                <w14:textFill>
                  <w14:solidFill>
                    <w14:srgbClr w14:val="000000">
                      <w14:alpha w14:val="100000"/>
                    </w14:srgbClr>
                  </w14:solidFill>
                </w14:textFill>
              </w:rPr>
              <w:t>|</w:t>
            </w:r>
          </w:p>
        </w:tc>
        <w:tc>
          <w:tcPr>
            <w:tcW w:w="679" w:type="pct"/>
            <w:vAlign w:val="center"/>
          </w:tcPr>
          <w:p w14:paraId="2D33C591" w14:textId="51AE50DB" w:rsidR="00757086" w:rsidRPr="001D64F1" w:rsidRDefault="00853660" w:rsidP="00757086">
            <w:pPr>
              <w:pStyle w:val="Tabletext"/>
              <w:keepNext/>
              <w:keepLines/>
              <w:jc w:val="center"/>
              <w:rPr>
                <w:color w:val="000000"/>
                <w:szCs w:val="20"/>
              </w:rPr>
            </w:pP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r>
      <w:tr w:rsidR="00757086" w:rsidRPr="00C11145" w14:paraId="185C1189" w14:textId="77777777" w:rsidTr="00357EAE">
        <w:tc>
          <w:tcPr>
            <w:tcW w:w="5000" w:type="pct"/>
            <w:gridSpan w:val="6"/>
            <w:shd w:val="clear" w:color="auto" w:fill="D9D9D9" w:themeFill="background1" w:themeFillShade="D9"/>
            <w:vAlign w:val="center"/>
          </w:tcPr>
          <w:p w14:paraId="45A2F9F5" w14:textId="77777777" w:rsidR="00757086" w:rsidRPr="001D64F1" w:rsidRDefault="00757086" w:rsidP="00757086">
            <w:pPr>
              <w:pStyle w:val="Tabletext"/>
              <w:keepNext/>
              <w:keepLines/>
              <w:rPr>
                <w:b/>
                <w:bCs/>
                <w:color w:val="000000"/>
                <w:szCs w:val="20"/>
              </w:rPr>
            </w:pPr>
            <w:r w:rsidRPr="001D64F1">
              <w:rPr>
                <w:b/>
                <w:bCs/>
                <w:color w:val="000000"/>
                <w:szCs w:val="20"/>
              </w:rPr>
              <w:t>Relative dose of pembrolizumab in later line: base case = 100%</w:t>
            </w:r>
          </w:p>
        </w:tc>
      </w:tr>
      <w:tr w:rsidR="00757086" w:rsidRPr="00C11145" w14:paraId="00DD6FF3" w14:textId="77777777" w:rsidTr="00A63017">
        <w:tc>
          <w:tcPr>
            <w:tcW w:w="313" w:type="pct"/>
            <w:vAlign w:val="center"/>
          </w:tcPr>
          <w:p w14:paraId="1F196CF8" w14:textId="25F22CCB" w:rsidR="00757086" w:rsidRPr="001D64F1" w:rsidRDefault="00757086" w:rsidP="00757086">
            <w:pPr>
              <w:pStyle w:val="Tabletext"/>
              <w:keepNext/>
              <w:keepLines/>
              <w:rPr>
                <w:szCs w:val="20"/>
              </w:rPr>
            </w:pPr>
            <w:r w:rsidRPr="001D64F1">
              <w:rPr>
                <w:color w:val="000000"/>
                <w:szCs w:val="20"/>
              </w:rPr>
              <w:t>11</w:t>
            </w:r>
          </w:p>
        </w:tc>
        <w:tc>
          <w:tcPr>
            <w:tcW w:w="1964" w:type="pct"/>
            <w:vAlign w:val="center"/>
          </w:tcPr>
          <w:p w14:paraId="2D76226A" w14:textId="77777777" w:rsidR="00757086" w:rsidRPr="001D64F1" w:rsidRDefault="00757086" w:rsidP="00757086">
            <w:pPr>
              <w:pStyle w:val="Tabletext"/>
              <w:keepNext/>
              <w:keepLines/>
              <w:rPr>
                <w:szCs w:val="20"/>
              </w:rPr>
            </w:pPr>
            <w:r w:rsidRPr="001D64F1">
              <w:rPr>
                <w:color w:val="000000"/>
                <w:szCs w:val="20"/>
              </w:rPr>
              <w:t>Pembrolizumab later line RDI = 92.3% (same as 1L)</w:t>
            </w:r>
          </w:p>
        </w:tc>
        <w:tc>
          <w:tcPr>
            <w:tcW w:w="550" w:type="pct"/>
            <w:vAlign w:val="center"/>
          </w:tcPr>
          <w:p w14:paraId="2812F874" w14:textId="7D31FA15" w:rsidR="00757086" w:rsidRPr="001D64F1" w:rsidRDefault="004C53B1" w:rsidP="00757086">
            <w:pPr>
              <w:pStyle w:val="Tabletext"/>
              <w:keepNext/>
              <w:keepLines/>
              <w:jc w:val="center"/>
              <w:rPr>
                <w:color w:val="000000"/>
                <w:szCs w:val="20"/>
              </w:rPr>
            </w:pPr>
            <w:r w:rsidRPr="004C53B1">
              <w:rPr>
                <w:rFonts w:hint="eastAsia"/>
                <w:color w:val="000000"/>
                <w:w w:val="22"/>
                <w:szCs w:val="20"/>
                <w:shd w:val="solid" w:color="000000" w:fill="000000"/>
                <w:fitText w:val="100" w:id="-761019904"/>
                <w14:textFill>
                  <w14:solidFill>
                    <w14:srgbClr w14:val="000000">
                      <w14:alpha w14:val="100000"/>
                    </w14:srgbClr>
                  </w14:solidFill>
                </w14:textFill>
              </w:rPr>
              <w:t xml:space="preserve">　</w:t>
            </w:r>
            <w:r w:rsidRPr="004C53B1">
              <w:rPr>
                <w:color w:val="000000"/>
                <w:w w:val="22"/>
                <w:szCs w:val="20"/>
                <w:shd w:val="solid" w:color="000000" w:fill="000000"/>
                <w:fitText w:val="100" w:id="-761019904"/>
                <w14:textFill>
                  <w14:solidFill>
                    <w14:srgbClr w14:val="000000">
                      <w14:alpha w14:val="100000"/>
                    </w14:srgbClr>
                  </w14:solidFill>
                </w14:textFill>
              </w:rPr>
              <w:t>|</w:t>
            </w:r>
            <w:r w:rsidRPr="004C53B1">
              <w:rPr>
                <w:rFonts w:hint="eastAsia"/>
                <w:color w:val="000000"/>
                <w:spacing w:val="3"/>
                <w:w w:val="22"/>
                <w:szCs w:val="20"/>
                <w:shd w:val="solid" w:color="000000" w:fill="000000"/>
                <w:fitText w:val="100" w:id="-761019904"/>
                <w14:textFill>
                  <w14:solidFill>
                    <w14:srgbClr w14:val="000000">
                      <w14:alpha w14:val="100000"/>
                    </w14:srgbClr>
                  </w14:solidFill>
                </w14:textFill>
              </w:rPr>
              <w:t xml:space="preserve">　</w:t>
            </w:r>
            <w:r w:rsidR="00BC547D" w:rsidRPr="00450C49">
              <w:rPr>
                <w:b/>
                <w:bCs/>
                <w:color w:val="000000"/>
                <w:szCs w:val="20"/>
                <w:vertAlign w:val="superscript"/>
              </w:rPr>
              <w:t>2</w:t>
            </w:r>
          </w:p>
        </w:tc>
        <w:tc>
          <w:tcPr>
            <w:tcW w:w="629" w:type="pct"/>
            <w:vAlign w:val="center"/>
          </w:tcPr>
          <w:p w14:paraId="7AD2399A" w14:textId="768AA372" w:rsidR="00757086" w:rsidRPr="001D64F1" w:rsidRDefault="00853660" w:rsidP="00757086">
            <w:pPr>
              <w:pStyle w:val="Tabletext"/>
              <w:keepNext/>
              <w:keepLines/>
              <w:jc w:val="center"/>
              <w:rPr>
                <w:color w:val="000000"/>
                <w:szCs w:val="20"/>
              </w:rPr>
            </w:pP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c>
          <w:tcPr>
            <w:tcW w:w="865" w:type="pct"/>
            <w:shd w:val="solid" w:color="000000" w:fill="000000"/>
            <w:vAlign w:val="center"/>
          </w:tcPr>
          <w:p w14:paraId="6DF8C360" w14:textId="4F033F09" w:rsidR="00757086" w:rsidRPr="001D64F1" w:rsidRDefault="004C53B1" w:rsidP="00757086">
            <w:pPr>
              <w:pStyle w:val="Tabletext"/>
              <w:keepNext/>
              <w:keepLines/>
              <w:jc w:val="center"/>
              <w:rPr>
                <w:color w:val="000000"/>
                <w:szCs w:val="20"/>
              </w:rPr>
            </w:pPr>
            <w:r w:rsidRPr="004C53B1">
              <w:rPr>
                <w:color w:val="000000"/>
                <w:szCs w:val="20"/>
                <w14:textFill>
                  <w14:solidFill>
                    <w14:srgbClr w14:val="000000">
                      <w14:alpha w14:val="100000"/>
                    </w14:srgbClr>
                  </w14:solidFill>
                </w14:textFill>
              </w:rPr>
              <w:t>|</w:t>
            </w:r>
          </w:p>
        </w:tc>
        <w:tc>
          <w:tcPr>
            <w:tcW w:w="679" w:type="pct"/>
            <w:vAlign w:val="center"/>
          </w:tcPr>
          <w:p w14:paraId="7B6C3295" w14:textId="4D647B21" w:rsidR="00757086" w:rsidRPr="001D64F1" w:rsidRDefault="00853660" w:rsidP="00757086">
            <w:pPr>
              <w:pStyle w:val="Tabletext"/>
              <w:keepNext/>
              <w:keepLines/>
              <w:jc w:val="center"/>
              <w:rPr>
                <w:color w:val="000000"/>
                <w:szCs w:val="20"/>
              </w:rPr>
            </w:pPr>
            <w:r w:rsidRPr="001D64F1">
              <w:rPr>
                <w:color w:val="000000"/>
                <w:szCs w:val="20"/>
              </w:rPr>
              <w:t>-</w:t>
            </w:r>
            <w:r w:rsidRPr="004C53B1">
              <w:rPr>
                <w:rFonts w:hint="eastAsia"/>
                <w:b/>
                <w:bCs/>
                <w:color w:val="000000"/>
                <w:w w:val="31"/>
                <w:szCs w:val="20"/>
                <w:shd w:val="solid" w:color="000000" w:fill="000000"/>
                <w:fitText w:val="140" w:id="-761019902"/>
                <w14:textFill>
                  <w14:solidFill>
                    <w14:srgbClr w14:val="000000">
                      <w14:alpha w14:val="100000"/>
                    </w14:srgbClr>
                  </w14:solidFill>
                </w14:textFill>
              </w:rPr>
              <w:t xml:space="preserve">　</w:t>
            </w:r>
            <w:r w:rsidRPr="004C53B1">
              <w:rPr>
                <w:b/>
                <w:bCs/>
                <w:color w:val="000000"/>
                <w:w w:val="31"/>
                <w:szCs w:val="20"/>
                <w:shd w:val="solid" w:color="000000" w:fill="000000"/>
                <w:fitText w:val="140" w:id="-761019902"/>
                <w14:textFill>
                  <w14:solidFill>
                    <w14:srgbClr w14:val="000000">
                      <w14:alpha w14:val="100000"/>
                    </w14:srgbClr>
                  </w14:solidFill>
                </w14:textFill>
              </w:rPr>
              <w:t>|</w:t>
            </w:r>
            <w:r w:rsidRPr="004C53B1">
              <w:rPr>
                <w:rFonts w:hint="eastAsia"/>
                <w:b/>
                <w:bCs/>
                <w:color w:val="000000"/>
                <w:spacing w:val="3"/>
                <w:w w:val="31"/>
                <w:szCs w:val="20"/>
                <w:shd w:val="solid" w:color="000000" w:fill="000000"/>
                <w:fitText w:val="140" w:id="-761019902"/>
                <w14:textFill>
                  <w14:solidFill>
                    <w14:srgbClr w14:val="000000">
                      <w14:alpha w14:val="100000"/>
                    </w14:srgbClr>
                  </w14:solidFill>
                </w14:textFill>
              </w:rPr>
              <w:t xml:space="preserve">　</w:t>
            </w:r>
            <w:r w:rsidRPr="001D64F1">
              <w:rPr>
                <w:b/>
                <w:bCs/>
                <w:color w:val="000000"/>
                <w:szCs w:val="20"/>
              </w:rPr>
              <w:t>%</w:t>
            </w:r>
          </w:p>
        </w:tc>
      </w:tr>
      <w:tr w:rsidR="00757086" w:rsidRPr="00C11145" w14:paraId="4119CADB" w14:textId="77777777" w:rsidTr="00757086">
        <w:tc>
          <w:tcPr>
            <w:tcW w:w="5000" w:type="pct"/>
            <w:gridSpan w:val="6"/>
            <w:shd w:val="clear" w:color="auto" w:fill="D9D9D9" w:themeFill="background1" w:themeFillShade="D9"/>
            <w:vAlign w:val="center"/>
          </w:tcPr>
          <w:p w14:paraId="249D4982" w14:textId="77777777" w:rsidR="00757086" w:rsidRPr="001D64F1" w:rsidRDefault="00757086" w:rsidP="00757086">
            <w:pPr>
              <w:pStyle w:val="Tabletext"/>
              <w:keepNext/>
              <w:keepLines/>
              <w:rPr>
                <w:b/>
                <w:bCs/>
                <w:color w:val="000000"/>
                <w:szCs w:val="20"/>
              </w:rPr>
            </w:pPr>
            <w:r w:rsidRPr="001D64F1">
              <w:rPr>
                <w:b/>
                <w:bCs/>
                <w:color w:val="000000"/>
                <w:szCs w:val="20"/>
              </w:rPr>
              <w:t>Discount rate: base case = 5% on costs and outcomes</w:t>
            </w:r>
          </w:p>
        </w:tc>
      </w:tr>
      <w:tr w:rsidR="00853660" w:rsidRPr="00C11145" w14:paraId="676C3069" w14:textId="77777777" w:rsidTr="00D2227A">
        <w:trPr>
          <w:trHeight w:val="47"/>
        </w:trPr>
        <w:tc>
          <w:tcPr>
            <w:tcW w:w="313" w:type="pct"/>
            <w:vAlign w:val="center"/>
          </w:tcPr>
          <w:p w14:paraId="15880A1B" w14:textId="0490F49E" w:rsidR="00853660" w:rsidRPr="001D64F1" w:rsidRDefault="00853660" w:rsidP="00853660">
            <w:pPr>
              <w:pStyle w:val="Tabletext"/>
              <w:keepNext/>
              <w:keepLines/>
              <w:rPr>
                <w:color w:val="000000"/>
                <w:szCs w:val="20"/>
              </w:rPr>
            </w:pPr>
            <w:r w:rsidRPr="001D64F1">
              <w:rPr>
                <w:color w:val="000000"/>
                <w:szCs w:val="20"/>
              </w:rPr>
              <w:t>12</w:t>
            </w:r>
          </w:p>
        </w:tc>
        <w:tc>
          <w:tcPr>
            <w:tcW w:w="1964" w:type="pct"/>
            <w:vAlign w:val="center"/>
          </w:tcPr>
          <w:p w14:paraId="1EF8596B" w14:textId="77777777" w:rsidR="00853660" w:rsidRPr="001D64F1" w:rsidRDefault="00853660" w:rsidP="00853660">
            <w:pPr>
              <w:pStyle w:val="Tabletext"/>
              <w:keepNext/>
              <w:keepLines/>
              <w:rPr>
                <w:color w:val="000000"/>
                <w:szCs w:val="20"/>
              </w:rPr>
            </w:pPr>
            <w:r w:rsidRPr="001D64F1">
              <w:rPr>
                <w:color w:val="000000"/>
                <w:szCs w:val="20"/>
              </w:rPr>
              <w:t>3.5% on costs and outcomes</w:t>
            </w:r>
          </w:p>
        </w:tc>
        <w:tc>
          <w:tcPr>
            <w:tcW w:w="550" w:type="pct"/>
            <w:vAlign w:val="center"/>
          </w:tcPr>
          <w:p w14:paraId="388B2CC5" w14:textId="74EC436D" w:rsidR="00853660" w:rsidRPr="00E36DB9" w:rsidRDefault="00853660" w:rsidP="00853660">
            <w:pPr>
              <w:pStyle w:val="Tabletext"/>
              <w:keepNext/>
              <w:keepLines/>
              <w:jc w:val="center"/>
              <w:rPr>
                <w:color w:val="000000"/>
                <w:szCs w:val="20"/>
                <w:highlight w:val="darkGray"/>
              </w:rPr>
            </w:pPr>
            <w:r w:rsidRPr="004C53B1">
              <w:rPr>
                <w:rFonts w:hint="eastAsia"/>
                <w:color w:val="000000"/>
                <w:w w:val="22"/>
                <w:shd w:val="solid" w:color="000000" w:fill="000000"/>
                <w:fitText w:val="100" w:id="-761019903"/>
                <w14:textFill>
                  <w14:solidFill>
                    <w14:srgbClr w14:val="000000">
                      <w14:alpha w14:val="100000"/>
                    </w14:srgbClr>
                  </w14:solidFill>
                </w14:textFill>
              </w:rPr>
              <w:t xml:space="preserve">　</w:t>
            </w:r>
            <w:r w:rsidRPr="004C53B1">
              <w:rPr>
                <w:color w:val="000000"/>
                <w:w w:val="22"/>
                <w:shd w:val="solid" w:color="000000" w:fill="000000"/>
                <w:fitText w:val="100" w:id="-761019903"/>
                <w14:textFill>
                  <w14:solidFill>
                    <w14:srgbClr w14:val="000000">
                      <w14:alpha w14:val="100000"/>
                    </w14:srgbClr>
                  </w14:solidFill>
                </w14:textFill>
              </w:rPr>
              <w:t>|</w:t>
            </w:r>
            <w:r w:rsidRPr="004C53B1">
              <w:rPr>
                <w:rFonts w:hint="eastAsia"/>
                <w:color w:val="000000"/>
                <w:spacing w:val="3"/>
                <w:w w:val="22"/>
                <w:shd w:val="solid" w:color="000000" w:fill="000000"/>
                <w:fitText w:val="100" w:id="-761019903"/>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4E4165AC" w14:textId="3D11669A" w:rsidR="00853660" w:rsidRPr="001D64F1" w:rsidRDefault="00853660" w:rsidP="00853660">
            <w:pPr>
              <w:pStyle w:val="Tabletext"/>
              <w:keepNext/>
              <w:keepLines/>
              <w:jc w:val="center"/>
              <w:rPr>
                <w:color w:val="000000"/>
                <w:szCs w:val="20"/>
              </w:rPr>
            </w:pPr>
            <w:r w:rsidRPr="003F47A9">
              <w:rPr>
                <w:color w:val="000000"/>
                <w:szCs w:val="20"/>
              </w:rPr>
              <w:t>-</w:t>
            </w:r>
            <w:r w:rsidRPr="003F47A9">
              <w:rPr>
                <w:rFonts w:hint="eastAsia"/>
                <w:b/>
                <w:bCs/>
                <w:color w:val="000000"/>
                <w:w w:val="31"/>
                <w:szCs w:val="20"/>
                <w:shd w:val="solid" w:color="000000" w:fill="000000"/>
                <w14:textFill>
                  <w14:solidFill>
                    <w14:srgbClr w14:val="000000">
                      <w14:alpha w14:val="100000"/>
                    </w14:srgbClr>
                  </w14:solidFill>
                </w14:textFill>
              </w:rPr>
              <w:t xml:space="preserve">　</w:t>
            </w:r>
            <w:r w:rsidRPr="003F47A9">
              <w:rPr>
                <w:b/>
                <w:bCs/>
                <w:color w:val="000000"/>
                <w:w w:val="31"/>
                <w:szCs w:val="20"/>
                <w:shd w:val="solid" w:color="000000" w:fill="000000"/>
                <w14:textFill>
                  <w14:solidFill>
                    <w14:srgbClr w14:val="000000">
                      <w14:alpha w14:val="100000"/>
                    </w14:srgbClr>
                  </w14:solidFill>
                </w14:textFill>
              </w:rPr>
              <w:t>|</w:t>
            </w:r>
            <w:r w:rsidRPr="003F47A9">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3F47A9">
              <w:rPr>
                <w:b/>
                <w:bCs/>
                <w:color w:val="000000"/>
                <w:szCs w:val="20"/>
              </w:rPr>
              <w:t>%</w:t>
            </w:r>
          </w:p>
        </w:tc>
        <w:tc>
          <w:tcPr>
            <w:tcW w:w="865" w:type="pct"/>
            <w:tcBorders>
              <w:bottom w:val="single" w:sz="4" w:space="0" w:color="auto"/>
            </w:tcBorders>
            <w:shd w:val="solid" w:color="000000" w:fill="000000"/>
            <w:vAlign w:val="center"/>
          </w:tcPr>
          <w:p w14:paraId="3DE644BC" w14:textId="23A77A03" w:rsidR="00853660" w:rsidRPr="00E36DB9" w:rsidRDefault="00853660" w:rsidP="00853660">
            <w:pPr>
              <w:pStyle w:val="Tabletext"/>
              <w:keepNext/>
              <w:keepLines/>
              <w:jc w:val="center"/>
              <w:rPr>
                <w:color w:val="000000"/>
                <w:szCs w:val="20"/>
                <w:highlight w:val="darkGray"/>
              </w:rPr>
            </w:pPr>
            <w:r w:rsidRPr="004C53B1">
              <w:rPr>
                <w:color w:val="000000"/>
                <w14:textFill>
                  <w14:solidFill>
                    <w14:srgbClr w14:val="000000">
                      <w14:alpha w14:val="100000"/>
                    </w14:srgbClr>
                  </w14:solidFill>
                </w14:textFill>
              </w:rPr>
              <w:t>|</w:t>
            </w:r>
          </w:p>
        </w:tc>
        <w:tc>
          <w:tcPr>
            <w:tcW w:w="679" w:type="pct"/>
          </w:tcPr>
          <w:p w14:paraId="45E7C48D" w14:textId="707B65DB" w:rsidR="00853660" w:rsidRPr="001D64F1" w:rsidRDefault="00853660" w:rsidP="00853660">
            <w:pPr>
              <w:pStyle w:val="Tabletext"/>
              <w:keepNext/>
              <w:keepLines/>
              <w:jc w:val="center"/>
              <w:rPr>
                <w:color w:val="000000"/>
                <w:szCs w:val="20"/>
              </w:rPr>
            </w:pPr>
            <w:r w:rsidRPr="00552390">
              <w:rPr>
                <w:rFonts w:hint="eastAsia"/>
                <w:b/>
                <w:bCs/>
                <w:color w:val="000000"/>
                <w:w w:val="31"/>
                <w:szCs w:val="20"/>
                <w:shd w:val="solid" w:color="000000" w:fill="000000"/>
                <w14:textFill>
                  <w14:solidFill>
                    <w14:srgbClr w14:val="000000">
                      <w14:alpha w14:val="100000"/>
                    </w14:srgbClr>
                  </w14:solidFill>
                </w14:textFill>
              </w:rPr>
              <w:t xml:space="preserve">　</w:t>
            </w:r>
            <w:r w:rsidRPr="00552390">
              <w:rPr>
                <w:b/>
                <w:bCs/>
                <w:color w:val="000000"/>
                <w:w w:val="31"/>
                <w:szCs w:val="20"/>
                <w:shd w:val="solid" w:color="000000" w:fill="000000"/>
                <w14:textFill>
                  <w14:solidFill>
                    <w14:srgbClr w14:val="000000">
                      <w14:alpha w14:val="100000"/>
                    </w14:srgbClr>
                  </w14:solidFill>
                </w14:textFill>
              </w:rPr>
              <w:t>|</w:t>
            </w:r>
            <w:r w:rsidRPr="00552390">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552390">
              <w:rPr>
                <w:b/>
                <w:bCs/>
                <w:color w:val="000000"/>
                <w:szCs w:val="20"/>
              </w:rPr>
              <w:t>%</w:t>
            </w:r>
          </w:p>
        </w:tc>
      </w:tr>
      <w:tr w:rsidR="00853660" w:rsidRPr="00C11145" w14:paraId="17702256" w14:textId="77777777" w:rsidTr="00D2227A">
        <w:tc>
          <w:tcPr>
            <w:tcW w:w="313" w:type="pct"/>
            <w:vAlign w:val="center"/>
          </w:tcPr>
          <w:p w14:paraId="3C8A0828" w14:textId="1625556D" w:rsidR="00853660" w:rsidRPr="001D64F1" w:rsidRDefault="00853660" w:rsidP="00853660">
            <w:pPr>
              <w:pStyle w:val="Tabletext"/>
              <w:keepNext/>
              <w:keepLines/>
              <w:rPr>
                <w:color w:val="000000"/>
                <w:szCs w:val="20"/>
              </w:rPr>
            </w:pPr>
            <w:r w:rsidRPr="001D64F1">
              <w:rPr>
                <w:color w:val="000000"/>
                <w:szCs w:val="20"/>
              </w:rPr>
              <w:t>13</w:t>
            </w:r>
          </w:p>
        </w:tc>
        <w:tc>
          <w:tcPr>
            <w:tcW w:w="1964" w:type="pct"/>
            <w:vAlign w:val="center"/>
          </w:tcPr>
          <w:p w14:paraId="1667C279" w14:textId="77777777" w:rsidR="00853660" w:rsidRPr="001D64F1" w:rsidRDefault="00853660" w:rsidP="00853660">
            <w:pPr>
              <w:pStyle w:val="Tabletext"/>
              <w:keepNext/>
              <w:keepLines/>
              <w:rPr>
                <w:color w:val="000000"/>
                <w:szCs w:val="20"/>
              </w:rPr>
            </w:pPr>
            <w:r w:rsidRPr="001D64F1">
              <w:rPr>
                <w:color w:val="000000"/>
                <w:szCs w:val="20"/>
              </w:rPr>
              <w:t>0% on costs and outcomes</w:t>
            </w:r>
          </w:p>
        </w:tc>
        <w:tc>
          <w:tcPr>
            <w:tcW w:w="550" w:type="pct"/>
            <w:vAlign w:val="center"/>
          </w:tcPr>
          <w:p w14:paraId="259C4A90" w14:textId="4FD49E52" w:rsidR="00853660" w:rsidRPr="00E36DB9" w:rsidRDefault="00853660" w:rsidP="00853660">
            <w:pPr>
              <w:pStyle w:val="Tabletext"/>
              <w:keepNext/>
              <w:keepLines/>
              <w:jc w:val="center"/>
              <w:rPr>
                <w:color w:val="000000"/>
                <w:szCs w:val="20"/>
                <w:highlight w:val="darkGray"/>
              </w:rPr>
            </w:pPr>
            <w:r w:rsidRPr="004C53B1">
              <w:rPr>
                <w:rFonts w:hint="eastAsia"/>
                <w:color w:val="000000"/>
                <w:w w:val="22"/>
                <w:shd w:val="solid" w:color="000000" w:fill="000000"/>
                <w:fitText w:val="100" w:id="-761019902"/>
                <w14:textFill>
                  <w14:solidFill>
                    <w14:srgbClr w14:val="000000">
                      <w14:alpha w14:val="100000"/>
                    </w14:srgbClr>
                  </w14:solidFill>
                </w14:textFill>
              </w:rPr>
              <w:t xml:space="preserve">　</w:t>
            </w:r>
            <w:r w:rsidRPr="004C53B1">
              <w:rPr>
                <w:color w:val="000000"/>
                <w:w w:val="22"/>
                <w:shd w:val="solid" w:color="000000" w:fill="000000"/>
                <w:fitText w:val="100" w:id="-761019902"/>
                <w14:textFill>
                  <w14:solidFill>
                    <w14:srgbClr w14:val="000000">
                      <w14:alpha w14:val="100000"/>
                    </w14:srgbClr>
                  </w14:solidFill>
                </w14:textFill>
              </w:rPr>
              <w:t>|</w:t>
            </w:r>
            <w:r w:rsidRPr="004C53B1">
              <w:rPr>
                <w:rFonts w:hint="eastAsia"/>
                <w:color w:val="000000"/>
                <w:spacing w:val="3"/>
                <w:w w:val="22"/>
                <w:shd w:val="solid" w:color="000000" w:fill="000000"/>
                <w:fitText w:val="100" w:id="-761019902"/>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77E54F66" w14:textId="2E1B8533" w:rsidR="00853660" w:rsidRPr="001D64F1" w:rsidRDefault="00853660" w:rsidP="00853660">
            <w:pPr>
              <w:pStyle w:val="Tabletext"/>
              <w:keepNext/>
              <w:keepLines/>
              <w:jc w:val="center"/>
              <w:rPr>
                <w:color w:val="000000"/>
                <w:szCs w:val="20"/>
              </w:rPr>
            </w:pPr>
            <w:r w:rsidRPr="003F47A9">
              <w:rPr>
                <w:color w:val="000000"/>
                <w:szCs w:val="20"/>
              </w:rPr>
              <w:t>-</w:t>
            </w:r>
            <w:r w:rsidRPr="003F47A9">
              <w:rPr>
                <w:rFonts w:hint="eastAsia"/>
                <w:b/>
                <w:bCs/>
                <w:color w:val="000000"/>
                <w:w w:val="31"/>
                <w:szCs w:val="20"/>
                <w:shd w:val="solid" w:color="000000" w:fill="000000"/>
                <w14:textFill>
                  <w14:solidFill>
                    <w14:srgbClr w14:val="000000">
                      <w14:alpha w14:val="100000"/>
                    </w14:srgbClr>
                  </w14:solidFill>
                </w14:textFill>
              </w:rPr>
              <w:t xml:space="preserve">　</w:t>
            </w:r>
            <w:r w:rsidRPr="003F47A9">
              <w:rPr>
                <w:b/>
                <w:bCs/>
                <w:color w:val="000000"/>
                <w:w w:val="31"/>
                <w:szCs w:val="20"/>
                <w:shd w:val="solid" w:color="000000" w:fill="000000"/>
                <w14:textFill>
                  <w14:solidFill>
                    <w14:srgbClr w14:val="000000">
                      <w14:alpha w14:val="100000"/>
                    </w14:srgbClr>
                  </w14:solidFill>
                </w14:textFill>
              </w:rPr>
              <w:t>|</w:t>
            </w:r>
            <w:r w:rsidRPr="003F47A9">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3F47A9">
              <w:rPr>
                <w:b/>
                <w:bCs/>
                <w:color w:val="000000"/>
                <w:szCs w:val="20"/>
              </w:rPr>
              <w:t>%</w:t>
            </w:r>
          </w:p>
        </w:tc>
        <w:tc>
          <w:tcPr>
            <w:tcW w:w="865" w:type="pct"/>
            <w:shd w:val="solid" w:color="000000" w:fill="000000"/>
            <w:vAlign w:val="center"/>
          </w:tcPr>
          <w:p w14:paraId="3323FB22" w14:textId="4EBADAE1" w:rsidR="00853660" w:rsidRPr="00E36DB9" w:rsidRDefault="00853660" w:rsidP="00853660">
            <w:pPr>
              <w:pStyle w:val="Tabletext"/>
              <w:keepNext/>
              <w:keepLines/>
              <w:jc w:val="center"/>
              <w:rPr>
                <w:color w:val="000000"/>
                <w:szCs w:val="20"/>
                <w:highlight w:val="darkGray"/>
              </w:rPr>
            </w:pPr>
            <w:r w:rsidRPr="004C53B1">
              <w:rPr>
                <w:color w:val="000000"/>
                <w14:textFill>
                  <w14:solidFill>
                    <w14:srgbClr w14:val="000000">
                      <w14:alpha w14:val="100000"/>
                    </w14:srgbClr>
                  </w14:solidFill>
                </w14:textFill>
              </w:rPr>
              <w:t>|</w:t>
            </w:r>
          </w:p>
        </w:tc>
        <w:tc>
          <w:tcPr>
            <w:tcW w:w="679" w:type="pct"/>
          </w:tcPr>
          <w:p w14:paraId="06662398" w14:textId="08C79886" w:rsidR="00853660" w:rsidRPr="001D64F1" w:rsidRDefault="00853660" w:rsidP="00853660">
            <w:pPr>
              <w:pStyle w:val="Tabletext"/>
              <w:keepNext/>
              <w:keepLines/>
              <w:jc w:val="center"/>
              <w:rPr>
                <w:color w:val="000000"/>
                <w:szCs w:val="20"/>
              </w:rPr>
            </w:pPr>
            <w:r w:rsidRPr="00552390">
              <w:rPr>
                <w:rFonts w:hint="eastAsia"/>
                <w:b/>
                <w:bCs/>
                <w:color w:val="000000"/>
                <w:w w:val="31"/>
                <w:szCs w:val="20"/>
                <w:shd w:val="solid" w:color="000000" w:fill="000000"/>
                <w14:textFill>
                  <w14:solidFill>
                    <w14:srgbClr w14:val="000000">
                      <w14:alpha w14:val="100000"/>
                    </w14:srgbClr>
                  </w14:solidFill>
                </w14:textFill>
              </w:rPr>
              <w:t xml:space="preserve">　</w:t>
            </w:r>
            <w:r w:rsidRPr="00552390">
              <w:rPr>
                <w:b/>
                <w:bCs/>
                <w:color w:val="000000"/>
                <w:w w:val="31"/>
                <w:szCs w:val="20"/>
                <w:shd w:val="solid" w:color="000000" w:fill="000000"/>
                <w14:textFill>
                  <w14:solidFill>
                    <w14:srgbClr w14:val="000000">
                      <w14:alpha w14:val="100000"/>
                    </w14:srgbClr>
                  </w14:solidFill>
                </w14:textFill>
              </w:rPr>
              <w:t>|</w:t>
            </w:r>
            <w:r w:rsidRPr="00552390">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552390">
              <w:rPr>
                <w:b/>
                <w:bCs/>
                <w:color w:val="000000"/>
                <w:szCs w:val="20"/>
              </w:rPr>
              <w:t>%</w:t>
            </w:r>
          </w:p>
        </w:tc>
      </w:tr>
      <w:tr w:rsidR="00757086" w:rsidRPr="00C11145" w14:paraId="109BEF4F" w14:textId="77777777" w:rsidTr="00A63017">
        <w:tc>
          <w:tcPr>
            <w:tcW w:w="2277" w:type="pct"/>
            <w:gridSpan w:val="2"/>
            <w:vAlign w:val="center"/>
          </w:tcPr>
          <w:p w14:paraId="219B6170" w14:textId="00CE4743" w:rsidR="00757086" w:rsidRPr="001D64F1" w:rsidDel="006F4264" w:rsidRDefault="00757086" w:rsidP="00757086">
            <w:pPr>
              <w:pStyle w:val="Tabletext"/>
              <w:keepNext/>
              <w:keepLines/>
              <w:rPr>
                <w:b/>
                <w:bCs/>
                <w:color w:val="000000"/>
                <w:szCs w:val="20"/>
                <w:vertAlign w:val="superscript"/>
              </w:rPr>
            </w:pPr>
            <w:r w:rsidRPr="001D64F1">
              <w:rPr>
                <w:b/>
                <w:bCs/>
                <w:color w:val="000000"/>
                <w:szCs w:val="20"/>
              </w:rPr>
              <w:t>ESC MVSA</w:t>
            </w:r>
            <w:r w:rsidR="001D64F1" w:rsidRPr="001D64F1">
              <w:rPr>
                <w:b/>
                <w:bCs/>
                <w:color w:val="000000"/>
                <w:szCs w:val="20"/>
              </w:rPr>
              <w:t xml:space="preserve"> </w:t>
            </w:r>
            <w:r w:rsidR="001D64F1" w:rsidRPr="001D64F1">
              <w:rPr>
                <w:b/>
                <w:bCs/>
                <w:color w:val="000000"/>
                <w:szCs w:val="20"/>
                <w:vertAlign w:val="superscript"/>
              </w:rPr>
              <w:t>a</w:t>
            </w:r>
          </w:p>
        </w:tc>
        <w:tc>
          <w:tcPr>
            <w:tcW w:w="550" w:type="pct"/>
          </w:tcPr>
          <w:p w14:paraId="60F5CE24" w14:textId="77777777" w:rsidR="00757086" w:rsidRPr="001D64F1" w:rsidDel="006F4264" w:rsidRDefault="00757086" w:rsidP="00757086">
            <w:pPr>
              <w:pStyle w:val="Tabletext"/>
              <w:keepNext/>
              <w:keepLines/>
              <w:jc w:val="center"/>
            </w:pPr>
          </w:p>
        </w:tc>
        <w:tc>
          <w:tcPr>
            <w:tcW w:w="629" w:type="pct"/>
          </w:tcPr>
          <w:p w14:paraId="50F22DB8" w14:textId="77777777" w:rsidR="00757086" w:rsidRPr="001D64F1" w:rsidDel="006F4264" w:rsidRDefault="00757086" w:rsidP="00757086">
            <w:pPr>
              <w:pStyle w:val="Tabletext"/>
              <w:keepNext/>
              <w:keepLines/>
              <w:jc w:val="center"/>
            </w:pPr>
          </w:p>
        </w:tc>
        <w:tc>
          <w:tcPr>
            <w:tcW w:w="865" w:type="pct"/>
            <w:tcBorders>
              <w:bottom w:val="single" w:sz="4" w:space="0" w:color="auto"/>
            </w:tcBorders>
          </w:tcPr>
          <w:p w14:paraId="75D0C23C" w14:textId="77777777" w:rsidR="00757086" w:rsidRPr="001D64F1" w:rsidDel="006F4264" w:rsidRDefault="00757086" w:rsidP="00757086">
            <w:pPr>
              <w:pStyle w:val="Tabletext"/>
              <w:keepNext/>
              <w:keepLines/>
              <w:jc w:val="center"/>
            </w:pPr>
          </w:p>
        </w:tc>
        <w:tc>
          <w:tcPr>
            <w:tcW w:w="679" w:type="pct"/>
          </w:tcPr>
          <w:p w14:paraId="64B86231" w14:textId="77777777" w:rsidR="00757086" w:rsidRPr="001D64F1" w:rsidDel="006F4264" w:rsidRDefault="00757086" w:rsidP="00757086">
            <w:pPr>
              <w:pStyle w:val="Tabletext"/>
              <w:keepNext/>
              <w:keepLines/>
              <w:jc w:val="center"/>
            </w:pPr>
          </w:p>
        </w:tc>
      </w:tr>
      <w:tr w:rsidR="00853660" w:rsidRPr="00C11145" w14:paraId="6229C268" w14:textId="77777777" w:rsidTr="000D7495">
        <w:tc>
          <w:tcPr>
            <w:tcW w:w="2277" w:type="pct"/>
            <w:gridSpan w:val="2"/>
            <w:vAlign w:val="center"/>
          </w:tcPr>
          <w:p w14:paraId="68372A22" w14:textId="2B2C0002" w:rsidR="00853660" w:rsidRPr="001D64F1" w:rsidRDefault="00853660" w:rsidP="00853660">
            <w:pPr>
              <w:pStyle w:val="Tabletext"/>
              <w:keepNext/>
              <w:keepLines/>
              <w:rPr>
                <w:color w:val="000000"/>
                <w:szCs w:val="20"/>
              </w:rPr>
            </w:pPr>
            <w:r w:rsidRPr="001D64F1">
              <w:rPr>
                <w:color w:val="000000"/>
                <w:szCs w:val="20"/>
              </w:rPr>
              <w:t>1+2a</w:t>
            </w:r>
          </w:p>
        </w:tc>
        <w:tc>
          <w:tcPr>
            <w:tcW w:w="550" w:type="pct"/>
            <w:vAlign w:val="center"/>
          </w:tcPr>
          <w:p w14:paraId="27585263" w14:textId="74AAEA5D" w:rsidR="00853660" w:rsidRPr="00E36DB9" w:rsidRDefault="00853660" w:rsidP="00853660">
            <w:pPr>
              <w:pStyle w:val="Tabletext"/>
              <w:keepNext/>
              <w:keepLines/>
              <w:jc w:val="center"/>
              <w:rPr>
                <w:highlight w:val="darkGray"/>
              </w:rPr>
            </w:pPr>
            <w:r w:rsidRPr="004C53B1">
              <w:rPr>
                <w:rFonts w:hint="eastAsia"/>
                <w:color w:val="000000"/>
                <w:w w:val="22"/>
                <w:shd w:val="solid" w:color="000000" w:fill="000000"/>
                <w:fitText w:val="100" w:id="-761019901"/>
                <w14:textFill>
                  <w14:solidFill>
                    <w14:srgbClr w14:val="000000">
                      <w14:alpha w14:val="100000"/>
                    </w14:srgbClr>
                  </w14:solidFill>
                </w14:textFill>
              </w:rPr>
              <w:t xml:space="preserve">　</w:t>
            </w:r>
            <w:r w:rsidRPr="004C53B1">
              <w:rPr>
                <w:color w:val="000000"/>
                <w:w w:val="22"/>
                <w:shd w:val="solid" w:color="000000" w:fill="000000"/>
                <w:fitText w:val="100" w:id="-761019901"/>
                <w14:textFill>
                  <w14:solidFill>
                    <w14:srgbClr w14:val="000000">
                      <w14:alpha w14:val="100000"/>
                    </w14:srgbClr>
                  </w14:solidFill>
                </w14:textFill>
              </w:rPr>
              <w:t>|</w:t>
            </w:r>
            <w:r w:rsidRPr="004C53B1">
              <w:rPr>
                <w:rFonts w:hint="eastAsia"/>
                <w:color w:val="000000"/>
                <w:spacing w:val="3"/>
                <w:w w:val="22"/>
                <w:shd w:val="solid" w:color="000000" w:fill="000000"/>
                <w:fitText w:val="100" w:id="-761019901"/>
                <w14:textFill>
                  <w14:solidFill>
                    <w14:srgbClr w14:val="000000">
                      <w14:alpha w14:val="100000"/>
                    </w14:srgbClr>
                  </w14:solidFill>
                </w14:textFill>
              </w:rPr>
              <w:t xml:space="preserve">　</w:t>
            </w:r>
            <w:r w:rsidRPr="00450C49">
              <w:rPr>
                <w:b/>
                <w:bCs/>
                <w:color w:val="000000"/>
                <w:szCs w:val="20"/>
                <w:vertAlign w:val="superscript"/>
              </w:rPr>
              <w:t>2</w:t>
            </w:r>
          </w:p>
        </w:tc>
        <w:tc>
          <w:tcPr>
            <w:tcW w:w="629" w:type="pct"/>
          </w:tcPr>
          <w:p w14:paraId="025D795C" w14:textId="74DE4490" w:rsidR="00853660" w:rsidRPr="001D64F1" w:rsidRDefault="00853660" w:rsidP="00853660">
            <w:pPr>
              <w:pStyle w:val="Tabletext"/>
              <w:keepNext/>
              <w:keepLines/>
              <w:jc w:val="center"/>
            </w:pPr>
            <w:r w:rsidRPr="006E4063">
              <w:rPr>
                <w:rFonts w:hint="eastAsia"/>
                <w:b/>
                <w:bCs/>
                <w:color w:val="000000"/>
                <w:w w:val="31"/>
                <w:szCs w:val="20"/>
                <w:shd w:val="solid" w:color="000000" w:fill="000000"/>
                <w14:textFill>
                  <w14:solidFill>
                    <w14:srgbClr w14:val="000000">
                      <w14:alpha w14:val="100000"/>
                    </w14:srgbClr>
                  </w14:solidFill>
                </w14:textFill>
              </w:rPr>
              <w:t xml:space="preserve">　</w:t>
            </w:r>
            <w:r w:rsidRPr="006E4063">
              <w:rPr>
                <w:b/>
                <w:bCs/>
                <w:color w:val="000000"/>
                <w:w w:val="31"/>
                <w:szCs w:val="20"/>
                <w:shd w:val="solid" w:color="000000" w:fill="000000"/>
                <w14:textFill>
                  <w14:solidFill>
                    <w14:srgbClr w14:val="000000">
                      <w14:alpha w14:val="100000"/>
                    </w14:srgbClr>
                  </w14:solidFill>
                </w14:textFill>
              </w:rPr>
              <w:t>|</w:t>
            </w:r>
            <w:r w:rsidRPr="006E4063">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6E4063">
              <w:rPr>
                <w:b/>
                <w:bCs/>
                <w:color w:val="000000"/>
                <w:szCs w:val="20"/>
              </w:rPr>
              <w:t>%</w:t>
            </w:r>
          </w:p>
        </w:tc>
        <w:tc>
          <w:tcPr>
            <w:tcW w:w="865" w:type="pct"/>
            <w:tcBorders>
              <w:bottom w:val="single" w:sz="4" w:space="0" w:color="auto"/>
            </w:tcBorders>
            <w:shd w:val="solid" w:color="000000" w:fill="000000"/>
            <w:vAlign w:val="center"/>
          </w:tcPr>
          <w:p w14:paraId="57056648" w14:textId="481C9A99" w:rsidR="00853660" w:rsidRPr="00E36DB9" w:rsidRDefault="00853660" w:rsidP="00853660">
            <w:pPr>
              <w:pStyle w:val="Tabletext"/>
              <w:keepNext/>
              <w:keepLines/>
              <w:jc w:val="center"/>
              <w:rPr>
                <w:highlight w:val="darkGray"/>
              </w:rPr>
            </w:pPr>
            <w:r w:rsidRPr="004C53B1">
              <w:rPr>
                <w:color w:val="000000"/>
                <w14:textFill>
                  <w14:solidFill>
                    <w14:srgbClr w14:val="000000">
                      <w14:alpha w14:val="100000"/>
                    </w14:srgbClr>
                  </w14:solidFill>
                </w14:textFill>
              </w:rPr>
              <w:t>|</w:t>
            </w:r>
          </w:p>
        </w:tc>
        <w:tc>
          <w:tcPr>
            <w:tcW w:w="679" w:type="pct"/>
          </w:tcPr>
          <w:p w14:paraId="0531CA47" w14:textId="425AF734" w:rsidR="00853660" w:rsidRPr="001D64F1" w:rsidDel="006F4264" w:rsidRDefault="00853660" w:rsidP="00853660">
            <w:pPr>
              <w:pStyle w:val="Tabletext"/>
              <w:keepNext/>
              <w:keepLines/>
              <w:jc w:val="center"/>
            </w:pPr>
            <w:r w:rsidRPr="004B384D">
              <w:rPr>
                <w:color w:val="000000"/>
                <w:szCs w:val="20"/>
              </w:rPr>
              <w:t>-</w:t>
            </w:r>
            <w:r w:rsidRPr="004B384D">
              <w:rPr>
                <w:rFonts w:hint="eastAsia"/>
                <w:b/>
                <w:bCs/>
                <w:color w:val="000000"/>
                <w:w w:val="31"/>
                <w:szCs w:val="20"/>
                <w:shd w:val="solid" w:color="000000" w:fill="000000"/>
                <w14:textFill>
                  <w14:solidFill>
                    <w14:srgbClr w14:val="000000">
                      <w14:alpha w14:val="100000"/>
                    </w14:srgbClr>
                  </w14:solidFill>
                </w14:textFill>
              </w:rPr>
              <w:t xml:space="preserve">　</w:t>
            </w:r>
            <w:r w:rsidRPr="004B384D">
              <w:rPr>
                <w:b/>
                <w:bCs/>
                <w:color w:val="000000"/>
                <w:w w:val="31"/>
                <w:szCs w:val="20"/>
                <w:shd w:val="solid" w:color="000000" w:fill="000000"/>
                <w14:textFill>
                  <w14:solidFill>
                    <w14:srgbClr w14:val="000000">
                      <w14:alpha w14:val="100000"/>
                    </w14:srgbClr>
                  </w14:solidFill>
                </w14:textFill>
              </w:rPr>
              <w:t>|</w:t>
            </w:r>
            <w:r w:rsidRPr="004B384D">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384D">
              <w:rPr>
                <w:b/>
                <w:bCs/>
                <w:color w:val="000000"/>
                <w:szCs w:val="20"/>
              </w:rPr>
              <w:t>%</w:t>
            </w:r>
          </w:p>
        </w:tc>
      </w:tr>
      <w:tr w:rsidR="00853660" w:rsidRPr="00C11145" w14:paraId="6C9307CA" w14:textId="77777777" w:rsidTr="000D7495">
        <w:tc>
          <w:tcPr>
            <w:tcW w:w="2277" w:type="pct"/>
            <w:gridSpan w:val="2"/>
            <w:vAlign w:val="center"/>
          </w:tcPr>
          <w:p w14:paraId="5D9E5C0D" w14:textId="1C93A5F8" w:rsidR="00853660" w:rsidRPr="001D64F1" w:rsidDel="006F4264" w:rsidRDefault="00853660" w:rsidP="00853660">
            <w:pPr>
              <w:pStyle w:val="Tabletext"/>
              <w:keepNext/>
              <w:keepLines/>
              <w:rPr>
                <w:color w:val="000000"/>
                <w:szCs w:val="20"/>
              </w:rPr>
            </w:pPr>
            <w:r w:rsidRPr="001D64F1">
              <w:rPr>
                <w:color w:val="000000"/>
                <w:szCs w:val="20"/>
              </w:rPr>
              <w:t>1+2a +3a +3b</w:t>
            </w:r>
          </w:p>
        </w:tc>
        <w:tc>
          <w:tcPr>
            <w:tcW w:w="550" w:type="pct"/>
            <w:vAlign w:val="center"/>
          </w:tcPr>
          <w:p w14:paraId="1F3E4DFE" w14:textId="3A93B2EF" w:rsidR="00853660" w:rsidRPr="00E36DB9" w:rsidDel="006F4264" w:rsidRDefault="00853660" w:rsidP="00853660">
            <w:pPr>
              <w:pStyle w:val="Tabletext"/>
              <w:keepNext/>
              <w:keepLines/>
              <w:jc w:val="center"/>
              <w:rPr>
                <w:highlight w:val="darkGray"/>
              </w:rPr>
            </w:pPr>
            <w:r w:rsidRPr="004C53B1">
              <w:rPr>
                <w:rFonts w:hint="eastAsia"/>
                <w:color w:val="000000"/>
                <w:w w:val="22"/>
                <w:shd w:val="solid" w:color="000000" w:fill="000000"/>
                <w:fitText w:val="100" w:id="-761019900"/>
                <w14:textFill>
                  <w14:solidFill>
                    <w14:srgbClr w14:val="000000">
                      <w14:alpha w14:val="100000"/>
                    </w14:srgbClr>
                  </w14:solidFill>
                </w14:textFill>
              </w:rPr>
              <w:t xml:space="preserve">　</w:t>
            </w:r>
            <w:r w:rsidRPr="004C53B1">
              <w:rPr>
                <w:color w:val="000000"/>
                <w:w w:val="22"/>
                <w:shd w:val="solid" w:color="000000" w:fill="000000"/>
                <w:fitText w:val="100" w:id="-761019900"/>
                <w14:textFill>
                  <w14:solidFill>
                    <w14:srgbClr w14:val="000000">
                      <w14:alpha w14:val="100000"/>
                    </w14:srgbClr>
                  </w14:solidFill>
                </w14:textFill>
              </w:rPr>
              <w:t>|</w:t>
            </w:r>
            <w:r w:rsidRPr="004C53B1">
              <w:rPr>
                <w:rFonts w:hint="eastAsia"/>
                <w:color w:val="000000"/>
                <w:spacing w:val="3"/>
                <w:w w:val="22"/>
                <w:shd w:val="solid" w:color="000000" w:fill="000000"/>
                <w:fitText w:val="100" w:id="-761019900"/>
                <w14:textFill>
                  <w14:solidFill>
                    <w14:srgbClr w14:val="000000">
                      <w14:alpha w14:val="100000"/>
                    </w14:srgbClr>
                  </w14:solidFill>
                </w14:textFill>
              </w:rPr>
              <w:t xml:space="preserve">　</w:t>
            </w:r>
            <w:r w:rsidRPr="00E36DB9">
              <w:rPr>
                <w:vertAlign w:val="superscript"/>
              </w:rPr>
              <w:t>3</w:t>
            </w:r>
          </w:p>
        </w:tc>
        <w:tc>
          <w:tcPr>
            <w:tcW w:w="629" w:type="pct"/>
          </w:tcPr>
          <w:p w14:paraId="3442D900" w14:textId="302EB864" w:rsidR="00853660" w:rsidRPr="001D64F1" w:rsidDel="006F4264" w:rsidRDefault="00853660" w:rsidP="00853660">
            <w:pPr>
              <w:pStyle w:val="Tabletext"/>
              <w:keepNext/>
              <w:keepLines/>
              <w:jc w:val="center"/>
            </w:pPr>
            <w:r w:rsidRPr="006E4063">
              <w:rPr>
                <w:rFonts w:hint="eastAsia"/>
                <w:b/>
                <w:bCs/>
                <w:color w:val="000000"/>
                <w:w w:val="31"/>
                <w:szCs w:val="20"/>
                <w:shd w:val="solid" w:color="000000" w:fill="000000"/>
                <w14:textFill>
                  <w14:solidFill>
                    <w14:srgbClr w14:val="000000">
                      <w14:alpha w14:val="100000"/>
                    </w14:srgbClr>
                  </w14:solidFill>
                </w14:textFill>
              </w:rPr>
              <w:t xml:space="preserve">　</w:t>
            </w:r>
            <w:r w:rsidRPr="006E4063">
              <w:rPr>
                <w:b/>
                <w:bCs/>
                <w:color w:val="000000"/>
                <w:w w:val="31"/>
                <w:szCs w:val="20"/>
                <w:shd w:val="solid" w:color="000000" w:fill="000000"/>
                <w14:textFill>
                  <w14:solidFill>
                    <w14:srgbClr w14:val="000000">
                      <w14:alpha w14:val="100000"/>
                    </w14:srgbClr>
                  </w14:solidFill>
                </w14:textFill>
              </w:rPr>
              <w:t>|</w:t>
            </w:r>
            <w:r w:rsidRPr="006E4063">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6E4063">
              <w:rPr>
                <w:b/>
                <w:bCs/>
                <w:color w:val="000000"/>
                <w:szCs w:val="20"/>
              </w:rPr>
              <w:t>%</w:t>
            </w:r>
          </w:p>
        </w:tc>
        <w:tc>
          <w:tcPr>
            <w:tcW w:w="865" w:type="pct"/>
            <w:tcBorders>
              <w:bottom w:val="single" w:sz="4" w:space="0" w:color="auto"/>
            </w:tcBorders>
            <w:shd w:val="solid" w:color="000000" w:fill="000000"/>
            <w:vAlign w:val="center"/>
          </w:tcPr>
          <w:p w14:paraId="038B92AC" w14:textId="04952898" w:rsidR="00853660" w:rsidRPr="00E36DB9" w:rsidDel="006F4264" w:rsidRDefault="00853660" w:rsidP="00853660">
            <w:pPr>
              <w:pStyle w:val="Tabletext"/>
              <w:keepNext/>
              <w:keepLines/>
              <w:jc w:val="center"/>
              <w:rPr>
                <w:highlight w:val="darkGray"/>
              </w:rPr>
            </w:pPr>
            <w:r w:rsidRPr="004C53B1">
              <w:rPr>
                <w:color w:val="000000"/>
                <w14:textFill>
                  <w14:solidFill>
                    <w14:srgbClr w14:val="000000">
                      <w14:alpha w14:val="100000"/>
                    </w14:srgbClr>
                  </w14:solidFill>
                </w14:textFill>
              </w:rPr>
              <w:t>|</w:t>
            </w:r>
          </w:p>
        </w:tc>
        <w:tc>
          <w:tcPr>
            <w:tcW w:w="679" w:type="pct"/>
          </w:tcPr>
          <w:p w14:paraId="1C867068" w14:textId="0BC7861E" w:rsidR="00853660" w:rsidRPr="001D64F1" w:rsidDel="006F4264" w:rsidRDefault="00853660" w:rsidP="00853660">
            <w:pPr>
              <w:pStyle w:val="Tabletext"/>
              <w:keepNext/>
              <w:keepLines/>
              <w:jc w:val="center"/>
            </w:pPr>
            <w:r w:rsidRPr="004B384D">
              <w:rPr>
                <w:color w:val="000000"/>
                <w:szCs w:val="20"/>
              </w:rPr>
              <w:t>-</w:t>
            </w:r>
            <w:r w:rsidRPr="004B384D">
              <w:rPr>
                <w:rFonts w:hint="eastAsia"/>
                <w:b/>
                <w:bCs/>
                <w:color w:val="000000"/>
                <w:w w:val="31"/>
                <w:szCs w:val="20"/>
                <w:shd w:val="solid" w:color="000000" w:fill="000000"/>
                <w14:textFill>
                  <w14:solidFill>
                    <w14:srgbClr w14:val="000000">
                      <w14:alpha w14:val="100000"/>
                    </w14:srgbClr>
                  </w14:solidFill>
                </w14:textFill>
              </w:rPr>
              <w:t xml:space="preserve">　</w:t>
            </w:r>
            <w:r w:rsidRPr="004B384D">
              <w:rPr>
                <w:b/>
                <w:bCs/>
                <w:color w:val="000000"/>
                <w:w w:val="31"/>
                <w:szCs w:val="20"/>
                <w:shd w:val="solid" w:color="000000" w:fill="000000"/>
                <w14:textFill>
                  <w14:solidFill>
                    <w14:srgbClr w14:val="000000">
                      <w14:alpha w14:val="100000"/>
                    </w14:srgbClr>
                  </w14:solidFill>
                </w14:textFill>
              </w:rPr>
              <w:t>|</w:t>
            </w:r>
            <w:r w:rsidRPr="004B384D">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384D">
              <w:rPr>
                <w:b/>
                <w:bCs/>
                <w:color w:val="000000"/>
                <w:szCs w:val="20"/>
              </w:rPr>
              <w:t>%</w:t>
            </w:r>
          </w:p>
        </w:tc>
      </w:tr>
      <w:tr w:rsidR="00853660" w:rsidRPr="00C11145" w14:paraId="56915BF2" w14:textId="77777777" w:rsidTr="000D7495">
        <w:tc>
          <w:tcPr>
            <w:tcW w:w="2277" w:type="pct"/>
            <w:gridSpan w:val="2"/>
            <w:vAlign w:val="center"/>
          </w:tcPr>
          <w:p w14:paraId="50C8B4C0" w14:textId="1A5DF21C" w:rsidR="00853660" w:rsidRPr="001D64F1" w:rsidRDefault="00853660" w:rsidP="00853660">
            <w:pPr>
              <w:pStyle w:val="Tabletext"/>
              <w:keepNext/>
              <w:keepLines/>
              <w:rPr>
                <w:color w:val="000000"/>
                <w:szCs w:val="20"/>
              </w:rPr>
            </w:pPr>
            <w:r w:rsidRPr="001D64F1">
              <w:rPr>
                <w:color w:val="000000"/>
                <w:szCs w:val="20"/>
              </w:rPr>
              <w:t>1+2a +3a +3b + 4</w:t>
            </w:r>
          </w:p>
        </w:tc>
        <w:tc>
          <w:tcPr>
            <w:tcW w:w="550" w:type="pct"/>
            <w:vAlign w:val="center"/>
          </w:tcPr>
          <w:p w14:paraId="3ECB0D55" w14:textId="0073A68D" w:rsidR="00853660" w:rsidRPr="00E36DB9" w:rsidRDefault="00853660" w:rsidP="00853660">
            <w:pPr>
              <w:pStyle w:val="Tabletext"/>
              <w:keepNext/>
              <w:keepLines/>
              <w:jc w:val="center"/>
              <w:rPr>
                <w:highlight w:val="darkGray"/>
              </w:rPr>
            </w:pPr>
            <w:r w:rsidRPr="004C53B1">
              <w:rPr>
                <w:rFonts w:hint="eastAsia"/>
                <w:color w:val="000000"/>
                <w:w w:val="22"/>
                <w:shd w:val="solid" w:color="000000" w:fill="000000"/>
                <w:fitText w:val="100" w:id="-761019899"/>
                <w14:textFill>
                  <w14:solidFill>
                    <w14:srgbClr w14:val="000000">
                      <w14:alpha w14:val="100000"/>
                    </w14:srgbClr>
                  </w14:solidFill>
                </w14:textFill>
              </w:rPr>
              <w:t xml:space="preserve">　</w:t>
            </w:r>
            <w:r w:rsidRPr="004C53B1">
              <w:rPr>
                <w:color w:val="000000"/>
                <w:w w:val="22"/>
                <w:shd w:val="solid" w:color="000000" w:fill="000000"/>
                <w:fitText w:val="100" w:id="-761019899"/>
                <w14:textFill>
                  <w14:solidFill>
                    <w14:srgbClr w14:val="000000">
                      <w14:alpha w14:val="100000"/>
                    </w14:srgbClr>
                  </w14:solidFill>
                </w14:textFill>
              </w:rPr>
              <w:t>|</w:t>
            </w:r>
            <w:r w:rsidRPr="004C53B1">
              <w:rPr>
                <w:rFonts w:hint="eastAsia"/>
                <w:color w:val="000000"/>
                <w:spacing w:val="3"/>
                <w:w w:val="22"/>
                <w:shd w:val="solid" w:color="000000" w:fill="000000"/>
                <w:fitText w:val="100" w:id="-761019899"/>
                <w14:textFill>
                  <w14:solidFill>
                    <w14:srgbClr w14:val="000000">
                      <w14:alpha w14:val="100000"/>
                    </w14:srgbClr>
                  </w14:solidFill>
                </w14:textFill>
              </w:rPr>
              <w:t xml:space="preserve">　</w:t>
            </w:r>
            <w:r w:rsidRPr="00450C49">
              <w:rPr>
                <w:vertAlign w:val="superscript"/>
              </w:rPr>
              <w:t>3</w:t>
            </w:r>
          </w:p>
        </w:tc>
        <w:tc>
          <w:tcPr>
            <w:tcW w:w="629" w:type="pct"/>
          </w:tcPr>
          <w:p w14:paraId="0ECB38B8" w14:textId="2D3BBEAB" w:rsidR="00853660" w:rsidRPr="001D64F1" w:rsidRDefault="00853660" w:rsidP="00853660">
            <w:pPr>
              <w:pStyle w:val="Tabletext"/>
              <w:keepNext/>
              <w:keepLines/>
              <w:jc w:val="center"/>
            </w:pPr>
            <w:r w:rsidRPr="006E4063">
              <w:rPr>
                <w:rFonts w:hint="eastAsia"/>
                <w:b/>
                <w:bCs/>
                <w:color w:val="000000"/>
                <w:w w:val="31"/>
                <w:szCs w:val="20"/>
                <w:shd w:val="solid" w:color="000000" w:fill="000000"/>
                <w14:textFill>
                  <w14:solidFill>
                    <w14:srgbClr w14:val="000000">
                      <w14:alpha w14:val="100000"/>
                    </w14:srgbClr>
                  </w14:solidFill>
                </w14:textFill>
              </w:rPr>
              <w:t xml:space="preserve">　</w:t>
            </w:r>
            <w:r w:rsidRPr="006E4063">
              <w:rPr>
                <w:b/>
                <w:bCs/>
                <w:color w:val="000000"/>
                <w:w w:val="31"/>
                <w:szCs w:val="20"/>
                <w:shd w:val="solid" w:color="000000" w:fill="000000"/>
                <w14:textFill>
                  <w14:solidFill>
                    <w14:srgbClr w14:val="000000">
                      <w14:alpha w14:val="100000"/>
                    </w14:srgbClr>
                  </w14:solidFill>
                </w14:textFill>
              </w:rPr>
              <w:t>|</w:t>
            </w:r>
            <w:r w:rsidRPr="006E4063">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6E4063">
              <w:rPr>
                <w:b/>
                <w:bCs/>
                <w:color w:val="000000"/>
                <w:szCs w:val="20"/>
              </w:rPr>
              <w:t>%</w:t>
            </w:r>
          </w:p>
        </w:tc>
        <w:tc>
          <w:tcPr>
            <w:tcW w:w="865" w:type="pct"/>
            <w:tcBorders>
              <w:bottom w:val="single" w:sz="4" w:space="0" w:color="auto"/>
            </w:tcBorders>
            <w:shd w:val="solid" w:color="000000" w:fill="000000"/>
            <w:vAlign w:val="center"/>
          </w:tcPr>
          <w:p w14:paraId="254B9F38" w14:textId="6112FD61" w:rsidR="00853660" w:rsidRPr="00E36DB9" w:rsidRDefault="00853660" w:rsidP="00853660">
            <w:pPr>
              <w:pStyle w:val="Tabletext"/>
              <w:keepNext/>
              <w:keepLines/>
              <w:jc w:val="center"/>
              <w:rPr>
                <w:highlight w:val="darkGray"/>
              </w:rPr>
            </w:pPr>
            <w:r w:rsidRPr="004C53B1">
              <w:rPr>
                <w:color w:val="000000"/>
                <w14:textFill>
                  <w14:solidFill>
                    <w14:srgbClr w14:val="000000">
                      <w14:alpha w14:val="100000"/>
                    </w14:srgbClr>
                  </w14:solidFill>
                </w14:textFill>
              </w:rPr>
              <w:t>|</w:t>
            </w:r>
          </w:p>
        </w:tc>
        <w:tc>
          <w:tcPr>
            <w:tcW w:w="679" w:type="pct"/>
          </w:tcPr>
          <w:p w14:paraId="6127FFE8" w14:textId="08845036" w:rsidR="00853660" w:rsidRPr="001D64F1" w:rsidDel="006F4264" w:rsidRDefault="00853660" w:rsidP="00853660">
            <w:pPr>
              <w:pStyle w:val="Tabletext"/>
              <w:keepNext/>
              <w:keepLines/>
              <w:jc w:val="center"/>
            </w:pPr>
            <w:r w:rsidRPr="004B384D">
              <w:rPr>
                <w:color w:val="000000"/>
                <w:szCs w:val="20"/>
              </w:rPr>
              <w:t>-</w:t>
            </w:r>
            <w:r w:rsidRPr="004B384D">
              <w:rPr>
                <w:rFonts w:hint="eastAsia"/>
                <w:b/>
                <w:bCs/>
                <w:color w:val="000000"/>
                <w:w w:val="31"/>
                <w:szCs w:val="20"/>
                <w:shd w:val="solid" w:color="000000" w:fill="000000"/>
                <w14:textFill>
                  <w14:solidFill>
                    <w14:srgbClr w14:val="000000">
                      <w14:alpha w14:val="100000"/>
                    </w14:srgbClr>
                  </w14:solidFill>
                </w14:textFill>
              </w:rPr>
              <w:t xml:space="preserve">　</w:t>
            </w:r>
            <w:r w:rsidRPr="004B384D">
              <w:rPr>
                <w:b/>
                <w:bCs/>
                <w:color w:val="000000"/>
                <w:w w:val="31"/>
                <w:szCs w:val="20"/>
                <w:shd w:val="solid" w:color="000000" w:fill="000000"/>
                <w14:textFill>
                  <w14:solidFill>
                    <w14:srgbClr w14:val="000000">
                      <w14:alpha w14:val="100000"/>
                    </w14:srgbClr>
                  </w14:solidFill>
                </w14:textFill>
              </w:rPr>
              <w:t>|</w:t>
            </w:r>
            <w:r w:rsidRPr="004B384D">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384D">
              <w:rPr>
                <w:b/>
                <w:bCs/>
                <w:color w:val="000000"/>
                <w:szCs w:val="20"/>
              </w:rPr>
              <w:t>%</w:t>
            </w:r>
          </w:p>
        </w:tc>
      </w:tr>
      <w:tr w:rsidR="00853660" w:rsidRPr="00C11145" w14:paraId="350E33D3" w14:textId="77777777" w:rsidTr="000D7495">
        <w:tc>
          <w:tcPr>
            <w:tcW w:w="2277" w:type="pct"/>
            <w:gridSpan w:val="2"/>
            <w:vAlign w:val="center"/>
          </w:tcPr>
          <w:p w14:paraId="6548D7E6" w14:textId="0C56A4EF" w:rsidR="00853660" w:rsidRPr="001D64F1" w:rsidRDefault="00853660" w:rsidP="00853660">
            <w:pPr>
              <w:pStyle w:val="Tabletext"/>
              <w:keepNext/>
              <w:keepLines/>
              <w:rPr>
                <w:color w:val="000000"/>
                <w:szCs w:val="20"/>
              </w:rPr>
            </w:pPr>
            <w:r w:rsidRPr="001D64F1">
              <w:rPr>
                <w:color w:val="000000"/>
                <w:szCs w:val="20"/>
              </w:rPr>
              <w:t>1+2a +3a +3b + 4 + 5</w:t>
            </w:r>
          </w:p>
        </w:tc>
        <w:tc>
          <w:tcPr>
            <w:tcW w:w="550" w:type="pct"/>
            <w:vAlign w:val="center"/>
          </w:tcPr>
          <w:p w14:paraId="368F784F" w14:textId="54284014" w:rsidR="00853660" w:rsidRPr="00E36DB9" w:rsidRDefault="00853660" w:rsidP="00853660">
            <w:pPr>
              <w:pStyle w:val="Tabletext"/>
              <w:keepNext/>
              <w:keepLines/>
              <w:jc w:val="center"/>
              <w:rPr>
                <w:highlight w:val="darkGray"/>
              </w:rPr>
            </w:pPr>
            <w:r w:rsidRPr="004C53B1">
              <w:rPr>
                <w:rFonts w:hint="eastAsia"/>
                <w:color w:val="000000"/>
                <w:w w:val="22"/>
                <w:shd w:val="solid" w:color="000000" w:fill="000000"/>
                <w:fitText w:val="100" w:id="-761019898"/>
                <w14:textFill>
                  <w14:solidFill>
                    <w14:srgbClr w14:val="000000">
                      <w14:alpha w14:val="100000"/>
                    </w14:srgbClr>
                  </w14:solidFill>
                </w14:textFill>
              </w:rPr>
              <w:t xml:space="preserve">　</w:t>
            </w:r>
            <w:r w:rsidRPr="004C53B1">
              <w:rPr>
                <w:color w:val="000000"/>
                <w:w w:val="22"/>
                <w:shd w:val="solid" w:color="000000" w:fill="000000"/>
                <w:fitText w:val="100" w:id="-761019898"/>
                <w14:textFill>
                  <w14:solidFill>
                    <w14:srgbClr w14:val="000000">
                      <w14:alpha w14:val="100000"/>
                    </w14:srgbClr>
                  </w14:solidFill>
                </w14:textFill>
              </w:rPr>
              <w:t>|</w:t>
            </w:r>
            <w:r w:rsidRPr="004C53B1">
              <w:rPr>
                <w:rFonts w:hint="eastAsia"/>
                <w:color w:val="000000"/>
                <w:spacing w:val="3"/>
                <w:w w:val="22"/>
                <w:shd w:val="solid" w:color="000000" w:fill="000000"/>
                <w:fitText w:val="100" w:id="-761019898"/>
                <w14:textFill>
                  <w14:solidFill>
                    <w14:srgbClr w14:val="000000">
                      <w14:alpha w14:val="100000"/>
                    </w14:srgbClr>
                  </w14:solidFill>
                </w14:textFill>
              </w:rPr>
              <w:t xml:space="preserve">　</w:t>
            </w:r>
            <w:r w:rsidRPr="00450C49">
              <w:rPr>
                <w:vertAlign w:val="superscript"/>
              </w:rPr>
              <w:t>3</w:t>
            </w:r>
          </w:p>
        </w:tc>
        <w:tc>
          <w:tcPr>
            <w:tcW w:w="629" w:type="pct"/>
          </w:tcPr>
          <w:p w14:paraId="39073BCD" w14:textId="0F80AFD8" w:rsidR="00853660" w:rsidRPr="001D64F1" w:rsidRDefault="00853660" w:rsidP="00853660">
            <w:pPr>
              <w:pStyle w:val="Tabletext"/>
              <w:keepNext/>
              <w:keepLines/>
              <w:jc w:val="center"/>
            </w:pPr>
            <w:r w:rsidRPr="006E4063">
              <w:rPr>
                <w:rFonts w:hint="eastAsia"/>
                <w:b/>
                <w:bCs/>
                <w:color w:val="000000"/>
                <w:w w:val="31"/>
                <w:szCs w:val="20"/>
                <w:shd w:val="solid" w:color="000000" w:fill="000000"/>
                <w14:textFill>
                  <w14:solidFill>
                    <w14:srgbClr w14:val="000000">
                      <w14:alpha w14:val="100000"/>
                    </w14:srgbClr>
                  </w14:solidFill>
                </w14:textFill>
              </w:rPr>
              <w:t xml:space="preserve">　</w:t>
            </w:r>
            <w:r w:rsidRPr="006E4063">
              <w:rPr>
                <w:b/>
                <w:bCs/>
                <w:color w:val="000000"/>
                <w:w w:val="31"/>
                <w:szCs w:val="20"/>
                <w:shd w:val="solid" w:color="000000" w:fill="000000"/>
                <w14:textFill>
                  <w14:solidFill>
                    <w14:srgbClr w14:val="000000">
                      <w14:alpha w14:val="100000"/>
                    </w14:srgbClr>
                  </w14:solidFill>
                </w14:textFill>
              </w:rPr>
              <w:t>|</w:t>
            </w:r>
            <w:r w:rsidRPr="006E4063">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6E4063">
              <w:rPr>
                <w:b/>
                <w:bCs/>
                <w:color w:val="000000"/>
                <w:szCs w:val="20"/>
              </w:rPr>
              <w:t>%</w:t>
            </w:r>
          </w:p>
        </w:tc>
        <w:tc>
          <w:tcPr>
            <w:tcW w:w="865" w:type="pct"/>
            <w:tcBorders>
              <w:bottom w:val="single" w:sz="4" w:space="0" w:color="auto"/>
            </w:tcBorders>
            <w:shd w:val="solid" w:color="000000" w:fill="000000"/>
            <w:vAlign w:val="center"/>
          </w:tcPr>
          <w:p w14:paraId="658DFDCA" w14:textId="4299073C" w:rsidR="00853660" w:rsidRPr="00E36DB9" w:rsidRDefault="00853660" w:rsidP="00853660">
            <w:pPr>
              <w:pStyle w:val="Tabletext"/>
              <w:keepNext/>
              <w:keepLines/>
              <w:jc w:val="center"/>
              <w:rPr>
                <w:highlight w:val="darkGray"/>
              </w:rPr>
            </w:pPr>
            <w:r w:rsidRPr="004C53B1">
              <w:rPr>
                <w:color w:val="000000"/>
                <w14:textFill>
                  <w14:solidFill>
                    <w14:srgbClr w14:val="000000">
                      <w14:alpha w14:val="100000"/>
                    </w14:srgbClr>
                  </w14:solidFill>
                </w14:textFill>
              </w:rPr>
              <w:t>|</w:t>
            </w:r>
          </w:p>
        </w:tc>
        <w:tc>
          <w:tcPr>
            <w:tcW w:w="679" w:type="pct"/>
          </w:tcPr>
          <w:p w14:paraId="134E11D1" w14:textId="1590B1F5" w:rsidR="00853660" w:rsidRPr="001D64F1" w:rsidRDefault="00853660" w:rsidP="00853660">
            <w:pPr>
              <w:pStyle w:val="Tabletext"/>
              <w:keepNext/>
              <w:keepLines/>
              <w:jc w:val="center"/>
            </w:pPr>
            <w:r w:rsidRPr="004B384D">
              <w:rPr>
                <w:color w:val="000000"/>
                <w:szCs w:val="20"/>
              </w:rPr>
              <w:t>-</w:t>
            </w:r>
            <w:r w:rsidRPr="004B384D">
              <w:rPr>
                <w:rFonts w:hint="eastAsia"/>
                <w:b/>
                <w:bCs/>
                <w:color w:val="000000"/>
                <w:w w:val="31"/>
                <w:szCs w:val="20"/>
                <w:shd w:val="solid" w:color="000000" w:fill="000000"/>
                <w14:textFill>
                  <w14:solidFill>
                    <w14:srgbClr w14:val="000000">
                      <w14:alpha w14:val="100000"/>
                    </w14:srgbClr>
                  </w14:solidFill>
                </w14:textFill>
              </w:rPr>
              <w:t xml:space="preserve">　</w:t>
            </w:r>
            <w:r w:rsidRPr="004B384D">
              <w:rPr>
                <w:b/>
                <w:bCs/>
                <w:color w:val="000000"/>
                <w:w w:val="31"/>
                <w:szCs w:val="20"/>
                <w:shd w:val="solid" w:color="000000" w:fill="000000"/>
                <w14:textFill>
                  <w14:solidFill>
                    <w14:srgbClr w14:val="000000">
                      <w14:alpha w14:val="100000"/>
                    </w14:srgbClr>
                  </w14:solidFill>
                </w14:textFill>
              </w:rPr>
              <w:t>|</w:t>
            </w:r>
            <w:r w:rsidRPr="004B384D">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384D">
              <w:rPr>
                <w:b/>
                <w:bCs/>
                <w:color w:val="000000"/>
                <w:szCs w:val="20"/>
              </w:rPr>
              <w:t>%</w:t>
            </w:r>
          </w:p>
        </w:tc>
      </w:tr>
      <w:tr w:rsidR="00853660" w:rsidRPr="00C11145" w14:paraId="23D2C181" w14:textId="77777777" w:rsidTr="000D7495">
        <w:tc>
          <w:tcPr>
            <w:tcW w:w="2277" w:type="pct"/>
            <w:gridSpan w:val="2"/>
            <w:vAlign w:val="center"/>
          </w:tcPr>
          <w:p w14:paraId="1A2827AA" w14:textId="5377F64A" w:rsidR="00853660" w:rsidRPr="001D64F1" w:rsidRDefault="00853660" w:rsidP="00853660">
            <w:pPr>
              <w:pStyle w:val="Tabletext"/>
              <w:keepNext/>
              <w:keepLines/>
              <w:rPr>
                <w:color w:val="000000"/>
                <w:szCs w:val="20"/>
              </w:rPr>
            </w:pPr>
            <w:r w:rsidRPr="001D64F1">
              <w:rPr>
                <w:color w:val="000000"/>
                <w:szCs w:val="20"/>
              </w:rPr>
              <w:t>1+2a +3a +3b + 4 + 5 +6</w:t>
            </w:r>
          </w:p>
        </w:tc>
        <w:tc>
          <w:tcPr>
            <w:tcW w:w="550" w:type="pct"/>
            <w:vAlign w:val="center"/>
          </w:tcPr>
          <w:p w14:paraId="11865F21" w14:textId="478D23EF" w:rsidR="00853660" w:rsidRPr="00E36DB9" w:rsidRDefault="00853660" w:rsidP="00853660">
            <w:pPr>
              <w:pStyle w:val="Tabletext"/>
              <w:keepNext/>
              <w:keepLines/>
              <w:jc w:val="center"/>
              <w:rPr>
                <w:highlight w:val="darkGray"/>
              </w:rPr>
            </w:pPr>
            <w:r w:rsidRPr="004C53B1">
              <w:rPr>
                <w:rFonts w:hint="eastAsia"/>
                <w:color w:val="000000"/>
                <w:w w:val="22"/>
                <w:shd w:val="solid" w:color="000000" w:fill="000000"/>
                <w:fitText w:val="100" w:id="-761019897"/>
                <w14:textFill>
                  <w14:solidFill>
                    <w14:srgbClr w14:val="000000">
                      <w14:alpha w14:val="100000"/>
                    </w14:srgbClr>
                  </w14:solidFill>
                </w14:textFill>
              </w:rPr>
              <w:t xml:space="preserve">　</w:t>
            </w:r>
            <w:r w:rsidRPr="004C53B1">
              <w:rPr>
                <w:color w:val="000000"/>
                <w:w w:val="22"/>
                <w:shd w:val="solid" w:color="000000" w:fill="000000"/>
                <w:fitText w:val="100" w:id="-761019897"/>
                <w14:textFill>
                  <w14:solidFill>
                    <w14:srgbClr w14:val="000000">
                      <w14:alpha w14:val="100000"/>
                    </w14:srgbClr>
                  </w14:solidFill>
                </w14:textFill>
              </w:rPr>
              <w:t>|</w:t>
            </w:r>
            <w:r w:rsidRPr="004C53B1">
              <w:rPr>
                <w:rFonts w:hint="eastAsia"/>
                <w:color w:val="000000"/>
                <w:spacing w:val="3"/>
                <w:w w:val="22"/>
                <w:shd w:val="solid" w:color="000000" w:fill="000000"/>
                <w:fitText w:val="100" w:id="-761019897"/>
                <w14:textFill>
                  <w14:solidFill>
                    <w14:srgbClr w14:val="000000">
                      <w14:alpha w14:val="100000"/>
                    </w14:srgbClr>
                  </w14:solidFill>
                </w14:textFill>
              </w:rPr>
              <w:t xml:space="preserve">　</w:t>
            </w:r>
            <w:r w:rsidRPr="00450C49">
              <w:rPr>
                <w:vertAlign w:val="superscript"/>
              </w:rPr>
              <w:t>3</w:t>
            </w:r>
          </w:p>
        </w:tc>
        <w:tc>
          <w:tcPr>
            <w:tcW w:w="629" w:type="pct"/>
          </w:tcPr>
          <w:p w14:paraId="6AFC3B92" w14:textId="6A413ED9" w:rsidR="00853660" w:rsidRPr="001D64F1" w:rsidRDefault="00853660" w:rsidP="00853660">
            <w:pPr>
              <w:pStyle w:val="Tabletext"/>
              <w:keepNext/>
              <w:keepLines/>
              <w:jc w:val="center"/>
            </w:pPr>
            <w:r w:rsidRPr="006E4063">
              <w:rPr>
                <w:rFonts w:hint="eastAsia"/>
                <w:b/>
                <w:bCs/>
                <w:color w:val="000000"/>
                <w:w w:val="31"/>
                <w:szCs w:val="20"/>
                <w:shd w:val="solid" w:color="000000" w:fill="000000"/>
                <w14:textFill>
                  <w14:solidFill>
                    <w14:srgbClr w14:val="000000">
                      <w14:alpha w14:val="100000"/>
                    </w14:srgbClr>
                  </w14:solidFill>
                </w14:textFill>
              </w:rPr>
              <w:t xml:space="preserve">　</w:t>
            </w:r>
            <w:r w:rsidRPr="006E4063">
              <w:rPr>
                <w:b/>
                <w:bCs/>
                <w:color w:val="000000"/>
                <w:w w:val="31"/>
                <w:szCs w:val="20"/>
                <w:shd w:val="solid" w:color="000000" w:fill="000000"/>
                <w14:textFill>
                  <w14:solidFill>
                    <w14:srgbClr w14:val="000000">
                      <w14:alpha w14:val="100000"/>
                    </w14:srgbClr>
                  </w14:solidFill>
                </w14:textFill>
              </w:rPr>
              <w:t>|</w:t>
            </w:r>
            <w:r w:rsidRPr="006E4063">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6E4063">
              <w:rPr>
                <w:b/>
                <w:bCs/>
                <w:color w:val="000000"/>
                <w:szCs w:val="20"/>
              </w:rPr>
              <w:t>%</w:t>
            </w:r>
          </w:p>
        </w:tc>
        <w:tc>
          <w:tcPr>
            <w:tcW w:w="865" w:type="pct"/>
            <w:tcBorders>
              <w:bottom w:val="single" w:sz="4" w:space="0" w:color="auto"/>
            </w:tcBorders>
            <w:shd w:val="solid" w:color="000000" w:fill="000000"/>
            <w:vAlign w:val="center"/>
          </w:tcPr>
          <w:p w14:paraId="69862DEC" w14:textId="3E8F0057" w:rsidR="00853660" w:rsidRPr="00E36DB9" w:rsidRDefault="00853660" w:rsidP="00853660">
            <w:pPr>
              <w:pStyle w:val="Tabletext"/>
              <w:keepNext/>
              <w:keepLines/>
              <w:jc w:val="center"/>
              <w:rPr>
                <w:highlight w:val="darkGray"/>
              </w:rPr>
            </w:pPr>
            <w:r w:rsidRPr="004C53B1">
              <w:rPr>
                <w:color w:val="000000"/>
                <w14:textFill>
                  <w14:solidFill>
                    <w14:srgbClr w14:val="000000">
                      <w14:alpha w14:val="100000"/>
                    </w14:srgbClr>
                  </w14:solidFill>
                </w14:textFill>
              </w:rPr>
              <w:t>|</w:t>
            </w:r>
          </w:p>
        </w:tc>
        <w:tc>
          <w:tcPr>
            <w:tcW w:w="679" w:type="pct"/>
          </w:tcPr>
          <w:p w14:paraId="5B9CA780" w14:textId="235B8CBE" w:rsidR="00853660" w:rsidRPr="001D64F1" w:rsidRDefault="00853660" w:rsidP="00853660">
            <w:pPr>
              <w:pStyle w:val="Tabletext"/>
              <w:keepNext/>
              <w:keepLines/>
              <w:jc w:val="center"/>
            </w:pPr>
            <w:r w:rsidRPr="004B384D">
              <w:rPr>
                <w:color w:val="000000"/>
                <w:szCs w:val="20"/>
              </w:rPr>
              <w:t>-</w:t>
            </w:r>
            <w:r w:rsidRPr="004B384D">
              <w:rPr>
                <w:rFonts w:hint="eastAsia"/>
                <w:b/>
                <w:bCs/>
                <w:color w:val="000000"/>
                <w:w w:val="31"/>
                <w:szCs w:val="20"/>
                <w:shd w:val="solid" w:color="000000" w:fill="000000"/>
                <w14:textFill>
                  <w14:solidFill>
                    <w14:srgbClr w14:val="000000">
                      <w14:alpha w14:val="100000"/>
                    </w14:srgbClr>
                  </w14:solidFill>
                </w14:textFill>
              </w:rPr>
              <w:t xml:space="preserve">　</w:t>
            </w:r>
            <w:r w:rsidRPr="004B384D">
              <w:rPr>
                <w:b/>
                <w:bCs/>
                <w:color w:val="000000"/>
                <w:w w:val="31"/>
                <w:szCs w:val="20"/>
                <w:shd w:val="solid" w:color="000000" w:fill="000000"/>
                <w14:textFill>
                  <w14:solidFill>
                    <w14:srgbClr w14:val="000000">
                      <w14:alpha w14:val="100000"/>
                    </w14:srgbClr>
                  </w14:solidFill>
                </w14:textFill>
              </w:rPr>
              <w:t>|</w:t>
            </w:r>
            <w:r w:rsidRPr="004B384D">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384D">
              <w:rPr>
                <w:b/>
                <w:bCs/>
                <w:color w:val="000000"/>
                <w:szCs w:val="20"/>
              </w:rPr>
              <w:t>%</w:t>
            </w:r>
          </w:p>
        </w:tc>
      </w:tr>
      <w:tr w:rsidR="00853660" w:rsidRPr="00C11145" w14:paraId="6146ACEF" w14:textId="77777777" w:rsidTr="000D7495">
        <w:tc>
          <w:tcPr>
            <w:tcW w:w="2277" w:type="pct"/>
            <w:gridSpan w:val="2"/>
            <w:vAlign w:val="center"/>
          </w:tcPr>
          <w:p w14:paraId="7635E4DD" w14:textId="494FE12D" w:rsidR="00853660" w:rsidRPr="001D64F1" w:rsidRDefault="00853660" w:rsidP="00853660">
            <w:pPr>
              <w:pStyle w:val="Tabletext"/>
              <w:keepNext/>
              <w:keepLines/>
              <w:rPr>
                <w:color w:val="000000"/>
                <w:szCs w:val="20"/>
              </w:rPr>
            </w:pPr>
            <w:r w:rsidRPr="001D64F1">
              <w:rPr>
                <w:color w:val="000000"/>
                <w:szCs w:val="20"/>
              </w:rPr>
              <w:t xml:space="preserve">1+2a +3a +3b + 4a + 5 +6 </w:t>
            </w:r>
          </w:p>
        </w:tc>
        <w:tc>
          <w:tcPr>
            <w:tcW w:w="550" w:type="pct"/>
            <w:vAlign w:val="center"/>
          </w:tcPr>
          <w:p w14:paraId="0C99ED65" w14:textId="005809E8" w:rsidR="00853660" w:rsidRPr="00E36DB9" w:rsidRDefault="00853660" w:rsidP="00853660">
            <w:pPr>
              <w:pStyle w:val="Tabletext"/>
              <w:keepNext/>
              <w:keepLines/>
              <w:jc w:val="center"/>
              <w:rPr>
                <w:highlight w:val="darkGray"/>
              </w:rPr>
            </w:pPr>
            <w:r w:rsidRPr="004C53B1">
              <w:rPr>
                <w:rFonts w:hint="eastAsia"/>
                <w:color w:val="000000"/>
                <w:w w:val="22"/>
                <w:shd w:val="solid" w:color="000000" w:fill="000000"/>
                <w:fitText w:val="100" w:id="-761019896"/>
                <w14:textFill>
                  <w14:solidFill>
                    <w14:srgbClr w14:val="000000">
                      <w14:alpha w14:val="100000"/>
                    </w14:srgbClr>
                  </w14:solidFill>
                </w14:textFill>
              </w:rPr>
              <w:t xml:space="preserve">　</w:t>
            </w:r>
            <w:r w:rsidRPr="004C53B1">
              <w:rPr>
                <w:color w:val="000000"/>
                <w:w w:val="22"/>
                <w:shd w:val="solid" w:color="000000" w:fill="000000"/>
                <w:fitText w:val="100" w:id="-761019896"/>
                <w14:textFill>
                  <w14:solidFill>
                    <w14:srgbClr w14:val="000000">
                      <w14:alpha w14:val="100000"/>
                    </w14:srgbClr>
                  </w14:solidFill>
                </w14:textFill>
              </w:rPr>
              <w:t>|</w:t>
            </w:r>
            <w:r w:rsidRPr="004C53B1">
              <w:rPr>
                <w:rFonts w:hint="eastAsia"/>
                <w:color w:val="000000"/>
                <w:spacing w:val="3"/>
                <w:w w:val="22"/>
                <w:shd w:val="solid" w:color="000000" w:fill="000000"/>
                <w:fitText w:val="100" w:id="-761019896"/>
                <w14:textFill>
                  <w14:solidFill>
                    <w14:srgbClr w14:val="000000">
                      <w14:alpha w14:val="100000"/>
                    </w14:srgbClr>
                  </w14:solidFill>
                </w14:textFill>
              </w:rPr>
              <w:t xml:space="preserve">　</w:t>
            </w:r>
            <w:r w:rsidRPr="00450C49">
              <w:rPr>
                <w:vertAlign w:val="superscript"/>
              </w:rPr>
              <w:t>3</w:t>
            </w:r>
          </w:p>
        </w:tc>
        <w:tc>
          <w:tcPr>
            <w:tcW w:w="629" w:type="pct"/>
          </w:tcPr>
          <w:p w14:paraId="0834FFF4" w14:textId="16BF8529" w:rsidR="00853660" w:rsidRPr="001D64F1" w:rsidRDefault="00853660" w:rsidP="00853660">
            <w:pPr>
              <w:pStyle w:val="Tabletext"/>
              <w:keepNext/>
              <w:keepLines/>
              <w:jc w:val="center"/>
            </w:pPr>
            <w:r w:rsidRPr="006E4063">
              <w:rPr>
                <w:rFonts w:hint="eastAsia"/>
                <w:b/>
                <w:bCs/>
                <w:color w:val="000000"/>
                <w:w w:val="31"/>
                <w:szCs w:val="20"/>
                <w:shd w:val="solid" w:color="000000" w:fill="000000"/>
                <w14:textFill>
                  <w14:solidFill>
                    <w14:srgbClr w14:val="000000">
                      <w14:alpha w14:val="100000"/>
                    </w14:srgbClr>
                  </w14:solidFill>
                </w14:textFill>
              </w:rPr>
              <w:t xml:space="preserve">　</w:t>
            </w:r>
            <w:r w:rsidRPr="006E4063">
              <w:rPr>
                <w:b/>
                <w:bCs/>
                <w:color w:val="000000"/>
                <w:w w:val="31"/>
                <w:szCs w:val="20"/>
                <w:shd w:val="solid" w:color="000000" w:fill="000000"/>
                <w14:textFill>
                  <w14:solidFill>
                    <w14:srgbClr w14:val="000000">
                      <w14:alpha w14:val="100000"/>
                    </w14:srgbClr>
                  </w14:solidFill>
                </w14:textFill>
              </w:rPr>
              <w:t>|</w:t>
            </w:r>
            <w:r w:rsidRPr="006E4063">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6E4063">
              <w:rPr>
                <w:b/>
                <w:bCs/>
                <w:color w:val="000000"/>
                <w:szCs w:val="20"/>
              </w:rPr>
              <w:t>%</w:t>
            </w:r>
          </w:p>
        </w:tc>
        <w:tc>
          <w:tcPr>
            <w:tcW w:w="865" w:type="pct"/>
            <w:tcBorders>
              <w:bottom w:val="single" w:sz="4" w:space="0" w:color="auto"/>
            </w:tcBorders>
            <w:shd w:val="solid" w:color="000000" w:fill="000000"/>
            <w:vAlign w:val="center"/>
          </w:tcPr>
          <w:p w14:paraId="744BF952" w14:textId="742C050A" w:rsidR="00853660" w:rsidRPr="00E36DB9" w:rsidRDefault="00853660" w:rsidP="00853660">
            <w:pPr>
              <w:pStyle w:val="Tabletext"/>
              <w:keepNext/>
              <w:keepLines/>
              <w:jc w:val="center"/>
              <w:rPr>
                <w:highlight w:val="darkGray"/>
              </w:rPr>
            </w:pPr>
            <w:r w:rsidRPr="004C53B1">
              <w:rPr>
                <w:color w:val="000000"/>
                <w14:textFill>
                  <w14:solidFill>
                    <w14:srgbClr w14:val="000000">
                      <w14:alpha w14:val="100000"/>
                    </w14:srgbClr>
                  </w14:solidFill>
                </w14:textFill>
              </w:rPr>
              <w:t>|</w:t>
            </w:r>
          </w:p>
        </w:tc>
        <w:tc>
          <w:tcPr>
            <w:tcW w:w="679" w:type="pct"/>
          </w:tcPr>
          <w:p w14:paraId="21A8BC25" w14:textId="67BF2FC9" w:rsidR="00853660" w:rsidRPr="001D64F1" w:rsidRDefault="00853660" w:rsidP="00853660">
            <w:pPr>
              <w:pStyle w:val="Tabletext"/>
              <w:keepNext/>
              <w:keepLines/>
              <w:jc w:val="center"/>
            </w:pPr>
            <w:r w:rsidRPr="004B384D">
              <w:rPr>
                <w:color w:val="000000"/>
                <w:szCs w:val="20"/>
              </w:rPr>
              <w:t>-</w:t>
            </w:r>
            <w:r w:rsidRPr="004B384D">
              <w:rPr>
                <w:rFonts w:hint="eastAsia"/>
                <w:b/>
                <w:bCs/>
                <w:color w:val="000000"/>
                <w:w w:val="31"/>
                <w:szCs w:val="20"/>
                <w:shd w:val="solid" w:color="000000" w:fill="000000"/>
                <w14:textFill>
                  <w14:solidFill>
                    <w14:srgbClr w14:val="000000">
                      <w14:alpha w14:val="100000"/>
                    </w14:srgbClr>
                  </w14:solidFill>
                </w14:textFill>
              </w:rPr>
              <w:t xml:space="preserve">　</w:t>
            </w:r>
            <w:r w:rsidRPr="004B384D">
              <w:rPr>
                <w:b/>
                <w:bCs/>
                <w:color w:val="000000"/>
                <w:w w:val="31"/>
                <w:szCs w:val="20"/>
                <w:shd w:val="solid" w:color="000000" w:fill="000000"/>
                <w14:textFill>
                  <w14:solidFill>
                    <w14:srgbClr w14:val="000000">
                      <w14:alpha w14:val="100000"/>
                    </w14:srgbClr>
                  </w14:solidFill>
                </w14:textFill>
              </w:rPr>
              <w:t>|</w:t>
            </w:r>
            <w:r w:rsidRPr="004B384D">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384D">
              <w:rPr>
                <w:b/>
                <w:bCs/>
                <w:color w:val="000000"/>
                <w:szCs w:val="20"/>
              </w:rPr>
              <w:t>%</w:t>
            </w:r>
          </w:p>
        </w:tc>
      </w:tr>
      <w:tr w:rsidR="00853660" w:rsidRPr="00C11145" w14:paraId="1796C519" w14:textId="77777777" w:rsidTr="000D7495">
        <w:tc>
          <w:tcPr>
            <w:tcW w:w="2277" w:type="pct"/>
            <w:gridSpan w:val="2"/>
            <w:vAlign w:val="center"/>
          </w:tcPr>
          <w:p w14:paraId="19B6C77B" w14:textId="1F8FA696" w:rsidR="00853660" w:rsidRPr="001D64F1" w:rsidRDefault="00853660" w:rsidP="00853660">
            <w:pPr>
              <w:pStyle w:val="Tabletext"/>
              <w:keepNext/>
              <w:keepLines/>
              <w:rPr>
                <w:color w:val="000000"/>
                <w:szCs w:val="20"/>
              </w:rPr>
            </w:pPr>
            <w:r w:rsidRPr="001D64F1">
              <w:rPr>
                <w:color w:val="000000"/>
                <w:szCs w:val="20"/>
              </w:rPr>
              <w:t xml:space="preserve">1+2a +3a +3b + 4 + 5 + 6 + 7 </w:t>
            </w:r>
          </w:p>
        </w:tc>
        <w:tc>
          <w:tcPr>
            <w:tcW w:w="550" w:type="pct"/>
            <w:vAlign w:val="center"/>
          </w:tcPr>
          <w:p w14:paraId="140F898F" w14:textId="2589D07F" w:rsidR="00853660" w:rsidRPr="00E36DB9" w:rsidRDefault="00853660" w:rsidP="00853660">
            <w:pPr>
              <w:pStyle w:val="Tabletext"/>
              <w:keepNext/>
              <w:keepLines/>
              <w:jc w:val="center"/>
              <w:rPr>
                <w:highlight w:val="darkGray"/>
              </w:rPr>
            </w:pPr>
            <w:r w:rsidRPr="004C53B1">
              <w:rPr>
                <w:rFonts w:hint="eastAsia"/>
                <w:color w:val="000000"/>
                <w:w w:val="22"/>
                <w:shd w:val="solid" w:color="000000" w:fill="000000"/>
                <w:fitText w:val="100" w:id="-761019895"/>
                <w14:textFill>
                  <w14:solidFill>
                    <w14:srgbClr w14:val="000000">
                      <w14:alpha w14:val="100000"/>
                    </w14:srgbClr>
                  </w14:solidFill>
                </w14:textFill>
              </w:rPr>
              <w:t xml:space="preserve">　</w:t>
            </w:r>
            <w:r w:rsidRPr="004C53B1">
              <w:rPr>
                <w:color w:val="000000"/>
                <w:w w:val="22"/>
                <w:shd w:val="solid" w:color="000000" w:fill="000000"/>
                <w:fitText w:val="100" w:id="-761019895"/>
                <w14:textFill>
                  <w14:solidFill>
                    <w14:srgbClr w14:val="000000">
                      <w14:alpha w14:val="100000"/>
                    </w14:srgbClr>
                  </w14:solidFill>
                </w14:textFill>
              </w:rPr>
              <w:t>|</w:t>
            </w:r>
            <w:r w:rsidRPr="004C53B1">
              <w:rPr>
                <w:rFonts w:hint="eastAsia"/>
                <w:color w:val="000000"/>
                <w:spacing w:val="3"/>
                <w:w w:val="22"/>
                <w:shd w:val="solid" w:color="000000" w:fill="000000"/>
                <w:fitText w:val="100" w:id="-761019895"/>
                <w14:textFill>
                  <w14:solidFill>
                    <w14:srgbClr w14:val="000000">
                      <w14:alpha w14:val="100000"/>
                    </w14:srgbClr>
                  </w14:solidFill>
                </w14:textFill>
              </w:rPr>
              <w:t xml:space="preserve">　</w:t>
            </w:r>
            <w:r w:rsidRPr="00450C49">
              <w:rPr>
                <w:vertAlign w:val="superscript"/>
              </w:rPr>
              <w:t>3</w:t>
            </w:r>
          </w:p>
        </w:tc>
        <w:tc>
          <w:tcPr>
            <w:tcW w:w="629" w:type="pct"/>
          </w:tcPr>
          <w:p w14:paraId="331CFE8E" w14:textId="39A81247" w:rsidR="00853660" w:rsidRPr="001D64F1" w:rsidRDefault="00853660" w:rsidP="00853660">
            <w:pPr>
              <w:pStyle w:val="Tabletext"/>
              <w:keepNext/>
              <w:keepLines/>
              <w:jc w:val="center"/>
            </w:pPr>
            <w:r w:rsidRPr="006E4063">
              <w:rPr>
                <w:rFonts w:hint="eastAsia"/>
                <w:b/>
                <w:bCs/>
                <w:color w:val="000000"/>
                <w:w w:val="31"/>
                <w:szCs w:val="20"/>
                <w:shd w:val="solid" w:color="000000" w:fill="000000"/>
                <w14:textFill>
                  <w14:solidFill>
                    <w14:srgbClr w14:val="000000">
                      <w14:alpha w14:val="100000"/>
                    </w14:srgbClr>
                  </w14:solidFill>
                </w14:textFill>
              </w:rPr>
              <w:t xml:space="preserve">　</w:t>
            </w:r>
            <w:r w:rsidRPr="006E4063">
              <w:rPr>
                <w:b/>
                <w:bCs/>
                <w:color w:val="000000"/>
                <w:w w:val="31"/>
                <w:szCs w:val="20"/>
                <w:shd w:val="solid" w:color="000000" w:fill="000000"/>
                <w14:textFill>
                  <w14:solidFill>
                    <w14:srgbClr w14:val="000000">
                      <w14:alpha w14:val="100000"/>
                    </w14:srgbClr>
                  </w14:solidFill>
                </w14:textFill>
              </w:rPr>
              <w:t>|</w:t>
            </w:r>
            <w:r w:rsidRPr="006E4063">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6E4063">
              <w:rPr>
                <w:b/>
                <w:bCs/>
                <w:color w:val="000000"/>
                <w:szCs w:val="20"/>
              </w:rPr>
              <w:t>%</w:t>
            </w:r>
          </w:p>
        </w:tc>
        <w:tc>
          <w:tcPr>
            <w:tcW w:w="865" w:type="pct"/>
            <w:shd w:val="solid" w:color="000000" w:fill="000000"/>
            <w:vAlign w:val="center"/>
          </w:tcPr>
          <w:p w14:paraId="7A5E4BA0" w14:textId="577DF591" w:rsidR="00853660" w:rsidRPr="00E36DB9" w:rsidRDefault="00853660" w:rsidP="00853660">
            <w:pPr>
              <w:pStyle w:val="Tabletext"/>
              <w:keepNext/>
              <w:keepLines/>
              <w:jc w:val="center"/>
              <w:rPr>
                <w:highlight w:val="darkGray"/>
              </w:rPr>
            </w:pPr>
            <w:r w:rsidRPr="004C53B1">
              <w:rPr>
                <w:color w:val="000000"/>
                <w14:textFill>
                  <w14:solidFill>
                    <w14:srgbClr w14:val="000000">
                      <w14:alpha w14:val="100000"/>
                    </w14:srgbClr>
                  </w14:solidFill>
                </w14:textFill>
              </w:rPr>
              <w:t>|</w:t>
            </w:r>
          </w:p>
        </w:tc>
        <w:tc>
          <w:tcPr>
            <w:tcW w:w="679" w:type="pct"/>
          </w:tcPr>
          <w:p w14:paraId="0E882241" w14:textId="0748FE83" w:rsidR="00853660" w:rsidRPr="001D64F1" w:rsidRDefault="00853660" w:rsidP="00853660">
            <w:pPr>
              <w:pStyle w:val="Tabletext"/>
              <w:keepNext/>
              <w:keepLines/>
              <w:jc w:val="center"/>
            </w:pPr>
            <w:r w:rsidRPr="004B384D">
              <w:rPr>
                <w:color w:val="000000"/>
                <w:szCs w:val="20"/>
              </w:rPr>
              <w:t>-</w:t>
            </w:r>
            <w:r w:rsidRPr="004B384D">
              <w:rPr>
                <w:rFonts w:hint="eastAsia"/>
                <w:b/>
                <w:bCs/>
                <w:color w:val="000000"/>
                <w:w w:val="31"/>
                <w:szCs w:val="20"/>
                <w:shd w:val="solid" w:color="000000" w:fill="000000"/>
                <w14:textFill>
                  <w14:solidFill>
                    <w14:srgbClr w14:val="000000">
                      <w14:alpha w14:val="100000"/>
                    </w14:srgbClr>
                  </w14:solidFill>
                </w14:textFill>
              </w:rPr>
              <w:t xml:space="preserve">　</w:t>
            </w:r>
            <w:r w:rsidRPr="004B384D">
              <w:rPr>
                <w:b/>
                <w:bCs/>
                <w:color w:val="000000"/>
                <w:w w:val="31"/>
                <w:szCs w:val="20"/>
                <w:shd w:val="solid" w:color="000000" w:fill="000000"/>
                <w14:textFill>
                  <w14:solidFill>
                    <w14:srgbClr w14:val="000000">
                      <w14:alpha w14:val="100000"/>
                    </w14:srgbClr>
                  </w14:solidFill>
                </w14:textFill>
              </w:rPr>
              <w:t>|</w:t>
            </w:r>
            <w:r w:rsidRPr="004B384D">
              <w:rPr>
                <w:rFonts w:hint="eastAsia"/>
                <w:b/>
                <w:bCs/>
                <w:color w:val="000000"/>
                <w:spacing w:val="3"/>
                <w:w w:val="31"/>
                <w:szCs w:val="20"/>
                <w:shd w:val="solid" w:color="000000" w:fill="000000"/>
                <w14:textFill>
                  <w14:solidFill>
                    <w14:srgbClr w14:val="000000">
                      <w14:alpha w14:val="100000"/>
                    </w14:srgbClr>
                  </w14:solidFill>
                </w14:textFill>
              </w:rPr>
              <w:t xml:space="preserve">　</w:t>
            </w:r>
            <w:r w:rsidRPr="004B384D">
              <w:rPr>
                <w:b/>
                <w:bCs/>
                <w:color w:val="000000"/>
                <w:szCs w:val="20"/>
              </w:rPr>
              <w:t>%</w:t>
            </w:r>
          </w:p>
        </w:tc>
      </w:tr>
    </w:tbl>
    <w:bookmarkEnd w:id="52"/>
    <w:p w14:paraId="18BCF83F" w14:textId="77777777" w:rsidR="005D2394" w:rsidRDefault="005D2394" w:rsidP="00853660">
      <w:pPr>
        <w:pStyle w:val="TableFigureFooter"/>
        <w:keepNext/>
        <w:jc w:val="both"/>
      </w:pPr>
      <w:r>
        <w:t>Source: generated during the evaluation from the economic model spreadsheet.</w:t>
      </w:r>
    </w:p>
    <w:p w14:paraId="10F67C41" w14:textId="77777777" w:rsidR="00FA7E12" w:rsidRDefault="005D2394" w:rsidP="00853660">
      <w:pPr>
        <w:pStyle w:val="TableFigureFooter"/>
        <w:keepNext/>
        <w:jc w:val="both"/>
      </w:pPr>
      <w:r>
        <w:t>1L = First line; EV = Enfortumab vedotin; Gem = Gemcitabine; ICER = Incremental cost-effectiveness ratio; KM = Kaplan-Meier; MBS = Medicare Benefits Schedule; OS = Overall survival; PBAC = Pharmaceutical Benefits Advisory Committee; PD = Progressed disease; PEM = Pembrolizumab; PF = Progression-free; Plat = Platinum-based chemotherapy; QALY = Quality-adjusted life-year; RDI = relative dose intensity.</w:t>
      </w:r>
      <w:r w:rsidR="001D64F1">
        <w:br/>
      </w:r>
      <w:r w:rsidR="001D64F1">
        <w:rPr>
          <w:vertAlign w:val="superscript"/>
        </w:rPr>
        <w:t xml:space="preserve">a </w:t>
      </w:r>
      <w:r w:rsidR="001D64F1">
        <w:t xml:space="preserve">Calculated during the preparation of the ESC </w:t>
      </w:r>
      <w:r w:rsidR="002416C4">
        <w:t>advice</w:t>
      </w:r>
      <w:r w:rsidR="00FA7E12">
        <w:t xml:space="preserve"> </w:t>
      </w:r>
    </w:p>
    <w:p w14:paraId="49FB0118" w14:textId="77777777" w:rsidR="007A27F7" w:rsidRPr="00853660" w:rsidRDefault="00FA7E12" w:rsidP="00853660">
      <w:pPr>
        <w:pStyle w:val="TableFigureFooter"/>
        <w:keepNext/>
        <w:jc w:val="both"/>
        <w:rPr>
          <w:i/>
          <w:iCs/>
        </w:rPr>
      </w:pPr>
      <w:r w:rsidRPr="00853660">
        <w:rPr>
          <w:i/>
          <w:iCs/>
        </w:rPr>
        <w:t>The redacted values correspond to the following ranges</w:t>
      </w:r>
    </w:p>
    <w:p w14:paraId="05B87DFF" w14:textId="2F719FA0" w:rsidR="005213DB" w:rsidRPr="00853660" w:rsidRDefault="007A27F7" w:rsidP="00853660">
      <w:pPr>
        <w:pStyle w:val="TableFigureFooter"/>
        <w:keepNext/>
        <w:jc w:val="both"/>
        <w:rPr>
          <w:i/>
          <w:iCs/>
        </w:rPr>
      </w:pPr>
      <w:r w:rsidRPr="00853660">
        <w:rPr>
          <w:i/>
          <w:iCs/>
        </w:rPr>
        <w:t>1 $75,000 to &lt; $95,000</w:t>
      </w:r>
      <w:r w:rsidR="005213DB" w:rsidRPr="00853660">
        <w:rPr>
          <w:i/>
          <w:iCs/>
        </w:rPr>
        <w:t xml:space="preserve"> </w:t>
      </w:r>
    </w:p>
    <w:p w14:paraId="14A86A5C" w14:textId="77777777" w:rsidR="00743CD0" w:rsidRPr="00853660" w:rsidRDefault="005213DB" w:rsidP="00853660">
      <w:pPr>
        <w:pStyle w:val="TableFigureFooter"/>
        <w:keepNext/>
        <w:jc w:val="both"/>
        <w:rPr>
          <w:i/>
          <w:iCs/>
        </w:rPr>
      </w:pPr>
      <w:r w:rsidRPr="00853660">
        <w:rPr>
          <w:i/>
          <w:iCs/>
        </w:rPr>
        <w:t>2 $155,000 to &lt; $255,000</w:t>
      </w:r>
      <w:r w:rsidR="00743CD0" w:rsidRPr="00853660">
        <w:rPr>
          <w:i/>
          <w:iCs/>
        </w:rPr>
        <w:t xml:space="preserve"> </w:t>
      </w:r>
    </w:p>
    <w:p w14:paraId="32FEF51A" w14:textId="1259A8AB" w:rsidR="00FA7E12" w:rsidRPr="00853660" w:rsidRDefault="00743CD0" w:rsidP="00853660">
      <w:pPr>
        <w:pStyle w:val="TableFigureFooter"/>
        <w:keepNext/>
        <w:spacing w:after="120"/>
        <w:jc w:val="both"/>
        <w:rPr>
          <w:i/>
          <w:iCs/>
        </w:rPr>
      </w:pPr>
      <w:r w:rsidRPr="00853660">
        <w:rPr>
          <w:i/>
          <w:iCs/>
        </w:rPr>
        <w:t>3 $255,000 to &lt; $355,000</w:t>
      </w:r>
    </w:p>
    <w:p w14:paraId="3652E6A9" w14:textId="28CC81C0" w:rsidR="005D2394" w:rsidRPr="005D3209" w:rsidRDefault="005D2394" w:rsidP="003D16D6">
      <w:pPr>
        <w:pStyle w:val="3-BodyText"/>
      </w:pPr>
      <w:bookmarkStart w:id="53" w:name="_Ref177502035"/>
      <w:r>
        <w:t xml:space="preserve">In the submission’s base case, the combined cost of EV+PEM required to achieve an ICER of </w:t>
      </w:r>
      <w:r w:rsidR="0091602C" w:rsidRPr="0091602C">
        <w:t>$75,000 to &lt; $95,000</w:t>
      </w:r>
      <w:r>
        <w:t>/QALY was $</w:t>
      </w:r>
      <w:r w:rsidR="004C53B1" w:rsidRPr="00EC50F1">
        <w:rPr>
          <w:color w:val="000000"/>
          <w:w w:val="15"/>
          <w:shd w:val="solid" w:color="000000" w:fill="000000"/>
          <w:fitText w:val="-20" w:id="-761019894"/>
          <w14:textFill>
            <w14:solidFill>
              <w14:srgbClr w14:val="000000">
                <w14:alpha w14:val="100000"/>
              </w14:srgbClr>
            </w14:solidFill>
          </w14:textFill>
        </w:rPr>
        <w:t xml:space="preserve">|  </w:t>
      </w:r>
      <w:r w:rsidR="004C53B1" w:rsidRPr="00EC50F1">
        <w:rPr>
          <w:color w:val="000000"/>
          <w:spacing w:val="-69"/>
          <w:w w:val="15"/>
          <w:shd w:val="solid" w:color="000000" w:fill="000000"/>
          <w:fitText w:val="-20" w:id="-761019894"/>
          <w14:textFill>
            <w14:solidFill>
              <w14:srgbClr w14:val="000000">
                <w14:alpha w14:val="100000"/>
              </w14:srgbClr>
            </w14:solidFill>
          </w14:textFill>
        </w:rPr>
        <w:t>|</w:t>
      </w:r>
      <w:r w:rsidR="00206BD3">
        <w:t xml:space="preserve"> (discounted)</w:t>
      </w:r>
      <w:r>
        <w:t xml:space="preserve">. </w:t>
      </w:r>
      <w:r w:rsidR="00206BD3" w:rsidRPr="00206BD3">
        <w:t xml:space="preserve">The submission </w:t>
      </w:r>
      <w:r w:rsidR="00206BD3">
        <w:t xml:space="preserve">stated </w:t>
      </w:r>
      <w:r w:rsidR="00206BD3" w:rsidRPr="00206BD3">
        <w:t>an undiscounted EV+PEM treatment cost</w:t>
      </w:r>
      <w:r w:rsidR="00206BD3">
        <w:t xml:space="preserve"> of $</w:t>
      </w:r>
      <w:r w:rsidR="004C53B1" w:rsidRPr="00EC50F1">
        <w:rPr>
          <w:color w:val="000000"/>
          <w:w w:val="15"/>
          <w:shd w:val="solid" w:color="000000" w:fill="000000"/>
          <w:fitText w:val="-20" w:id="-761019893"/>
          <w14:textFill>
            <w14:solidFill>
              <w14:srgbClr w14:val="000000">
                <w14:alpha w14:val="100000"/>
              </w14:srgbClr>
            </w14:solidFill>
          </w14:textFill>
        </w:rPr>
        <w:t xml:space="preserve">|  </w:t>
      </w:r>
      <w:r w:rsidR="004C53B1" w:rsidRPr="00EC50F1">
        <w:rPr>
          <w:color w:val="000000"/>
          <w:spacing w:val="-69"/>
          <w:w w:val="15"/>
          <w:shd w:val="solid" w:color="000000" w:fill="000000"/>
          <w:fitText w:val="-20" w:id="-761019893"/>
          <w14:textFill>
            <w14:solidFill>
              <w14:srgbClr w14:val="000000">
                <w14:alpha w14:val="100000"/>
              </w14:srgbClr>
            </w14:solidFill>
          </w14:textFill>
        </w:rPr>
        <w:t>|</w:t>
      </w:r>
      <w:r w:rsidR="00206BD3">
        <w:t xml:space="preserve"> would be required</w:t>
      </w:r>
      <w:r w:rsidR="00206BD3" w:rsidRPr="00206BD3">
        <w:t xml:space="preserve">; however, this is not the undiscounted cost of EV+PEM, but rather the cost of EV+PEM required to achieve an ICER of </w:t>
      </w:r>
      <w:r w:rsidR="00631241" w:rsidRPr="00631241">
        <w:t>$75,000 to &lt; $95,000</w:t>
      </w:r>
      <w:r w:rsidR="00206BD3" w:rsidRPr="00206BD3">
        <w:t>/QALY in an undiscounted model (i.e., all costs in the model are undiscounted).</w:t>
      </w:r>
      <w:r w:rsidR="00440D28">
        <w:t xml:space="preserve"> </w:t>
      </w:r>
      <w:bookmarkEnd w:id="53"/>
      <w:r w:rsidR="005920C5" w:rsidRPr="005D3209">
        <w:t xml:space="preserve">The ESC noted </w:t>
      </w:r>
      <w:r w:rsidR="00D15951" w:rsidRPr="005D3209">
        <w:t xml:space="preserve">that removing discounting from the treatment cost of EV+PEM increased the cost per patient by about </w:t>
      </w:r>
      <w:r w:rsidR="004C53B1" w:rsidRPr="00EC50F1">
        <w:rPr>
          <w:color w:val="000000"/>
          <w:w w:val="15"/>
          <w:shd w:val="solid" w:color="000000" w:fill="000000"/>
          <w:fitText w:val="-20" w:id="-761019892"/>
          <w14:textFill>
            <w14:solidFill>
              <w14:srgbClr w14:val="000000">
                <w14:alpha w14:val="100000"/>
              </w14:srgbClr>
            </w14:solidFill>
          </w14:textFill>
        </w:rPr>
        <w:t xml:space="preserve">|  </w:t>
      </w:r>
      <w:r w:rsidR="004C53B1" w:rsidRPr="00EC50F1">
        <w:rPr>
          <w:color w:val="000000"/>
          <w:spacing w:val="-69"/>
          <w:w w:val="15"/>
          <w:shd w:val="solid" w:color="000000" w:fill="000000"/>
          <w:fitText w:val="-20" w:id="-761019892"/>
          <w14:textFill>
            <w14:solidFill>
              <w14:srgbClr w14:val="000000">
                <w14:alpha w14:val="100000"/>
              </w14:srgbClr>
            </w14:solidFill>
          </w14:textFill>
        </w:rPr>
        <w:t>|</w:t>
      </w:r>
      <w:r w:rsidR="00D15951" w:rsidRPr="005D3209">
        <w:t>%.</w:t>
      </w:r>
    </w:p>
    <w:p w14:paraId="775FD97A" w14:textId="12E701B9" w:rsidR="002B5BE8" w:rsidRDefault="00E65641" w:rsidP="00757086">
      <w:pPr>
        <w:pStyle w:val="3-BodyText"/>
      </w:pPr>
      <w:bookmarkStart w:id="54" w:name="_Ref180130423"/>
      <w:bookmarkStart w:id="55" w:name="_Ref182753197"/>
      <w:r w:rsidRPr="005D3209">
        <w:lastRenderedPageBreak/>
        <w:t xml:space="preserve">The ESC </w:t>
      </w:r>
      <w:r w:rsidR="00263172" w:rsidRPr="005D3209">
        <w:t>considered a revised model tha</w:t>
      </w:r>
      <w:r w:rsidR="00757086" w:rsidRPr="005D3209">
        <w:t xml:space="preserve">t was based on a time horizon of 10 years, </w:t>
      </w:r>
      <w:r w:rsidR="00263172" w:rsidRPr="005D3209">
        <w:t>incorporated background mortality</w:t>
      </w:r>
      <w:r w:rsidR="00757086" w:rsidRPr="005D3209">
        <w:t xml:space="preserve">, </w:t>
      </w:r>
      <w:r w:rsidR="00263172" w:rsidRPr="005D3209">
        <w:t xml:space="preserve">increased the age in the model to 72 years, increased the use of observed KM data (applying the </w:t>
      </w:r>
      <w:proofErr w:type="spellStart"/>
      <w:r w:rsidR="00263172" w:rsidRPr="005D3209">
        <w:t>Gebski</w:t>
      </w:r>
      <w:proofErr w:type="spellEnd"/>
      <w:r w:rsidR="00263172" w:rsidRPr="005D3209">
        <w:t xml:space="preserve"> method to determine truncation point for OS and PFS)</w:t>
      </w:r>
      <w:r w:rsidR="00757086" w:rsidRPr="005D3209">
        <w:t xml:space="preserve">, removed terminal care costs and applied the log-logistic function to extrapolate EV time on treatment </w:t>
      </w:r>
      <w:r w:rsidR="00263172" w:rsidRPr="005D3209">
        <w:t xml:space="preserve">would provide a reasonable respecified base case model. The resulting ICER increased to </w:t>
      </w:r>
      <w:r w:rsidR="00D73DF5" w:rsidRPr="00D73DF5">
        <w:t>$255,000</w:t>
      </w:r>
      <w:r w:rsidR="00853660">
        <w:t> </w:t>
      </w:r>
      <w:r w:rsidR="00D73DF5" w:rsidRPr="00D73DF5">
        <w:t>to</w:t>
      </w:r>
      <w:r w:rsidR="00853660">
        <w:t> </w:t>
      </w:r>
      <w:r w:rsidR="00D73DF5" w:rsidRPr="00D73DF5">
        <w:t>&lt;</w:t>
      </w:r>
      <w:r w:rsidR="00853660">
        <w:t> </w:t>
      </w:r>
      <w:r w:rsidR="00D73DF5" w:rsidRPr="00D73DF5">
        <w:t>$355,000</w:t>
      </w:r>
      <w:r w:rsidR="00853660">
        <w:t xml:space="preserve"> </w:t>
      </w:r>
      <w:r w:rsidR="00263172" w:rsidRPr="005D3209">
        <w:t xml:space="preserve">per QALY gained, and the combined cost of EV+PEM required to achieve an ICER of </w:t>
      </w:r>
      <w:r w:rsidR="0061703A" w:rsidRPr="0061703A">
        <w:t>$75,000</w:t>
      </w:r>
      <w:r w:rsidR="00853660">
        <w:t> </w:t>
      </w:r>
      <w:r w:rsidR="0061703A" w:rsidRPr="0061703A">
        <w:t>to &lt; $95,000</w:t>
      </w:r>
      <w:r w:rsidR="00853660">
        <w:t xml:space="preserve"> </w:t>
      </w:r>
      <w:r w:rsidR="00263172" w:rsidRPr="005D3209">
        <w:t xml:space="preserve">reduced to </w:t>
      </w:r>
      <w:r w:rsidR="00D57F3E" w:rsidRPr="00D57F3E">
        <w:t>$95,000 to &lt; $115,000</w:t>
      </w:r>
      <w:r w:rsidR="00263172" w:rsidRPr="005D3209">
        <w:t xml:space="preserve">. </w:t>
      </w:r>
      <w:r w:rsidR="002B5BE8" w:rsidRPr="005D3209">
        <w:t xml:space="preserve">The ESC noted the results of the respecified base case model </w:t>
      </w:r>
      <w:r w:rsidR="0021622A">
        <w:t xml:space="preserve">are based on </w:t>
      </w:r>
      <w:r w:rsidR="002B5BE8" w:rsidRPr="005D3209">
        <w:t xml:space="preserve">using </w:t>
      </w:r>
      <w:r w:rsidR="0021622A">
        <w:t xml:space="preserve">50% of the published </w:t>
      </w:r>
      <w:r w:rsidR="002B5BE8" w:rsidRPr="005D3209">
        <w:t>prices of avelumab and PEM</w:t>
      </w:r>
      <w:r w:rsidR="0021622A">
        <w:t xml:space="preserve"> (2L)</w:t>
      </w:r>
      <w:r w:rsidR="002B5BE8" w:rsidRPr="005D3209">
        <w:t>.</w:t>
      </w:r>
      <w:bookmarkEnd w:id="54"/>
      <w:r w:rsidR="00757086" w:rsidRPr="005D3209">
        <w:t xml:space="preserve"> The ESC noted that, using the respecified base case model, the ICER increased to </w:t>
      </w:r>
      <w:r w:rsidR="0082101F" w:rsidRPr="0082101F">
        <w:t>$255,000 to &lt; $355,000</w:t>
      </w:r>
      <w:r w:rsidR="006F05B3">
        <w:t xml:space="preserve"> </w:t>
      </w:r>
      <w:r w:rsidR="00757086" w:rsidRPr="005D3209">
        <w:t>per QALY using a time horizon of 7.5</w:t>
      </w:r>
      <w:r w:rsidR="00D35926">
        <w:t> </w:t>
      </w:r>
      <w:r w:rsidR="00757086" w:rsidRPr="005D3209">
        <w:t xml:space="preserve">years and using alternative utility values increased to </w:t>
      </w:r>
      <w:r w:rsidR="0082101F" w:rsidRPr="0082101F">
        <w:t>$255,000 to &lt; $355,000</w:t>
      </w:r>
      <w:r w:rsidR="006F05B3">
        <w:t xml:space="preserve"> </w:t>
      </w:r>
      <w:r w:rsidR="00757086" w:rsidRPr="005D3209">
        <w:t>per QALY.</w:t>
      </w:r>
      <w:bookmarkEnd w:id="55"/>
      <w:r w:rsidR="00757086" w:rsidRPr="005D3209">
        <w:t xml:space="preserve"> </w:t>
      </w:r>
    </w:p>
    <w:p w14:paraId="5BAABFED" w14:textId="1AAD73BE" w:rsidR="00B12A74" w:rsidRPr="005D3209" w:rsidRDefault="00B12A74" w:rsidP="00757086">
      <w:pPr>
        <w:pStyle w:val="3-BodyText"/>
      </w:pPr>
      <w:r>
        <w:t>The pre-PBAC response proposed a revised base case model based on a time horizon of 10 years, incorporated background mortality, increased the age in the model to 72</w:t>
      </w:r>
      <w:r w:rsidR="00D35926">
        <w:t> </w:t>
      </w:r>
      <w:r>
        <w:t>years</w:t>
      </w:r>
      <w:r w:rsidR="00B83F34">
        <w:t>, updated MBS fees</w:t>
      </w:r>
      <w:r>
        <w:t xml:space="preserve"> and increased the use of observed KM data (applying the </w:t>
      </w:r>
      <w:proofErr w:type="spellStart"/>
      <w:r>
        <w:t>Gebski</w:t>
      </w:r>
      <w:proofErr w:type="spellEnd"/>
      <w:r>
        <w:t xml:space="preserve"> method to determine truncation point for OS and PFS).</w:t>
      </w:r>
      <w:r w:rsidR="00D0603A">
        <w:t xml:space="preserve"> The pre-PBAC response stated the revised base case resulted in an ICER of </w:t>
      </w:r>
      <w:r w:rsidR="00F44D98" w:rsidRPr="00F44D98">
        <w:t>$255,000 to &lt; $355,000</w:t>
      </w:r>
      <w:r w:rsidR="006F05B3">
        <w:t xml:space="preserve"> </w:t>
      </w:r>
      <w:r w:rsidR="00D0603A">
        <w:t xml:space="preserve">per QALY gained, with the </w:t>
      </w:r>
      <w:r w:rsidR="00364045">
        <w:t xml:space="preserve">(discounted) </w:t>
      </w:r>
      <w:r w:rsidR="00D0603A">
        <w:t xml:space="preserve">combined cost of EV+PEM required to achieve an ICER of </w:t>
      </w:r>
      <w:r w:rsidR="00373358" w:rsidRPr="00373358">
        <w:t>$75,000 to &lt; $95,000</w:t>
      </w:r>
      <w:r w:rsidR="006F05B3">
        <w:t xml:space="preserve"> </w:t>
      </w:r>
      <w:r w:rsidR="00364045">
        <w:rPr>
          <w:rStyle w:val="FootnoteReference"/>
        </w:rPr>
        <w:footnoteReference w:id="20"/>
      </w:r>
      <w:r w:rsidR="00D0603A">
        <w:t xml:space="preserve">. </w:t>
      </w:r>
    </w:p>
    <w:p w14:paraId="472842D7" w14:textId="101D234F" w:rsidR="00C25D9C" w:rsidRPr="0098262F" w:rsidRDefault="000467C7" w:rsidP="006F05B3">
      <w:pPr>
        <w:pStyle w:val="4-SubsectionHeading"/>
      </w:pPr>
      <w:bookmarkStart w:id="56" w:name="_Toc22897646"/>
      <w:bookmarkStart w:id="57" w:name="_Toc177481911"/>
      <w:r>
        <w:lastRenderedPageBreak/>
        <w:t>EV+PEM cost/patient/course</w:t>
      </w:r>
      <w:bookmarkEnd w:id="56"/>
      <w:bookmarkEnd w:id="57"/>
    </w:p>
    <w:p w14:paraId="51691BD3" w14:textId="43888EE8" w:rsidR="00494207" w:rsidRPr="0098262F" w:rsidRDefault="00E16AD8" w:rsidP="006F05B3">
      <w:pPr>
        <w:pStyle w:val="Caption"/>
        <w:rPr>
          <w:rStyle w:val="CommentReference"/>
          <w:b/>
          <w:szCs w:val="24"/>
        </w:rPr>
      </w:pPr>
      <w:bookmarkStart w:id="58" w:name="_Ref104805102"/>
      <w:r w:rsidRPr="0098262F">
        <w:t xml:space="preserve">Table </w:t>
      </w:r>
      <w:r>
        <w:fldChar w:fldCharType="begin" w:fldLock="1"/>
      </w:r>
      <w:r>
        <w:instrText xml:space="preserve"> SEQ Table \* ARABIC </w:instrText>
      </w:r>
      <w:r>
        <w:fldChar w:fldCharType="separate"/>
      </w:r>
      <w:r w:rsidR="00FE0BD6">
        <w:rPr>
          <w:noProof/>
        </w:rPr>
        <w:t>14</w:t>
      </w:r>
      <w:r>
        <w:rPr>
          <w:noProof/>
        </w:rPr>
        <w:fldChar w:fldCharType="end"/>
      </w:r>
      <w:bookmarkEnd w:id="58"/>
      <w:r w:rsidRPr="0098262F">
        <w:t>:</w:t>
      </w:r>
      <w:r w:rsidR="00494207" w:rsidRPr="0098262F">
        <w:rPr>
          <w:rStyle w:val="CommentReference"/>
          <w:b/>
          <w:szCs w:val="24"/>
        </w:rPr>
        <w:t xml:space="preserve"> Drug cost per patient for proposed and comparator drugs</w:t>
      </w:r>
      <w:r w:rsidR="00C43D6A">
        <w:rPr>
          <w:rStyle w:val="CommentReference"/>
          <w:b/>
          <w:szCs w:val="24"/>
        </w:rPr>
        <w:t>, based on published prices.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2"/>
        <w:gridCol w:w="1257"/>
        <w:gridCol w:w="1096"/>
        <w:gridCol w:w="1416"/>
        <w:gridCol w:w="1134"/>
        <w:gridCol w:w="1275"/>
        <w:gridCol w:w="1367"/>
      </w:tblGrid>
      <w:tr w:rsidR="00E273AF" w:rsidRPr="00E273AF" w14:paraId="3879C7D5" w14:textId="77777777" w:rsidTr="006F05B3">
        <w:trPr>
          <w:cantSplit/>
          <w:tblHeader/>
          <w:jc w:val="center"/>
        </w:trPr>
        <w:tc>
          <w:tcPr>
            <w:tcW w:w="816" w:type="pct"/>
            <w:shd w:val="clear" w:color="auto" w:fill="auto"/>
            <w:vAlign w:val="center"/>
          </w:tcPr>
          <w:p w14:paraId="749EA8CD" w14:textId="77777777" w:rsidR="00E273AF" w:rsidRPr="00E273AF" w:rsidRDefault="00E273AF" w:rsidP="006F05B3">
            <w:pPr>
              <w:keepNext/>
              <w:keepLines/>
              <w:jc w:val="center"/>
              <w:rPr>
                <w:rFonts w:ascii="Arial Narrow" w:eastAsiaTheme="majorEastAsia" w:hAnsi="Arial Narrow" w:cs="Times New Roman"/>
                <w:b/>
                <w:sz w:val="20"/>
              </w:rPr>
            </w:pPr>
            <w:bookmarkStart w:id="59" w:name="_Toc22897647"/>
          </w:p>
        </w:tc>
        <w:tc>
          <w:tcPr>
            <w:tcW w:w="697" w:type="pct"/>
            <w:shd w:val="clear" w:color="auto" w:fill="auto"/>
            <w:vAlign w:val="center"/>
          </w:tcPr>
          <w:p w14:paraId="05BEB956"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Proposed drug</w:t>
            </w:r>
          </w:p>
          <w:p w14:paraId="00D8CB46"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Trial dose and duration</w:t>
            </w:r>
          </w:p>
        </w:tc>
        <w:tc>
          <w:tcPr>
            <w:tcW w:w="608" w:type="pct"/>
            <w:shd w:val="clear" w:color="auto" w:fill="auto"/>
            <w:vAlign w:val="center"/>
          </w:tcPr>
          <w:p w14:paraId="17FAE44B"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Proposed drug</w:t>
            </w:r>
          </w:p>
          <w:p w14:paraId="0F14DD01"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Model</w:t>
            </w:r>
          </w:p>
        </w:tc>
        <w:tc>
          <w:tcPr>
            <w:tcW w:w="785" w:type="pct"/>
            <w:shd w:val="clear" w:color="auto" w:fill="auto"/>
            <w:vAlign w:val="center"/>
          </w:tcPr>
          <w:p w14:paraId="2E6F207B"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Proposed drug</w:t>
            </w:r>
          </w:p>
          <w:p w14:paraId="783DD7D9"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Financial estimates</w:t>
            </w:r>
          </w:p>
        </w:tc>
        <w:tc>
          <w:tcPr>
            <w:tcW w:w="629" w:type="pct"/>
            <w:shd w:val="clear" w:color="auto" w:fill="auto"/>
            <w:vAlign w:val="center"/>
          </w:tcPr>
          <w:p w14:paraId="778E9B20"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Comparator</w:t>
            </w:r>
          </w:p>
          <w:p w14:paraId="34E20373"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Trial dose and duration</w:t>
            </w:r>
          </w:p>
        </w:tc>
        <w:tc>
          <w:tcPr>
            <w:tcW w:w="707" w:type="pct"/>
            <w:shd w:val="clear" w:color="auto" w:fill="auto"/>
            <w:vAlign w:val="center"/>
          </w:tcPr>
          <w:p w14:paraId="5DAB311C"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Comparator</w:t>
            </w:r>
          </w:p>
          <w:p w14:paraId="0B87F350"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Model</w:t>
            </w:r>
          </w:p>
        </w:tc>
        <w:tc>
          <w:tcPr>
            <w:tcW w:w="758" w:type="pct"/>
            <w:vAlign w:val="center"/>
          </w:tcPr>
          <w:p w14:paraId="798E0C5D"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Comparator</w:t>
            </w:r>
          </w:p>
          <w:p w14:paraId="597D56DA" w14:textId="77777777" w:rsidR="00E273AF" w:rsidRPr="00E273AF" w:rsidRDefault="00E273AF" w:rsidP="006F05B3">
            <w:pPr>
              <w:keepNext/>
              <w:keepLines/>
              <w:jc w:val="center"/>
              <w:rPr>
                <w:rFonts w:ascii="Arial Narrow" w:eastAsiaTheme="majorEastAsia" w:hAnsi="Arial Narrow" w:cs="Times New Roman"/>
                <w:b/>
                <w:sz w:val="20"/>
              </w:rPr>
            </w:pPr>
            <w:r w:rsidRPr="00E273AF">
              <w:rPr>
                <w:rFonts w:ascii="Arial Narrow" w:eastAsiaTheme="majorEastAsia" w:hAnsi="Arial Narrow" w:cs="Times New Roman"/>
                <w:b/>
                <w:sz w:val="20"/>
              </w:rPr>
              <w:t>Financial estimates</w:t>
            </w:r>
          </w:p>
        </w:tc>
      </w:tr>
      <w:tr w:rsidR="00E273AF" w:rsidRPr="00E273AF" w14:paraId="000372F6" w14:textId="77777777" w:rsidTr="006F05B3">
        <w:trPr>
          <w:cantSplit/>
          <w:jc w:val="center"/>
        </w:trPr>
        <w:tc>
          <w:tcPr>
            <w:tcW w:w="816" w:type="pct"/>
            <w:shd w:val="clear" w:color="auto" w:fill="auto"/>
            <w:vAlign w:val="center"/>
          </w:tcPr>
          <w:p w14:paraId="32F3F9AA" w14:textId="77777777" w:rsidR="00E273AF" w:rsidRPr="00E273AF" w:rsidRDefault="00E273AF" w:rsidP="006F05B3">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Mean dose</w:t>
            </w:r>
          </w:p>
        </w:tc>
        <w:tc>
          <w:tcPr>
            <w:tcW w:w="697" w:type="pct"/>
            <w:shd w:val="clear" w:color="auto" w:fill="auto"/>
            <w:vAlign w:val="center"/>
          </w:tcPr>
          <w:p w14:paraId="314432B5" w14:textId="3E9A8EBD" w:rsidR="00E273AF" w:rsidRPr="00C11145" w:rsidRDefault="009C5298"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EV: not provided</w:t>
            </w:r>
          </w:p>
          <w:p w14:paraId="54BDCCF1" w14:textId="134F637D" w:rsidR="009C5298" w:rsidRPr="00C11145" w:rsidRDefault="009C5298"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 xml:space="preserve">PEM: </w:t>
            </w:r>
            <w:r w:rsidR="004D082A" w:rsidRPr="00C11145">
              <w:rPr>
                <w:rFonts w:ascii="Arial Narrow" w:eastAsiaTheme="majorEastAsia" w:hAnsi="Arial Narrow" w:cstheme="majorBidi"/>
                <w:bCs/>
                <w:sz w:val="20"/>
              </w:rPr>
              <w:t>184.6mg</w:t>
            </w:r>
          </w:p>
        </w:tc>
        <w:tc>
          <w:tcPr>
            <w:tcW w:w="608" w:type="pct"/>
            <w:shd w:val="clear" w:color="auto" w:fill="auto"/>
            <w:vAlign w:val="center"/>
          </w:tcPr>
          <w:p w14:paraId="01785138" w14:textId="77777777" w:rsidR="00E273AF" w:rsidRPr="00C11145" w:rsidRDefault="004D082A"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EV: 80.1mg</w:t>
            </w:r>
          </w:p>
          <w:p w14:paraId="106C1FC2" w14:textId="790FD0AD" w:rsidR="004D082A" w:rsidRPr="00C11145" w:rsidRDefault="004D082A"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PEM: 184.6mg</w:t>
            </w:r>
          </w:p>
        </w:tc>
        <w:tc>
          <w:tcPr>
            <w:tcW w:w="785" w:type="pct"/>
            <w:shd w:val="clear" w:color="auto" w:fill="auto"/>
            <w:vAlign w:val="center"/>
          </w:tcPr>
          <w:p w14:paraId="1F0AFFAA" w14:textId="77777777" w:rsidR="00E273AF" w:rsidRPr="00C11145" w:rsidRDefault="00E273AF"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EV: 95 mg</w:t>
            </w:r>
          </w:p>
          <w:p w14:paraId="03FEDA5A" w14:textId="77777777" w:rsidR="00E273AF" w:rsidRPr="00C11145" w:rsidRDefault="00E273AF"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 xml:space="preserve">PEM: 200 mg  </w:t>
            </w:r>
          </w:p>
        </w:tc>
        <w:tc>
          <w:tcPr>
            <w:tcW w:w="629" w:type="pct"/>
            <w:shd w:val="clear" w:color="auto" w:fill="auto"/>
            <w:vAlign w:val="center"/>
          </w:tcPr>
          <w:p w14:paraId="630B6E02" w14:textId="1363BB74" w:rsidR="00E273AF" w:rsidRPr="00C11145" w:rsidRDefault="004D082A"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Not provided</w:t>
            </w:r>
          </w:p>
        </w:tc>
        <w:tc>
          <w:tcPr>
            <w:tcW w:w="707" w:type="pct"/>
            <w:shd w:val="clear" w:color="auto" w:fill="auto"/>
            <w:vAlign w:val="center"/>
          </w:tcPr>
          <w:p w14:paraId="3301F865" w14:textId="77777777" w:rsidR="00E273AF" w:rsidRPr="00C11145" w:rsidRDefault="004D082A"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Cis:137mg</w:t>
            </w:r>
          </w:p>
          <w:p w14:paraId="26C7FDCB" w14:textId="77777777" w:rsidR="004D082A" w:rsidRPr="00C11145" w:rsidRDefault="004D082A"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Carbo:450mg</w:t>
            </w:r>
          </w:p>
          <w:p w14:paraId="48882F39" w14:textId="4C2A59D5" w:rsidR="004D082A" w:rsidRPr="00C11145" w:rsidRDefault="004D082A"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 xml:space="preserve">Gem: </w:t>
            </w:r>
            <w:r w:rsidR="00FE7758" w:rsidRPr="00C11145">
              <w:rPr>
                <w:rFonts w:ascii="Arial Narrow" w:eastAsiaTheme="majorEastAsia" w:hAnsi="Arial Narrow" w:cstheme="majorBidi"/>
                <w:bCs/>
                <w:sz w:val="20"/>
              </w:rPr>
              <w:t>1580mg</w:t>
            </w:r>
          </w:p>
        </w:tc>
        <w:tc>
          <w:tcPr>
            <w:tcW w:w="758" w:type="pct"/>
            <w:vAlign w:val="center"/>
          </w:tcPr>
          <w:p w14:paraId="2B887826" w14:textId="77777777" w:rsidR="00E273AF" w:rsidRPr="00C11145" w:rsidRDefault="00E273AF"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Cis: 132 mg</w:t>
            </w:r>
          </w:p>
          <w:p w14:paraId="2D760680" w14:textId="77777777" w:rsidR="00E273AF" w:rsidRPr="00C11145" w:rsidRDefault="00E273AF"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Carbo:329 mg</w:t>
            </w:r>
          </w:p>
          <w:p w14:paraId="23E414EC" w14:textId="77777777" w:rsidR="00E273AF" w:rsidRPr="00C11145" w:rsidRDefault="00E273AF"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Gem: 1880 mg</w:t>
            </w:r>
          </w:p>
        </w:tc>
      </w:tr>
      <w:tr w:rsidR="00E273AF" w:rsidRPr="00E273AF" w14:paraId="36ACB6BB" w14:textId="77777777" w:rsidTr="006F05B3">
        <w:trPr>
          <w:cantSplit/>
          <w:jc w:val="center"/>
        </w:trPr>
        <w:tc>
          <w:tcPr>
            <w:tcW w:w="816" w:type="pct"/>
            <w:shd w:val="clear" w:color="auto" w:fill="auto"/>
            <w:vAlign w:val="center"/>
          </w:tcPr>
          <w:p w14:paraId="1F5DF6F3" w14:textId="77777777" w:rsidR="00E273AF" w:rsidRPr="00E273AF" w:rsidRDefault="00E273AF" w:rsidP="006F05B3">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Mean duration</w:t>
            </w:r>
          </w:p>
        </w:tc>
        <w:tc>
          <w:tcPr>
            <w:tcW w:w="697" w:type="pct"/>
            <w:shd w:val="clear" w:color="auto" w:fill="auto"/>
            <w:vAlign w:val="center"/>
          </w:tcPr>
          <w:p w14:paraId="26DB4845" w14:textId="77777777" w:rsidR="00E273AF" w:rsidRPr="00C11145" w:rsidRDefault="009C5298"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EV: 36.35 weeks</w:t>
            </w:r>
          </w:p>
          <w:p w14:paraId="72D788DD" w14:textId="0218CAC0" w:rsidR="009C5298" w:rsidRPr="00C11145" w:rsidRDefault="009C5298"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PEM: 41.83 weeks</w:t>
            </w:r>
          </w:p>
        </w:tc>
        <w:tc>
          <w:tcPr>
            <w:tcW w:w="608" w:type="pct"/>
            <w:shd w:val="clear" w:color="auto" w:fill="auto"/>
            <w:vAlign w:val="center"/>
          </w:tcPr>
          <w:p w14:paraId="7F986A65" w14:textId="77777777" w:rsidR="00E273AF" w:rsidRPr="00C11145" w:rsidRDefault="004D082A"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EV: 59.92 weeks</w:t>
            </w:r>
          </w:p>
          <w:p w14:paraId="51AA83FA" w14:textId="6DB75EAA" w:rsidR="004D082A" w:rsidRPr="00C11145" w:rsidRDefault="004D082A"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PEM: 52.05 weeks</w:t>
            </w:r>
          </w:p>
        </w:tc>
        <w:tc>
          <w:tcPr>
            <w:tcW w:w="785" w:type="pct"/>
            <w:shd w:val="clear" w:color="auto" w:fill="auto"/>
            <w:vAlign w:val="center"/>
          </w:tcPr>
          <w:p w14:paraId="1595EF74" w14:textId="77777777" w:rsidR="00E273AF" w:rsidRPr="00C11145" w:rsidRDefault="00E273AF"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EV: 59.42 weeks</w:t>
            </w:r>
          </w:p>
          <w:p w14:paraId="3410029E" w14:textId="77777777" w:rsidR="00E273AF" w:rsidRPr="00C11145" w:rsidRDefault="00E273AF"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PEM: 51.55 weeks</w:t>
            </w:r>
          </w:p>
        </w:tc>
        <w:tc>
          <w:tcPr>
            <w:tcW w:w="629" w:type="pct"/>
            <w:shd w:val="clear" w:color="auto" w:fill="auto"/>
            <w:vAlign w:val="center"/>
          </w:tcPr>
          <w:p w14:paraId="65413A31" w14:textId="44213C57" w:rsidR="00E273AF" w:rsidRPr="00C11145" w:rsidRDefault="004D082A"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15.74 weeks</w:t>
            </w:r>
          </w:p>
        </w:tc>
        <w:tc>
          <w:tcPr>
            <w:tcW w:w="707" w:type="pct"/>
            <w:shd w:val="clear" w:color="auto" w:fill="auto"/>
            <w:vAlign w:val="center"/>
          </w:tcPr>
          <w:p w14:paraId="12625EFE" w14:textId="46BCD882" w:rsidR="00E273AF" w:rsidRPr="00C11145" w:rsidRDefault="00FE7758"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16.47 weeks</w:t>
            </w:r>
          </w:p>
        </w:tc>
        <w:tc>
          <w:tcPr>
            <w:tcW w:w="758" w:type="pct"/>
            <w:vAlign w:val="center"/>
          </w:tcPr>
          <w:p w14:paraId="62E2ED0B" w14:textId="77777777" w:rsidR="00E273AF" w:rsidRPr="00C11145" w:rsidRDefault="00E273AF" w:rsidP="006F05B3">
            <w:pPr>
              <w:keepNext/>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15.97 weeks</w:t>
            </w:r>
          </w:p>
        </w:tc>
      </w:tr>
      <w:tr w:rsidR="00E273AF" w:rsidRPr="00E273AF" w14:paraId="76BB9C57" w14:textId="77777777" w:rsidTr="006F05B3">
        <w:trPr>
          <w:cantSplit/>
          <w:jc w:val="center"/>
        </w:trPr>
        <w:tc>
          <w:tcPr>
            <w:tcW w:w="816" w:type="pct"/>
            <w:shd w:val="clear" w:color="auto" w:fill="auto"/>
            <w:vAlign w:val="center"/>
          </w:tcPr>
          <w:p w14:paraId="1AEB07D1" w14:textId="77777777" w:rsidR="00E273AF" w:rsidRPr="00E273AF" w:rsidRDefault="00E273AF" w:rsidP="006F05B3">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Cost/patient/month</w:t>
            </w:r>
          </w:p>
        </w:tc>
        <w:tc>
          <w:tcPr>
            <w:tcW w:w="697" w:type="pct"/>
            <w:shd w:val="clear" w:color="auto" w:fill="auto"/>
            <w:vAlign w:val="center"/>
          </w:tcPr>
          <w:p w14:paraId="45979546" w14:textId="0C26DBAE" w:rsidR="00E273AF" w:rsidRPr="00E273AF" w:rsidRDefault="009C5298" w:rsidP="006F05B3">
            <w:pPr>
              <w:keepNext/>
              <w:keepLines/>
              <w:jc w:val="left"/>
              <w:rPr>
                <w:rFonts w:ascii="Arial Narrow" w:eastAsiaTheme="majorEastAsia" w:hAnsi="Arial Narrow" w:cstheme="majorBidi"/>
                <w:bCs/>
                <w:i/>
                <w:iCs/>
                <w:sz w:val="20"/>
              </w:rPr>
            </w:pPr>
            <w:r>
              <w:rPr>
                <w:rFonts w:ascii="Arial Narrow" w:eastAsiaTheme="majorEastAsia" w:hAnsi="Arial Narrow" w:cstheme="majorBidi"/>
                <w:bCs/>
                <w:i/>
                <w:iCs/>
                <w:sz w:val="20"/>
              </w:rPr>
              <w:t>-</w:t>
            </w:r>
          </w:p>
        </w:tc>
        <w:tc>
          <w:tcPr>
            <w:tcW w:w="608" w:type="pct"/>
            <w:shd w:val="clear" w:color="auto" w:fill="auto"/>
            <w:vAlign w:val="center"/>
          </w:tcPr>
          <w:p w14:paraId="3F6BC205" w14:textId="7279B19C" w:rsidR="00E273AF" w:rsidRPr="005172D4" w:rsidRDefault="004D082A" w:rsidP="006F05B3">
            <w:pPr>
              <w:keepNext/>
              <w:keepLines/>
              <w:jc w:val="left"/>
              <w:rPr>
                <w:rFonts w:ascii="Arial Narrow" w:eastAsiaTheme="majorEastAsia" w:hAnsi="Arial Narrow" w:cstheme="majorBidi"/>
                <w:bCs/>
                <w:sz w:val="20"/>
              </w:rPr>
            </w:pPr>
            <w:r w:rsidRPr="005172D4">
              <w:rPr>
                <w:rFonts w:ascii="Arial Narrow" w:eastAsiaTheme="majorEastAsia" w:hAnsi="Arial Narrow" w:cstheme="majorBidi"/>
                <w:bCs/>
                <w:sz w:val="20"/>
              </w:rPr>
              <w:t>EV: $</w:t>
            </w:r>
            <w:r w:rsidR="004C53B1" w:rsidRPr="004C53B1">
              <w:rPr>
                <w:rFonts w:ascii="Arial Narrow" w:eastAsiaTheme="majorEastAsia" w:hAnsi="Arial Narrow" w:cstheme="majorBidi"/>
                <w:bCs/>
                <w:color w:val="000000"/>
                <w:spacing w:val="49"/>
                <w:sz w:val="20"/>
                <w:shd w:val="solid" w:color="000000" w:fill="000000"/>
                <w:fitText w:val="320" w:id="-761019891"/>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891"/>
                <w14:textFill>
                  <w14:solidFill>
                    <w14:srgbClr w14:val="000000">
                      <w14:alpha w14:val="100000"/>
                    </w14:srgbClr>
                  </w14:solidFill>
                </w14:textFill>
              </w:rPr>
              <w:t>|</w:t>
            </w:r>
          </w:p>
          <w:p w14:paraId="634668AF" w14:textId="64509BD3" w:rsidR="004D082A" w:rsidRPr="00E273AF" w:rsidRDefault="004D082A" w:rsidP="006F05B3">
            <w:pPr>
              <w:keepNext/>
              <w:keepLines/>
              <w:jc w:val="left"/>
              <w:rPr>
                <w:rFonts w:ascii="Arial Narrow" w:eastAsiaTheme="majorEastAsia" w:hAnsi="Arial Narrow" w:cstheme="majorBidi"/>
                <w:bCs/>
                <w:i/>
                <w:iCs/>
                <w:sz w:val="20"/>
              </w:rPr>
            </w:pPr>
            <w:r w:rsidRPr="005172D4">
              <w:rPr>
                <w:rFonts w:ascii="Arial Narrow" w:eastAsiaTheme="majorEastAsia" w:hAnsi="Arial Narrow" w:cstheme="majorBidi"/>
                <w:bCs/>
                <w:sz w:val="20"/>
              </w:rPr>
              <w:t>PEM: $</w:t>
            </w:r>
            <w:r w:rsidR="004C53B1" w:rsidRPr="004C53B1">
              <w:rPr>
                <w:rFonts w:ascii="Arial Narrow" w:eastAsiaTheme="majorEastAsia" w:hAnsi="Arial Narrow" w:cstheme="majorBidi"/>
                <w:bCs/>
                <w:color w:val="000000"/>
                <w:spacing w:val="56"/>
                <w:sz w:val="20"/>
                <w:shd w:val="solid" w:color="000000" w:fill="000000"/>
                <w:fitText w:val="340" w:id="-761019890"/>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890"/>
                <w14:textFill>
                  <w14:solidFill>
                    <w14:srgbClr w14:val="000000">
                      <w14:alpha w14:val="100000"/>
                    </w14:srgbClr>
                  </w14:solidFill>
                </w14:textFill>
              </w:rPr>
              <w:t>|</w:t>
            </w:r>
          </w:p>
        </w:tc>
        <w:tc>
          <w:tcPr>
            <w:tcW w:w="785" w:type="pct"/>
            <w:shd w:val="clear" w:color="auto" w:fill="auto"/>
            <w:vAlign w:val="center"/>
          </w:tcPr>
          <w:p w14:paraId="06A48153" w14:textId="01BFD662" w:rsidR="00E273AF" w:rsidRDefault="007418F2"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EV: $</w:t>
            </w:r>
            <w:r w:rsidR="004C53B1" w:rsidRPr="004C53B1">
              <w:rPr>
                <w:rFonts w:ascii="Arial Narrow" w:eastAsiaTheme="majorEastAsia" w:hAnsi="Arial Narrow" w:cstheme="majorBidi"/>
                <w:bCs/>
                <w:color w:val="000000"/>
                <w:spacing w:val="49"/>
                <w:sz w:val="20"/>
                <w:shd w:val="solid" w:color="000000" w:fill="000000"/>
                <w:fitText w:val="320" w:id="-761019648"/>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8"/>
                <w14:textFill>
                  <w14:solidFill>
                    <w14:srgbClr w14:val="000000">
                      <w14:alpha w14:val="100000"/>
                    </w14:srgbClr>
                  </w14:solidFill>
                </w14:textFill>
              </w:rPr>
              <w:t>|</w:t>
            </w:r>
          </w:p>
          <w:p w14:paraId="1F2ADBA4" w14:textId="4CFA813E" w:rsidR="007418F2" w:rsidRPr="00E273AF" w:rsidRDefault="007418F2"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PEM: $</w:t>
            </w:r>
            <w:r w:rsidR="004C53B1" w:rsidRPr="004C53B1">
              <w:rPr>
                <w:rFonts w:ascii="Arial Narrow" w:eastAsiaTheme="majorEastAsia" w:hAnsi="Arial Narrow" w:cstheme="majorBidi"/>
                <w:bCs/>
                <w:color w:val="000000"/>
                <w:spacing w:val="56"/>
                <w:sz w:val="20"/>
                <w:shd w:val="solid" w:color="000000" w:fill="000000"/>
                <w:fitText w:val="340" w:id="-761019647"/>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47"/>
                <w14:textFill>
                  <w14:solidFill>
                    <w14:srgbClr w14:val="000000">
                      <w14:alpha w14:val="100000"/>
                    </w14:srgbClr>
                  </w14:solidFill>
                </w14:textFill>
              </w:rPr>
              <w:t>|</w:t>
            </w:r>
          </w:p>
        </w:tc>
        <w:tc>
          <w:tcPr>
            <w:tcW w:w="629" w:type="pct"/>
            <w:shd w:val="clear" w:color="auto" w:fill="auto"/>
            <w:vAlign w:val="center"/>
          </w:tcPr>
          <w:p w14:paraId="4A38E2CB" w14:textId="33B5171C" w:rsidR="00E273AF" w:rsidRPr="00E273AF" w:rsidRDefault="004D082A"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w:t>
            </w:r>
          </w:p>
        </w:tc>
        <w:tc>
          <w:tcPr>
            <w:tcW w:w="707" w:type="pct"/>
            <w:shd w:val="clear" w:color="auto" w:fill="auto"/>
            <w:vAlign w:val="center"/>
          </w:tcPr>
          <w:p w14:paraId="036152C7" w14:textId="5EFAB2A5" w:rsidR="00E273AF" w:rsidRPr="00E273AF" w:rsidRDefault="00FE7758"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$403.43</w:t>
            </w:r>
          </w:p>
        </w:tc>
        <w:tc>
          <w:tcPr>
            <w:tcW w:w="758" w:type="pct"/>
            <w:vAlign w:val="center"/>
          </w:tcPr>
          <w:p w14:paraId="1A7872C7" w14:textId="746B6968" w:rsidR="00C43D6A" w:rsidRDefault="00C43D6A"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Gem-cis: $</w:t>
            </w:r>
            <w:r w:rsidR="00CF452B">
              <w:rPr>
                <w:rFonts w:ascii="Arial Narrow" w:eastAsiaTheme="majorEastAsia" w:hAnsi="Arial Narrow" w:cstheme="majorBidi"/>
                <w:bCs/>
                <w:sz w:val="20"/>
              </w:rPr>
              <w:t>673</w:t>
            </w:r>
          </w:p>
          <w:p w14:paraId="47B14547" w14:textId="77193490" w:rsidR="00C43D6A" w:rsidRPr="00E273AF" w:rsidRDefault="00C43D6A"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Gem-carbo: $</w:t>
            </w:r>
            <w:r w:rsidR="00CF452B">
              <w:rPr>
                <w:rFonts w:ascii="Arial Narrow" w:eastAsiaTheme="majorEastAsia" w:hAnsi="Arial Narrow" w:cstheme="majorBidi"/>
                <w:bCs/>
                <w:sz w:val="20"/>
              </w:rPr>
              <w:t>662</w:t>
            </w:r>
          </w:p>
        </w:tc>
      </w:tr>
      <w:tr w:rsidR="005917C9" w:rsidRPr="00E273AF" w14:paraId="10EB0CC9" w14:textId="77777777" w:rsidTr="006F05B3">
        <w:trPr>
          <w:cantSplit/>
          <w:jc w:val="center"/>
        </w:trPr>
        <w:tc>
          <w:tcPr>
            <w:tcW w:w="816" w:type="pct"/>
            <w:shd w:val="clear" w:color="auto" w:fill="auto"/>
            <w:vAlign w:val="center"/>
          </w:tcPr>
          <w:p w14:paraId="6142F1DA" w14:textId="34F2F1E0" w:rsidR="005917C9" w:rsidRPr="00E273AF" w:rsidRDefault="005917C9"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Cost/patient/course</w:t>
            </w:r>
          </w:p>
        </w:tc>
        <w:tc>
          <w:tcPr>
            <w:tcW w:w="697" w:type="pct"/>
            <w:shd w:val="clear" w:color="auto" w:fill="auto"/>
            <w:vAlign w:val="center"/>
          </w:tcPr>
          <w:p w14:paraId="60452A16" w14:textId="4B675090" w:rsidR="005917C9" w:rsidRDefault="005917C9" w:rsidP="006F05B3">
            <w:pPr>
              <w:keepNext/>
              <w:keepLines/>
              <w:jc w:val="left"/>
              <w:rPr>
                <w:rFonts w:ascii="Arial Narrow" w:eastAsiaTheme="majorEastAsia" w:hAnsi="Arial Narrow" w:cstheme="majorBidi"/>
                <w:bCs/>
                <w:i/>
                <w:iCs/>
                <w:sz w:val="20"/>
              </w:rPr>
            </w:pPr>
            <w:r>
              <w:rPr>
                <w:rFonts w:ascii="Arial Narrow" w:eastAsiaTheme="majorEastAsia" w:hAnsi="Arial Narrow" w:cstheme="majorBidi"/>
                <w:bCs/>
                <w:i/>
                <w:iCs/>
                <w:sz w:val="20"/>
              </w:rPr>
              <w:t>-</w:t>
            </w:r>
          </w:p>
        </w:tc>
        <w:tc>
          <w:tcPr>
            <w:tcW w:w="608" w:type="pct"/>
            <w:shd w:val="clear" w:color="auto" w:fill="auto"/>
            <w:vAlign w:val="center"/>
          </w:tcPr>
          <w:p w14:paraId="38F03973" w14:textId="7B8F60C1" w:rsidR="005917C9" w:rsidRPr="005172D4" w:rsidRDefault="00507394" w:rsidP="006F05B3">
            <w:pPr>
              <w:keepNext/>
              <w:keepLines/>
              <w:jc w:val="left"/>
              <w:rPr>
                <w:rFonts w:ascii="Arial Narrow" w:eastAsiaTheme="majorEastAsia" w:hAnsi="Arial Narrow" w:cstheme="majorBidi"/>
                <w:bCs/>
                <w:sz w:val="20"/>
              </w:rPr>
            </w:pPr>
            <w:r w:rsidRPr="005172D4">
              <w:rPr>
                <w:rFonts w:ascii="Arial Narrow" w:eastAsiaTheme="majorEastAsia" w:hAnsi="Arial Narrow" w:cstheme="majorBidi"/>
                <w:bCs/>
                <w:sz w:val="20"/>
              </w:rPr>
              <w:t>EV: $</w:t>
            </w:r>
            <w:r w:rsidR="004C53B1" w:rsidRPr="004C53B1">
              <w:rPr>
                <w:rFonts w:ascii="Arial Narrow" w:eastAsiaTheme="majorEastAsia" w:hAnsi="Arial Narrow" w:cstheme="majorBidi"/>
                <w:bCs/>
                <w:color w:val="000000"/>
                <w:spacing w:val="49"/>
                <w:sz w:val="20"/>
                <w:shd w:val="solid" w:color="000000" w:fill="000000"/>
                <w:fitText w:val="320" w:id="-761019646"/>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6"/>
                <w14:textFill>
                  <w14:solidFill>
                    <w14:srgbClr w14:val="000000">
                      <w14:alpha w14:val="100000"/>
                    </w14:srgbClr>
                  </w14:solidFill>
                </w14:textFill>
              </w:rPr>
              <w:t>|</w:t>
            </w:r>
          </w:p>
          <w:p w14:paraId="622E3AC8" w14:textId="298C0C58" w:rsidR="00103DCD" w:rsidRDefault="00507394" w:rsidP="006F05B3">
            <w:pPr>
              <w:keepNext/>
              <w:keepLines/>
              <w:jc w:val="left"/>
              <w:rPr>
                <w:rFonts w:ascii="Arial Narrow" w:eastAsiaTheme="majorEastAsia" w:hAnsi="Arial Narrow" w:cstheme="majorBidi"/>
                <w:bCs/>
                <w:sz w:val="20"/>
              </w:rPr>
            </w:pPr>
            <w:r w:rsidRPr="005172D4">
              <w:rPr>
                <w:rFonts w:ascii="Arial Narrow" w:eastAsiaTheme="majorEastAsia" w:hAnsi="Arial Narrow" w:cstheme="majorBidi"/>
                <w:bCs/>
                <w:sz w:val="20"/>
              </w:rPr>
              <w:t>PEM: $</w:t>
            </w:r>
            <w:r w:rsidR="004C53B1" w:rsidRPr="004C53B1">
              <w:rPr>
                <w:rFonts w:ascii="Arial Narrow" w:eastAsiaTheme="majorEastAsia" w:hAnsi="Arial Narrow" w:cstheme="majorBidi"/>
                <w:bCs/>
                <w:color w:val="000000"/>
                <w:spacing w:val="56"/>
                <w:sz w:val="20"/>
                <w:shd w:val="solid" w:color="000000" w:fill="000000"/>
                <w:fitText w:val="340" w:id="-761019645"/>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45"/>
                <w14:textFill>
                  <w14:solidFill>
                    <w14:srgbClr w14:val="000000">
                      <w14:alpha w14:val="100000"/>
                    </w14:srgbClr>
                  </w14:solidFill>
                </w14:textFill>
              </w:rPr>
              <w:t>|</w:t>
            </w:r>
          </w:p>
          <w:p w14:paraId="586C6B6D" w14:textId="7ED7ABD9" w:rsidR="00DE02AD" w:rsidRPr="00103DCD" w:rsidRDefault="00DE02AD"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Total: $</w:t>
            </w:r>
            <w:r w:rsidR="004C53B1" w:rsidRPr="004C53B1">
              <w:rPr>
                <w:rFonts w:ascii="Arial Narrow" w:eastAsiaTheme="majorEastAsia" w:hAnsi="Arial Narrow" w:cstheme="majorBidi"/>
                <w:bCs/>
                <w:color w:val="000000"/>
                <w:spacing w:val="49"/>
                <w:sz w:val="20"/>
                <w:shd w:val="solid" w:color="000000" w:fill="000000"/>
                <w:fitText w:val="320" w:id="-761019644"/>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4"/>
                <w14:textFill>
                  <w14:solidFill>
                    <w14:srgbClr w14:val="000000">
                      <w14:alpha w14:val="100000"/>
                    </w14:srgbClr>
                  </w14:solidFill>
                </w14:textFill>
              </w:rPr>
              <w:t>|</w:t>
            </w:r>
          </w:p>
        </w:tc>
        <w:tc>
          <w:tcPr>
            <w:tcW w:w="785" w:type="pct"/>
            <w:shd w:val="clear" w:color="auto" w:fill="auto"/>
            <w:vAlign w:val="center"/>
          </w:tcPr>
          <w:p w14:paraId="724D5185" w14:textId="1B7F2740" w:rsidR="005917C9" w:rsidRDefault="00CF452B"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EV: $</w:t>
            </w:r>
            <w:r w:rsidR="004C53B1" w:rsidRPr="004C53B1">
              <w:rPr>
                <w:rFonts w:ascii="Arial Narrow" w:eastAsiaTheme="majorEastAsia" w:hAnsi="Arial Narrow" w:cstheme="majorBidi"/>
                <w:bCs/>
                <w:color w:val="000000"/>
                <w:spacing w:val="49"/>
                <w:sz w:val="20"/>
                <w:shd w:val="solid" w:color="000000" w:fill="000000"/>
                <w:fitText w:val="320" w:id="-761019643"/>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3"/>
                <w14:textFill>
                  <w14:solidFill>
                    <w14:srgbClr w14:val="000000">
                      <w14:alpha w14:val="100000"/>
                    </w14:srgbClr>
                  </w14:solidFill>
                </w14:textFill>
              </w:rPr>
              <w:t>|</w:t>
            </w:r>
          </w:p>
          <w:p w14:paraId="32308D0E" w14:textId="44D5C69D" w:rsidR="00103DCD" w:rsidRDefault="00CF452B"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PEM: $</w:t>
            </w:r>
            <w:r w:rsidR="004C53B1" w:rsidRPr="004C53B1">
              <w:rPr>
                <w:rFonts w:ascii="Arial Narrow" w:eastAsiaTheme="majorEastAsia" w:hAnsi="Arial Narrow" w:cstheme="majorBidi"/>
                <w:bCs/>
                <w:color w:val="000000"/>
                <w:spacing w:val="56"/>
                <w:sz w:val="20"/>
                <w:shd w:val="solid" w:color="000000" w:fill="000000"/>
                <w:fitText w:val="340" w:id="-761019642"/>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42"/>
                <w14:textFill>
                  <w14:solidFill>
                    <w14:srgbClr w14:val="000000">
                      <w14:alpha w14:val="100000"/>
                    </w14:srgbClr>
                  </w14:solidFill>
                </w14:textFill>
              </w:rPr>
              <w:t>|</w:t>
            </w:r>
          </w:p>
          <w:p w14:paraId="526221D8" w14:textId="34E6CF0F" w:rsidR="00DE02AD" w:rsidRPr="00E273AF" w:rsidRDefault="00DE02AD"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Total: $</w:t>
            </w:r>
            <w:r w:rsidR="004C53B1" w:rsidRPr="004C53B1">
              <w:rPr>
                <w:rFonts w:ascii="Arial Narrow" w:eastAsiaTheme="majorEastAsia" w:hAnsi="Arial Narrow" w:cstheme="majorBidi"/>
                <w:bCs/>
                <w:color w:val="000000"/>
                <w:spacing w:val="49"/>
                <w:sz w:val="20"/>
                <w:shd w:val="solid" w:color="000000" w:fill="000000"/>
                <w:fitText w:val="320" w:id="-761019641"/>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1"/>
                <w14:textFill>
                  <w14:solidFill>
                    <w14:srgbClr w14:val="000000">
                      <w14:alpha w14:val="100000"/>
                    </w14:srgbClr>
                  </w14:solidFill>
                </w14:textFill>
              </w:rPr>
              <w:t>|</w:t>
            </w:r>
          </w:p>
        </w:tc>
        <w:tc>
          <w:tcPr>
            <w:tcW w:w="629" w:type="pct"/>
            <w:shd w:val="clear" w:color="auto" w:fill="auto"/>
            <w:vAlign w:val="center"/>
          </w:tcPr>
          <w:p w14:paraId="19B92EDE" w14:textId="7B7FA41D" w:rsidR="005917C9" w:rsidRDefault="005917C9"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w:t>
            </w:r>
          </w:p>
        </w:tc>
        <w:tc>
          <w:tcPr>
            <w:tcW w:w="707" w:type="pct"/>
            <w:shd w:val="clear" w:color="auto" w:fill="auto"/>
            <w:vAlign w:val="center"/>
          </w:tcPr>
          <w:p w14:paraId="7047B47E" w14:textId="7FAA8D78" w:rsidR="005917C9" w:rsidRDefault="00507394"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$1,540</w:t>
            </w:r>
          </w:p>
        </w:tc>
        <w:tc>
          <w:tcPr>
            <w:tcW w:w="758" w:type="pct"/>
            <w:vAlign w:val="center"/>
          </w:tcPr>
          <w:p w14:paraId="68A4F2CE" w14:textId="7D898340" w:rsidR="005917C9" w:rsidRDefault="00CF452B"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Gem-cis: $2,473</w:t>
            </w:r>
          </w:p>
          <w:p w14:paraId="09E4284F" w14:textId="693241F2" w:rsidR="00CF452B" w:rsidRPr="00E273AF" w:rsidRDefault="00CF452B" w:rsidP="006F05B3">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Gem-carbo: $2,432</w:t>
            </w:r>
          </w:p>
        </w:tc>
      </w:tr>
    </w:tbl>
    <w:p w14:paraId="1E0801B4" w14:textId="75155D9D" w:rsidR="00E273AF" w:rsidRPr="00E273AF" w:rsidRDefault="00E273AF" w:rsidP="00D35926">
      <w:pPr>
        <w:keepNext/>
        <w:keepLines/>
        <w:spacing w:after="120"/>
        <w:contextualSpacing/>
        <w:rPr>
          <w:rFonts w:ascii="Arial Narrow" w:hAnsi="Arial Narrow"/>
          <w:snapToGrid w:val="0"/>
          <w:sz w:val="18"/>
          <w:szCs w:val="22"/>
        </w:rPr>
      </w:pPr>
      <w:r w:rsidRPr="00E273AF">
        <w:rPr>
          <w:rFonts w:ascii="Arial Narrow" w:hAnsi="Arial Narrow"/>
          <w:snapToGrid w:val="0"/>
          <w:sz w:val="18"/>
          <w:szCs w:val="22"/>
        </w:rPr>
        <w:t xml:space="preserve">Source: compiled during the evaluation from the “Attachment 3.1 EV and PEM cost effectiveness model” </w:t>
      </w:r>
      <w:r w:rsidR="00EA3E45" w:rsidRPr="00E273AF">
        <w:rPr>
          <w:rFonts w:ascii="Arial Narrow" w:hAnsi="Arial Narrow"/>
          <w:snapToGrid w:val="0"/>
          <w:sz w:val="18"/>
          <w:szCs w:val="22"/>
        </w:rPr>
        <w:t>and “</w:t>
      </w:r>
      <w:r w:rsidRPr="00E273AF">
        <w:rPr>
          <w:rFonts w:ascii="Arial Narrow" w:hAnsi="Arial Narrow"/>
          <w:snapToGrid w:val="0"/>
          <w:sz w:val="18"/>
          <w:szCs w:val="22"/>
        </w:rPr>
        <w:t xml:space="preserve">Attachment 4.1 EV and PEM budget impact model” workbooks included in the submission. </w:t>
      </w:r>
    </w:p>
    <w:p w14:paraId="3436175B" w14:textId="77777777" w:rsidR="00E273AF" w:rsidRPr="00E273AF" w:rsidRDefault="00E273AF" w:rsidP="00D35926">
      <w:pPr>
        <w:keepNext/>
        <w:keepLines/>
        <w:spacing w:after="120"/>
        <w:contextualSpacing/>
        <w:rPr>
          <w:rFonts w:ascii="Arial Narrow" w:hAnsi="Arial Narrow"/>
          <w:snapToGrid w:val="0"/>
          <w:sz w:val="18"/>
          <w:szCs w:val="22"/>
        </w:rPr>
      </w:pPr>
      <w:r w:rsidRPr="00E273AF">
        <w:rPr>
          <w:rFonts w:ascii="Arial Narrow" w:hAnsi="Arial Narrow"/>
          <w:snapToGrid w:val="0"/>
          <w:sz w:val="18"/>
          <w:szCs w:val="22"/>
        </w:rPr>
        <w:t xml:space="preserve">Carbo = Carboplatin; Cis = Cisplatin; EV = enfortumab vedotin; Gem = Gemcitabine; PEM = pembrolizumab </w:t>
      </w:r>
    </w:p>
    <w:p w14:paraId="1A2AC40B" w14:textId="1D6EF53A" w:rsidR="00E273AF" w:rsidRDefault="00E273AF" w:rsidP="00D35926">
      <w:pPr>
        <w:keepNext/>
        <w:keepLines/>
        <w:spacing w:after="120"/>
        <w:contextualSpacing/>
        <w:rPr>
          <w:rFonts w:ascii="Arial Narrow" w:hAnsi="Arial Narrow"/>
          <w:snapToGrid w:val="0"/>
          <w:sz w:val="18"/>
          <w:szCs w:val="22"/>
        </w:rPr>
      </w:pPr>
      <w:r w:rsidRPr="00E273AF">
        <w:rPr>
          <w:rFonts w:ascii="Arial Narrow" w:hAnsi="Arial Narrow"/>
          <w:snapToGrid w:val="0"/>
          <w:sz w:val="18"/>
          <w:szCs w:val="22"/>
        </w:rPr>
        <w:t xml:space="preserve">Note: Mean doses were rounded up based on the assumption of no vial sharing in the financial analysis. </w:t>
      </w:r>
      <w:r w:rsidR="009C5298">
        <w:rPr>
          <w:rFonts w:ascii="Arial Narrow" w:hAnsi="Arial Narrow"/>
          <w:snapToGrid w:val="0"/>
          <w:sz w:val="18"/>
          <w:szCs w:val="22"/>
        </w:rPr>
        <w:t xml:space="preserve">Duration of treatment with EV, PEM and </w:t>
      </w:r>
      <w:proofErr w:type="spellStart"/>
      <w:r w:rsidR="009C5298">
        <w:rPr>
          <w:rFonts w:ascii="Arial Narrow" w:hAnsi="Arial Narrow"/>
          <w:snapToGrid w:val="0"/>
          <w:sz w:val="18"/>
          <w:szCs w:val="22"/>
        </w:rPr>
        <w:t>Plat+Gem</w:t>
      </w:r>
      <w:proofErr w:type="spellEnd"/>
      <w:r w:rsidR="009C5298">
        <w:rPr>
          <w:rFonts w:ascii="Arial Narrow" w:hAnsi="Arial Narrow"/>
          <w:snapToGrid w:val="0"/>
          <w:sz w:val="18"/>
          <w:szCs w:val="22"/>
        </w:rPr>
        <w:t xml:space="preserve"> in EV-302 were converted from months to weeks (months / 12 x 365.25 / 7)</w:t>
      </w:r>
      <w:r w:rsidR="00FE7758">
        <w:rPr>
          <w:rFonts w:ascii="Arial Narrow" w:hAnsi="Arial Narrow"/>
          <w:snapToGrid w:val="0"/>
          <w:sz w:val="18"/>
          <w:szCs w:val="22"/>
        </w:rPr>
        <w:t xml:space="preserve">. </w:t>
      </w:r>
    </w:p>
    <w:p w14:paraId="71D6FAA1" w14:textId="408499D1" w:rsidR="00507394" w:rsidRPr="00E273AF" w:rsidRDefault="00507394" w:rsidP="00D35926">
      <w:pPr>
        <w:keepLines/>
        <w:spacing w:after="120"/>
        <w:contextualSpacing/>
        <w:rPr>
          <w:rFonts w:ascii="Arial Narrow" w:hAnsi="Arial Narrow"/>
          <w:snapToGrid w:val="0"/>
          <w:sz w:val="18"/>
          <w:szCs w:val="22"/>
        </w:rPr>
      </w:pPr>
      <w:r>
        <w:rPr>
          <w:rFonts w:ascii="Arial Narrow" w:hAnsi="Arial Narrow"/>
          <w:snapToGrid w:val="0"/>
          <w:sz w:val="18"/>
          <w:szCs w:val="22"/>
        </w:rPr>
        <w:t xml:space="preserve">Note: the estimates provided in </w:t>
      </w:r>
      <w:r>
        <w:rPr>
          <w:rFonts w:ascii="Arial Narrow" w:hAnsi="Arial Narrow"/>
          <w:snapToGrid w:val="0"/>
          <w:sz w:val="18"/>
          <w:szCs w:val="22"/>
        </w:rPr>
        <w:fldChar w:fldCharType="begin" w:fldLock="1"/>
      </w:r>
      <w:r>
        <w:rPr>
          <w:rFonts w:ascii="Arial Narrow" w:hAnsi="Arial Narrow"/>
          <w:snapToGrid w:val="0"/>
          <w:sz w:val="18"/>
          <w:szCs w:val="22"/>
        </w:rPr>
        <w:instrText xml:space="preserve"> REF _Ref104805102 \h  \* MERGEFORMAT </w:instrText>
      </w:r>
      <w:r>
        <w:rPr>
          <w:rFonts w:ascii="Arial Narrow" w:hAnsi="Arial Narrow"/>
          <w:snapToGrid w:val="0"/>
          <w:sz w:val="18"/>
          <w:szCs w:val="22"/>
        </w:rPr>
      </w:r>
      <w:r>
        <w:rPr>
          <w:rFonts w:ascii="Arial Narrow" w:hAnsi="Arial Narrow"/>
          <w:snapToGrid w:val="0"/>
          <w:sz w:val="18"/>
          <w:szCs w:val="22"/>
        </w:rPr>
        <w:fldChar w:fldCharType="separate"/>
      </w:r>
      <w:r w:rsidR="00FE0BD6" w:rsidRPr="00FE0BD6">
        <w:rPr>
          <w:rFonts w:ascii="Arial Narrow" w:hAnsi="Arial Narrow"/>
          <w:snapToGrid w:val="0"/>
          <w:sz w:val="18"/>
          <w:szCs w:val="22"/>
        </w:rPr>
        <w:t>Table 14</w:t>
      </w:r>
      <w:r>
        <w:rPr>
          <w:rFonts w:ascii="Arial Narrow" w:hAnsi="Arial Narrow"/>
          <w:snapToGrid w:val="0"/>
          <w:sz w:val="18"/>
          <w:szCs w:val="22"/>
        </w:rPr>
        <w:fldChar w:fldCharType="end"/>
      </w:r>
      <w:r>
        <w:rPr>
          <w:rFonts w:ascii="Arial Narrow" w:hAnsi="Arial Narrow"/>
          <w:snapToGrid w:val="0"/>
          <w:sz w:val="18"/>
          <w:szCs w:val="22"/>
        </w:rPr>
        <w:t xml:space="preserve"> above are based on proposed published prices for EV+PEM. </w:t>
      </w:r>
      <w:r w:rsidR="00DE02AD">
        <w:rPr>
          <w:rFonts w:ascii="Arial Narrow" w:hAnsi="Arial Narrow"/>
          <w:snapToGrid w:val="0"/>
          <w:sz w:val="18"/>
          <w:szCs w:val="22"/>
        </w:rPr>
        <w:t xml:space="preserve">The cost/patient/course for EV+PEM reflects the undiscounted cost per patient using published prices. </w:t>
      </w:r>
      <w:r>
        <w:rPr>
          <w:rFonts w:ascii="Arial Narrow" w:hAnsi="Arial Narrow"/>
          <w:snapToGrid w:val="0"/>
          <w:sz w:val="18"/>
          <w:szCs w:val="22"/>
        </w:rPr>
        <w:t xml:space="preserve">The submission proposed a combined effective price of EV+PEM to achieve an ICER </w:t>
      </w:r>
      <w:r w:rsidR="00C1764C" w:rsidRPr="00C1764C">
        <w:rPr>
          <w:rFonts w:ascii="Arial Narrow" w:hAnsi="Arial Narrow"/>
          <w:snapToGrid w:val="0"/>
          <w:sz w:val="18"/>
          <w:szCs w:val="22"/>
        </w:rPr>
        <w:t>$75,000 to &lt; $95,000</w:t>
      </w:r>
      <w:r w:rsidR="00DE02AD">
        <w:rPr>
          <w:rFonts w:ascii="Arial Narrow" w:hAnsi="Arial Narrow"/>
          <w:snapToGrid w:val="0"/>
          <w:sz w:val="18"/>
          <w:szCs w:val="22"/>
        </w:rPr>
        <w:t>.</w:t>
      </w:r>
    </w:p>
    <w:p w14:paraId="3A2F0E03" w14:textId="370949C6" w:rsidR="000C2B20" w:rsidRDefault="000C2B20" w:rsidP="000C2B20">
      <w:pPr>
        <w:pStyle w:val="3-BodyText"/>
      </w:pPr>
      <w:bookmarkStart w:id="60" w:name="_Ref183078759"/>
      <w:bookmarkStart w:id="61" w:name="_Toc177481912"/>
      <w:r>
        <w:t xml:space="preserve">The PBAC noted </w:t>
      </w:r>
      <w:r w:rsidR="009609B4">
        <w:t xml:space="preserve">the </w:t>
      </w:r>
      <w:r>
        <w:t xml:space="preserve">mean duration of treatment for EV </w:t>
      </w:r>
      <w:r w:rsidR="00EF6A85">
        <w:t xml:space="preserve">was </w:t>
      </w:r>
      <w:r>
        <w:t xml:space="preserve">71.64 weeks and for PEM </w:t>
      </w:r>
      <w:r w:rsidR="00EF6A85">
        <w:t>was 5</w:t>
      </w:r>
      <w:r>
        <w:t>1.42</w:t>
      </w:r>
      <w:r w:rsidR="00EF6A85">
        <w:t xml:space="preserve"> weeks using the respecified ESC economic model (see paragraph </w:t>
      </w:r>
      <w:r w:rsidR="00EF6A85">
        <w:fldChar w:fldCharType="begin" w:fldLock="1"/>
      </w:r>
      <w:r w:rsidR="00EF6A85">
        <w:instrText xml:space="preserve"> REF _Ref182753197 \r \h </w:instrText>
      </w:r>
      <w:r w:rsidR="00EF6A85">
        <w:fldChar w:fldCharType="separate"/>
      </w:r>
      <w:r w:rsidR="00FE0BD6">
        <w:t>6.57</w:t>
      </w:r>
      <w:r w:rsidR="00EF6A85">
        <w:fldChar w:fldCharType="end"/>
      </w:r>
      <w:r w:rsidR="00EF6A85">
        <w:t>)</w:t>
      </w:r>
      <w:r>
        <w:t>.</w:t>
      </w:r>
      <w:bookmarkEnd w:id="60"/>
      <w:r>
        <w:t xml:space="preserve"> </w:t>
      </w:r>
    </w:p>
    <w:p w14:paraId="0176A4D2" w14:textId="541163D0" w:rsidR="00FF0211" w:rsidRPr="0098262F" w:rsidRDefault="00FF0211" w:rsidP="00FF0211">
      <w:pPr>
        <w:pStyle w:val="4-SubsectionHeading"/>
      </w:pPr>
      <w:r w:rsidRPr="0098262F">
        <w:t>Estimated PBS usage &amp; financial implications</w:t>
      </w:r>
      <w:bookmarkEnd w:id="59"/>
      <w:bookmarkEnd w:id="61"/>
    </w:p>
    <w:p w14:paraId="359814E9" w14:textId="7B357EDD" w:rsidR="008D40C6" w:rsidRPr="00FE0BD6" w:rsidRDefault="008D40C6" w:rsidP="00FE0BD6">
      <w:pPr>
        <w:pStyle w:val="3-BodyText"/>
      </w:pPr>
      <w:bookmarkStart w:id="62" w:name="_Toc22897648"/>
      <w:r w:rsidRPr="00E273AF">
        <w:t>This submission w</w:t>
      </w:r>
      <w:r w:rsidR="00E72247">
        <w:t>as</w:t>
      </w:r>
      <w:r w:rsidRPr="00E273AF">
        <w:t xml:space="preserve"> not considered by DUSC</w:t>
      </w:r>
      <w:r w:rsidRPr="00F67D06">
        <w:t>.</w:t>
      </w:r>
      <w:r w:rsidRPr="00E273AF">
        <w:rPr>
          <w:color w:val="0070C0"/>
        </w:rPr>
        <w:t xml:space="preserve"> </w:t>
      </w:r>
      <w:r w:rsidRPr="00E273AF">
        <w:t xml:space="preserve">The submission presented an epidemiological approach to estimate the extent of use and financial implications of listing EV+PEM for the first-line treatment of locally advanced or metastatic urothelial carcinomas. The key inputs utilised in the financial analysis are summarised in </w:t>
      </w:r>
      <w:r w:rsidRPr="008A27F8">
        <w:fldChar w:fldCharType="begin" w:fldLock="1"/>
      </w:r>
      <w:r w:rsidRPr="008A27F8">
        <w:instrText xml:space="preserve"> REF _Ref104805262 \h  \* MERGEFORMAT </w:instrText>
      </w:r>
      <w:r w:rsidRPr="008A27F8">
        <w:fldChar w:fldCharType="separate"/>
      </w:r>
      <w:r w:rsidR="00FE0BD6" w:rsidRPr="00FE0BD6">
        <w:t>Table 15</w:t>
      </w:r>
      <w:r w:rsidRPr="008A27F8">
        <w:fldChar w:fldCharType="end"/>
      </w:r>
      <w:r w:rsidRPr="008A27F8">
        <w:t>.</w:t>
      </w:r>
      <w:r w:rsidRPr="00FE0BD6">
        <w:rPr>
          <w:rFonts w:cstheme="minorHAnsi"/>
          <w:color w:val="0066FF"/>
        </w:rPr>
        <w:t xml:space="preserve"> </w:t>
      </w:r>
    </w:p>
    <w:p w14:paraId="2666EC03" w14:textId="3C250364" w:rsidR="008D40C6" w:rsidRPr="00E273AF" w:rsidRDefault="008D40C6" w:rsidP="008D40C6">
      <w:pPr>
        <w:widowControl w:val="0"/>
        <w:rPr>
          <w:rFonts w:ascii="Arial Narrow" w:hAnsi="Arial Narrow"/>
          <w:b/>
          <w:bCs/>
          <w:sz w:val="20"/>
        </w:rPr>
      </w:pPr>
      <w:bookmarkStart w:id="63" w:name="_Ref104805262"/>
      <w:r w:rsidRPr="00E273AF">
        <w:rPr>
          <w:rFonts w:ascii="Arial Narrow" w:hAnsi="Arial Narrow"/>
          <w:b/>
          <w:bCs/>
          <w:sz w:val="20"/>
          <w:szCs w:val="18"/>
        </w:rPr>
        <w:t xml:space="preserve">Table </w:t>
      </w:r>
      <w:r w:rsidRPr="00E273AF">
        <w:rPr>
          <w:rFonts w:ascii="Arial Narrow" w:hAnsi="Arial Narrow"/>
          <w:b/>
          <w:bCs/>
          <w:sz w:val="20"/>
          <w:szCs w:val="18"/>
        </w:rPr>
        <w:fldChar w:fldCharType="begin" w:fldLock="1"/>
      </w:r>
      <w:r w:rsidRPr="00E273AF">
        <w:rPr>
          <w:rFonts w:ascii="Arial Narrow" w:hAnsi="Arial Narrow"/>
          <w:b/>
          <w:bCs/>
          <w:sz w:val="20"/>
          <w:szCs w:val="18"/>
        </w:rPr>
        <w:instrText xml:space="preserve"> SEQ Table \* ARABIC </w:instrText>
      </w:r>
      <w:r w:rsidRPr="00E273AF">
        <w:rPr>
          <w:rFonts w:ascii="Arial Narrow" w:hAnsi="Arial Narrow"/>
          <w:b/>
          <w:bCs/>
          <w:sz w:val="20"/>
          <w:szCs w:val="18"/>
        </w:rPr>
        <w:fldChar w:fldCharType="separate"/>
      </w:r>
      <w:r w:rsidR="00FE0BD6">
        <w:rPr>
          <w:rFonts w:ascii="Arial Narrow" w:hAnsi="Arial Narrow"/>
          <w:b/>
          <w:bCs/>
          <w:noProof/>
          <w:sz w:val="20"/>
          <w:szCs w:val="18"/>
        </w:rPr>
        <w:t>15</w:t>
      </w:r>
      <w:r w:rsidRPr="00E273AF">
        <w:rPr>
          <w:rFonts w:ascii="Arial Narrow" w:hAnsi="Arial Narrow"/>
          <w:b/>
          <w:bCs/>
          <w:sz w:val="20"/>
          <w:szCs w:val="18"/>
        </w:rPr>
        <w:fldChar w:fldCharType="end"/>
      </w:r>
      <w:bookmarkEnd w:id="63"/>
      <w:r w:rsidRPr="00E273AF">
        <w:rPr>
          <w:rFonts w:ascii="Arial Narrow" w:hAnsi="Arial Narrow"/>
          <w:b/>
          <w:bCs/>
          <w:sz w:val="20"/>
          <w:szCs w:val="18"/>
        </w:rPr>
        <w:t>:</w:t>
      </w:r>
      <w:r w:rsidRPr="00E273AF">
        <w:rPr>
          <w:rFonts w:ascii="Arial Narrow" w:hAnsi="Arial Narrow"/>
          <w:b/>
          <w:bCs/>
          <w:sz w:val="20"/>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3969"/>
        <w:gridCol w:w="3210"/>
      </w:tblGrid>
      <w:tr w:rsidR="008D40C6" w:rsidRPr="00E273AF" w14:paraId="059C6FB8" w14:textId="77777777" w:rsidTr="0049677F">
        <w:trPr>
          <w:cantSplit/>
          <w:tblHeader/>
        </w:trPr>
        <w:tc>
          <w:tcPr>
            <w:tcW w:w="1019" w:type="pct"/>
            <w:shd w:val="clear" w:color="auto" w:fill="auto"/>
            <w:vAlign w:val="center"/>
          </w:tcPr>
          <w:p w14:paraId="5578FFDD" w14:textId="77777777" w:rsidR="008D40C6" w:rsidRPr="00E273AF" w:rsidRDefault="008D40C6" w:rsidP="005E4D14">
            <w:pPr>
              <w:widowControl w:val="0"/>
              <w:jc w:val="left"/>
              <w:rPr>
                <w:rFonts w:ascii="Arial Narrow" w:eastAsiaTheme="majorEastAsia" w:hAnsi="Arial Narrow" w:cs="Times New Roman"/>
                <w:bCs/>
                <w:sz w:val="20"/>
                <w:lang w:val="en-US"/>
              </w:rPr>
            </w:pPr>
            <w:r w:rsidRPr="00E273AF">
              <w:rPr>
                <w:rFonts w:ascii="Arial Narrow" w:eastAsiaTheme="majorEastAsia" w:hAnsi="Arial Narrow" w:cs="Times New Roman"/>
                <w:b/>
                <w:sz w:val="20"/>
                <w:lang w:val="en-US"/>
              </w:rPr>
              <w:t>Parameter</w:t>
            </w:r>
          </w:p>
        </w:tc>
        <w:tc>
          <w:tcPr>
            <w:tcW w:w="2201" w:type="pct"/>
            <w:shd w:val="clear" w:color="auto" w:fill="auto"/>
            <w:vAlign w:val="center"/>
          </w:tcPr>
          <w:p w14:paraId="1DFC93C9" w14:textId="77777777" w:rsidR="008D40C6" w:rsidRPr="00E273AF" w:rsidRDefault="008D40C6" w:rsidP="005E4D14">
            <w:pPr>
              <w:widowControl w:val="0"/>
              <w:jc w:val="left"/>
              <w:rPr>
                <w:rFonts w:ascii="Arial Narrow" w:eastAsiaTheme="majorEastAsia" w:hAnsi="Arial Narrow" w:cs="Times New Roman"/>
                <w:bCs/>
                <w:sz w:val="20"/>
                <w:lang w:val="en-US"/>
              </w:rPr>
            </w:pPr>
            <w:r w:rsidRPr="00E273AF">
              <w:rPr>
                <w:rFonts w:ascii="Arial Narrow" w:eastAsiaTheme="majorEastAsia" w:hAnsi="Arial Narrow" w:cs="Times New Roman"/>
                <w:b/>
                <w:sz w:val="20"/>
                <w:lang w:val="en-US"/>
              </w:rPr>
              <w:t>Value applied and source</w:t>
            </w:r>
          </w:p>
        </w:tc>
        <w:tc>
          <w:tcPr>
            <w:tcW w:w="1780" w:type="pct"/>
            <w:shd w:val="clear" w:color="auto" w:fill="auto"/>
            <w:vAlign w:val="center"/>
          </w:tcPr>
          <w:p w14:paraId="7DBE38F8" w14:textId="77777777" w:rsidR="008D40C6" w:rsidRPr="00E273AF" w:rsidRDefault="008D40C6" w:rsidP="005E4D14">
            <w:pPr>
              <w:widowControl w:val="0"/>
              <w:jc w:val="left"/>
              <w:rPr>
                <w:rFonts w:ascii="Arial Narrow" w:eastAsiaTheme="majorEastAsia" w:hAnsi="Arial Narrow" w:cs="Times New Roman"/>
                <w:bCs/>
                <w:sz w:val="20"/>
                <w:lang w:val="en-US"/>
              </w:rPr>
            </w:pPr>
            <w:r w:rsidRPr="00E273AF">
              <w:rPr>
                <w:rFonts w:ascii="Arial Narrow" w:eastAsiaTheme="majorEastAsia" w:hAnsi="Arial Narrow" w:cs="Times New Roman"/>
                <w:b/>
                <w:sz w:val="20"/>
                <w:lang w:val="en-US"/>
              </w:rPr>
              <w:t>Comment</w:t>
            </w:r>
          </w:p>
        </w:tc>
      </w:tr>
      <w:tr w:rsidR="008D40C6" w:rsidRPr="00E273AF" w14:paraId="28694189" w14:textId="77777777" w:rsidTr="0049677F">
        <w:trPr>
          <w:cantSplit/>
        </w:trPr>
        <w:tc>
          <w:tcPr>
            <w:tcW w:w="5000" w:type="pct"/>
            <w:gridSpan w:val="3"/>
            <w:shd w:val="clear" w:color="auto" w:fill="auto"/>
            <w:vAlign w:val="center"/>
          </w:tcPr>
          <w:p w14:paraId="5D768F6D" w14:textId="77777777" w:rsidR="008D40C6" w:rsidRPr="00E273AF" w:rsidRDefault="008D40C6" w:rsidP="005E4D14">
            <w:pPr>
              <w:widowControl w:val="0"/>
              <w:jc w:val="left"/>
              <w:rPr>
                <w:rFonts w:ascii="Arial Narrow" w:eastAsiaTheme="majorEastAsia" w:hAnsi="Arial Narrow" w:cstheme="majorBidi"/>
                <w:b/>
                <w:sz w:val="20"/>
              </w:rPr>
            </w:pPr>
            <w:r w:rsidRPr="00E273AF">
              <w:rPr>
                <w:rFonts w:ascii="Arial Narrow" w:eastAsiaTheme="majorEastAsia" w:hAnsi="Arial Narrow" w:cstheme="majorBidi"/>
                <w:b/>
                <w:sz w:val="20"/>
              </w:rPr>
              <w:t>Bladder cancer</w:t>
            </w:r>
          </w:p>
        </w:tc>
      </w:tr>
      <w:tr w:rsidR="008D40C6" w:rsidRPr="00E273AF" w14:paraId="2FC19E45" w14:textId="77777777" w:rsidTr="0049677F">
        <w:trPr>
          <w:cantSplit/>
        </w:trPr>
        <w:tc>
          <w:tcPr>
            <w:tcW w:w="1019" w:type="pct"/>
            <w:shd w:val="clear" w:color="auto" w:fill="auto"/>
            <w:vAlign w:val="center"/>
          </w:tcPr>
          <w:p w14:paraId="6903DEB0"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Incidence</w:t>
            </w:r>
          </w:p>
        </w:tc>
        <w:tc>
          <w:tcPr>
            <w:tcW w:w="2201" w:type="pct"/>
            <w:shd w:val="clear" w:color="auto" w:fill="auto"/>
            <w:vAlign w:val="center"/>
          </w:tcPr>
          <w:p w14:paraId="5482EF70" w14:textId="5FD436C4"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Yr 1</w:t>
            </w:r>
            <w:r w:rsidRPr="00F60A10">
              <w:rPr>
                <w:rFonts w:ascii="Arial Narrow" w:eastAsiaTheme="majorEastAsia" w:hAnsi="Arial Narrow" w:cstheme="majorBidi"/>
                <w:bCs/>
                <w:sz w:val="20"/>
              </w:rPr>
              <w:t>: 3,261; Yr 2: 3,334; Yr 3: 3,408; Yr 4: 3,483; Yr 5: 3,561; Yr 6: 3,640;</w:t>
            </w:r>
            <w:r w:rsidRPr="00E273AF">
              <w:rPr>
                <w:rFonts w:ascii="Arial Narrow" w:eastAsiaTheme="majorEastAsia" w:hAnsi="Arial Narrow" w:cstheme="majorBidi"/>
                <w:bCs/>
                <w:sz w:val="20"/>
              </w:rPr>
              <w:t xml:space="preserve"> based on AIHW cancer projections for 2020-2023.</w:t>
            </w:r>
            <w:r w:rsidRPr="00E273AF">
              <w:rPr>
                <w:rFonts w:ascii="Arial Narrow" w:eastAsiaTheme="majorEastAsia" w:hAnsi="Arial Narrow" w:cstheme="majorBidi"/>
                <w:bCs/>
                <w:sz w:val="20"/>
                <w:vertAlign w:val="superscript"/>
              </w:rPr>
              <w:footnoteReference w:id="21"/>
            </w:r>
            <w:r w:rsidRPr="00E273AF">
              <w:rPr>
                <w:rFonts w:ascii="Arial Narrow" w:eastAsiaTheme="majorEastAsia" w:hAnsi="Arial Narrow" w:cstheme="majorBidi"/>
                <w:bCs/>
                <w:sz w:val="20"/>
              </w:rPr>
              <w:t xml:space="preserve"> A growth rate of 2.2% was calculated and applied to project the incidence across the first 6 years of listing. </w:t>
            </w:r>
          </w:p>
        </w:tc>
        <w:tc>
          <w:tcPr>
            <w:tcW w:w="1780" w:type="pct"/>
            <w:shd w:val="clear" w:color="auto" w:fill="auto"/>
            <w:vAlign w:val="center"/>
          </w:tcPr>
          <w:p w14:paraId="3E286BF0"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 xml:space="preserve">This was reasonable. </w:t>
            </w:r>
          </w:p>
        </w:tc>
      </w:tr>
      <w:tr w:rsidR="008D40C6" w:rsidRPr="00E273AF" w14:paraId="14C072F7" w14:textId="77777777" w:rsidTr="0049677F">
        <w:trPr>
          <w:cantSplit/>
        </w:trPr>
        <w:tc>
          <w:tcPr>
            <w:tcW w:w="1019" w:type="pct"/>
            <w:shd w:val="clear" w:color="auto" w:fill="auto"/>
            <w:vAlign w:val="center"/>
          </w:tcPr>
          <w:p w14:paraId="31E18CDE"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that is urothelial carcinoma</w:t>
            </w:r>
          </w:p>
        </w:tc>
        <w:tc>
          <w:tcPr>
            <w:tcW w:w="2201" w:type="pct"/>
            <w:shd w:val="clear" w:color="auto" w:fill="auto"/>
            <w:vAlign w:val="center"/>
          </w:tcPr>
          <w:p w14:paraId="34E5E549"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93.7%; Table 15, Avelumab Public Summary Document, March 2021 PBAC meeting.</w:t>
            </w:r>
          </w:p>
        </w:tc>
        <w:tc>
          <w:tcPr>
            <w:tcW w:w="1780" w:type="pct"/>
            <w:shd w:val="clear" w:color="auto" w:fill="auto"/>
            <w:vAlign w:val="center"/>
          </w:tcPr>
          <w:p w14:paraId="7299E3AE"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previously accepted by the PBAC and is reasonable.</w:t>
            </w:r>
          </w:p>
        </w:tc>
      </w:tr>
      <w:tr w:rsidR="008D40C6" w:rsidRPr="00E273AF" w14:paraId="7F87D228" w14:textId="77777777" w:rsidTr="0049677F">
        <w:trPr>
          <w:cantSplit/>
        </w:trPr>
        <w:tc>
          <w:tcPr>
            <w:tcW w:w="1019" w:type="pct"/>
            <w:shd w:val="clear" w:color="auto" w:fill="auto"/>
            <w:vAlign w:val="center"/>
          </w:tcPr>
          <w:p w14:paraId="36071ECF" w14:textId="77777777" w:rsidR="008D40C6" w:rsidRPr="00E273AF" w:rsidRDefault="008D40C6" w:rsidP="005E4D14">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lastRenderedPageBreak/>
              <w:t>% late stage at diagnosis</w:t>
            </w:r>
          </w:p>
          <w:p w14:paraId="4A35C410" w14:textId="11BDB1AF" w:rsidR="008D40C6" w:rsidRPr="00E273AF" w:rsidRDefault="009D5603" w:rsidP="005E4D14">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w:t>
            </w:r>
            <w:r w:rsidR="008D40C6" w:rsidRPr="00E273AF">
              <w:rPr>
                <w:rFonts w:ascii="Arial Narrow" w:eastAsiaTheme="majorEastAsia" w:hAnsi="Arial Narrow" w:cstheme="majorBidi"/>
                <w:bCs/>
                <w:sz w:val="20"/>
              </w:rPr>
              <w:t>Locally advanced (Stage III) + metastatic disease (Stage IV)</w:t>
            </w:r>
            <w:r>
              <w:rPr>
                <w:rFonts w:ascii="Arial Narrow" w:eastAsiaTheme="majorEastAsia" w:hAnsi="Arial Narrow" w:cstheme="majorBidi"/>
                <w:bCs/>
                <w:sz w:val="20"/>
              </w:rPr>
              <w:t>)</w:t>
            </w:r>
          </w:p>
        </w:tc>
        <w:tc>
          <w:tcPr>
            <w:tcW w:w="2201" w:type="pct"/>
            <w:shd w:val="clear" w:color="auto" w:fill="auto"/>
            <w:vAlign w:val="center"/>
          </w:tcPr>
          <w:p w14:paraId="0BAF83FD"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12.67%; SEER stage distribution incidence data, 2012-2021 </w:t>
            </w:r>
            <w:r w:rsidRPr="00E273AF">
              <w:rPr>
                <w:rFonts w:ascii="Arial Narrow" w:eastAsiaTheme="majorEastAsia" w:hAnsi="Arial Narrow" w:cstheme="majorBidi"/>
                <w:bCs/>
                <w:sz w:val="20"/>
                <w:vertAlign w:val="superscript"/>
              </w:rPr>
              <w:footnoteReference w:id="22"/>
            </w:r>
          </w:p>
        </w:tc>
        <w:tc>
          <w:tcPr>
            <w:tcW w:w="1780" w:type="pct"/>
            <w:shd w:val="clear" w:color="auto" w:fill="auto"/>
            <w:vAlign w:val="center"/>
          </w:tcPr>
          <w:p w14:paraId="67674325"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consistent with published literature and was reasonable.</w:t>
            </w:r>
          </w:p>
        </w:tc>
      </w:tr>
      <w:tr w:rsidR="008D40C6" w:rsidRPr="00E273AF" w14:paraId="787714BE" w14:textId="77777777" w:rsidTr="0049677F">
        <w:trPr>
          <w:cantSplit/>
        </w:trPr>
        <w:tc>
          <w:tcPr>
            <w:tcW w:w="1019" w:type="pct"/>
            <w:shd w:val="clear" w:color="auto" w:fill="auto"/>
            <w:vAlign w:val="center"/>
          </w:tcPr>
          <w:p w14:paraId="18964211" w14:textId="77777777" w:rsidR="008D40C6" w:rsidRPr="00E273AF" w:rsidRDefault="008D40C6" w:rsidP="005E4D14">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 that is in situ at diagnosis</w:t>
            </w:r>
          </w:p>
          <w:p w14:paraId="577151A1"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(Stage 0a and 0is)</w:t>
            </w:r>
          </w:p>
        </w:tc>
        <w:tc>
          <w:tcPr>
            <w:tcW w:w="2201" w:type="pct"/>
            <w:shd w:val="clear" w:color="auto" w:fill="auto"/>
            <w:vAlign w:val="center"/>
          </w:tcPr>
          <w:p w14:paraId="315563F5"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50.47%; SEER stage distribution incidence data, 2012-2021</w:t>
            </w:r>
          </w:p>
        </w:tc>
        <w:tc>
          <w:tcPr>
            <w:tcW w:w="1780" w:type="pct"/>
            <w:shd w:val="clear" w:color="auto" w:fill="auto"/>
            <w:vAlign w:val="center"/>
          </w:tcPr>
          <w:p w14:paraId="33E87902"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consistent with published literature and was reasonable.</w:t>
            </w:r>
          </w:p>
        </w:tc>
      </w:tr>
      <w:tr w:rsidR="008D40C6" w:rsidRPr="00E273AF" w14:paraId="4B630263" w14:textId="77777777" w:rsidTr="0049677F">
        <w:trPr>
          <w:cantSplit/>
        </w:trPr>
        <w:tc>
          <w:tcPr>
            <w:tcW w:w="1019" w:type="pct"/>
            <w:shd w:val="clear" w:color="auto" w:fill="auto"/>
            <w:vAlign w:val="center"/>
          </w:tcPr>
          <w:p w14:paraId="0B63C71F"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 of in situ carcinomas that progress post-BCG treatment </w:t>
            </w:r>
          </w:p>
        </w:tc>
        <w:tc>
          <w:tcPr>
            <w:tcW w:w="2201" w:type="pct"/>
            <w:shd w:val="clear" w:color="auto" w:fill="auto"/>
            <w:vAlign w:val="center"/>
          </w:tcPr>
          <w:p w14:paraId="0DDA9AC0"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35.15%; van Gils-Gielen, </w:t>
            </w:r>
            <w:proofErr w:type="spellStart"/>
            <w:r w:rsidRPr="00E273AF">
              <w:rPr>
                <w:rFonts w:ascii="Arial Narrow" w:eastAsiaTheme="majorEastAsia" w:hAnsi="Arial Narrow" w:cstheme="majorBidi"/>
                <w:bCs/>
                <w:sz w:val="20"/>
              </w:rPr>
              <w:t>Witjes</w:t>
            </w:r>
            <w:proofErr w:type="spellEnd"/>
            <w:r w:rsidRPr="00E273AF">
              <w:rPr>
                <w:rFonts w:ascii="Arial Narrow" w:eastAsiaTheme="majorEastAsia" w:hAnsi="Arial Narrow" w:cstheme="majorBidi"/>
                <w:bCs/>
                <w:sz w:val="20"/>
              </w:rPr>
              <w:t xml:space="preserve"> et al. (1995)</w:t>
            </w:r>
            <w:r w:rsidRPr="00E273AF">
              <w:rPr>
                <w:rFonts w:ascii="Arial Narrow" w:eastAsiaTheme="majorEastAsia" w:hAnsi="Arial Narrow" w:cstheme="majorBidi"/>
                <w:bCs/>
                <w:sz w:val="20"/>
                <w:vertAlign w:val="superscript"/>
              </w:rPr>
              <w:footnoteReference w:id="23"/>
            </w:r>
          </w:p>
        </w:tc>
        <w:tc>
          <w:tcPr>
            <w:tcW w:w="1780" w:type="pct"/>
            <w:shd w:val="clear" w:color="auto" w:fill="auto"/>
            <w:vAlign w:val="center"/>
          </w:tcPr>
          <w:p w14:paraId="166F6ADB" w14:textId="77777777" w:rsidR="008D40C6" w:rsidRPr="0079168E" w:rsidRDefault="008D40C6" w:rsidP="005E4D14">
            <w:pPr>
              <w:widowControl w:val="0"/>
              <w:jc w:val="left"/>
              <w:rPr>
                <w:rFonts w:ascii="Arial Narrow" w:eastAsiaTheme="majorEastAsia" w:hAnsi="Arial Narrow" w:cstheme="majorBidi"/>
                <w:bCs/>
                <w:sz w:val="20"/>
              </w:rPr>
            </w:pPr>
            <w:r w:rsidRPr="0079168E">
              <w:rPr>
                <w:rFonts w:ascii="Arial Narrow" w:eastAsiaTheme="majorEastAsia" w:hAnsi="Arial Narrow" w:cstheme="majorBidi"/>
                <w:bCs/>
                <w:sz w:val="20"/>
              </w:rPr>
              <w:t xml:space="preserve">This input was highly uncertain with published literature reporting progression rates as low as 9.8% </w:t>
            </w:r>
            <w:r w:rsidRPr="0079168E">
              <w:rPr>
                <w:rFonts w:ascii="Arial Narrow" w:eastAsiaTheme="majorEastAsia" w:hAnsi="Arial Narrow" w:cstheme="majorBidi"/>
                <w:bCs/>
                <w:sz w:val="20"/>
                <w:vertAlign w:val="superscript"/>
              </w:rPr>
              <w:footnoteReference w:id="24"/>
            </w:r>
            <w:r w:rsidRPr="0079168E">
              <w:rPr>
                <w:rFonts w:ascii="Arial Narrow" w:eastAsiaTheme="majorEastAsia" w:hAnsi="Arial Narrow" w:cstheme="majorBidi"/>
                <w:bCs/>
                <w:sz w:val="20"/>
              </w:rPr>
              <w:t xml:space="preserve"> </w:t>
            </w:r>
            <w:r w:rsidRPr="0079168E">
              <w:rPr>
                <w:rFonts w:ascii="Arial Narrow" w:eastAsiaTheme="majorEastAsia" w:hAnsi="Arial Narrow" w:cstheme="majorBidi"/>
                <w:bCs/>
                <w:sz w:val="20"/>
                <w:vertAlign w:val="superscript"/>
              </w:rPr>
              <w:footnoteReference w:id="25"/>
            </w:r>
            <w:r w:rsidRPr="0079168E">
              <w:rPr>
                <w:rFonts w:ascii="Arial Narrow" w:eastAsiaTheme="majorEastAsia" w:hAnsi="Arial Narrow" w:cstheme="majorBidi"/>
                <w:bCs/>
                <w:sz w:val="20"/>
              </w:rPr>
              <w:t xml:space="preserve">. </w:t>
            </w:r>
          </w:p>
        </w:tc>
      </w:tr>
      <w:tr w:rsidR="008D40C6" w:rsidRPr="00E273AF" w14:paraId="698DE023" w14:textId="77777777" w:rsidTr="0049677F">
        <w:trPr>
          <w:cantSplit/>
        </w:trPr>
        <w:tc>
          <w:tcPr>
            <w:tcW w:w="1019" w:type="pct"/>
            <w:shd w:val="clear" w:color="auto" w:fill="auto"/>
            <w:vAlign w:val="center"/>
          </w:tcPr>
          <w:p w14:paraId="305F7DF6" w14:textId="77777777" w:rsidR="008D40C6" w:rsidRPr="00E273AF" w:rsidRDefault="008D40C6" w:rsidP="005E4D14">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 localised at diagnosis</w:t>
            </w:r>
          </w:p>
          <w:p w14:paraId="5A7012B8"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(Stage I and II)</w:t>
            </w:r>
          </w:p>
        </w:tc>
        <w:tc>
          <w:tcPr>
            <w:tcW w:w="2201" w:type="pct"/>
            <w:shd w:val="clear" w:color="auto" w:fill="auto"/>
            <w:vAlign w:val="center"/>
          </w:tcPr>
          <w:p w14:paraId="188AFA35"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36.86%; SEER stage distribution incidence data, 2012-2021</w:t>
            </w:r>
          </w:p>
        </w:tc>
        <w:tc>
          <w:tcPr>
            <w:tcW w:w="1780" w:type="pct"/>
            <w:shd w:val="clear" w:color="auto" w:fill="auto"/>
            <w:vAlign w:val="center"/>
          </w:tcPr>
          <w:p w14:paraId="26AD832B" w14:textId="77777777" w:rsidR="008D40C6" w:rsidRPr="0079168E" w:rsidRDefault="008D40C6" w:rsidP="005E4D14">
            <w:pPr>
              <w:widowControl w:val="0"/>
              <w:jc w:val="left"/>
              <w:rPr>
                <w:rFonts w:ascii="Arial Narrow" w:eastAsiaTheme="majorEastAsia" w:hAnsi="Arial Narrow" w:cstheme="majorBidi"/>
                <w:bCs/>
                <w:sz w:val="20"/>
              </w:rPr>
            </w:pPr>
            <w:r w:rsidRPr="0079168E">
              <w:rPr>
                <w:rFonts w:ascii="Arial Narrow" w:eastAsiaTheme="majorEastAsia" w:hAnsi="Arial Narrow" w:cstheme="majorBidi"/>
                <w:bCs/>
                <w:sz w:val="20"/>
              </w:rPr>
              <w:t>This appears to be consistent with published literature and is reasonable.</w:t>
            </w:r>
          </w:p>
        </w:tc>
      </w:tr>
      <w:tr w:rsidR="008D40C6" w:rsidRPr="00E273AF" w14:paraId="2F8DAD99" w14:textId="77777777" w:rsidTr="0049677F">
        <w:trPr>
          <w:cantSplit/>
        </w:trPr>
        <w:tc>
          <w:tcPr>
            <w:tcW w:w="1019" w:type="pct"/>
            <w:shd w:val="clear" w:color="auto" w:fill="auto"/>
            <w:vAlign w:val="center"/>
          </w:tcPr>
          <w:p w14:paraId="02DC7E8D"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of localised disease that has distant recurrence post-cystectomy</w:t>
            </w:r>
          </w:p>
        </w:tc>
        <w:tc>
          <w:tcPr>
            <w:tcW w:w="2201" w:type="pct"/>
            <w:shd w:val="clear" w:color="auto" w:fill="auto"/>
            <w:vAlign w:val="center"/>
          </w:tcPr>
          <w:p w14:paraId="5FEFA6E9"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35%, </w:t>
            </w:r>
            <w:proofErr w:type="spellStart"/>
            <w:r w:rsidRPr="00E273AF">
              <w:rPr>
                <w:rFonts w:ascii="Arial Narrow" w:eastAsiaTheme="majorEastAsia" w:hAnsi="Arial Narrow" w:cstheme="majorBidi"/>
                <w:bCs/>
                <w:sz w:val="20"/>
              </w:rPr>
              <w:t>Bilim</w:t>
            </w:r>
            <w:proofErr w:type="spellEnd"/>
            <w:r w:rsidRPr="00E273AF">
              <w:rPr>
                <w:rFonts w:ascii="Arial Narrow" w:eastAsiaTheme="majorEastAsia" w:hAnsi="Arial Narrow" w:cstheme="majorBidi"/>
                <w:bCs/>
                <w:sz w:val="20"/>
              </w:rPr>
              <w:t xml:space="preserve">, Kuroki et al. (2022) </w:t>
            </w:r>
            <w:r w:rsidRPr="00E273AF">
              <w:rPr>
                <w:rFonts w:ascii="Arial Narrow" w:eastAsiaTheme="majorEastAsia" w:hAnsi="Arial Narrow" w:cstheme="majorBidi"/>
                <w:bCs/>
                <w:sz w:val="20"/>
                <w:vertAlign w:val="superscript"/>
              </w:rPr>
              <w:footnoteReference w:id="26"/>
            </w:r>
          </w:p>
        </w:tc>
        <w:tc>
          <w:tcPr>
            <w:tcW w:w="1780" w:type="pct"/>
            <w:shd w:val="clear" w:color="auto" w:fill="auto"/>
            <w:vAlign w:val="center"/>
          </w:tcPr>
          <w:p w14:paraId="07E321A0" w14:textId="6B45E3ED" w:rsidR="008D40C6" w:rsidRPr="0079168E" w:rsidRDefault="008D40C6" w:rsidP="005E4D14">
            <w:pPr>
              <w:widowControl w:val="0"/>
              <w:jc w:val="left"/>
              <w:rPr>
                <w:rFonts w:ascii="Arial Narrow" w:eastAsiaTheme="majorEastAsia" w:hAnsi="Arial Narrow" w:cstheme="majorBidi"/>
                <w:bCs/>
                <w:i/>
                <w:iCs/>
                <w:sz w:val="20"/>
              </w:rPr>
            </w:pPr>
            <w:r w:rsidRPr="0079168E">
              <w:rPr>
                <w:rFonts w:ascii="Arial Narrow" w:eastAsiaTheme="majorEastAsia" w:hAnsi="Arial Narrow" w:cstheme="majorBidi"/>
                <w:bCs/>
                <w:sz w:val="20"/>
              </w:rPr>
              <w:t xml:space="preserve">This input is highly uncertain with published literature reporting recurrence rates of 22-54% </w:t>
            </w:r>
            <w:r w:rsidRPr="0079168E">
              <w:rPr>
                <w:rFonts w:ascii="Arial Narrow" w:eastAsiaTheme="majorEastAsia" w:hAnsi="Arial Narrow" w:cstheme="majorBidi"/>
                <w:bCs/>
                <w:sz w:val="20"/>
                <w:vertAlign w:val="superscript"/>
              </w:rPr>
              <w:footnoteReference w:id="27"/>
            </w:r>
            <w:r w:rsidRPr="0079168E">
              <w:rPr>
                <w:rFonts w:ascii="Arial Narrow" w:eastAsiaTheme="majorEastAsia" w:hAnsi="Arial Narrow" w:cstheme="majorBidi"/>
                <w:bCs/>
                <w:sz w:val="20"/>
              </w:rPr>
              <w:t>.</w:t>
            </w:r>
            <w:r w:rsidR="004A1AB8" w:rsidRPr="0079168E">
              <w:rPr>
                <w:rFonts w:ascii="Arial Narrow" w:eastAsiaTheme="majorEastAsia" w:hAnsi="Arial Narrow" w:cstheme="majorBidi"/>
                <w:bCs/>
                <w:sz w:val="20"/>
              </w:rPr>
              <w:t xml:space="preserve"> </w:t>
            </w:r>
            <w:r w:rsidR="004A1AB8" w:rsidRPr="005D3209">
              <w:rPr>
                <w:rFonts w:ascii="Arial Narrow" w:eastAsiaTheme="majorEastAsia" w:hAnsi="Arial Narrow" w:cstheme="majorBidi"/>
                <w:bCs/>
                <w:sz w:val="20"/>
              </w:rPr>
              <w:t xml:space="preserve">The PSCR) </w:t>
            </w:r>
            <w:r w:rsidR="00F36F59" w:rsidRPr="005D3209">
              <w:rPr>
                <w:rFonts w:ascii="Arial Narrow" w:eastAsiaTheme="majorEastAsia" w:hAnsi="Arial Narrow" w:cstheme="majorBidi"/>
                <w:bCs/>
                <w:sz w:val="20"/>
              </w:rPr>
              <w:t>acknowledged the uncertainty but noted this input was within the range of the published estimates.</w:t>
            </w:r>
          </w:p>
        </w:tc>
      </w:tr>
      <w:tr w:rsidR="008D40C6" w:rsidRPr="00E273AF" w14:paraId="48E9BD6A" w14:textId="77777777" w:rsidTr="0049677F">
        <w:trPr>
          <w:cantSplit/>
        </w:trPr>
        <w:tc>
          <w:tcPr>
            <w:tcW w:w="5000" w:type="pct"/>
            <w:gridSpan w:val="3"/>
            <w:shd w:val="clear" w:color="auto" w:fill="auto"/>
            <w:vAlign w:val="center"/>
          </w:tcPr>
          <w:p w14:paraId="6949A271" w14:textId="77777777" w:rsidR="008D40C6" w:rsidRPr="00E273AF" w:rsidRDefault="008D40C6" w:rsidP="005E4D14">
            <w:pPr>
              <w:widowControl w:val="0"/>
              <w:jc w:val="left"/>
              <w:rPr>
                <w:rFonts w:ascii="Arial Narrow" w:eastAsiaTheme="majorEastAsia" w:hAnsi="Arial Narrow" w:cstheme="majorBidi"/>
                <w:b/>
                <w:sz w:val="20"/>
              </w:rPr>
            </w:pPr>
            <w:r w:rsidRPr="00E273AF">
              <w:rPr>
                <w:rFonts w:ascii="Arial Narrow" w:eastAsiaTheme="majorEastAsia" w:hAnsi="Arial Narrow" w:cstheme="majorBidi"/>
                <w:b/>
                <w:sz w:val="20"/>
              </w:rPr>
              <w:t>Renal pelvis and ureteral cancer</w:t>
            </w:r>
          </w:p>
        </w:tc>
      </w:tr>
      <w:tr w:rsidR="008D40C6" w:rsidRPr="00E273AF" w14:paraId="0085D778" w14:textId="77777777" w:rsidTr="0049677F">
        <w:trPr>
          <w:cantSplit/>
        </w:trPr>
        <w:tc>
          <w:tcPr>
            <w:tcW w:w="1019" w:type="pct"/>
            <w:shd w:val="clear" w:color="auto" w:fill="auto"/>
            <w:vAlign w:val="center"/>
          </w:tcPr>
          <w:p w14:paraId="4A1468B8"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Renal pelvis incidence </w:t>
            </w:r>
          </w:p>
        </w:tc>
        <w:tc>
          <w:tcPr>
            <w:tcW w:w="2201" w:type="pct"/>
            <w:shd w:val="clear" w:color="auto" w:fill="auto"/>
            <w:vAlign w:val="center"/>
          </w:tcPr>
          <w:p w14:paraId="0C023330" w14:textId="3949D1FC"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Yr 1: </w:t>
            </w:r>
            <w:r w:rsidR="004C53B1" w:rsidRPr="004C53B1">
              <w:rPr>
                <w:rFonts w:ascii="Arial Narrow" w:eastAsiaTheme="majorEastAsia" w:hAnsi="Arial Narrow" w:cstheme="majorBidi"/>
                <w:bCs/>
                <w:color w:val="000000"/>
                <w:spacing w:val="49"/>
                <w:sz w:val="20"/>
                <w:shd w:val="solid" w:color="000000" w:fill="000000"/>
                <w:fitText w:val="320" w:id="-761019640"/>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0"/>
                <w14:textFill>
                  <w14:solidFill>
                    <w14:srgbClr w14:val="000000">
                      <w14:alpha w14:val="100000"/>
                    </w14:srgbClr>
                  </w14:solidFill>
                </w14:textFill>
              </w:rPr>
              <w:t>|</w:t>
            </w:r>
            <w:r w:rsidR="000D238E" w:rsidRPr="00E36DB9">
              <w:rPr>
                <w:rFonts w:ascii="Arial Narrow" w:eastAsiaTheme="majorEastAsia" w:hAnsi="Arial Narrow" w:cstheme="majorBidi"/>
                <w:bCs/>
                <w:sz w:val="20"/>
                <w:vertAlign w:val="superscript"/>
              </w:rPr>
              <w:t>2</w:t>
            </w:r>
            <w:r w:rsidRPr="000D238E">
              <w:rPr>
                <w:rFonts w:ascii="Arial Narrow" w:eastAsiaTheme="majorEastAsia" w:hAnsi="Arial Narrow" w:cstheme="majorBidi"/>
                <w:bCs/>
                <w:sz w:val="20"/>
              </w:rPr>
              <w:t>;</w:t>
            </w:r>
            <w:r w:rsidRPr="00E273AF">
              <w:rPr>
                <w:rFonts w:ascii="Arial Narrow" w:eastAsiaTheme="majorEastAsia" w:hAnsi="Arial Narrow" w:cstheme="majorBidi"/>
                <w:bCs/>
                <w:sz w:val="20"/>
              </w:rPr>
              <w:t xml:space="preserve"> Yr 2: </w:t>
            </w:r>
            <w:r w:rsidR="004C53B1" w:rsidRPr="004C53B1">
              <w:rPr>
                <w:rFonts w:ascii="Arial Narrow" w:eastAsiaTheme="majorEastAsia" w:hAnsi="Arial Narrow" w:cstheme="majorBidi"/>
                <w:bCs/>
                <w:color w:val="000000"/>
                <w:spacing w:val="56"/>
                <w:sz w:val="20"/>
                <w:shd w:val="solid" w:color="000000" w:fill="000000"/>
                <w:fitText w:val="340" w:id="-761019639"/>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39"/>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xml:space="preserve">; Yr 3: </w:t>
            </w:r>
            <w:r w:rsidR="004C53B1" w:rsidRPr="004C53B1">
              <w:rPr>
                <w:rFonts w:ascii="Arial Narrow" w:eastAsiaTheme="majorEastAsia" w:hAnsi="Arial Narrow" w:cstheme="majorBidi"/>
                <w:bCs/>
                <w:color w:val="000000"/>
                <w:spacing w:val="56"/>
                <w:sz w:val="20"/>
                <w:shd w:val="solid" w:color="000000" w:fill="000000"/>
                <w:fitText w:val="340" w:id="-761019638"/>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38"/>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xml:space="preserve">; Yr 4: </w:t>
            </w:r>
            <w:r w:rsidR="004C53B1" w:rsidRPr="004C53B1">
              <w:rPr>
                <w:rFonts w:ascii="Arial Narrow" w:eastAsiaTheme="majorEastAsia" w:hAnsi="Arial Narrow" w:cstheme="majorBidi"/>
                <w:bCs/>
                <w:color w:val="000000"/>
                <w:spacing w:val="56"/>
                <w:sz w:val="20"/>
                <w:shd w:val="solid" w:color="000000" w:fill="000000"/>
                <w:fitText w:val="340" w:id="-761019637"/>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37"/>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xml:space="preserve">; Yr 5: </w:t>
            </w:r>
            <w:r w:rsidR="004C53B1" w:rsidRPr="004C53B1">
              <w:rPr>
                <w:rFonts w:ascii="Arial Narrow" w:eastAsiaTheme="majorEastAsia" w:hAnsi="Arial Narrow" w:cstheme="majorBidi"/>
                <w:bCs/>
                <w:color w:val="000000"/>
                <w:spacing w:val="56"/>
                <w:sz w:val="20"/>
                <w:shd w:val="solid" w:color="000000" w:fill="000000"/>
                <w:fitText w:val="340" w:id="-761019636"/>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36"/>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xml:space="preserve">; Yr 6: </w:t>
            </w:r>
            <w:r w:rsidR="004C53B1" w:rsidRPr="004C53B1">
              <w:rPr>
                <w:rFonts w:ascii="Arial Narrow" w:eastAsiaTheme="majorEastAsia" w:hAnsi="Arial Narrow" w:cstheme="majorBidi"/>
                <w:bCs/>
                <w:color w:val="000000"/>
                <w:spacing w:val="49"/>
                <w:sz w:val="20"/>
                <w:shd w:val="solid" w:color="000000" w:fill="000000"/>
                <w:fitText w:val="320" w:id="-761019635"/>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35"/>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based on AIHW cancer incidence projections for 2020-2023 and a growth rate of 1.6%.</w:t>
            </w:r>
          </w:p>
        </w:tc>
        <w:tc>
          <w:tcPr>
            <w:tcW w:w="1780" w:type="pct"/>
            <w:shd w:val="clear" w:color="auto" w:fill="auto"/>
            <w:vAlign w:val="center"/>
          </w:tcPr>
          <w:p w14:paraId="4B7271D5"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reasonable.</w:t>
            </w:r>
          </w:p>
        </w:tc>
      </w:tr>
      <w:tr w:rsidR="008D40C6" w:rsidRPr="00E273AF" w14:paraId="59DD9665" w14:textId="77777777" w:rsidTr="0049677F">
        <w:trPr>
          <w:cantSplit/>
        </w:trPr>
        <w:tc>
          <w:tcPr>
            <w:tcW w:w="1019" w:type="pct"/>
            <w:shd w:val="clear" w:color="auto" w:fill="auto"/>
            <w:vAlign w:val="center"/>
          </w:tcPr>
          <w:p w14:paraId="29A7B6F7"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Ureteral incidence </w:t>
            </w:r>
          </w:p>
        </w:tc>
        <w:tc>
          <w:tcPr>
            <w:tcW w:w="2201" w:type="pct"/>
            <w:shd w:val="clear" w:color="auto" w:fill="auto"/>
            <w:vAlign w:val="center"/>
          </w:tcPr>
          <w:p w14:paraId="2222E731" w14:textId="4E820784"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Yr 1: </w:t>
            </w:r>
            <w:r w:rsidR="004C53B1" w:rsidRPr="004C53B1">
              <w:rPr>
                <w:rFonts w:ascii="Arial Narrow" w:eastAsiaTheme="majorEastAsia" w:hAnsi="Arial Narrow" w:cstheme="majorBidi"/>
                <w:bCs/>
                <w:color w:val="000000"/>
                <w:spacing w:val="49"/>
                <w:sz w:val="20"/>
                <w:shd w:val="solid" w:color="000000" w:fill="000000"/>
                <w:fitText w:val="320" w:id="-761019634"/>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34"/>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xml:space="preserve">; Yr 2: </w:t>
            </w:r>
            <w:r w:rsidR="004C53B1" w:rsidRPr="004C53B1">
              <w:rPr>
                <w:rFonts w:ascii="Arial Narrow" w:eastAsiaTheme="majorEastAsia" w:hAnsi="Arial Narrow" w:cstheme="majorBidi"/>
                <w:bCs/>
                <w:color w:val="000000"/>
                <w:spacing w:val="56"/>
                <w:sz w:val="20"/>
                <w:shd w:val="solid" w:color="000000" w:fill="000000"/>
                <w:fitText w:val="340" w:id="-761019633"/>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33"/>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 xml:space="preserve"> 2</w:t>
            </w:r>
            <w:r w:rsidRPr="00E273AF">
              <w:rPr>
                <w:rFonts w:ascii="Arial Narrow" w:eastAsiaTheme="majorEastAsia" w:hAnsi="Arial Narrow" w:cstheme="majorBidi"/>
                <w:bCs/>
                <w:sz w:val="20"/>
              </w:rPr>
              <w:t xml:space="preserve"> Yr 3: </w:t>
            </w:r>
            <w:r w:rsidR="004C53B1" w:rsidRPr="004C53B1">
              <w:rPr>
                <w:rFonts w:ascii="Arial Narrow" w:eastAsiaTheme="majorEastAsia" w:hAnsi="Arial Narrow" w:cstheme="majorBidi"/>
                <w:bCs/>
                <w:color w:val="000000"/>
                <w:spacing w:val="49"/>
                <w:sz w:val="20"/>
                <w:shd w:val="solid" w:color="000000" w:fill="000000"/>
                <w:fitText w:val="320" w:id="-761019632"/>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32"/>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xml:space="preserve">; Yr 4: </w:t>
            </w:r>
            <w:r w:rsidR="004C53B1" w:rsidRPr="004C53B1">
              <w:rPr>
                <w:rFonts w:ascii="Arial Narrow" w:eastAsiaTheme="majorEastAsia" w:hAnsi="Arial Narrow" w:cstheme="majorBidi"/>
                <w:bCs/>
                <w:color w:val="000000"/>
                <w:spacing w:val="49"/>
                <w:sz w:val="20"/>
                <w:shd w:val="solid" w:color="000000" w:fill="000000"/>
                <w:fitText w:val="320" w:id="-761019648"/>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8"/>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xml:space="preserve">; Yr 5: </w:t>
            </w:r>
            <w:r w:rsidR="004C53B1" w:rsidRPr="004C53B1">
              <w:rPr>
                <w:rFonts w:ascii="Arial Narrow" w:eastAsiaTheme="majorEastAsia" w:hAnsi="Arial Narrow" w:cstheme="majorBidi"/>
                <w:bCs/>
                <w:color w:val="000000"/>
                <w:spacing w:val="56"/>
                <w:sz w:val="20"/>
                <w:shd w:val="solid" w:color="000000" w:fill="000000"/>
                <w:fitText w:val="340" w:id="-761019647"/>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47"/>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xml:space="preserve">; Yr 6: </w:t>
            </w:r>
            <w:r w:rsidR="004C53B1" w:rsidRPr="004C53B1">
              <w:rPr>
                <w:rFonts w:ascii="Arial Narrow" w:eastAsiaTheme="majorEastAsia" w:hAnsi="Arial Narrow" w:cstheme="majorBidi"/>
                <w:bCs/>
                <w:color w:val="000000"/>
                <w:spacing w:val="49"/>
                <w:sz w:val="20"/>
                <w:shd w:val="solid" w:color="000000" w:fill="000000"/>
                <w:fitText w:val="320" w:id="-761019646"/>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6"/>
                <w14:textFill>
                  <w14:solidFill>
                    <w14:srgbClr w14:val="000000">
                      <w14:alpha w14:val="100000"/>
                    </w14:srgbClr>
                  </w14:solidFill>
                </w14:textFill>
              </w:rPr>
              <w:t>|</w:t>
            </w:r>
            <w:r w:rsidR="000D238E" w:rsidRPr="00450C49">
              <w:rPr>
                <w:rFonts w:ascii="Arial Narrow" w:eastAsiaTheme="majorEastAsia" w:hAnsi="Arial Narrow" w:cstheme="majorBidi"/>
                <w:bCs/>
                <w:sz w:val="20"/>
                <w:vertAlign w:val="superscript"/>
              </w:rPr>
              <w:t>2</w:t>
            </w:r>
            <w:r w:rsidRPr="00E273AF">
              <w:rPr>
                <w:rFonts w:ascii="Arial Narrow" w:eastAsiaTheme="majorEastAsia" w:hAnsi="Arial Narrow" w:cstheme="majorBidi"/>
                <w:bCs/>
                <w:sz w:val="20"/>
              </w:rPr>
              <w:t xml:space="preserve">; based on AIHW cancer incidence projections for 2020-2023 and a growth rate of 2.4%. </w:t>
            </w:r>
          </w:p>
        </w:tc>
        <w:tc>
          <w:tcPr>
            <w:tcW w:w="1780" w:type="pct"/>
            <w:shd w:val="clear" w:color="auto" w:fill="auto"/>
            <w:vAlign w:val="center"/>
          </w:tcPr>
          <w:p w14:paraId="300C1064"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reasonable.</w:t>
            </w:r>
          </w:p>
        </w:tc>
      </w:tr>
      <w:tr w:rsidR="008D40C6" w:rsidRPr="00E273AF" w14:paraId="649FF8AF" w14:textId="77777777" w:rsidTr="0049677F">
        <w:trPr>
          <w:cantSplit/>
        </w:trPr>
        <w:tc>
          <w:tcPr>
            <w:tcW w:w="1019" w:type="pct"/>
            <w:shd w:val="clear" w:color="auto" w:fill="auto"/>
          </w:tcPr>
          <w:p w14:paraId="24DF7C85"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that is urothelial carcinoma</w:t>
            </w:r>
          </w:p>
        </w:tc>
        <w:tc>
          <w:tcPr>
            <w:tcW w:w="2201" w:type="pct"/>
            <w:shd w:val="clear" w:color="auto" w:fill="auto"/>
          </w:tcPr>
          <w:p w14:paraId="2CB8B19D"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87%; Table 15, Avelumab Public Summary Document, March 2021 PBAC meeting.</w:t>
            </w:r>
          </w:p>
        </w:tc>
        <w:tc>
          <w:tcPr>
            <w:tcW w:w="1780" w:type="pct"/>
            <w:shd w:val="clear" w:color="auto" w:fill="auto"/>
          </w:tcPr>
          <w:p w14:paraId="4482AFD3"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previously accepted by the PBAC and was reasonable.</w:t>
            </w:r>
          </w:p>
        </w:tc>
      </w:tr>
      <w:tr w:rsidR="008D40C6" w:rsidRPr="00E273AF" w14:paraId="5F578723" w14:textId="77777777" w:rsidTr="0049677F">
        <w:trPr>
          <w:cantSplit/>
        </w:trPr>
        <w:tc>
          <w:tcPr>
            <w:tcW w:w="1019" w:type="pct"/>
            <w:shd w:val="clear" w:color="auto" w:fill="auto"/>
          </w:tcPr>
          <w:p w14:paraId="681432E7" w14:textId="77777777" w:rsidR="008D40C6" w:rsidRPr="00E273AF" w:rsidRDefault="008D40C6" w:rsidP="005E4D14">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lastRenderedPageBreak/>
              <w:t>% late stage at diagnosis</w:t>
            </w:r>
          </w:p>
          <w:p w14:paraId="69F1C63F" w14:textId="0A09617D" w:rsidR="008D40C6" w:rsidRPr="00E273AF" w:rsidRDefault="009D5603" w:rsidP="005E4D14">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w:t>
            </w:r>
            <w:r w:rsidR="008D40C6" w:rsidRPr="00E273AF">
              <w:rPr>
                <w:rFonts w:ascii="Arial Narrow" w:eastAsiaTheme="majorEastAsia" w:hAnsi="Arial Narrow" w:cstheme="majorBidi"/>
                <w:bCs/>
                <w:sz w:val="20"/>
              </w:rPr>
              <w:t>regional (Stage III) and metastatic disease (Stage IV)</w:t>
            </w:r>
            <w:r>
              <w:rPr>
                <w:rFonts w:ascii="Arial Narrow" w:eastAsiaTheme="majorEastAsia" w:hAnsi="Arial Narrow" w:cstheme="majorBidi"/>
                <w:bCs/>
                <w:sz w:val="20"/>
              </w:rPr>
              <w:t>)</w:t>
            </w:r>
          </w:p>
        </w:tc>
        <w:tc>
          <w:tcPr>
            <w:tcW w:w="2201" w:type="pct"/>
            <w:shd w:val="clear" w:color="auto" w:fill="auto"/>
          </w:tcPr>
          <w:p w14:paraId="7B4F422A"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68.68%; SEER stage distribution incidence data, 2012-2021 </w:t>
            </w:r>
            <w:r w:rsidRPr="00E273AF">
              <w:rPr>
                <w:rFonts w:ascii="Arial Narrow" w:eastAsiaTheme="majorEastAsia" w:hAnsi="Arial Narrow" w:cstheme="majorBidi"/>
                <w:bCs/>
                <w:sz w:val="20"/>
                <w:vertAlign w:val="superscript"/>
              </w:rPr>
              <w:footnoteReference w:id="28"/>
            </w:r>
          </w:p>
        </w:tc>
        <w:tc>
          <w:tcPr>
            <w:tcW w:w="1780" w:type="pct"/>
            <w:shd w:val="clear" w:color="auto" w:fill="auto"/>
          </w:tcPr>
          <w:p w14:paraId="2AAA38F3"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consistent with published literature and was reasonable.</w:t>
            </w:r>
          </w:p>
        </w:tc>
      </w:tr>
      <w:tr w:rsidR="008D40C6" w:rsidRPr="00E273AF" w14:paraId="02A856FB" w14:textId="77777777" w:rsidTr="0049677F">
        <w:trPr>
          <w:cantSplit/>
        </w:trPr>
        <w:tc>
          <w:tcPr>
            <w:tcW w:w="1019" w:type="pct"/>
            <w:shd w:val="clear" w:color="auto" w:fill="auto"/>
            <w:vAlign w:val="center"/>
          </w:tcPr>
          <w:p w14:paraId="3BE820C8" w14:textId="77777777" w:rsidR="008D40C6" w:rsidRPr="00E273AF" w:rsidRDefault="008D40C6" w:rsidP="005E4D14">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 localised at diagnosis</w:t>
            </w:r>
          </w:p>
          <w:p w14:paraId="533E750B"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(early stages)</w:t>
            </w:r>
          </w:p>
        </w:tc>
        <w:tc>
          <w:tcPr>
            <w:tcW w:w="2201" w:type="pct"/>
            <w:shd w:val="clear" w:color="auto" w:fill="auto"/>
            <w:vAlign w:val="center"/>
          </w:tcPr>
          <w:p w14:paraId="1E1CFF6A"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31.14%; SEER stage distribution incidence data, 2012-2021</w:t>
            </w:r>
          </w:p>
        </w:tc>
        <w:tc>
          <w:tcPr>
            <w:tcW w:w="1780" w:type="pct"/>
            <w:shd w:val="clear" w:color="auto" w:fill="auto"/>
            <w:vAlign w:val="center"/>
          </w:tcPr>
          <w:p w14:paraId="597F45DF"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consistent with published literature and was reasonable.</w:t>
            </w:r>
          </w:p>
        </w:tc>
      </w:tr>
      <w:tr w:rsidR="008D40C6" w:rsidRPr="00E273AF" w14:paraId="056C32A9" w14:textId="77777777" w:rsidTr="0049677F">
        <w:trPr>
          <w:cantSplit/>
        </w:trPr>
        <w:tc>
          <w:tcPr>
            <w:tcW w:w="1019" w:type="pct"/>
            <w:shd w:val="clear" w:color="auto" w:fill="auto"/>
            <w:vAlign w:val="center"/>
          </w:tcPr>
          <w:p w14:paraId="0F1D7BEE"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of localised disease that have distant recurrence post RNU</w:t>
            </w:r>
          </w:p>
        </w:tc>
        <w:tc>
          <w:tcPr>
            <w:tcW w:w="2201" w:type="pct"/>
            <w:shd w:val="clear" w:color="auto" w:fill="auto"/>
            <w:vAlign w:val="center"/>
          </w:tcPr>
          <w:p w14:paraId="79281B66"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16.64%, Tanaka, Kikuchi et al. (2014) </w:t>
            </w:r>
            <w:r w:rsidRPr="00E273AF">
              <w:rPr>
                <w:rFonts w:ascii="Arial Narrow" w:eastAsiaTheme="majorEastAsia" w:hAnsi="Arial Narrow" w:cstheme="majorBidi"/>
                <w:bCs/>
                <w:sz w:val="20"/>
                <w:vertAlign w:val="superscript"/>
              </w:rPr>
              <w:footnoteReference w:id="29"/>
            </w:r>
          </w:p>
        </w:tc>
        <w:tc>
          <w:tcPr>
            <w:tcW w:w="1780" w:type="pct"/>
            <w:shd w:val="clear" w:color="auto" w:fill="auto"/>
            <w:vAlign w:val="center"/>
          </w:tcPr>
          <w:p w14:paraId="12B002E8"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 xml:space="preserve">The proportion of patients that are likely to have distant metastasis post RNU remains uncertain with published literature identifying rates of 10-20% </w:t>
            </w:r>
            <w:r w:rsidRPr="00C11145">
              <w:rPr>
                <w:rFonts w:ascii="Arial Narrow" w:eastAsiaTheme="majorEastAsia" w:hAnsi="Arial Narrow" w:cstheme="majorBidi"/>
                <w:bCs/>
                <w:sz w:val="20"/>
                <w:vertAlign w:val="superscript"/>
              </w:rPr>
              <w:footnoteReference w:id="30"/>
            </w:r>
            <w:r w:rsidRPr="00C11145">
              <w:rPr>
                <w:rFonts w:ascii="Arial Narrow" w:eastAsiaTheme="majorEastAsia" w:hAnsi="Arial Narrow" w:cstheme="majorBidi"/>
                <w:bCs/>
                <w:sz w:val="20"/>
              </w:rPr>
              <w:t>.</w:t>
            </w:r>
          </w:p>
        </w:tc>
      </w:tr>
      <w:tr w:rsidR="008D40C6" w:rsidRPr="00E273AF" w14:paraId="0D8ECEE3" w14:textId="77777777" w:rsidTr="0049677F">
        <w:trPr>
          <w:cantSplit/>
        </w:trPr>
        <w:tc>
          <w:tcPr>
            <w:tcW w:w="5000" w:type="pct"/>
            <w:gridSpan w:val="3"/>
            <w:shd w:val="clear" w:color="auto" w:fill="auto"/>
            <w:vAlign w:val="center"/>
          </w:tcPr>
          <w:p w14:paraId="22E02F99" w14:textId="77777777" w:rsidR="008D40C6" w:rsidRPr="00E273AF" w:rsidRDefault="008D40C6" w:rsidP="005E4D14">
            <w:pPr>
              <w:widowControl w:val="0"/>
              <w:jc w:val="left"/>
              <w:rPr>
                <w:rFonts w:ascii="Arial Narrow" w:eastAsiaTheme="majorEastAsia" w:hAnsi="Arial Narrow" w:cstheme="majorBidi"/>
                <w:b/>
                <w:sz w:val="20"/>
              </w:rPr>
            </w:pPr>
            <w:r w:rsidRPr="00E273AF">
              <w:rPr>
                <w:rFonts w:ascii="Arial Narrow" w:eastAsiaTheme="majorEastAsia" w:hAnsi="Arial Narrow" w:cstheme="majorBidi"/>
                <w:b/>
                <w:sz w:val="20"/>
              </w:rPr>
              <w:t>Urethral cancer</w:t>
            </w:r>
          </w:p>
        </w:tc>
      </w:tr>
      <w:tr w:rsidR="008D40C6" w:rsidRPr="00E273AF" w14:paraId="5294860B" w14:textId="77777777" w:rsidTr="0049677F">
        <w:trPr>
          <w:cantSplit/>
        </w:trPr>
        <w:tc>
          <w:tcPr>
            <w:tcW w:w="1019" w:type="pct"/>
            <w:shd w:val="clear" w:color="auto" w:fill="auto"/>
            <w:vAlign w:val="center"/>
          </w:tcPr>
          <w:p w14:paraId="3AA386D3"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Incidence</w:t>
            </w:r>
          </w:p>
        </w:tc>
        <w:tc>
          <w:tcPr>
            <w:tcW w:w="2201" w:type="pct"/>
            <w:shd w:val="clear" w:color="auto" w:fill="auto"/>
            <w:vAlign w:val="center"/>
          </w:tcPr>
          <w:p w14:paraId="2E781483" w14:textId="52E3780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Yr 1: </w:t>
            </w:r>
            <w:r w:rsidR="004C53B1" w:rsidRPr="004C53B1">
              <w:rPr>
                <w:rFonts w:ascii="Arial Narrow" w:eastAsiaTheme="majorEastAsia" w:hAnsi="Arial Narrow" w:cstheme="majorBidi"/>
                <w:bCs/>
                <w:color w:val="000000"/>
                <w:spacing w:val="49"/>
                <w:sz w:val="20"/>
                <w:shd w:val="solid" w:color="000000" w:fill="000000"/>
                <w:fitText w:val="320" w:id="-761019645"/>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5"/>
                <w14:textFill>
                  <w14:solidFill>
                    <w14:srgbClr w14:val="000000">
                      <w14:alpha w14:val="100000"/>
                    </w14:srgbClr>
                  </w14:solidFill>
                </w14:textFill>
              </w:rPr>
              <w:t>|</w:t>
            </w:r>
            <w:r w:rsidR="008664E7">
              <w:rPr>
                <w:rFonts w:ascii="Arial Narrow" w:eastAsiaTheme="majorEastAsia" w:hAnsi="Arial Narrow" w:cstheme="majorBidi"/>
                <w:bCs/>
                <w:sz w:val="20"/>
                <w:vertAlign w:val="superscript"/>
              </w:rPr>
              <w:t>1</w:t>
            </w:r>
            <w:r w:rsidRPr="000D238E">
              <w:rPr>
                <w:rFonts w:ascii="Arial Narrow" w:eastAsiaTheme="majorEastAsia" w:hAnsi="Arial Narrow" w:cstheme="majorBidi"/>
                <w:bCs/>
                <w:sz w:val="20"/>
              </w:rPr>
              <w:t>;</w:t>
            </w:r>
            <w:r w:rsidRPr="00E273AF">
              <w:rPr>
                <w:rFonts w:ascii="Arial Narrow" w:eastAsiaTheme="majorEastAsia" w:hAnsi="Arial Narrow" w:cstheme="majorBidi"/>
                <w:bCs/>
                <w:sz w:val="20"/>
              </w:rPr>
              <w:t xml:space="preserve"> Yr 2: </w:t>
            </w:r>
            <w:r w:rsidR="004C53B1" w:rsidRPr="004C53B1">
              <w:rPr>
                <w:rFonts w:ascii="Arial Narrow" w:eastAsiaTheme="majorEastAsia" w:hAnsi="Arial Narrow" w:cstheme="majorBidi"/>
                <w:bCs/>
                <w:color w:val="000000"/>
                <w:spacing w:val="56"/>
                <w:sz w:val="20"/>
                <w:shd w:val="solid" w:color="000000" w:fill="000000"/>
                <w:fitText w:val="340" w:id="-761019644"/>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44"/>
                <w14:textFill>
                  <w14:solidFill>
                    <w14:srgbClr w14:val="000000">
                      <w14:alpha w14:val="100000"/>
                    </w14:srgbClr>
                  </w14:solidFill>
                </w14:textFill>
              </w:rPr>
              <w:t>|</w:t>
            </w:r>
            <w:r w:rsidR="008664E7">
              <w:rPr>
                <w:rFonts w:ascii="Arial Narrow" w:eastAsiaTheme="majorEastAsia" w:hAnsi="Arial Narrow" w:cstheme="majorBidi"/>
                <w:bCs/>
                <w:sz w:val="20"/>
                <w:vertAlign w:val="superscript"/>
              </w:rPr>
              <w:t>1</w:t>
            </w:r>
            <w:r w:rsidRPr="00E273AF">
              <w:rPr>
                <w:rFonts w:ascii="Arial Narrow" w:eastAsiaTheme="majorEastAsia" w:hAnsi="Arial Narrow" w:cstheme="majorBidi"/>
                <w:bCs/>
                <w:sz w:val="20"/>
              </w:rPr>
              <w:t xml:space="preserve">; Yr 3: </w:t>
            </w:r>
            <w:r w:rsidR="004C53B1" w:rsidRPr="004C53B1">
              <w:rPr>
                <w:rFonts w:ascii="Arial Narrow" w:eastAsiaTheme="majorEastAsia" w:hAnsi="Arial Narrow" w:cstheme="majorBidi"/>
                <w:bCs/>
                <w:color w:val="000000"/>
                <w:spacing w:val="56"/>
                <w:sz w:val="20"/>
                <w:shd w:val="solid" w:color="000000" w:fill="000000"/>
                <w:fitText w:val="340" w:id="-761019643"/>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43"/>
                <w14:textFill>
                  <w14:solidFill>
                    <w14:srgbClr w14:val="000000">
                      <w14:alpha w14:val="100000"/>
                    </w14:srgbClr>
                  </w14:solidFill>
                </w14:textFill>
              </w:rPr>
              <w:t>|</w:t>
            </w:r>
            <w:r w:rsidR="008664E7">
              <w:rPr>
                <w:rFonts w:ascii="Arial Narrow" w:eastAsiaTheme="majorEastAsia" w:hAnsi="Arial Narrow" w:cstheme="majorBidi"/>
                <w:bCs/>
                <w:sz w:val="20"/>
                <w:vertAlign w:val="superscript"/>
              </w:rPr>
              <w:t>1</w:t>
            </w:r>
            <w:r w:rsidRPr="00E273AF">
              <w:rPr>
                <w:rFonts w:ascii="Arial Narrow" w:eastAsiaTheme="majorEastAsia" w:hAnsi="Arial Narrow" w:cstheme="majorBidi"/>
                <w:bCs/>
                <w:sz w:val="20"/>
              </w:rPr>
              <w:t xml:space="preserve">; Yr 4: </w:t>
            </w:r>
            <w:r w:rsidR="004C53B1" w:rsidRPr="004C53B1">
              <w:rPr>
                <w:rFonts w:ascii="Arial Narrow" w:eastAsiaTheme="majorEastAsia" w:hAnsi="Arial Narrow" w:cstheme="majorBidi"/>
                <w:bCs/>
                <w:color w:val="000000"/>
                <w:spacing w:val="56"/>
                <w:sz w:val="20"/>
                <w:shd w:val="solid" w:color="000000" w:fill="000000"/>
                <w:fitText w:val="340" w:id="-761019642"/>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42"/>
                <w14:textFill>
                  <w14:solidFill>
                    <w14:srgbClr w14:val="000000">
                      <w14:alpha w14:val="100000"/>
                    </w14:srgbClr>
                  </w14:solidFill>
                </w14:textFill>
              </w:rPr>
              <w:t>|</w:t>
            </w:r>
            <w:r w:rsidR="008664E7">
              <w:rPr>
                <w:rFonts w:ascii="Arial Narrow" w:eastAsiaTheme="majorEastAsia" w:hAnsi="Arial Narrow" w:cstheme="majorBidi"/>
                <w:bCs/>
                <w:sz w:val="20"/>
                <w:vertAlign w:val="superscript"/>
              </w:rPr>
              <w:t>1</w:t>
            </w:r>
            <w:r w:rsidRPr="00E273AF">
              <w:rPr>
                <w:rFonts w:ascii="Arial Narrow" w:eastAsiaTheme="majorEastAsia" w:hAnsi="Arial Narrow" w:cstheme="majorBidi"/>
                <w:bCs/>
                <w:sz w:val="20"/>
              </w:rPr>
              <w:t xml:space="preserve">; Yr 5: </w:t>
            </w:r>
            <w:r w:rsidR="004C53B1" w:rsidRPr="004C53B1">
              <w:rPr>
                <w:rFonts w:ascii="Arial Narrow" w:eastAsiaTheme="majorEastAsia" w:hAnsi="Arial Narrow" w:cstheme="majorBidi"/>
                <w:bCs/>
                <w:color w:val="000000"/>
                <w:spacing w:val="56"/>
                <w:sz w:val="20"/>
                <w:shd w:val="solid" w:color="000000" w:fill="000000"/>
                <w:fitText w:val="340" w:id="-761019641"/>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41"/>
                <w14:textFill>
                  <w14:solidFill>
                    <w14:srgbClr w14:val="000000">
                      <w14:alpha w14:val="100000"/>
                    </w14:srgbClr>
                  </w14:solidFill>
                </w14:textFill>
              </w:rPr>
              <w:t>|</w:t>
            </w:r>
            <w:r w:rsidR="008664E7">
              <w:rPr>
                <w:rFonts w:ascii="Arial Narrow" w:eastAsiaTheme="majorEastAsia" w:hAnsi="Arial Narrow" w:cstheme="majorBidi"/>
                <w:bCs/>
                <w:sz w:val="20"/>
                <w:vertAlign w:val="superscript"/>
              </w:rPr>
              <w:t>1</w:t>
            </w:r>
            <w:r w:rsidRPr="00E273AF">
              <w:rPr>
                <w:rFonts w:ascii="Arial Narrow" w:eastAsiaTheme="majorEastAsia" w:hAnsi="Arial Narrow" w:cstheme="majorBidi"/>
                <w:bCs/>
                <w:sz w:val="20"/>
              </w:rPr>
              <w:t xml:space="preserve">; Yr 6: </w:t>
            </w:r>
            <w:r w:rsidR="004C53B1" w:rsidRPr="004C53B1">
              <w:rPr>
                <w:rFonts w:ascii="Arial Narrow" w:eastAsiaTheme="majorEastAsia" w:hAnsi="Arial Narrow" w:cstheme="majorBidi"/>
                <w:bCs/>
                <w:color w:val="000000"/>
                <w:spacing w:val="49"/>
                <w:sz w:val="20"/>
                <w:shd w:val="solid" w:color="000000" w:fill="000000"/>
                <w:fitText w:val="320" w:id="-761019640"/>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0"/>
                <w14:textFill>
                  <w14:solidFill>
                    <w14:srgbClr w14:val="000000">
                      <w14:alpha w14:val="100000"/>
                    </w14:srgbClr>
                  </w14:solidFill>
                </w14:textFill>
              </w:rPr>
              <w:t>|</w:t>
            </w:r>
            <w:r w:rsidR="008664E7">
              <w:rPr>
                <w:rFonts w:ascii="Arial Narrow" w:eastAsiaTheme="majorEastAsia" w:hAnsi="Arial Narrow" w:cstheme="majorBidi"/>
                <w:bCs/>
                <w:sz w:val="20"/>
                <w:vertAlign w:val="superscript"/>
              </w:rPr>
              <w:t>1</w:t>
            </w:r>
            <w:r w:rsidRPr="00E273AF">
              <w:rPr>
                <w:rFonts w:ascii="Arial Narrow" w:eastAsiaTheme="majorEastAsia" w:hAnsi="Arial Narrow" w:cstheme="majorBidi"/>
                <w:bCs/>
                <w:sz w:val="20"/>
              </w:rPr>
              <w:t xml:space="preserve">; based on AIHW cancer incidence projections for 2020-2023 and a growth rate of 3.3%. </w:t>
            </w:r>
          </w:p>
        </w:tc>
        <w:tc>
          <w:tcPr>
            <w:tcW w:w="1780" w:type="pct"/>
            <w:shd w:val="clear" w:color="auto" w:fill="auto"/>
            <w:vAlign w:val="center"/>
          </w:tcPr>
          <w:p w14:paraId="4FB7A07C"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reasonable.</w:t>
            </w:r>
          </w:p>
        </w:tc>
      </w:tr>
      <w:tr w:rsidR="008D40C6" w:rsidRPr="00E273AF" w14:paraId="58D7057B" w14:textId="77777777" w:rsidTr="0049677F">
        <w:trPr>
          <w:cantSplit/>
        </w:trPr>
        <w:tc>
          <w:tcPr>
            <w:tcW w:w="1019" w:type="pct"/>
            <w:shd w:val="clear" w:color="auto" w:fill="auto"/>
            <w:vAlign w:val="center"/>
          </w:tcPr>
          <w:p w14:paraId="26E73B66"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that is urothelial carcinoma</w:t>
            </w:r>
          </w:p>
        </w:tc>
        <w:tc>
          <w:tcPr>
            <w:tcW w:w="2201" w:type="pct"/>
            <w:shd w:val="clear" w:color="auto" w:fill="auto"/>
          </w:tcPr>
          <w:p w14:paraId="0FDE8502"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42%; Table 15, Avelumab Public Summary Document, March 2021 PBAC meeting.</w:t>
            </w:r>
          </w:p>
        </w:tc>
        <w:tc>
          <w:tcPr>
            <w:tcW w:w="1780" w:type="pct"/>
            <w:shd w:val="clear" w:color="auto" w:fill="auto"/>
          </w:tcPr>
          <w:p w14:paraId="66A1661B"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previously accepted by the PBAC and was reasonable.</w:t>
            </w:r>
          </w:p>
        </w:tc>
      </w:tr>
      <w:tr w:rsidR="008D40C6" w:rsidRPr="00E273AF" w14:paraId="072FA16C" w14:textId="77777777" w:rsidTr="0049677F">
        <w:trPr>
          <w:cantSplit/>
        </w:trPr>
        <w:tc>
          <w:tcPr>
            <w:tcW w:w="1019" w:type="pct"/>
            <w:shd w:val="clear" w:color="auto" w:fill="auto"/>
          </w:tcPr>
          <w:p w14:paraId="4BFA1A32" w14:textId="77777777" w:rsidR="008D40C6" w:rsidRPr="00E273AF" w:rsidRDefault="008D40C6" w:rsidP="005E4D14">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 late stage at diagnosis</w:t>
            </w:r>
          </w:p>
          <w:p w14:paraId="54CBDA30" w14:textId="651EA89B" w:rsidR="008D40C6" w:rsidRPr="00E273AF" w:rsidRDefault="009D5603" w:rsidP="005E4D14">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w:t>
            </w:r>
            <w:r w:rsidR="008D40C6" w:rsidRPr="00E273AF">
              <w:rPr>
                <w:rFonts w:ascii="Arial Narrow" w:eastAsiaTheme="majorEastAsia" w:hAnsi="Arial Narrow" w:cstheme="majorBidi"/>
                <w:bCs/>
                <w:sz w:val="20"/>
              </w:rPr>
              <w:t>regional (Stage III) and metastatic disease (Stage IV)</w:t>
            </w:r>
            <w:r>
              <w:rPr>
                <w:rFonts w:ascii="Arial Narrow" w:eastAsiaTheme="majorEastAsia" w:hAnsi="Arial Narrow" w:cstheme="majorBidi"/>
                <w:bCs/>
                <w:sz w:val="20"/>
              </w:rPr>
              <w:t>)</w:t>
            </w:r>
          </w:p>
        </w:tc>
        <w:tc>
          <w:tcPr>
            <w:tcW w:w="2201" w:type="pct"/>
            <w:shd w:val="clear" w:color="auto" w:fill="auto"/>
          </w:tcPr>
          <w:p w14:paraId="2B7E3E1A"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68.68%; SEER stage distribution incidence data, 2012-2021</w:t>
            </w:r>
          </w:p>
        </w:tc>
        <w:tc>
          <w:tcPr>
            <w:tcW w:w="1780" w:type="pct"/>
            <w:shd w:val="clear" w:color="auto" w:fill="auto"/>
          </w:tcPr>
          <w:p w14:paraId="25213D0B"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consistent with published literature and was reasonable.</w:t>
            </w:r>
          </w:p>
        </w:tc>
      </w:tr>
      <w:tr w:rsidR="008D40C6" w:rsidRPr="00E273AF" w14:paraId="1C608B63" w14:textId="77777777" w:rsidTr="0049677F">
        <w:trPr>
          <w:cantSplit/>
        </w:trPr>
        <w:tc>
          <w:tcPr>
            <w:tcW w:w="1019" w:type="pct"/>
            <w:shd w:val="clear" w:color="auto" w:fill="auto"/>
            <w:vAlign w:val="center"/>
          </w:tcPr>
          <w:p w14:paraId="49505838" w14:textId="77777777" w:rsidR="008D40C6" w:rsidRPr="00E273AF" w:rsidRDefault="008D40C6" w:rsidP="005E4D14">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 localised at diagnosis</w:t>
            </w:r>
          </w:p>
          <w:p w14:paraId="2A5527B9"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(early stages)</w:t>
            </w:r>
          </w:p>
        </w:tc>
        <w:tc>
          <w:tcPr>
            <w:tcW w:w="2201" w:type="pct"/>
            <w:shd w:val="clear" w:color="auto" w:fill="auto"/>
          </w:tcPr>
          <w:p w14:paraId="1FE1B3B5"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31.14%; SEER stage distribution incidence data, 2012-2021</w:t>
            </w:r>
          </w:p>
        </w:tc>
        <w:tc>
          <w:tcPr>
            <w:tcW w:w="1780" w:type="pct"/>
            <w:shd w:val="clear" w:color="auto" w:fill="auto"/>
          </w:tcPr>
          <w:p w14:paraId="30B7F5E1"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This was consistent with published literature and was reasonable.</w:t>
            </w:r>
          </w:p>
        </w:tc>
      </w:tr>
      <w:tr w:rsidR="008D40C6" w:rsidRPr="00E273AF" w14:paraId="2654C21B" w14:textId="77777777" w:rsidTr="0049677F">
        <w:trPr>
          <w:cantSplit/>
        </w:trPr>
        <w:tc>
          <w:tcPr>
            <w:tcW w:w="1019" w:type="pct"/>
            <w:shd w:val="clear" w:color="auto" w:fill="auto"/>
          </w:tcPr>
          <w:p w14:paraId="3ED015DA"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of localised disease that have distant recurrence post RNU</w:t>
            </w:r>
          </w:p>
        </w:tc>
        <w:tc>
          <w:tcPr>
            <w:tcW w:w="2201" w:type="pct"/>
            <w:shd w:val="clear" w:color="auto" w:fill="auto"/>
          </w:tcPr>
          <w:p w14:paraId="4FE33193" w14:textId="77777777" w:rsidR="008D40C6" w:rsidRPr="0079168E" w:rsidRDefault="008D40C6" w:rsidP="005E4D14">
            <w:pPr>
              <w:widowControl w:val="0"/>
              <w:jc w:val="left"/>
              <w:rPr>
                <w:rFonts w:ascii="Arial Narrow" w:eastAsiaTheme="majorEastAsia" w:hAnsi="Arial Narrow" w:cstheme="majorBidi"/>
                <w:bCs/>
                <w:sz w:val="20"/>
              </w:rPr>
            </w:pPr>
            <w:r w:rsidRPr="0079168E">
              <w:rPr>
                <w:rFonts w:ascii="Arial Narrow" w:eastAsiaTheme="majorEastAsia" w:hAnsi="Arial Narrow" w:cstheme="majorBidi"/>
                <w:bCs/>
                <w:sz w:val="20"/>
              </w:rPr>
              <w:t xml:space="preserve">16.64%, Tanaka, Kikuchi et al. (2014) </w:t>
            </w:r>
          </w:p>
        </w:tc>
        <w:tc>
          <w:tcPr>
            <w:tcW w:w="1780" w:type="pct"/>
            <w:shd w:val="clear" w:color="auto" w:fill="auto"/>
          </w:tcPr>
          <w:p w14:paraId="59F1A506" w14:textId="77777777" w:rsidR="008D40C6" w:rsidRPr="0079168E" w:rsidRDefault="008D40C6" w:rsidP="005E4D14">
            <w:pPr>
              <w:widowControl w:val="0"/>
              <w:jc w:val="left"/>
              <w:rPr>
                <w:rFonts w:ascii="Arial Narrow" w:eastAsiaTheme="majorEastAsia" w:hAnsi="Arial Narrow" w:cstheme="majorBidi"/>
                <w:bCs/>
                <w:sz w:val="20"/>
              </w:rPr>
            </w:pPr>
            <w:r w:rsidRPr="0079168E">
              <w:rPr>
                <w:rFonts w:ascii="Arial Narrow" w:eastAsiaTheme="majorEastAsia" w:hAnsi="Arial Narrow" w:cstheme="majorBidi"/>
                <w:bCs/>
                <w:sz w:val="20"/>
              </w:rPr>
              <w:t>The proportion of patients that are likely to have distant metastasis post RNU remains uncertain with published literature identifying rates of 10-20%.</w:t>
            </w:r>
          </w:p>
        </w:tc>
      </w:tr>
      <w:tr w:rsidR="008D40C6" w:rsidRPr="00E273AF" w14:paraId="577589DF" w14:textId="77777777" w:rsidTr="0049677F">
        <w:trPr>
          <w:cantSplit/>
        </w:trPr>
        <w:tc>
          <w:tcPr>
            <w:tcW w:w="5000" w:type="pct"/>
            <w:gridSpan w:val="3"/>
            <w:shd w:val="clear" w:color="auto" w:fill="auto"/>
            <w:vAlign w:val="center"/>
          </w:tcPr>
          <w:p w14:paraId="1CA74101" w14:textId="77777777" w:rsidR="008D40C6" w:rsidRPr="00E273AF" w:rsidRDefault="008D40C6" w:rsidP="00E36DB9">
            <w:pPr>
              <w:keepNext/>
              <w:widowControl w:val="0"/>
              <w:jc w:val="left"/>
              <w:rPr>
                <w:rFonts w:ascii="Arial Narrow" w:eastAsiaTheme="majorEastAsia" w:hAnsi="Arial Narrow" w:cstheme="majorBidi"/>
                <w:b/>
                <w:sz w:val="20"/>
              </w:rPr>
            </w:pPr>
            <w:r w:rsidRPr="00E273AF">
              <w:rPr>
                <w:rFonts w:ascii="Arial Narrow" w:eastAsiaTheme="majorEastAsia" w:hAnsi="Arial Narrow" w:cstheme="majorBidi"/>
                <w:b/>
                <w:sz w:val="20"/>
              </w:rPr>
              <w:lastRenderedPageBreak/>
              <w:t xml:space="preserve">Use and cost in eligible patients </w:t>
            </w:r>
          </w:p>
        </w:tc>
      </w:tr>
      <w:tr w:rsidR="008D40C6" w:rsidRPr="00E273AF" w14:paraId="4C0084F3" w14:textId="77777777" w:rsidTr="0049677F">
        <w:trPr>
          <w:cantSplit/>
        </w:trPr>
        <w:tc>
          <w:tcPr>
            <w:tcW w:w="1019" w:type="pct"/>
            <w:shd w:val="clear" w:color="auto" w:fill="auto"/>
            <w:vAlign w:val="center"/>
          </w:tcPr>
          <w:p w14:paraId="533706ED"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Eligibility for first-line therapy</w:t>
            </w:r>
          </w:p>
        </w:tc>
        <w:tc>
          <w:tcPr>
            <w:tcW w:w="2201" w:type="pct"/>
            <w:shd w:val="clear" w:color="auto" w:fill="auto"/>
            <w:vAlign w:val="center"/>
          </w:tcPr>
          <w:p w14:paraId="0111A6EA"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90%, Table 15, Avelumab Public Summary Document, March 2021 PBAC meeting.</w:t>
            </w:r>
          </w:p>
        </w:tc>
        <w:tc>
          <w:tcPr>
            <w:tcW w:w="1780" w:type="pct"/>
            <w:shd w:val="clear" w:color="auto" w:fill="auto"/>
            <w:vAlign w:val="center"/>
          </w:tcPr>
          <w:p w14:paraId="1D3D194E" w14:textId="5F09960B"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The DUSC has previously stated that 70% would be a reasonable estimate of first-line chemotherapy due to renal impairment and comorbidities in patients with UCs (</w:t>
            </w:r>
            <w:bookmarkStart w:id="64" w:name="_Hlk174984482"/>
            <w:r w:rsidRPr="00C11145">
              <w:rPr>
                <w:rFonts w:ascii="Arial Narrow" w:eastAsiaTheme="majorEastAsia" w:hAnsi="Arial Narrow" w:cstheme="majorBidi"/>
                <w:bCs/>
                <w:sz w:val="20"/>
              </w:rPr>
              <w:t>para</w:t>
            </w:r>
            <w:r w:rsidR="00D8464B">
              <w:rPr>
                <w:rFonts w:ascii="Arial Narrow" w:eastAsiaTheme="majorEastAsia" w:hAnsi="Arial Narrow" w:cstheme="majorBidi"/>
                <w:bCs/>
                <w:sz w:val="20"/>
              </w:rPr>
              <w:t>graph</w:t>
            </w:r>
            <w:r w:rsidRPr="00C11145">
              <w:rPr>
                <w:rFonts w:ascii="Arial Narrow" w:eastAsiaTheme="majorEastAsia" w:hAnsi="Arial Narrow" w:cstheme="majorBidi"/>
                <w:bCs/>
                <w:sz w:val="20"/>
              </w:rPr>
              <w:t>6.67, Avelumab PSD, March 2021 PBAC meeting</w:t>
            </w:r>
            <w:bookmarkEnd w:id="64"/>
            <w:r w:rsidRPr="00C11145">
              <w:rPr>
                <w:rFonts w:ascii="Arial Narrow" w:eastAsiaTheme="majorEastAsia" w:hAnsi="Arial Narrow" w:cstheme="majorBidi"/>
                <w:bCs/>
                <w:sz w:val="20"/>
              </w:rPr>
              <w:t xml:space="preserve">). However, given the claim of superior efficacy, assuming 90% of patients would be eligible for treatment with EV+PEM may be reasonable. Previously, the PBAC has considered that the proportion of patients who are treated with first-line PDC (90%) and the uptake rates proposed are largely uncertain and are likely to reflect the upper end of the range of use. </w:t>
            </w:r>
          </w:p>
        </w:tc>
      </w:tr>
      <w:tr w:rsidR="008D40C6" w:rsidRPr="00E273AF" w14:paraId="1439CC78" w14:textId="77777777" w:rsidTr="0049677F">
        <w:trPr>
          <w:cantSplit/>
        </w:trPr>
        <w:tc>
          <w:tcPr>
            <w:tcW w:w="1019" w:type="pct"/>
            <w:shd w:val="clear" w:color="auto" w:fill="auto"/>
            <w:vAlign w:val="center"/>
          </w:tcPr>
          <w:p w14:paraId="4AF94BC9"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 electing treatment </w:t>
            </w:r>
          </w:p>
        </w:tc>
        <w:tc>
          <w:tcPr>
            <w:tcW w:w="2201" w:type="pct"/>
            <w:shd w:val="clear" w:color="auto" w:fill="auto"/>
            <w:vAlign w:val="center"/>
          </w:tcPr>
          <w:p w14:paraId="58DD3695" w14:textId="73DFC6F2" w:rsidR="008D40C6" w:rsidRPr="00E273AF" w:rsidRDefault="004C53B1" w:rsidP="005E4D14">
            <w:pPr>
              <w:widowControl w:val="0"/>
              <w:jc w:val="left"/>
              <w:rPr>
                <w:rFonts w:ascii="Arial Narrow" w:eastAsiaTheme="majorEastAsia" w:hAnsi="Arial Narrow" w:cstheme="majorBidi"/>
                <w:bCs/>
                <w:sz w:val="20"/>
              </w:rPr>
            </w:pPr>
            <w:r w:rsidRPr="004C53B1">
              <w:rPr>
                <w:rFonts w:ascii="Arial Narrow" w:eastAsiaTheme="majorEastAsia" w:hAnsi="Arial Narrow" w:cstheme="majorBidi"/>
                <w:bCs/>
                <w:color w:val="000000"/>
                <w:spacing w:val="56"/>
                <w:sz w:val="20"/>
                <w:shd w:val="solid" w:color="000000" w:fill="000000"/>
                <w:fitText w:val="340" w:id="-761019639"/>
                <w14:textFill>
                  <w14:solidFill>
                    <w14:srgbClr w14:val="000000">
                      <w14:alpha w14:val="100000"/>
                    </w14:srgbClr>
                  </w14:solidFill>
                </w14:textFill>
              </w:rPr>
              <w:t>|||</w:t>
            </w:r>
            <w:r w:rsidRPr="004C53B1">
              <w:rPr>
                <w:rFonts w:ascii="Arial Narrow" w:eastAsiaTheme="majorEastAsia" w:hAnsi="Arial Narrow" w:cstheme="majorBidi"/>
                <w:bCs/>
                <w:color w:val="000000"/>
                <w:spacing w:val="2"/>
                <w:sz w:val="20"/>
                <w:shd w:val="solid" w:color="000000" w:fill="000000"/>
                <w:fitText w:val="340" w:id="-761019639"/>
                <w14:textFill>
                  <w14:solidFill>
                    <w14:srgbClr w14:val="000000">
                      <w14:alpha w14:val="100000"/>
                    </w14:srgbClr>
                  </w14:solidFill>
                </w14:textFill>
              </w:rPr>
              <w:t>|</w:t>
            </w:r>
            <w:r w:rsidR="008D40C6" w:rsidRPr="00E273AF">
              <w:rPr>
                <w:rFonts w:ascii="Arial Narrow" w:eastAsiaTheme="majorEastAsia" w:hAnsi="Arial Narrow" w:cstheme="majorBidi"/>
                <w:bCs/>
                <w:sz w:val="20"/>
              </w:rPr>
              <w:t xml:space="preserve">% in year 1 increasing to </w:t>
            </w:r>
            <w:r w:rsidRPr="004C53B1">
              <w:rPr>
                <w:rFonts w:ascii="Arial Narrow" w:eastAsiaTheme="majorEastAsia" w:hAnsi="Arial Narrow" w:cstheme="majorBidi"/>
                <w:bCs/>
                <w:color w:val="000000"/>
                <w:spacing w:val="49"/>
                <w:sz w:val="20"/>
                <w:shd w:val="solid" w:color="000000" w:fill="000000"/>
                <w:fitText w:val="320" w:id="-761019638"/>
                <w14:textFill>
                  <w14:solidFill>
                    <w14:srgbClr w14:val="000000">
                      <w14:alpha w14:val="100000"/>
                    </w14:srgbClr>
                  </w14:solidFill>
                </w14:textFill>
              </w:rPr>
              <w:t>|||</w:t>
            </w:r>
            <w:r w:rsidRPr="004C53B1">
              <w:rPr>
                <w:rFonts w:ascii="Arial Narrow" w:eastAsiaTheme="majorEastAsia" w:hAnsi="Arial Narrow" w:cstheme="majorBidi"/>
                <w:bCs/>
                <w:color w:val="000000"/>
                <w:spacing w:val="3"/>
                <w:sz w:val="20"/>
                <w:shd w:val="solid" w:color="000000" w:fill="000000"/>
                <w:fitText w:val="320" w:id="-761019638"/>
                <w14:textFill>
                  <w14:solidFill>
                    <w14:srgbClr w14:val="000000">
                      <w14:alpha w14:val="100000"/>
                    </w14:srgbClr>
                  </w14:solidFill>
                </w14:textFill>
              </w:rPr>
              <w:t>|</w:t>
            </w:r>
            <w:r w:rsidR="008D40C6" w:rsidRPr="00E273AF">
              <w:rPr>
                <w:rFonts w:ascii="Arial Narrow" w:eastAsiaTheme="majorEastAsia" w:hAnsi="Arial Narrow" w:cstheme="majorBidi"/>
                <w:bCs/>
                <w:sz w:val="20"/>
              </w:rPr>
              <w:t xml:space="preserve">% in year 6; assumption. </w:t>
            </w:r>
          </w:p>
        </w:tc>
        <w:tc>
          <w:tcPr>
            <w:tcW w:w="1780" w:type="pct"/>
            <w:shd w:val="clear" w:color="auto" w:fill="auto"/>
            <w:vAlign w:val="center"/>
          </w:tcPr>
          <w:p w14:paraId="3983E6CB" w14:textId="201C6978" w:rsidR="008D40C6" w:rsidRPr="00C11145" w:rsidRDefault="008D40C6" w:rsidP="005E4D14">
            <w:pPr>
              <w:widowControl w:val="0"/>
              <w:jc w:val="left"/>
              <w:rPr>
                <w:rFonts w:ascii="Arial Narrow" w:eastAsiaTheme="majorEastAsia" w:hAnsi="Arial Narrow" w:cstheme="majorBidi"/>
                <w:bCs/>
                <w:sz w:val="20"/>
              </w:rPr>
            </w:pPr>
          </w:p>
        </w:tc>
      </w:tr>
      <w:tr w:rsidR="008D40C6" w:rsidRPr="00E273AF" w14:paraId="3FBB7A1B" w14:textId="77777777" w:rsidTr="0049677F">
        <w:trPr>
          <w:cantSplit/>
        </w:trPr>
        <w:tc>
          <w:tcPr>
            <w:tcW w:w="1019" w:type="pct"/>
            <w:shd w:val="clear" w:color="auto" w:fill="auto"/>
            <w:vAlign w:val="center"/>
          </w:tcPr>
          <w:p w14:paraId="0865DF74"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Grandfathered patients</w:t>
            </w:r>
          </w:p>
        </w:tc>
        <w:tc>
          <w:tcPr>
            <w:tcW w:w="2201" w:type="pct"/>
            <w:shd w:val="clear" w:color="auto" w:fill="auto"/>
            <w:vAlign w:val="center"/>
          </w:tcPr>
          <w:p w14:paraId="473A2009" w14:textId="30C995BE" w:rsidR="008D40C6" w:rsidRPr="00E273AF" w:rsidRDefault="004C53B1" w:rsidP="005E4D14">
            <w:pPr>
              <w:widowControl w:val="0"/>
              <w:jc w:val="left"/>
              <w:rPr>
                <w:rFonts w:ascii="Arial Narrow" w:eastAsiaTheme="majorEastAsia" w:hAnsi="Arial Narrow" w:cstheme="majorBidi"/>
                <w:bCs/>
                <w:sz w:val="20"/>
              </w:rPr>
            </w:pPr>
            <w:r w:rsidRPr="004C53B1">
              <w:rPr>
                <w:rFonts w:ascii="Arial Narrow" w:eastAsiaTheme="majorEastAsia" w:hAnsi="Arial Narrow" w:cstheme="majorBidi"/>
                <w:bCs/>
                <w:color w:val="000000"/>
                <w:spacing w:val="56"/>
                <w:sz w:val="20"/>
                <w:shd w:val="solid" w:color="000000" w:fill="000000"/>
                <w:fitText w:val="340" w:id="-761019637"/>
                <w14:textFill>
                  <w14:solidFill>
                    <w14:srgbClr w14:val="000000">
                      <w14:alpha w14:val="100000"/>
                    </w14:srgbClr>
                  </w14:solidFill>
                </w14:textFill>
              </w:rPr>
              <w:t>|||</w:t>
            </w:r>
            <w:r w:rsidRPr="004C53B1">
              <w:rPr>
                <w:rFonts w:ascii="Arial Narrow" w:eastAsiaTheme="majorEastAsia" w:hAnsi="Arial Narrow" w:cstheme="majorBidi"/>
                <w:bCs/>
                <w:color w:val="000000"/>
                <w:spacing w:val="2"/>
                <w:sz w:val="20"/>
                <w:shd w:val="solid" w:color="000000" w:fill="000000"/>
                <w:fitText w:val="340" w:id="-761019637"/>
                <w14:textFill>
                  <w14:solidFill>
                    <w14:srgbClr w14:val="000000">
                      <w14:alpha w14:val="100000"/>
                    </w14:srgbClr>
                  </w14:solidFill>
                </w14:textFill>
              </w:rPr>
              <w:t>|</w:t>
            </w:r>
            <w:r w:rsidR="000A6D06" w:rsidRPr="00E36DB9">
              <w:rPr>
                <w:rFonts w:ascii="Arial Narrow" w:eastAsiaTheme="majorEastAsia" w:hAnsi="Arial Narrow" w:cstheme="majorBidi"/>
                <w:bCs/>
                <w:sz w:val="20"/>
                <w:vertAlign w:val="superscript"/>
              </w:rPr>
              <w:t>1</w:t>
            </w:r>
            <w:r w:rsidR="008D40C6" w:rsidRPr="00E273AF">
              <w:rPr>
                <w:rFonts w:ascii="Arial Narrow" w:eastAsiaTheme="majorEastAsia" w:hAnsi="Arial Narrow" w:cstheme="majorBidi"/>
                <w:bCs/>
                <w:sz w:val="20"/>
              </w:rPr>
              <w:t xml:space="preserve"> in year 1</w:t>
            </w:r>
          </w:p>
        </w:tc>
        <w:tc>
          <w:tcPr>
            <w:tcW w:w="1780" w:type="pct"/>
            <w:shd w:val="clear" w:color="auto" w:fill="auto"/>
            <w:vAlign w:val="center"/>
          </w:tcPr>
          <w:p w14:paraId="1BEBCA45" w14:textId="5CA2D100" w:rsidR="008D40C6" w:rsidRPr="00C11145" w:rsidRDefault="008D40C6" w:rsidP="005E4D14">
            <w:pPr>
              <w:widowControl w:val="0"/>
              <w:jc w:val="left"/>
              <w:rPr>
                <w:rFonts w:ascii="Arial Narrow" w:eastAsiaTheme="majorEastAsia" w:hAnsi="Arial Narrow" w:cstheme="majorBidi"/>
                <w:bCs/>
                <w:sz w:val="20"/>
              </w:rPr>
            </w:pPr>
          </w:p>
        </w:tc>
      </w:tr>
      <w:tr w:rsidR="008D40C6" w:rsidRPr="00E273AF" w14:paraId="1F9C1EF8" w14:textId="77777777" w:rsidTr="0049677F">
        <w:trPr>
          <w:cantSplit/>
        </w:trPr>
        <w:tc>
          <w:tcPr>
            <w:tcW w:w="1019" w:type="pct"/>
            <w:shd w:val="clear" w:color="auto" w:fill="auto"/>
            <w:vAlign w:val="center"/>
          </w:tcPr>
          <w:p w14:paraId="16482AC3"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Duration of EV+PEM treatment </w:t>
            </w:r>
          </w:p>
        </w:tc>
        <w:tc>
          <w:tcPr>
            <w:tcW w:w="2201" w:type="pct"/>
            <w:shd w:val="clear" w:color="auto" w:fill="auto"/>
            <w:vAlign w:val="center"/>
          </w:tcPr>
          <w:p w14:paraId="699D4338"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59.42 weeks for EV, 51.55 weeks for PEM; based on mean treatment durations from the economic model. </w:t>
            </w:r>
          </w:p>
        </w:tc>
        <w:tc>
          <w:tcPr>
            <w:tcW w:w="1780" w:type="pct"/>
            <w:shd w:val="clear" w:color="auto" w:fill="auto"/>
            <w:vAlign w:val="center"/>
          </w:tcPr>
          <w:p w14:paraId="5128A704" w14:textId="4D73C5C6" w:rsidR="008D40C6" w:rsidRPr="00C11145" w:rsidRDefault="00BF054D" w:rsidP="005E4D14">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PBAC noted the mean treatment duration for EV and PEM would be different with the </w:t>
            </w:r>
            <w:r w:rsidR="00364045">
              <w:rPr>
                <w:rFonts w:ascii="Arial Narrow" w:eastAsiaTheme="majorEastAsia" w:hAnsi="Arial Narrow" w:cstheme="majorBidi"/>
                <w:bCs/>
                <w:sz w:val="20"/>
              </w:rPr>
              <w:t xml:space="preserve">ESC respecified </w:t>
            </w:r>
            <w:r>
              <w:rPr>
                <w:rFonts w:ascii="Arial Narrow" w:eastAsiaTheme="majorEastAsia" w:hAnsi="Arial Narrow" w:cstheme="majorBidi"/>
                <w:bCs/>
                <w:sz w:val="20"/>
              </w:rPr>
              <w:t>economic model</w:t>
            </w:r>
            <w:r w:rsidR="000645C4">
              <w:rPr>
                <w:rFonts w:ascii="Arial Narrow" w:eastAsiaTheme="majorEastAsia" w:hAnsi="Arial Narrow" w:cstheme="majorBidi"/>
                <w:bCs/>
                <w:sz w:val="20"/>
              </w:rPr>
              <w:t xml:space="preserve"> (paragraph </w:t>
            </w:r>
            <w:r w:rsidR="00FE0BD6">
              <w:rPr>
                <w:rFonts w:ascii="Arial Narrow" w:eastAsiaTheme="majorEastAsia" w:hAnsi="Arial Narrow" w:cstheme="majorBidi"/>
                <w:bCs/>
                <w:sz w:val="20"/>
              </w:rPr>
              <w:fldChar w:fldCharType="begin" w:fldLock="1"/>
            </w:r>
            <w:r w:rsidR="00FE0BD6">
              <w:rPr>
                <w:rFonts w:ascii="Arial Narrow" w:eastAsiaTheme="majorEastAsia" w:hAnsi="Arial Narrow" w:cstheme="majorBidi"/>
                <w:bCs/>
                <w:sz w:val="20"/>
              </w:rPr>
              <w:instrText xml:space="preserve"> REF _Ref183078759 \r \h </w:instrText>
            </w:r>
            <w:r w:rsidR="00FE0BD6">
              <w:rPr>
                <w:rFonts w:ascii="Arial Narrow" w:eastAsiaTheme="majorEastAsia" w:hAnsi="Arial Narrow" w:cstheme="majorBidi"/>
                <w:bCs/>
                <w:sz w:val="20"/>
              </w:rPr>
            </w:r>
            <w:r w:rsidR="00FE0BD6">
              <w:rPr>
                <w:rFonts w:ascii="Arial Narrow" w:eastAsiaTheme="majorEastAsia" w:hAnsi="Arial Narrow" w:cstheme="majorBidi"/>
                <w:bCs/>
                <w:sz w:val="20"/>
              </w:rPr>
              <w:fldChar w:fldCharType="separate"/>
            </w:r>
            <w:r w:rsidR="00FE0BD6">
              <w:rPr>
                <w:rFonts w:ascii="Arial Narrow" w:eastAsiaTheme="majorEastAsia" w:hAnsi="Arial Narrow" w:cstheme="majorBidi"/>
                <w:bCs/>
                <w:sz w:val="20"/>
              </w:rPr>
              <w:t>6.59</w:t>
            </w:r>
            <w:r w:rsidR="00FE0BD6">
              <w:rPr>
                <w:rFonts w:ascii="Arial Narrow" w:eastAsiaTheme="majorEastAsia" w:hAnsi="Arial Narrow" w:cstheme="majorBidi"/>
                <w:bCs/>
                <w:sz w:val="20"/>
              </w:rPr>
              <w:fldChar w:fldCharType="end"/>
            </w:r>
            <w:r w:rsidR="000645C4">
              <w:rPr>
                <w:rFonts w:ascii="Arial Narrow" w:eastAsiaTheme="majorEastAsia" w:hAnsi="Arial Narrow" w:cstheme="majorBidi"/>
                <w:bCs/>
                <w:sz w:val="20"/>
              </w:rPr>
              <w:t>)</w:t>
            </w:r>
            <w:r>
              <w:rPr>
                <w:rFonts w:ascii="Arial Narrow" w:eastAsiaTheme="majorEastAsia" w:hAnsi="Arial Narrow" w:cstheme="majorBidi"/>
                <w:bCs/>
                <w:sz w:val="20"/>
              </w:rPr>
              <w:t xml:space="preserve">. </w:t>
            </w:r>
          </w:p>
        </w:tc>
      </w:tr>
      <w:tr w:rsidR="008D40C6" w:rsidRPr="00E273AF" w14:paraId="7180C93F" w14:textId="77777777" w:rsidTr="0049677F">
        <w:trPr>
          <w:cantSplit/>
        </w:trPr>
        <w:tc>
          <w:tcPr>
            <w:tcW w:w="1019" w:type="pct"/>
            <w:shd w:val="clear" w:color="auto" w:fill="auto"/>
            <w:vAlign w:val="center"/>
          </w:tcPr>
          <w:p w14:paraId="435CD3C1"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Duration of platinum-based chemotherapy</w:t>
            </w:r>
          </w:p>
        </w:tc>
        <w:tc>
          <w:tcPr>
            <w:tcW w:w="2201" w:type="pct"/>
            <w:shd w:val="clear" w:color="auto" w:fill="auto"/>
            <w:vAlign w:val="center"/>
          </w:tcPr>
          <w:p w14:paraId="5B346DC6" w14:textId="651B7795" w:rsidR="008C227F" w:rsidRPr="008C227F" w:rsidRDefault="008D40C6" w:rsidP="005E4D14">
            <w:pPr>
              <w:widowControl w:val="0"/>
              <w:jc w:val="left"/>
              <w:rPr>
                <w:rFonts w:ascii="Arial Narrow" w:eastAsiaTheme="majorEastAsia" w:hAnsi="Arial Narrow" w:cstheme="majorBidi"/>
                <w:bCs/>
                <w:i/>
                <w:iCs/>
                <w:sz w:val="20"/>
              </w:rPr>
            </w:pPr>
            <w:r w:rsidRPr="00E273AF">
              <w:rPr>
                <w:rFonts w:ascii="Arial Narrow" w:eastAsiaTheme="majorEastAsia" w:hAnsi="Arial Narrow" w:cstheme="majorBidi"/>
                <w:bCs/>
                <w:sz w:val="20"/>
              </w:rPr>
              <w:t xml:space="preserve">15.97 weeks for platinum-based chemotherapy; </w:t>
            </w:r>
            <w:bookmarkStart w:id="65" w:name="_Hlk179899957"/>
            <w:r w:rsidRPr="00E273AF">
              <w:rPr>
                <w:rFonts w:ascii="Arial Narrow" w:eastAsiaTheme="majorEastAsia" w:hAnsi="Arial Narrow" w:cstheme="majorBidi"/>
                <w:bCs/>
                <w:sz w:val="20"/>
              </w:rPr>
              <w:t xml:space="preserve">74.18 </w:t>
            </w:r>
            <w:r w:rsidRPr="001D64F1">
              <w:rPr>
                <w:rFonts w:ascii="Arial Narrow" w:eastAsiaTheme="majorEastAsia" w:hAnsi="Arial Narrow" w:cstheme="majorBidi"/>
                <w:bCs/>
                <w:sz w:val="20"/>
              </w:rPr>
              <w:t>weeks</w:t>
            </w:r>
            <w:bookmarkEnd w:id="65"/>
            <w:r w:rsidRPr="001D64F1">
              <w:rPr>
                <w:rFonts w:ascii="Arial Narrow" w:eastAsiaTheme="majorEastAsia" w:hAnsi="Arial Narrow" w:cstheme="majorBidi"/>
                <w:bCs/>
                <w:sz w:val="20"/>
              </w:rPr>
              <w:t xml:space="preserve"> </w:t>
            </w:r>
            <w:r w:rsidR="008C227F" w:rsidRPr="001D64F1">
              <w:rPr>
                <w:rFonts w:ascii="Arial Narrow" w:eastAsiaTheme="majorEastAsia" w:hAnsi="Arial Narrow" w:cstheme="majorBidi"/>
                <w:bCs/>
                <w:sz w:val="20"/>
              </w:rPr>
              <w:t>(17.12 months)</w:t>
            </w:r>
            <w:r w:rsidR="008C227F">
              <w:rPr>
                <w:rFonts w:ascii="Arial Narrow" w:eastAsiaTheme="majorEastAsia" w:hAnsi="Arial Narrow" w:cstheme="majorBidi"/>
                <w:bCs/>
                <w:sz w:val="20"/>
              </w:rPr>
              <w:t xml:space="preserve"> </w:t>
            </w:r>
            <w:r w:rsidRPr="00E273AF">
              <w:rPr>
                <w:rFonts w:ascii="Arial Narrow" w:eastAsiaTheme="majorEastAsia" w:hAnsi="Arial Narrow" w:cstheme="majorBidi"/>
                <w:bCs/>
                <w:sz w:val="20"/>
              </w:rPr>
              <w:t xml:space="preserve">for maintenance avelumab; based on mean treatment durations from the economic model. </w:t>
            </w:r>
          </w:p>
        </w:tc>
        <w:tc>
          <w:tcPr>
            <w:tcW w:w="1780" w:type="pct"/>
            <w:shd w:val="clear" w:color="auto" w:fill="auto"/>
            <w:vAlign w:val="center"/>
          </w:tcPr>
          <w:p w14:paraId="05643CE5" w14:textId="135A8669"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 xml:space="preserve">While the treatment duration for platinum-based chemotherapy is reasonable, the duration of avelumab maintenance therapy </w:t>
            </w:r>
            <w:r w:rsidR="008C227F" w:rsidRPr="009F2517">
              <w:rPr>
                <w:rFonts w:ascii="Arial Narrow" w:eastAsiaTheme="majorEastAsia" w:hAnsi="Arial Narrow" w:cstheme="majorBidi"/>
                <w:bCs/>
                <w:sz w:val="20"/>
              </w:rPr>
              <w:t xml:space="preserve">is </w:t>
            </w:r>
            <w:r w:rsidRPr="00C11145">
              <w:rPr>
                <w:rFonts w:ascii="Arial Narrow" w:eastAsiaTheme="majorEastAsia" w:hAnsi="Arial Narrow" w:cstheme="majorBidi"/>
                <w:bCs/>
                <w:sz w:val="20"/>
              </w:rPr>
              <w:t xml:space="preserve">overestimated. </w:t>
            </w:r>
            <w:r w:rsidR="008C227F" w:rsidRPr="005D3209">
              <w:rPr>
                <w:rFonts w:ascii="Arial Narrow" w:eastAsiaTheme="majorEastAsia" w:hAnsi="Arial Narrow" w:cstheme="majorBidi"/>
                <w:bCs/>
                <w:sz w:val="20"/>
              </w:rPr>
              <w:t xml:space="preserve">The ESC considered it would be more appropriate to use an average treatment duration of 12.98 months for avelumab, consistent with the economic model (see further discussion in paragraph </w:t>
            </w:r>
            <w:r w:rsidR="002B5BE8" w:rsidRPr="005D3209">
              <w:rPr>
                <w:rFonts w:ascii="Arial Narrow" w:eastAsiaTheme="majorEastAsia" w:hAnsi="Arial Narrow" w:cstheme="majorBidi"/>
                <w:bCs/>
                <w:sz w:val="20"/>
              </w:rPr>
              <w:fldChar w:fldCharType="begin" w:fldLock="1"/>
            </w:r>
            <w:r w:rsidR="002B5BE8" w:rsidRPr="005D3209">
              <w:rPr>
                <w:rFonts w:ascii="Arial Narrow" w:eastAsiaTheme="majorEastAsia" w:hAnsi="Arial Narrow" w:cstheme="majorBidi"/>
                <w:bCs/>
                <w:sz w:val="20"/>
              </w:rPr>
              <w:instrText xml:space="preserve"> REF _Ref180131956 \r \h </w:instrText>
            </w:r>
            <w:r w:rsidR="005D3209">
              <w:rPr>
                <w:rFonts w:ascii="Arial Narrow" w:eastAsiaTheme="majorEastAsia" w:hAnsi="Arial Narrow" w:cstheme="majorBidi"/>
                <w:bCs/>
                <w:sz w:val="20"/>
              </w:rPr>
              <w:instrText xml:space="preserve"> \* MERGEFORMAT </w:instrText>
            </w:r>
            <w:r w:rsidR="002B5BE8" w:rsidRPr="005D3209">
              <w:rPr>
                <w:rFonts w:ascii="Arial Narrow" w:eastAsiaTheme="majorEastAsia" w:hAnsi="Arial Narrow" w:cstheme="majorBidi"/>
                <w:bCs/>
                <w:sz w:val="20"/>
              </w:rPr>
            </w:r>
            <w:r w:rsidR="002B5BE8" w:rsidRPr="005D3209">
              <w:rPr>
                <w:rFonts w:ascii="Arial Narrow" w:eastAsiaTheme="majorEastAsia" w:hAnsi="Arial Narrow" w:cstheme="majorBidi"/>
                <w:bCs/>
                <w:sz w:val="20"/>
              </w:rPr>
              <w:fldChar w:fldCharType="separate"/>
            </w:r>
            <w:r w:rsidR="00FE0BD6">
              <w:rPr>
                <w:rFonts w:ascii="Arial Narrow" w:eastAsiaTheme="majorEastAsia" w:hAnsi="Arial Narrow" w:cstheme="majorBidi"/>
                <w:bCs/>
                <w:sz w:val="20"/>
              </w:rPr>
              <w:t>6.75</w:t>
            </w:r>
            <w:r w:rsidR="002B5BE8" w:rsidRPr="005D3209">
              <w:rPr>
                <w:rFonts w:ascii="Arial Narrow" w:eastAsiaTheme="majorEastAsia" w:hAnsi="Arial Narrow" w:cstheme="majorBidi"/>
                <w:bCs/>
                <w:sz w:val="20"/>
              </w:rPr>
              <w:fldChar w:fldCharType="end"/>
            </w:r>
            <w:r w:rsidR="008C227F" w:rsidRPr="005D3209">
              <w:rPr>
                <w:rFonts w:ascii="Arial Narrow" w:eastAsiaTheme="majorEastAsia" w:hAnsi="Arial Narrow" w:cstheme="majorBidi"/>
                <w:bCs/>
                <w:sz w:val="20"/>
              </w:rPr>
              <w:t>).</w:t>
            </w:r>
          </w:p>
        </w:tc>
      </w:tr>
      <w:tr w:rsidR="008D40C6" w:rsidRPr="00E273AF" w14:paraId="6F69779B" w14:textId="77777777" w:rsidTr="0049677F">
        <w:trPr>
          <w:cantSplit/>
        </w:trPr>
        <w:tc>
          <w:tcPr>
            <w:tcW w:w="1019" w:type="pct"/>
            <w:shd w:val="clear" w:color="auto" w:fill="auto"/>
            <w:vAlign w:val="center"/>
          </w:tcPr>
          <w:p w14:paraId="74B56E98"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EV cost (per script)</w:t>
            </w:r>
          </w:p>
        </w:tc>
        <w:tc>
          <w:tcPr>
            <w:tcW w:w="2201" w:type="pct"/>
            <w:shd w:val="clear" w:color="auto" w:fill="auto"/>
            <w:vAlign w:val="center"/>
          </w:tcPr>
          <w:p w14:paraId="6F60AF08" w14:textId="7FEE1A9D"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w:t>
            </w:r>
            <w:r w:rsidR="004C53B1" w:rsidRPr="004C53B1">
              <w:rPr>
                <w:rFonts w:ascii="Arial Narrow" w:eastAsiaTheme="majorEastAsia" w:hAnsi="Arial Narrow" w:cstheme="majorBidi"/>
                <w:bCs/>
                <w:color w:val="000000"/>
                <w:spacing w:val="49"/>
                <w:sz w:val="20"/>
                <w:shd w:val="solid" w:color="000000" w:fill="000000"/>
                <w:fitText w:val="320" w:id="-761019636"/>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36"/>
                <w14:textFill>
                  <w14:solidFill>
                    <w14:srgbClr w14:val="000000">
                      <w14:alpha w14:val="100000"/>
                    </w14:srgbClr>
                  </w14:solidFill>
                </w14:textFill>
              </w:rPr>
              <w:t>|</w:t>
            </w:r>
            <w:r w:rsidRPr="00E273AF">
              <w:rPr>
                <w:rFonts w:ascii="Arial Narrow" w:eastAsiaTheme="majorEastAsia" w:hAnsi="Arial Narrow" w:cstheme="majorBidi"/>
                <w:bCs/>
                <w:sz w:val="20"/>
              </w:rPr>
              <w:t>; proposed DPMA based on AEMPs of $</w:t>
            </w:r>
            <w:r w:rsidR="004C53B1" w:rsidRPr="004C53B1">
              <w:rPr>
                <w:rFonts w:ascii="Arial Narrow" w:eastAsiaTheme="majorEastAsia" w:hAnsi="Arial Narrow" w:cstheme="majorBidi"/>
                <w:bCs/>
                <w:color w:val="000000"/>
                <w:spacing w:val="56"/>
                <w:sz w:val="20"/>
                <w:shd w:val="solid" w:color="000000" w:fill="000000"/>
                <w:fitText w:val="340" w:id="-761019635"/>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35"/>
                <w14:textFill>
                  <w14:solidFill>
                    <w14:srgbClr w14:val="000000">
                      <w14:alpha w14:val="100000"/>
                    </w14:srgbClr>
                  </w14:solidFill>
                </w14:textFill>
              </w:rPr>
              <w:t>|</w:t>
            </w:r>
            <w:r w:rsidRPr="00E273AF">
              <w:rPr>
                <w:rFonts w:ascii="Arial Narrow" w:eastAsiaTheme="majorEastAsia" w:hAnsi="Arial Narrow" w:cstheme="majorBidi"/>
                <w:bCs/>
                <w:sz w:val="20"/>
              </w:rPr>
              <w:t xml:space="preserve"> for the 20 mg vial and $</w:t>
            </w:r>
            <w:r w:rsidR="004C53B1" w:rsidRPr="004C53B1">
              <w:rPr>
                <w:rFonts w:ascii="Arial Narrow" w:eastAsiaTheme="majorEastAsia" w:hAnsi="Arial Narrow" w:cstheme="majorBidi"/>
                <w:bCs/>
                <w:color w:val="000000"/>
                <w:spacing w:val="56"/>
                <w:sz w:val="20"/>
                <w:shd w:val="solid" w:color="000000" w:fill="000000"/>
                <w:fitText w:val="340" w:id="-761019634"/>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34"/>
                <w14:textFill>
                  <w14:solidFill>
                    <w14:srgbClr w14:val="000000">
                      <w14:alpha w14:val="100000"/>
                    </w14:srgbClr>
                  </w14:solidFill>
                </w14:textFill>
              </w:rPr>
              <w:t>|</w:t>
            </w:r>
            <w:r w:rsidRPr="00E273AF">
              <w:rPr>
                <w:rFonts w:ascii="Arial Narrow" w:eastAsiaTheme="majorEastAsia" w:hAnsi="Arial Narrow" w:cstheme="majorBidi"/>
                <w:bCs/>
                <w:sz w:val="20"/>
              </w:rPr>
              <w:t xml:space="preserve"> for the 30</w:t>
            </w:r>
            <w:r w:rsidR="006E68F3">
              <w:rPr>
                <w:rFonts w:ascii="Arial Narrow" w:eastAsiaTheme="majorEastAsia" w:hAnsi="Arial Narrow" w:cstheme="majorBidi"/>
                <w:bCs/>
                <w:sz w:val="20"/>
              </w:rPr>
              <w:t> </w:t>
            </w:r>
            <w:r w:rsidRPr="00E273AF">
              <w:rPr>
                <w:rFonts w:ascii="Arial Narrow" w:eastAsiaTheme="majorEastAsia" w:hAnsi="Arial Narrow" w:cstheme="majorBidi"/>
                <w:bCs/>
                <w:sz w:val="20"/>
              </w:rPr>
              <w:t xml:space="preserve">mg vial. </w:t>
            </w:r>
          </w:p>
        </w:tc>
        <w:tc>
          <w:tcPr>
            <w:tcW w:w="1780" w:type="pct"/>
            <w:shd w:val="clear" w:color="auto" w:fill="auto"/>
            <w:vAlign w:val="center"/>
          </w:tcPr>
          <w:p w14:paraId="6B27C2CF" w14:textId="1A53F92B" w:rsidR="008D40C6" w:rsidRPr="00C11145" w:rsidRDefault="008D40C6" w:rsidP="005E4D14">
            <w:pPr>
              <w:widowControl w:val="0"/>
              <w:jc w:val="left"/>
              <w:rPr>
                <w:rFonts w:ascii="Arial Narrow" w:eastAsiaTheme="majorEastAsia" w:hAnsi="Arial Narrow" w:cstheme="majorBidi"/>
                <w:bCs/>
                <w:sz w:val="20"/>
              </w:rPr>
            </w:pPr>
          </w:p>
        </w:tc>
      </w:tr>
      <w:tr w:rsidR="008D40C6" w:rsidRPr="00E273AF" w14:paraId="1052FEA9" w14:textId="77777777" w:rsidTr="0049677F">
        <w:trPr>
          <w:cantSplit/>
        </w:trPr>
        <w:tc>
          <w:tcPr>
            <w:tcW w:w="1019" w:type="pct"/>
            <w:shd w:val="clear" w:color="auto" w:fill="auto"/>
            <w:vAlign w:val="center"/>
          </w:tcPr>
          <w:p w14:paraId="3C1E719D"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PEM cost (per script)</w:t>
            </w:r>
          </w:p>
        </w:tc>
        <w:tc>
          <w:tcPr>
            <w:tcW w:w="2201" w:type="pct"/>
            <w:shd w:val="clear" w:color="auto" w:fill="auto"/>
            <w:vAlign w:val="center"/>
          </w:tcPr>
          <w:p w14:paraId="76F97B0F" w14:textId="5C2B4918"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w:t>
            </w:r>
            <w:r w:rsidR="004C53B1" w:rsidRPr="004C53B1">
              <w:rPr>
                <w:rFonts w:ascii="Arial Narrow" w:eastAsiaTheme="majorEastAsia" w:hAnsi="Arial Narrow" w:cstheme="majorBidi"/>
                <w:bCs/>
                <w:color w:val="000000"/>
                <w:spacing w:val="49"/>
                <w:sz w:val="20"/>
                <w:shd w:val="solid" w:color="000000" w:fill="000000"/>
                <w:fitText w:val="320" w:id="-761019633"/>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33"/>
                <w14:textFill>
                  <w14:solidFill>
                    <w14:srgbClr w14:val="000000">
                      <w14:alpha w14:val="100000"/>
                    </w14:srgbClr>
                  </w14:solidFill>
                </w14:textFill>
              </w:rPr>
              <w:t>|</w:t>
            </w:r>
            <w:r w:rsidRPr="00E273AF">
              <w:rPr>
                <w:rFonts w:ascii="Arial Narrow" w:eastAsiaTheme="majorEastAsia" w:hAnsi="Arial Narrow" w:cstheme="majorBidi"/>
                <w:bCs/>
                <w:sz w:val="20"/>
              </w:rPr>
              <w:t>; proposed DPMA based on AEMP of $</w:t>
            </w:r>
            <w:r w:rsidR="004C53B1" w:rsidRPr="004C53B1">
              <w:rPr>
                <w:rFonts w:ascii="Arial Narrow" w:eastAsiaTheme="majorEastAsia" w:hAnsi="Arial Narrow" w:cstheme="majorBidi"/>
                <w:bCs/>
                <w:color w:val="000000"/>
                <w:spacing w:val="56"/>
                <w:sz w:val="20"/>
                <w:shd w:val="solid" w:color="000000" w:fill="000000"/>
                <w:fitText w:val="340" w:id="-761019632"/>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2"/>
                <w:sz w:val="20"/>
                <w:shd w:val="solid" w:color="000000" w:fill="000000"/>
                <w:fitText w:val="340" w:id="-761019632"/>
                <w14:textFill>
                  <w14:solidFill>
                    <w14:srgbClr w14:val="000000">
                      <w14:alpha w14:val="100000"/>
                    </w14:srgbClr>
                  </w14:solidFill>
                </w14:textFill>
              </w:rPr>
              <w:t>|</w:t>
            </w:r>
            <w:r w:rsidRPr="00E273AF">
              <w:rPr>
                <w:rFonts w:ascii="Arial Narrow" w:eastAsiaTheme="majorEastAsia" w:hAnsi="Arial Narrow" w:cstheme="majorBidi"/>
                <w:bCs/>
                <w:sz w:val="20"/>
              </w:rPr>
              <w:t xml:space="preserve"> for the 100mg/4mL injection, 4mL vial</w:t>
            </w:r>
          </w:p>
        </w:tc>
        <w:tc>
          <w:tcPr>
            <w:tcW w:w="1780" w:type="pct"/>
            <w:shd w:val="clear" w:color="auto" w:fill="auto"/>
            <w:vAlign w:val="center"/>
          </w:tcPr>
          <w:p w14:paraId="5BF2E549" w14:textId="7001E5D3" w:rsidR="008D40C6" w:rsidRPr="00C11145" w:rsidRDefault="008D40C6" w:rsidP="005E4D14">
            <w:pPr>
              <w:widowControl w:val="0"/>
              <w:jc w:val="left"/>
              <w:rPr>
                <w:rFonts w:ascii="Arial Narrow" w:eastAsiaTheme="majorEastAsia" w:hAnsi="Arial Narrow" w:cstheme="majorBidi"/>
                <w:bCs/>
                <w:sz w:val="20"/>
              </w:rPr>
            </w:pPr>
          </w:p>
        </w:tc>
      </w:tr>
      <w:tr w:rsidR="008D40C6" w:rsidRPr="00E273AF" w14:paraId="345A8D0B" w14:textId="77777777" w:rsidTr="0049677F">
        <w:trPr>
          <w:cantSplit/>
        </w:trPr>
        <w:tc>
          <w:tcPr>
            <w:tcW w:w="1019" w:type="pct"/>
            <w:shd w:val="clear" w:color="auto" w:fill="auto"/>
            <w:vAlign w:val="center"/>
          </w:tcPr>
          <w:p w14:paraId="5B004467"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Cisplatin cost (per script) </w:t>
            </w:r>
          </w:p>
        </w:tc>
        <w:tc>
          <w:tcPr>
            <w:tcW w:w="2201" w:type="pct"/>
            <w:shd w:val="clear" w:color="auto" w:fill="auto"/>
            <w:vAlign w:val="center"/>
          </w:tcPr>
          <w:p w14:paraId="344D074C"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$159.19; weighted DPMA for PBS items 4319H, 7224F</w:t>
            </w:r>
          </w:p>
        </w:tc>
        <w:tc>
          <w:tcPr>
            <w:tcW w:w="1780" w:type="pct"/>
            <w:shd w:val="clear" w:color="auto" w:fill="auto"/>
            <w:vAlign w:val="center"/>
          </w:tcPr>
          <w:p w14:paraId="0A1DCD53"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 xml:space="preserve">The submission calculated the cost incorrectly as it did not utilise the most efficient combination of vials for the mean dose. This has been corrected in the evaluation, resulting in a weighted DPMA of $177.14. </w:t>
            </w:r>
          </w:p>
        </w:tc>
      </w:tr>
      <w:tr w:rsidR="008D40C6" w:rsidRPr="00E273AF" w14:paraId="6D43F863" w14:textId="77777777" w:rsidTr="0049677F">
        <w:trPr>
          <w:cantSplit/>
        </w:trPr>
        <w:tc>
          <w:tcPr>
            <w:tcW w:w="1019" w:type="pct"/>
            <w:shd w:val="clear" w:color="auto" w:fill="auto"/>
            <w:vAlign w:val="center"/>
          </w:tcPr>
          <w:p w14:paraId="10E1B910"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Carboplatin cost (per script)</w:t>
            </w:r>
          </w:p>
        </w:tc>
        <w:tc>
          <w:tcPr>
            <w:tcW w:w="2201" w:type="pct"/>
            <w:shd w:val="clear" w:color="auto" w:fill="auto"/>
            <w:vAlign w:val="center"/>
          </w:tcPr>
          <w:p w14:paraId="3E855B07"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$154.48; weighted DPMA for PBS items 4309T, 722D</w:t>
            </w:r>
          </w:p>
        </w:tc>
        <w:tc>
          <w:tcPr>
            <w:tcW w:w="1780" w:type="pct"/>
            <w:shd w:val="clear" w:color="auto" w:fill="auto"/>
            <w:vAlign w:val="center"/>
          </w:tcPr>
          <w:p w14:paraId="1D01E892" w14:textId="3049BC22" w:rsidR="008D40C6" w:rsidRPr="00C11145" w:rsidRDefault="008D40C6" w:rsidP="005E4D14">
            <w:pPr>
              <w:widowControl w:val="0"/>
              <w:jc w:val="left"/>
              <w:rPr>
                <w:rFonts w:ascii="Arial Narrow" w:eastAsiaTheme="majorEastAsia" w:hAnsi="Arial Narrow" w:cstheme="majorBidi"/>
                <w:bCs/>
                <w:sz w:val="20"/>
              </w:rPr>
            </w:pPr>
          </w:p>
        </w:tc>
      </w:tr>
      <w:tr w:rsidR="008D40C6" w:rsidRPr="00E273AF" w14:paraId="533A3B83" w14:textId="77777777" w:rsidTr="0049677F">
        <w:trPr>
          <w:cantSplit/>
        </w:trPr>
        <w:tc>
          <w:tcPr>
            <w:tcW w:w="1019" w:type="pct"/>
            <w:shd w:val="clear" w:color="auto" w:fill="auto"/>
            <w:vAlign w:val="center"/>
          </w:tcPr>
          <w:p w14:paraId="639CD584"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Gemcitabine cost (per script)</w:t>
            </w:r>
          </w:p>
        </w:tc>
        <w:tc>
          <w:tcPr>
            <w:tcW w:w="2201" w:type="pct"/>
            <w:shd w:val="clear" w:color="auto" w:fill="auto"/>
            <w:vAlign w:val="center"/>
          </w:tcPr>
          <w:p w14:paraId="12B803FE"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$176.78; weighted DPMA for PBS items 4439P, 7246J </w:t>
            </w:r>
          </w:p>
        </w:tc>
        <w:tc>
          <w:tcPr>
            <w:tcW w:w="1780" w:type="pct"/>
            <w:shd w:val="clear" w:color="auto" w:fill="auto"/>
            <w:vAlign w:val="center"/>
          </w:tcPr>
          <w:p w14:paraId="387DF559" w14:textId="77777777"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 xml:space="preserve">The submission calculated the cost incorrectly as it did not utilise the most efficient combination of vials for the mean dose. This has been corrected in the evaluation, resulting in a weighted DPMA of $191.38. </w:t>
            </w:r>
          </w:p>
        </w:tc>
      </w:tr>
      <w:tr w:rsidR="008D40C6" w:rsidRPr="00E273AF" w14:paraId="6AD62069" w14:textId="77777777" w:rsidTr="0049677F">
        <w:trPr>
          <w:cantSplit/>
        </w:trPr>
        <w:tc>
          <w:tcPr>
            <w:tcW w:w="1019" w:type="pct"/>
            <w:shd w:val="clear" w:color="auto" w:fill="auto"/>
            <w:vAlign w:val="center"/>
          </w:tcPr>
          <w:p w14:paraId="7C09E4CE"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Avelumab</w:t>
            </w:r>
          </w:p>
        </w:tc>
        <w:tc>
          <w:tcPr>
            <w:tcW w:w="2201" w:type="pct"/>
            <w:shd w:val="clear" w:color="auto" w:fill="auto"/>
            <w:vAlign w:val="center"/>
          </w:tcPr>
          <w:p w14:paraId="229BB956"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$5,620.77; weighted DPMA for PBS items 13122P, 13123Q, 13126W, 13132E</w:t>
            </w:r>
            <w:r>
              <w:rPr>
                <w:rFonts w:ascii="Arial Narrow" w:eastAsiaTheme="majorEastAsia" w:hAnsi="Arial Narrow" w:cstheme="majorBidi"/>
                <w:bCs/>
                <w:sz w:val="20"/>
              </w:rPr>
              <w:t xml:space="preserve">; applied to 33.6% of patients. </w:t>
            </w:r>
          </w:p>
        </w:tc>
        <w:tc>
          <w:tcPr>
            <w:tcW w:w="1780" w:type="pct"/>
            <w:shd w:val="clear" w:color="auto" w:fill="auto"/>
            <w:vAlign w:val="center"/>
          </w:tcPr>
          <w:p w14:paraId="4B21CD84" w14:textId="669D2077" w:rsidR="008D40C6" w:rsidRPr="00C11145" w:rsidRDefault="008D40C6" w:rsidP="005E4D14">
            <w:pPr>
              <w:widowControl w:val="0"/>
              <w:jc w:val="left"/>
              <w:rPr>
                <w:rFonts w:ascii="Arial Narrow" w:eastAsiaTheme="majorEastAsia" w:hAnsi="Arial Narrow" w:cstheme="majorBidi"/>
                <w:bCs/>
                <w:sz w:val="20"/>
              </w:rPr>
            </w:pPr>
          </w:p>
        </w:tc>
      </w:tr>
      <w:tr w:rsidR="008D40C6" w:rsidRPr="00E273AF" w14:paraId="7B7BC11F" w14:textId="77777777" w:rsidTr="0049677F">
        <w:trPr>
          <w:cantSplit/>
        </w:trPr>
        <w:tc>
          <w:tcPr>
            <w:tcW w:w="1019" w:type="pct"/>
            <w:shd w:val="clear" w:color="auto" w:fill="auto"/>
            <w:vAlign w:val="center"/>
          </w:tcPr>
          <w:p w14:paraId="33A645B8"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lastRenderedPageBreak/>
              <w:t>Subsequent treatments</w:t>
            </w:r>
          </w:p>
        </w:tc>
        <w:tc>
          <w:tcPr>
            <w:tcW w:w="2201" w:type="pct"/>
            <w:shd w:val="clear" w:color="auto" w:fill="auto"/>
            <w:vAlign w:val="center"/>
          </w:tcPr>
          <w:p w14:paraId="7CC8AF32" w14:textId="740923B8" w:rsidR="00CD2D4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Pembrolizumab: $7,864.88; weighted DPMA for PBS items 11646Y, 11632F</w:t>
            </w:r>
            <w:r>
              <w:rPr>
                <w:rFonts w:ascii="Arial Narrow" w:eastAsiaTheme="majorEastAsia" w:hAnsi="Arial Narrow" w:cstheme="majorBidi"/>
                <w:bCs/>
                <w:sz w:val="20"/>
              </w:rPr>
              <w:t>; applied to 29.1% of patients.</w:t>
            </w:r>
            <w:r w:rsidR="00CD2D4F">
              <w:rPr>
                <w:rFonts w:ascii="Arial Narrow" w:eastAsiaTheme="majorEastAsia" w:hAnsi="Arial Narrow" w:cstheme="majorBidi"/>
                <w:bCs/>
                <w:sz w:val="20"/>
              </w:rPr>
              <w:t xml:space="preserve"> </w:t>
            </w:r>
            <w:r w:rsidR="00CD2D4F" w:rsidRPr="005D3209">
              <w:rPr>
                <w:rFonts w:ascii="Arial Narrow" w:eastAsiaTheme="majorEastAsia" w:hAnsi="Arial Narrow" w:cstheme="majorBidi"/>
                <w:bCs/>
                <w:sz w:val="20"/>
              </w:rPr>
              <w:t>Duration of treatment: 9 weeks</w:t>
            </w:r>
          </w:p>
          <w:p w14:paraId="0CCD7B23" w14:textId="51672379" w:rsidR="008D40C6" w:rsidRPr="00E273AF" w:rsidRDefault="008D40C6" w:rsidP="005E4D14">
            <w:pPr>
              <w:widowControl w:val="0"/>
              <w:jc w:val="left"/>
              <w:rPr>
                <w:rFonts w:ascii="Arial Narrow" w:eastAsiaTheme="majorEastAsia" w:hAnsi="Arial Narrow" w:cstheme="majorBidi"/>
                <w:bCs/>
                <w:sz w:val="20"/>
              </w:rPr>
            </w:pPr>
            <w:r>
              <w:rPr>
                <w:rFonts w:ascii="Arial Narrow" w:eastAsiaTheme="majorEastAsia" w:hAnsi="Arial Narrow" w:cstheme="majorBidi"/>
                <w:bCs/>
                <w:sz w:val="20"/>
              </w:rPr>
              <w:t xml:space="preserve"> </w:t>
            </w:r>
          </w:p>
          <w:p w14:paraId="41F9B8A5" w14:textId="1A26B8B4" w:rsidR="00CD2D4F"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Enfortumab Vedotin</w:t>
            </w:r>
            <w:r w:rsidR="004C53B1" w:rsidRPr="004C53B1">
              <w:rPr>
                <w:rFonts w:ascii="Arial Narrow" w:eastAsiaTheme="majorEastAsia" w:hAnsi="Arial Narrow" w:cstheme="majorBidi"/>
                <w:bCs/>
                <w:color w:val="000000"/>
                <w:spacing w:val="49"/>
                <w:sz w:val="20"/>
                <w:shd w:val="solid" w:color="000000" w:fill="000000"/>
                <w:fitText w:val="320" w:id="-761019648"/>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8"/>
                <w14:textFill>
                  <w14:solidFill>
                    <w14:srgbClr w14:val="000000">
                      <w14:alpha w14:val="100000"/>
                    </w14:srgbClr>
                  </w14:solidFill>
                </w14:textFill>
              </w:rPr>
              <w:t>|</w:t>
            </w:r>
            <w:r w:rsidR="00F04A13" w:rsidRPr="00E36DB9">
              <w:rPr>
                <w:rFonts w:ascii="Arial Narrow" w:eastAsiaTheme="majorEastAsia" w:hAnsi="Arial Narrow" w:cstheme="majorBidi"/>
                <w:bCs/>
                <w:sz w:val="20"/>
              </w:rPr>
              <w:t>6,</w:t>
            </w:r>
            <w:r w:rsidR="00637E22" w:rsidRPr="00E36DB9">
              <w:rPr>
                <w:rFonts w:ascii="Arial Narrow" w:eastAsiaTheme="majorEastAsia" w:hAnsi="Arial Narrow" w:cstheme="majorBidi"/>
                <w:bCs/>
                <w:sz w:val="20"/>
              </w:rPr>
              <w:t>322.87</w:t>
            </w:r>
            <w:r w:rsidR="004C53B1" w:rsidRPr="004C53B1">
              <w:rPr>
                <w:rFonts w:ascii="Arial Narrow" w:eastAsiaTheme="majorEastAsia" w:hAnsi="Arial Narrow" w:cstheme="majorBidi"/>
                <w:bCs/>
                <w:color w:val="000000"/>
                <w:spacing w:val="49"/>
                <w:sz w:val="20"/>
                <w:shd w:val="solid" w:color="000000" w:fill="000000"/>
                <w:fitText w:val="320" w:id="-761019647"/>
                <w14:textFill>
                  <w14:solidFill>
                    <w14:srgbClr w14:val="000000">
                      <w14:alpha w14:val="100000"/>
                    </w14:srgbClr>
                  </w14:solidFill>
                </w14:textFill>
              </w:rPr>
              <w:t>|||</w:t>
            </w:r>
            <w:r w:rsidR="004C53B1" w:rsidRPr="004C53B1">
              <w:rPr>
                <w:rFonts w:ascii="Arial Narrow" w:eastAsiaTheme="majorEastAsia" w:hAnsi="Arial Narrow" w:cstheme="majorBidi"/>
                <w:bCs/>
                <w:color w:val="000000"/>
                <w:spacing w:val="3"/>
                <w:sz w:val="20"/>
                <w:shd w:val="solid" w:color="000000" w:fill="000000"/>
                <w:fitText w:val="320" w:id="-761019647"/>
                <w14:textFill>
                  <w14:solidFill>
                    <w14:srgbClr w14:val="000000">
                      <w14:alpha w14:val="100000"/>
                    </w14:srgbClr>
                  </w14:solidFill>
                </w14:textFill>
              </w:rPr>
              <w:t>|</w:t>
            </w:r>
            <w:r w:rsidRPr="00E273AF">
              <w:rPr>
                <w:rFonts w:ascii="Arial Narrow" w:eastAsiaTheme="majorEastAsia" w:hAnsi="Arial Narrow" w:cstheme="majorBidi"/>
                <w:bCs/>
                <w:sz w:val="20"/>
              </w:rPr>
              <w:t xml:space="preserve"> weighted DPMA for PBS items 13648H, 13634N</w:t>
            </w:r>
            <w:r>
              <w:rPr>
                <w:rFonts w:ascii="Arial Narrow" w:eastAsiaTheme="majorEastAsia" w:hAnsi="Arial Narrow" w:cstheme="majorBidi"/>
                <w:bCs/>
                <w:sz w:val="20"/>
              </w:rPr>
              <w:t>; applied to 12.8% of patients.</w:t>
            </w:r>
            <w:r w:rsidR="00CD2D4F">
              <w:rPr>
                <w:rFonts w:ascii="Arial Narrow" w:eastAsiaTheme="majorEastAsia" w:hAnsi="Arial Narrow" w:cstheme="majorBidi"/>
                <w:bCs/>
                <w:sz w:val="20"/>
              </w:rPr>
              <w:t xml:space="preserve"> </w:t>
            </w:r>
            <w:r w:rsidR="00CD2D4F" w:rsidRPr="005D3209">
              <w:rPr>
                <w:rFonts w:ascii="Arial Narrow" w:eastAsiaTheme="majorEastAsia" w:hAnsi="Arial Narrow" w:cstheme="majorBidi"/>
                <w:bCs/>
                <w:sz w:val="20"/>
              </w:rPr>
              <w:t>Duration of treatment: 28 weeks</w:t>
            </w:r>
          </w:p>
        </w:tc>
        <w:tc>
          <w:tcPr>
            <w:tcW w:w="1780" w:type="pct"/>
            <w:shd w:val="clear" w:color="auto" w:fill="auto"/>
            <w:vAlign w:val="center"/>
          </w:tcPr>
          <w:p w14:paraId="242D5DFF" w14:textId="6CC487C0" w:rsidR="008D40C6" w:rsidRPr="005D3209" w:rsidRDefault="00CD2D4F" w:rsidP="005E4D14">
            <w:pPr>
              <w:widowControl w:val="0"/>
              <w:jc w:val="left"/>
              <w:rPr>
                <w:rFonts w:ascii="Arial Narrow" w:eastAsiaTheme="majorEastAsia" w:hAnsi="Arial Narrow" w:cstheme="majorBidi"/>
                <w:bCs/>
                <w:sz w:val="20"/>
              </w:rPr>
            </w:pPr>
            <w:r w:rsidRPr="005D3209">
              <w:rPr>
                <w:rFonts w:ascii="Arial Narrow" w:eastAsiaTheme="majorEastAsia" w:hAnsi="Arial Narrow" w:cstheme="majorBidi"/>
                <w:bCs/>
                <w:sz w:val="20"/>
              </w:rPr>
              <w:t>The ESC noted the average duration of treatment for EV may be overestimated but noted it was consistent with the average duration applied in the economic model</w:t>
            </w:r>
            <w:r w:rsidR="007131AF">
              <w:rPr>
                <w:rFonts w:ascii="Arial Narrow" w:eastAsiaTheme="majorEastAsia" w:hAnsi="Arial Narrow" w:cstheme="majorBidi"/>
                <w:bCs/>
                <w:sz w:val="20"/>
              </w:rPr>
              <w:t xml:space="preserve"> (see </w:t>
            </w:r>
            <w:r w:rsidR="007131AF">
              <w:rPr>
                <w:rFonts w:ascii="Arial Narrow" w:eastAsiaTheme="majorEastAsia" w:hAnsi="Arial Narrow" w:cstheme="majorBidi"/>
                <w:bCs/>
                <w:sz w:val="20"/>
              </w:rPr>
              <w:fldChar w:fldCharType="begin" w:fldLock="1"/>
            </w:r>
            <w:r w:rsidR="007131AF">
              <w:rPr>
                <w:rFonts w:ascii="Arial Narrow" w:eastAsiaTheme="majorEastAsia" w:hAnsi="Arial Narrow" w:cstheme="majorBidi"/>
                <w:bCs/>
                <w:sz w:val="20"/>
              </w:rPr>
              <w:instrText xml:space="preserve"> REF _Ref183080256 \h  \* MERGEFORMAT </w:instrText>
            </w:r>
            <w:r w:rsidR="007131AF">
              <w:rPr>
                <w:rFonts w:ascii="Arial Narrow" w:eastAsiaTheme="majorEastAsia" w:hAnsi="Arial Narrow" w:cstheme="majorBidi"/>
                <w:bCs/>
                <w:sz w:val="20"/>
              </w:rPr>
            </w:r>
            <w:r w:rsidR="007131AF">
              <w:rPr>
                <w:rFonts w:ascii="Arial Narrow" w:eastAsiaTheme="majorEastAsia" w:hAnsi="Arial Narrow" w:cstheme="majorBidi"/>
                <w:bCs/>
                <w:sz w:val="20"/>
              </w:rPr>
              <w:fldChar w:fldCharType="separate"/>
            </w:r>
            <w:r w:rsidR="00FE0BD6" w:rsidRPr="00FE0BD6">
              <w:rPr>
                <w:rFonts w:ascii="Arial Narrow" w:eastAsiaTheme="majorEastAsia" w:hAnsi="Arial Narrow" w:cstheme="majorBidi"/>
                <w:bCs/>
                <w:sz w:val="20"/>
              </w:rPr>
              <w:t>Table 9</w:t>
            </w:r>
            <w:r w:rsidR="007131AF">
              <w:rPr>
                <w:rFonts w:ascii="Arial Narrow" w:eastAsiaTheme="majorEastAsia" w:hAnsi="Arial Narrow" w:cstheme="majorBidi"/>
                <w:bCs/>
                <w:sz w:val="20"/>
              </w:rPr>
              <w:fldChar w:fldCharType="end"/>
            </w:r>
            <w:r w:rsidR="007131AF">
              <w:rPr>
                <w:rFonts w:ascii="Arial Narrow" w:eastAsiaTheme="majorEastAsia" w:hAnsi="Arial Narrow" w:cstheme="majorBidi"/>
                <w:bCs/>
                <w:sz w:val="20"/>
              </w:rPr>
              <w:t>)</w:t>
            </w:r>
            <w:r w:rsidRPr="005D3209">
              <w:rPr>
                <w:rFonts w:ascii="Arial Narrow" w:eastAsiaTheme="majorEastAsia" w:hAnsi="Arial Narrow" w:cstheme="majorBidi"/>
                <w:bCs/>
                <w:sz w:val="20"/>
              </w:rPr>
              <w:t xml:space="preserve">.  </w:t>
            </w:r>
          </w:p>
        </w:tc>
      </w:tr>
      <w:tr w:rsidR="008D40C6" w:rsidRPr="00E273AF" w14:paraId="2545F045" w14:textId="77777777" w:rsidTr="0049677F">
        <w:trPr>
          <w:cantSplit/>
        </w:trPr>
        <w:tc>
          <w:tcPr>
            <w:tcW w:w="1019" w:type="pct"/>
            <w:shd w:val="clear" w:color="auto" w:fill="auto"/>
            <w:vAlign w:val="center"/>
          </w:tcPr>
          <w:p w14:paraId="55ACB906"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MBS costs</w:t>
            </w:r>
          </w:p>
        </w:tc>
        <w:tc>
          <w:tcPr>
            <w:tcW w:w="2201" w:type="pct"/>
            <w:shd w:val="clear" w:color="auto" w:fill="auto"/>
            <w:vAlign w:val="center"/>
          </w:tcPr>
          <w:p w14:paraId="5E42F145" w14:textId="77777777" w:rsidR="008D40C6" w:rsidRPr="00E273AF" w:rsidRDefault="008D40C6" w:rsidP="005E4D14">
            <w:pPr>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Not included. </w:t>
            </w:r>
          </w:p>
        </w:tc>
        <w:tc>
          <w:tcPr>
            <w:tcW w:w="1780" w:type="pct"/>
            <w:shd w:val="clear" w:color="auto" w:fill="auto"/>
            <w:vAlign w:val="center"/>
          </w:tcPr>
          <w:p w14:paraId="492ED8F4" w14:textId="59F9F681" w:rsidR="008D40C6" w:rsidRPr="00C11145" w:rsidRDefault="008D40C6" w:rsidP="005E4D14">
            <w:pPr>
              <w:widowControl w:val="0"/>
              <w:jc w:val="left"/>
              <w:rPr>
                <w:rFonts w:ascii="Arial Narrow" w:eastAsiaTheme="majorEastAsia" w:hAnsi="Arial Narrow" w:cstheme="majorBidi"/>
                <w:bCs/>
                <w:sz w:val="20"/>
              </w:rPr>
            </w:pPr>
            <w:r w:rsidRPr="00C11145">
              <w:rPr>
                <w:rFonts w:ascii="Arial Narrow" w:eastAsiaTheme="majorEastAsia" w:hAnsi="Arial Narrow" w:cstheme="majorBidi"/>
                <w:bCs/>
                <w:sz w:val="20"/>
              </w:rPr>
              <w:t xml:space="preserve">This was not appropriate. Costs associated with IV administration should have been included in the submission (using MBS item 13950) for the proposed medicines, comparators and subsequent therapies. This has been done in the </w:t>
            </w:r>
            <w:r w:rsidR="009D5603">
              <w:rPr>
                <w:rFonts w:ascii="Arial Narrow" w:eastAsiaTheme="majorEastAsia" w:hAnsi="Arial Narrow" w:cstheme="majorBidi"/>
                <w:bCs/>
                <w:sz w:val="20"/>
              </w:rPr>
              <w:t>e</w:t>
            </w:r>
            <w:r w:rsidRPr="00C11145">
              <w:rPr>
                <w:rFonts w:ascii="Arial Narrow" w:eastAsiaTheme="majorEastAsia" w:hAnsi="Arial Narrow" w:cstheme="majorBidi"/>
                <w:bCs/>
                <w:sz w:val="20"/>
              </w:rPr>
              <w:t xml:space="preserve">valuation. </w:t>
            </w:r>
          </w:p>
        </w:tc>
      </w:tr>
    </w:tbl>
    <w:p w14:paraId="071F4290" w14:textId="77777777" w:rsidR="008D40C6" w:rsidRPr="00E273AF" w:rsidRDefault="008D40C6" w:rsidP="008D40C6">
      <w:pPr>
        <w:keepLines/>
        <w:spacing w:after="120"/>
        <w:contextualSpacing/>
        <w:jc w:val="left"/>
        <w:rPr>
          <w:rFonts w:ascii="Arial Narrow" w:hAnsi="Arial Narrow"/>
          <w:snapToGrid w:val="0"/>
          <w:sz w:val="18"/>
          <w:szCs w:val="22"/>
        </w:rPr>
      </w:pPr>
      <w:r w:rsidRPr="00E273AF">
        <w:rPr>
          <w:rFonts w:ascii="Arial Narrow" w:hAnsi="Arial Narrow"/>
          <w:snapToGrid w:val="0"/>
          <w:sz w:val="18"/>
          <w:szCs w:val="22"/>
        </w:rPr>
        <w:t xml:space="preserve">Source: Table 4-1, p117 of the submission. </w:t>
      </w:r>
    </w:p>
    <w:p w14:paraId="36239B8A" w14:textId="77777777" w:rsidR="006123F7" w:rsidRDefault="008D40C6" w:rsidP="006123F7">
      <w:pPr>
        <w:keepLines/>
        <w:spacing w:after="120"/>
        <w:contextualSpacing/>
        <w:jc w:val="left"/>
        <w:rPr>
          <w:rFonts w:ascii="Arial Narrow" w:hAnsi="Arial Narrow"/>
          <w:snapToGrid w:val="0"/>
          <w:sz w:val="18"/>
          <w:szCs w:val="22"/>
        </w:rPr>
      </w:pPr>
      <w:r w:rsidRPr="00E273AF">
        <w:rPr>
          <w:rFonts w:ascii="Arial Narrow" w:hAnsi="Arial Narrow"/>
          <w:snapToGrid w:val="0"/>
          <w:sz w:val="18"/>
          <w:szCs w:val="22"/>
        </w:rPr>
        <w:t xml:space="preserve">AEMP = Approved ex-manufacturer price; AIHW = Australian Institute of Health and Welfare; BCG = Bacillus Calmette Guerin; DPMA = Dispensed price for maximum amount; EV = Enfortumab vedotin; MBS = Medicare Benefits Schedule; PBAC = Pharmaceutical Benefits Advisory Committee; PBS = Pharmaceutical Benefits Scheme; PEM = Pembrolizumab; PSD = Public summary document; RNU = radical nephroureterectomy; SEER = Surveillance, Epidemiology, and End Results; UCs = urothelial carcinomas </w:t>
      </w:r>
    </w:p>
    <w:p w14:paraId="51776092" w14:textId="77777777" w:rsidR="006153CB" w:rsidRPr="00D35926" w:rsidRDefault="006123F7" w:rsidP="006123F7">
      <w:pPr>
        <w:keepLines/>
        <w:spacing w:after="120"/>
        <w:contextualSpacing/>
        <w:jc w:val="left"/>
        <w:rPr>
          <w:rFonts w:ascii="Arial Narrow" w:hAnsi="Arial Narrow"/>
          <w:i/>
          <w:iCs/>
          <w:snapToGrid w:val="0"/>
          <w:sz w:val="18"/>
          <w:szCs w:val="22"/>
        </w:rPr>
      </w:pPr>
      <w:r w:rsidRPr="00D35926">
        <w:rPr>
          <w:rFonts w:ascii="Arial Narrow" w:hAnsi="Arial Narrow"/>
          <w:i/>
          <w:iCs/>
          <w:snapToGrid w:val="0"/>
          <w:sz w:val="18"/>
          <w:szCs w:val="22"/>
        </w:rPr>
        <w:t>The redacted values correspond to the following ranges:</w:t>
      </w:r>
    </w:p>
    <w:p w14:paraId="55494A54" w14:textId="512463F8" w:rsidR="008D40C6" w:rsidRPr="00D35926" w:rsidRDefault="00332545" w:rsidP="006123F7">
      <w:pPr>
        <w:keepLines/>
        <w:spacing w:after="120"/>
        <w:contextualSpacing/>
        <w:jc w:val="left"/>
        <w:rPr>
          <w:rFonts w:ascii="Arial Narrow" w:hAnsi="Arial Narrow"/>
          <w:i/>
          <w:iCs/>
          <w:snapToGrid w:val="0"/>
          <w:sz w:val="18"/>
          <w:szCs w:val="22"/>
        </w:rPr>
      </w:pPr>
      <w:r w:rsidRPr="00D35926">
        <w:rPr>
          <w:rFonts w:ascii="Arial Narrow" w:hAnsi="Arial Narrow"/>
          <w:i/>
          <w:iCs/>
          <w:snapToGrid w:val="0"/>
          <w:sz w:val="18"/>
          <w:szCs w:val="22"/>
        </w:rPr>
        <w:t>1</w:t>
      </w:r>
      <w:r w:rsidR="006123F7" w:rsidRPr="00D35926">
        <w:rPr>
          <w:rFonts w:ascii="Arial Narrow" w:hAnsi="Arial Narrow"/>
          <w:i/>
          <w:iCs/>
          <w:snapToGrid w:val="0"/>
          <w:sz w:val="18"/>
          <w:szCs w:val="22"/>
        </w:rPr>
        <w:t xml:space="preserve"> &lt;500</w:t>
      </w:r>
    </w:p>
    <w:p w14:paraId="77B5654F" w14:textId="75F172A7" w:rsidR="008D40C6" w:rsidRPr="00E273AF" w:rsidRDefault="008D40C6" w:rsidP="008D40C6">
      <w:pPr>
        <w:pStyle w:val="3-BodyText"/>
      </w:pPr>
      <w:r w:rsidRPr="00E273AF">
        <w:t xml:space="preserve">Bladder, renal pelvis, ureteral and urethral cancer incidence projections for years 2020-2023 were sourced from the Australian Institute of Health and Welfare (AIHW) cancer data (2023) and growth rates </w:t>
      </w:r>
      <w:r w:rsidR="00EA3E45" w:rsidRPr="00E273AF">
        <w:t>of 2.2</w:t>
      </w:r>
      <w:r w:rsidRPr="00E273AF">
        <w:t xml:space="preserve">%, 1.6%, 2.4% and 3.3% were calculated for each cancer type, respectively. These growth rates were then applied to AIHW incidence projections in the previous year to estimate the incidence of these cancers across the first 6 years of listing. </w:t>
      </w:r>
      <w:r w:rsidRPr="00C11145">
        <w:t>This was reasonable.</w:t>
      </w:r>
      <w:r w:rsidRPr="00E273AF">
        <w:rPr>
          <w:i/>
          <w:iCs/>
        </w:rPr>
        <w:t xml:space="preserve"> </w:t>
      </w:r>
    </w:p>
    <w:p w14:paraId="04FC7E04" w14:textId="21896B71" w:rsidR="008D40C6" w:rsidRPr="00E273AF" w:rsidRDefault="008D40C6" w:rsidP="00FE0BD6">
      <w:pPr>
        <w:pStyle w:val="3-BodyText"/>
      </w:pPr>
      <w:r w:rsidRPr="00E273AF">
        <w:t xml:space="preserve">The submission estimated the total number of patients eligible for treatment with EV+PEM for each cancer type based on the inputs summarised in </w:t>
      </w:r>
      <w:r w:rsidRPr="00E273AF">
        <w:fldChar w:fldCharType="begin" w:fldLock="1"/>
      </w:r>
      <w:r w:rsidRPr="00E273AF">
        <w:instrText xml:space="preserve"> REF _Ref104805262 \h </w:instrText>
      </w:r>
      <w:r>
        <w:instrText xml:space="preserve"> \* MERGEFORMAT </w:instrText>
      </w:r>
      <w:r w:rsidRPr="00E273AF">
        <w:fldChar w:fldCharType="separate"/>
      </w:r>
      <w:r w:rsidR="00FE0BD6" w:rsidRPr="00FE0BD6">
        <w:t>Table 15</w:t>
      </w:r>
      <w:r w:rsidRPr="00E273AF">
        <w:fldChar w:fldCharType="end"/>
      </w:r>
      <w:r w:rsidRPr="00E273AF">
        <w:t>. 90% of patients were assumed to</w:t>
      </w:r>
      <w:r>
        <w:t xml:space="preserve"> be eligible for first-line </w:t>
      </w:r>
      <w:r w:rsidR="00EA3E45">
        <w:t>treatment</w:t>
      </w:r>
      <w:r w:rsidR="00EA3E45" w:rsidRPr="00E273AF">
        <w:t xml:space="preserve"> with</w:t>
      </w:r>
      <w:r w:rsidRPr="00E273AF">
        <w:t xml:space="preserve"> uptake rates of </w:t>
      </w:r>
      <w:r w:rsidR="004C53B1" w:rsidRPr="00EC50F1">
        <w:rPr>
          <w:color w:val="000000"/>
          <w:w w:val="15"/>
          <w:shd w:val="solid" w:color="000000" w:fill="000000"/>
          <w:fitText w:val="-20" w:id="-761019646"/>
          <w14:textFill>
            <w14:solidFill>
              <w14:srgbClr w14:val="000000">
                <w14:alpha w14:val="100000"/>
              </w14:srgbClr>
            </w14:solidFill>
          </w14:textFill>
        </w:rPr>
        <w:t xml:space="preserve">|  </w:t>
      </w:r>
      <w:r w:rsidR="004C53B1" w:rsidRPr="00EC50F1">
        <w:rPr>
          <w:color w:val="000000"/>
          <w:spacing w:val="-69"/>
          <w:w w:val="15"/>
          <w:shd w:val="solid" w:color="000000" w:fill="000000"/>
          <w:fitText w:val="-20" w:id="-761019646"/>
          <w14:textFill>
            <w14:solidFill>
              <w14:srgbClr w14:val="000000">
                <w14:alpha w14:val="100000"/>
              </w14:srgbClr>
            </w14:solidFill>
          </w14:textFill>
        </w:rPr>
        <w:t>|</w:t>
      </w:r>
      <w:r w:rsidRPr="00E273AF">
        <w:t>-</w:t>
      </w:r>
      <w:r w:rsidR="004C53B1" w:rsidRPr="00EC50F1">
        <w:rPr>
          <w:color w:val="000000"/>
          <w:w w:val="15"/>
          <w:shd w:val="solid" w:color="000000" w:fill="000000"/>
          <w:fitText w:val="-20" w:id="-761019645"/>
          <w14:textFill>
            <w14:solidFill>
              <w14:srgbClr w14:val="000000">
                <w14:alpha w14:val="100000"/>
              </w14:srgbClr>
            </w14:solidFill>
          </w14:textFill>
        </w:rPr>
        <w:t xml:space="preserve">|  </w:t>
      </w:r>
      <w:r w:rsidR="004C53B1" w:rsidRPr="00EC50F1">
        <w:rPr>
          <w:color w:val="000000"/>
          <w:spacing w:val="-69"/>
          <w:w w:val="15"/>
          <w:shd w:val="solid" w:color="000000" w:fill="000000"/>
          <w:fitText w:val="-20" w:id="-761019645"/>
          <w14:textFill>
            <w14:solidFill>
              <w14:srgbClr w14:val="000000">
                <w14:alpha w14:val="100000"/>
              </w14:srgbClr>
            </w14:solidFill>
          </w14:textFill>
        </w:rPr>
        <w:t>|</w:t>
      </w:r>
      <w:r w:rsidRPr="00E273AF">
        <w:t xml:space="preserve">% </w:t>
      </w:r>
      <w:r>
        <w:t xml:space="preserve">for EV+PEM </w:t>
      </w:r>
      <w:r w:rsidRPr="00E273AF">
        <w:t xml:space="preserve">across the first 6 years of listing. </w:t>
      </w:r>
      <w:r w:rsidRPr="00C11145">
        <w:t xml:space="preserve">Alternate credible values for the inputs utilised in the submission were identified during the evaluation and tested in a sensitivity </w:t>
      </w:r>
      <w:r w:rsidR="00EA3E45" w:rsidRPr="00C11145">
        <w:t>analysis.</w:t>
      </w:r>
    </w:p>
    <w:p w14:paraId="657B0BBC" w14:textId="7C1BFCE1" w:rsidR="008D40C6" w:rsidRDefault="008D40C6" w:rsidP="008D40C6">
      <w:pPr>
        <w:pStyle w:val="3-BodyText"/>
      </w:pPr>
      <w:r w:rsidRPr="00E273AF">
        <w:t xml:space="preserve">The submission included </w:t>
      </w:r>
      <w:r w:rsidR="00812903">
        <w:t>&lt;500</w:t>
      </w:r>
      <w:r w:rsidR="00812903" w:rsidRPr="00E273AF">
        <w:t xml:space="preserve"> </w:t>
      </w:r>
      <w:r w:rsidRPr="00E273AF">
        <w:t xml:space="preserve">grandfathered patients in year 1 with treatment durations equal to half that of other eligible patients. </w:t>
      </w:r>
      <w:r>
        <w:t xml:space="preserve">The total number of patients treated with EV+PEM is presented in </w:t>
      </w:r>
      <w:r>
        <w:fldChar w:fldCharType="begin" w:fldLock="1"/>
      </w:r>
      <w:r>
        <w:instrText xml:space="preserve"> REF _Ref176949701 \h </w:instrText>
      </w:r>
      <w:r>
        <w:fldChar w:fldCharType="separate"/>
      </w:r>
      <w:r w:rsidR="00FE0BD6">
        <w:t xml:space="preserve">Table </w:t>
      </w:r>
      <w:r w:rsidR="00FE0BD6">
        <w:rPr>
          <w:noProof/>
        </w:rPr>
        <w:t>16</w:t>
      </w:r>
      <w:r>
        <w:fldChar w:fldCharType="end"/>
      </w:r>
      <w:r>
        <w:t xml:space="preserve">. </w:t>
      </w:r>
    </w:p>
    <w:p w14:paraId="3C7E128C" w14:textId="491444A2" w:rsidR="008D40C6" w:rsidRDefault="008D40C6" w:rsidP="008D40C6">
      <w:pPr>
        <w:pStyle w:val="TableFigureHeading"/>
      </w:pPr>
      <w:bookmarkStart w:id="66" w:name="_Ref176949701"/>
      <w:r>
        <w:lastRenderedPageBreak/>
        <w:t xml:space="preserve">Table </w:t>
      </w:r>
      <w:r>
        <w:fldChar w:fldCharType="begin" w:fldLock="1"/>
      </w:r>
      <w:r>
        <w:instrText xml:space="preserve"> SEQ Table \* ARABIC </w:instrText>
      </w:r>
      <w:r>
        <w:fldChar w:fldCharType="separate"/>
      </w:r>
      <w:r w:rsidR="00FE0BD6">
        <w:rPr>
          <w:noProof/>
        </w:rPr>
        <w:t>16</w:t>
      </w:r>
      <w:r>
        <w:rPr>
          <w:noProof/>
        </w:rPr>
        <w:fldChar w:fldCharType="end"/>
      </w:r>
      <w:bookmarkEnd w:id="66"/>
      <w:r>
        <w:t>: Number of patients treated with EV+PEM</w:t>
      </w:r>
    </w:p>
    <w:tbl>
      <w:tblPr>
        <w:tblStyle w:val="TableGrid"/>
        <w:tblW w:w="0" w:type="auto"/>
        <w:tblLook w:val="04A0" w:firstRow="1" w:lastRow="0" w:firstColumn="1" w:lastColumn="0" w:noHBand="0" w:noVBand="1"/>
      </w:tblPr>
      <w:tblGrid>
        <w:gridCol w:w="3114"/>
        <w:gridCol w:w="983"/>
        <w:gridCol w:w="984"/>
        <w:gridCol w:w="984"/>
        <w:gridCol w:w="984"/>
        <w:gridCol w:w="984"/>
        <w:gridCol w:w="984"/>
      </w:tblGrid>
      <w:tr w:rsidR="008D40C6" w14:paraId="63620C9D" w14:textId="77777777" w:rsidTr="005E4D14">
        <w:tc>
          <w:tcPr>
            <w:tcW w:w="3114" w:type="dxa"/>
          </w:tcPr>
          <w:p w14:paraId="4B9A6A3D" w14:textId="77777777" w:rsidR="008D40C6" w:rsidRPr="00732679" w:rsidRDefault="008D40C6" w:rsidP="005E4D14">
            <w:pPr>
              <w:pStyle w:val="3-BodyText"/>
              <w:keepNext/>
              <w:numPr>
                <w:ilvl w:val="0"/>
                <w:numId w:val="0"/>
              </w:numPr>
              <w:rPr>
                <w:rFonts w:ascii="Arial Narrow" w:hAnsi="Arial Narrow"/>
                <w:sz w:val="20"/>
                <w:szCs w:val="20"/>
              </w:rPr>
            </w:pPr>
          </w:p>
        </w:tc>
        <w:tc>
          <w:tcPr>
            <w:tcW w:w="983" w:type="dxa"/>
          </w:tcPr>
          <w:p w14:paraId="7DEA76C8" w14:textId="77777777" w:rsidR="008D40C6" w:rsidRPr="00732679" w:rsidRDefault="008D40C6" w:rsidP="005E4D14">
            <w:pPr>
              <w:pStyle w:val="In-tableHeading"/>
            </w:pPr>
            <w:r w:rsidRPr="00732679">
              <w:t>Year 1</w:t>
            </w:r>
          </w:p>
        </w:tc>
        <w:tc>
          <w:tcPr>
            <w:tcW w:w="984" w:type="dxa"/>
          </w:tcPr>
          <w:p w14:paraId="26DBC195" w14:textId="77777777" w:rsidR="008D40C6" w:rsidRPr="00732679" w:rsidRDefault="008D40C6" w:rsidP="005E4D14">
            <w:pPr>
              <w:pStyle w:val="In-tableHeading"/>
            </w:pPr>
            <w:r w:rsidRPr="00732679">
              <w:t>Year 2</w:t>
            </w:r>
          </w:p>
        </w:tc>
        <w:tc>
          <w:tcPr>
            <w:tcW w:w="984" w:type="dxa"/>
          </w:tcPr>
          <w:p w14:paraId="579E2C65" w14:textId="77777777" w:rsidR="008D40C6" w:rsidRPr="00732679" w:rsidRDefault="008D40C6" w:rsidP="005E4D14">
            <w:pPr>
              <w:pStyle w:val="In-tableHeading"/>
            </w:pPr>
            <w:r w:rsidRPr="00732679">
              <w:t>Year 3</w:t>
            </w:r>
          </w:p>
        </w:tc>
        <w:tc>
          <w:tcPr>
            <w:tcW w:w="984" w:type="dxa"/>
          </w:tcPr>
          <w:p w14:paraId="6A1A1287" w14:textId="77777777" w:rsidR="008D40C6" w:rsidRPr="00732679" w:rsidRDefault="008D40C6" w:rsidP="005E4D14">
            <w:pPr>
              <w:pStyle w:val="In-tableHeading"/>
            </w:pPr>
            <w:r w:rsidRPr="00732679">
              <w:t>Year 4</w:t>
            </w:r>
          </w:p>
        </w:tc>
        <w:tc>
          <w:tcPr>
            <w:tcW w:w="984" w:type="dxa"/>
          </w:tcPr>
          <w:p w14:paraId="0545BE35" w14:textId="77777777" w:rsidR="008D40C6" w:rsidRPr="00732679" w:rsidRDefault="008D40C6" w:rsidP="005E4D14">
            <w:pPr>
              <w:pStyle w:val="In-tableHeading"/>
            </w:pPr>
            <w:r w:rsidRPr="00732679">
              <w:t>Year 5</w:t>
            </w:r>
          </w:p>
        </w:tc>
        <w:tc>
          <w:tcPr>
            <w:tcW w:w="984" w:type="dxa"/>
          </w:tcPr>
          <w:p w14:paraId="5F9E9FB7" w14:textId="77777777" w:rsidR="008D40C6" w:rsidRPr="00732679" w:rsidRDefault="008D40C6" w:rsidP="005E4D14">
            <w:pPr>
              <w:pStyle w:val="In-tableHeading"/>
            </w:pPr>
            <w:r w:rsidRPr="00732679">
              <w:t>Year 6</w:t>
            </w:r>
          </w:p>
        </w:tc>
      </w:tr>
      <w:tr w:rsidR="008D40C6" w14:paraId="40F79B72" w14:textId="77777777" w:rsidTr="005E4D14">
        <w:tc>
          <w:tcPr>
            <w:tcW w:w="9017" w:type="dxa"/>
            <w:gridSpan w:val="7"/>
          </w:tcPr>
          <w:p w14:paraId="438ADAC5" w14:textId="77777777" w:rsidR="008D40C6" w:rsidRPr="00732679" w:rsidRDefault="008D40C6" w:rsidP="005E4D14">
            <w:pPr>
              <w:pStyle w:val="TableText0"/>
              <w:rPr>
                <w:b/>
                <w:bCs w:val="0"/>
              </w:rPr>
            </w:pPr>
            <w:r w:rsidRPr="00732679">
              <w:rPr>
                <w:b/>
                <w:bCs w:val="0"/>
              </w:rPr>
              <w:t>Bladder cancer</w:t>
            </w:r>
          </w:p>
        </w:tc>
      </w:tr>
      <w:tr w:rsidR="008D40C6" w14:paraId="6134230D" w14:textId="77777777" w:rsidTr="005E4D14">
        <w:trPr>
          <w:trHeight w:val="233"/>
        </w:trPr>
        <w:tc>
          <w:tcPr>
            <w:tcW w:w="3114" w:type="dxa"/>
          </w:tcPr>
          <w:p w14:paraId="7613431F" w14:textId="77777777" w:rsidR="008D40C6" w:rsidRPr="00732679" w:rsidRDefault="008D40C6" w:rsidP="005E4D14">
            <w:pPr>
              <w:pStyle w:val="TableText0"/>
            </w:pPr>
            <w:r w:rsidRPr="00732679">
              <w:t>Incident patients</w:t>
            </w:r>
            <w:r>
              <w:t xml:space="preserve"> (A)</w:t>
            </w:r>
          </w:p>
        </w:tc>
        <w:tc>
          <w:tcPr>
            <w:tcW w:w="983" w:type="dxa"/>
            <w:vAlign w:val="center"/>
          </w:tcPr>
          <w:p w14:paraId="5C02ECE1" w14:textId="77777777" w:rsidR="008D40C6" w:rsidRPr="00732679" w:rsidRDefault="008D40C6" w:rsidP="005E4D14">
            <w:pPr>
              <w:pStyle w:val="TableText0"/>
            </w:pPr>
            <w:r w:rsidRPr="00732679">
              <w:t>3,261</w:t>
            </w:r>
          </w:p>
        </w:tc>
        <w:tc>
          <w:tcPr>
            <w:tcW w:w="984" w:type="dxa"/>
            <w:vAlign w:val="center"/>
          </w:tcPr>
          <w:p w14:paraId="77464DE0" w14:textId="77777777" w:rsidR="008D40C6" w:rsidRPr="00732679" w:rsidRDefault="008D40C6" w:rsidP="005E4D14">
            <w:pPr>
              <w:pStyle w:val="TableText0"/>
            </w:pPr>
            <w:r w:rsidRPr="00732679">
              <w:t>3,334</w:t>
            </w:r>
          </w:p>
        </w:tc>
        <w:tc>
          <w:tcPr>
            <w:tcW w:w="984" w:type="dxa"/>
            <w:vAlign w:val="center"/>
          </w:tcPr>
          <w:p w14:paraId="5F2677EB" w14:textId="77777777" w:rsidR="008D40C6" w:rsidRPr="00732679" w:rsidRDefault="008D40C6" w:rsidP="005E4D14">
            <w:pPr>
              <w:pStyle w:val="TableText0"/>
            </w:pPr>
            <w:r w:rsidRPr="00732679">
              <w:t>3,408</w:t>
            </w:r>
          </w:p>
        </w:tc>
        <w:tc>
          <w:tcPr>
            <w:tcW w:w="984" w:type="dxa"/>
            <w:vAlign w:val="center"/>
          </w:tcPr>
          <w:p w14:paraId="61D361CA" w14:textId="77777777" w:rsidR="008D40C6" w:rsidRPr="00732679" w:rsidRDefault="008D40C6" w:rsidP="005E4D14">
            <w:pPr>
              <w:pStyle w:val="TableText0"/>
            </w:pPr>
            <w:r w:rsidRPr="00732679">
              <w:t>3,483</w:t>
            </w:r>
          </w:p>
        </w:tc>
        <w:tc>
          <w:tcPr>
            <w:tcW w:w="984" w:type="dxa"/>
            <w:vAlign w:val="center"/>
          </w:tcPr>
          <w:p w14:paraId="055B600C" w14:textId="77777777" w:rsidR="008D40C6" w:rsidRPr="00732679" w:rsidRDefault="008D40C6" w:rsidP="005E4D14">
            <w:pPr>
              <w:pStyle w:val="TableText0"/>
            </w:pPr>
            <w:r w:rsidRPr="00732679">
              <w:t>3,561</w:t>
            </w:r>
          </w:p>
        </w:tc>
        <w:tc>
          <w:tcPr>
            <w:tcW w:w="984" w:type="dxa"/>
            <w:vAlign w:val="center"/>
          </w:tcPr>
          <w:p w14:paraId="1D8061C9" w14:textId="77777777" w:rsidR="008D40C6" w:rsidRPr="00732679" w:rsidRDefault="008D40C6" w:rsidP="005E4D14">
            <w:pPr>
              <w:pStyle w:val="TableText0"/>
            </w:pPr>
            <w:r w:rsidRPr="00732679">
              <w:t>3,640</w:t>
            </w:r>
          </w:p>
        </w:tc>
      </w:tr>
      <w:tr w:rsidR="008D40C6" w14:paraId="17B8F488" w14:textId="77777777" w:rsidTr="005E4D14">
        <w:tc>
          <w:tcPr>
            <w:tcW w:w="3114" w:type="dxa"/>
          </w:tcPr>
          <w:p w14:paraId="28318B0E" w14:textId="77777777" w:rsidR="008D40C6" w:rsidRPr="00732679" w:rsidRDefault="008D40C6" w:rsidP="005E4D14">
            <w:pPr>
              <w:pStyle w:val="TableText0"/>
            </w:pPr>
            <w:r w:rsidRPr="00732679">
              <w:t>Number of patients who are late stage at diagnosis</w:t>
            </w:r>
            <w:r>
              <w:t xml:space="preserve"> (A x 93.7% x 12.67%)</w:t>
            </w:r>
          </w:p>
        </w:tc>
        <w:tc>
          <w:tcPr>
            <w:tcW w:w="983" w:type="dxa"/>
            <w:vAlign w:val="center"/>
          </w:tcPr>
          <w:p w14:paraId="0FB0700E" w14:textId="77777777" w:rsidR="008D40C6" w:rsidRPr="00732679" w:rsidRDefault="008D40C6" w:rsidP="005E4D14">
            <w:pPr>
              <w:pStyle w:val="TableText0"/>
            </w:pPr>
            <w:r w:rsidRPr="00732679">
              <w:t>387</w:t>
            </w:r>
          </w:p>
        </w:tc>
        <w:tc>
          <w:tcPr>
            <w:tcW w:w="984" w:type="dxa"/>
            <w:vAlign w:val="center"/>
          </w:tcPr>
          <w:p w14:paraId="7EC78600" w14:textId="77777777" w:rsidR="008D40C6" w:rsidRPr="00732679" w:rsidRDefault="008D40C6" w:rsidP="005E4D14">
            <w:pPr>
              <w:pStyle w:val="TableText0"/>
            </w:pPr>
            <w:r w:rsidRPr="00732679">
              <w:t>396</w:t>
            </w:r>
          </w:p>
        </w:tc>
        <w:tc>
          <w:tcPr>
            <w:tcW w:w="984" w:type="dxa"/>
            <w:vAlign w:val="center"/>
          </w:tcPr>
          <w:p w14:paraId="476CA1B0" w14:textId="77777777" w:rsidR="008D40C6" w:rsidRPr="00732679" w:rsidRDefault="008D40C6" w:rsidP="005E4D14">
            <w:pPr>
              <w:pStyle w:val="TableText0"/>
            </w:pPr>
            <w:r w:rsidRPr="00732679">
              <w:t>405</w:t>
            </w:r>
          </w:p>
        </w:tc>
        <w:tc>
          <w:tcPr>
            <w:tcW w:w="984" w:type="dxa"/>
            <w:vAlign w:val="center"/>
          </w:tcPr>
          <w:p w14:paraId="2D83C829" w14:textId="77777777" w:rsidR="008D40C6" w:rsidRPr="00732679" w:rsidRDefault="008D40C6" w:rsidP="005E4D14">
            <w:pPr>
              <w:pStyle w:val="TableText0"/>
            </w:pPr>
            <w:r w:rsidRPr="00732679">
              <w:t>414</w:t>
            </w:r>
          </w:p>
        </w:tc>
        <w:tc>
          <w:tcPr>
            <w:tcW w:w="984" w:type="dxa"/>
            <w:vAlign w:val="center"/>
          </w:tcPr>
          <w:p w14:paraId="33A2A3F6" w14:textId="77777777" w:rsidR="008D40C6" w:rsidRPr="00732679" w:rsidRDefault="008D40C6" w:rsidP="005E4D14">
            <w:pPr>
              <w:pStyle w:val="TableText0"/>
            </w:pPr>
            <w:r w:rsidRPr="00732679">
              <w:t>423</w:t>
            </w:r>
          </w:p>
        </w:tc>
        <w:tc>
          <w:tcPr>
            <w:tcW w:w="984" w:type="dxa"/>
            <w:vAlign w:val="center"/>
          </w:tcPr>
          <w:p w14:paraId="0178F0C2" w14:textId="77777777" w:rsidR="008D40C6" w:rsidRPr="00732679" w:rsidRDefault="008D40C6" w:rsidP="005E4D14">
            <w:pPr>
              <w:pStyle w:val="TableText0"/>
            </w:pPr>
            <w:r w:rsidRPr="00732679">
              <w:t>432</w:t>
            </w:r>
          </w:p>
        </w:tc>
      </w:tr>
      <w:tr w:rsidR="008D40C6" w14:paraId="331D5454" w14:textId="77777777" w:rsidTr="005E4D14">
        <w:tc>
          <w:tcPr>
            <w:tcW w:w="3114" w:type="dxa"/>
          </w:tcPr>
          <w:p w14:paraId="2D89C5C6" w14:textId="77777777" w:rsidR="008D40C6" w:rsidRPr="00732679" w:rsidRDefault="008D40C6" w:rsidP="005E4D14">
            <w:pPr>
              <w:pStyle w:val="TableText0"/>
            </w:pPr>
            <w:r w:rsidRPr="00732679">
              <w:t>Number of patients that progress post-BCG</w:t>
            </w:r>
            <w:r>
              <w:t xml:space="preserve"> (from stage 0a, 0is) </w:t>
            </w:r>
            <w:r>
              <w:br/>
              <w:t xml:space="preserve">(A x 93.7% x 50.47% x </w:t>
            </w:r>
            <w:r w:rsidRPr="0079168E">
              <w:t>35.15</w:t>
            </w:r>
            <w:r>
              <w:t>%)</w:t>
            </w:r>
          </w:p>
        </w:tc>
        <w:tc>
          <w:tcPr>
            <w:tcW w:w="983" w:type="dxa"/>
            <w:vAlign w:val="center"/>
          </w:tcPr>
          <w:p w14:paraId="1974FD09" w14:textId="77777777" w:rsidR="008D40C6" w:rsidRPr="00732679" w:rsidRDefault="008D40C6" w:rsidP="005E4D14">
            <w:pPr>
              <w:pStyle w:val="TableText0"/>
            </w:pPr>
            <w:r w:rsidRPr="00732679">
              <w:t>542</w:t>
            </w:r>
          </w:p>
        </w:tc>
        <w:tc>
          <w:tcPr>
            <w:tcW w:w="984" w:type="dxa"/>
            <w:vAlign w:val="center"/>
          </w:tcPr>
          <w:p w14:paraId="381BF1AA" w14:textId="77777777" w:rsidR="008D40C6" w:rsidRPr="00732679" w:rsidRDefault="008D40C6" w:rsidP="005E4D14">
            <w:pPr>
              <w:pStyle w:val="TableText0"/>
            </w:pPr>
            <w:r w:rsidRPr="00732679">
              <w:t>554</w:t>
            </w:r>
          </w:p>
        </w:tc>
        <w:tc>
          <w:tcPr>
            <w:tcW w:w="984" w:type="dxa"/>
            <w:vAlign w:val="center"/>
          </w:tcPr>
          <w:p w14:paraId="2312C91C" w14:textId="77777777" w:rsidR="008D40C6" w:rsidRPr="00732679" w:rsidRDefault="008D40C6" w:rsidP="005E4D14">
            <w:pPr>
              <w:pStyle w:val="TableText0"/>
            </w:pPr>
            <w:r w:rsidRPr="00732679">
              <w:t>566</w:t>
            </w:r>
          </w:p>
        </w:tc>
        <w:tc>
          <w:tcPr>
            <w:tcW w:w="984" w:type="dxa"/>
            <w:vAlign w:val="center"/>
          </w:tcPr>
          <w:p w14:paraId="22B9F7C3" w14:textId="77777777" w:rsidR="008D40C6" w:rsidRPr="00732679" w:rsidRDefault="008D40C6" w:rsidP="005E4D14">
            <w:pPr>
              <w:pStyle w:val="TableText0"/>
            </w:pPr>
            <w:r w:rsidRPr="00732679">
              <w:t>579</w:t>
            </w:r>
          </w:p>
        </w:tc>
        <w:tc>
          <w:tcPr>
            <w:tcW w:w="984" w:type="dxa"/>
            <w:vAlign w:val="center"/>
          </w:tcPr>
          <w:p w14:paraId="5362BD58" w14:textId="77777777" w:rsidR="008D40C6" w:rsidRPr="00732679" w:rsidRDefault="008D40C6" w:rsidP="005E4D14">
            <w:pPr>
              <w:pStyle w:val="TableText0"/>
            </w:pPr>
            <w:r w:rsidRPr="00732679">
              <w:t>592</w:t>
            </w:r>
          </w:p>
        </w:tc>
        <w:tc>
          <w:tcPr>
            <w:tcW w:w="984" w:type="dxa"/>
            <w:vAlign w:val="center"/>
          </w:tcPr>
          <w:p w14:paraId="0E06BA14" w14:textId="77777777" w:rsidR="008D40C6" w:rsidRPr="00732679" w:rsidRDefault="008D40C6" w:rsidP="005E4D14">
            <w:pPr>
              <w:pStyle w:val="TableText0"/>
            </w:pPr>
            <w:r w:rsidRPr="00732679">
              <w:t>605</w:t>
            </w:r>
          </w:p>
        </w:tc>
      </w:tr>
      <w:tr w:rsidR="008D40C6" w14:paraId="5AA7837C" w14:textId="77777777" w:rsidTr="005E4D14">
        <w:tc>
          <w:tcPr>
            <w:tcW w:w="3114" w:type="dxa"/>
          </w:tcPr>
          <w:p w14:paraId="0738E3CD" w14:textId="77777777" w:rsidR="008D40C6" w:rsidRDefault="008D40C6" w:rsidP="005E4D14">
            <w:pPr>
              <w:pStyle w:val="TableText0"/>
            </w:pPr>
            <w:r w:rsidRPr="00732679">
              <w:t>Number of patients with distant recurrence post-cystectomy</w:t>
            </w:r>
            <w:r>
              <w:t xml:space="preserve"> (stage I+II)</w:t>
            </w:r>
          </w:p>
          <w:p w14:paraId="2C87D550" w14:textId="77777777" w:rsidR="008D40C6" w:rsidRPr="00732679" w:rsidRDefault="008D40C6" w:rsidP="005E4D14">
            <w:pPr>
              <w:pStyle w:val="TableText0"/>
            </w:pPr>
            <w:r>
              <w:t xml:space="preserve">(A x 93.7% x 36.86% x </w:t>
            </w:r>
            <w:r w:rsidRPr="0079168E">
              <w:t>35%</w:t>
            </w:r>
            <w:r>
              <w:t>)</w:t>
            </w:r>
          </w:p>
        </w:tc>
        <w:tc>
          <w:tcPr>
            <w:tcW w:w="983" w:type="dxa"/>
            <w:vAlign w:val="center"/>
          </w:tcPr>
          <w:p w14:paraId="720F2D7C" w14:textId="77777777" w:rsidR="008D40C6" w:rsidRPr="00732679" w:rsidRDefault="008D40C6" w:rsidP="005E4D14">
            <w:pPr>
              <w:pStyle w:val="TableText0"/>
            </w:pPr>
            <w:r w:rsidRPr="00732679">
              <w:t>394</w:t>
            </w:r>
          </w:p>
        </w:tc>
        <w:tc>
          <w:tcPr>
            <w:tcW w:w="984" w:type="dxa"/>
            <w:vAlign w:val="center"/>
          </w:tcPr>
          <w:p w14:paraId="4B50DC91" w14:textId="77777777" w:rsidR="008D40C6" w:rsidRPr="00732679" w:rsidRDefault="008D40C6" w:rsidP="005E4D14">
            <w:pPr>
              <w:pStyle w:val="TableText0"/>
            </w:pPr>
            <w:r w:rsidRPr="00732679">
              <w:t>403</w:t>
            </w:r>
          </w:p>
        </w:tc>
        <w:tc>
          <w:tcPr>
            <w:tcW w:w="984" w:type="dxa"/>
            <w:vAlign w:val="center"/>
          </w:tcPr>
          <w:p w14:paraId="782A7D84" w14:textId="77777777" w:rsidR="008D40C6" w:rsidRPr="00732679" w:rsidRDefault="008D40C6" w:rsidP="005E4D14">
            <w:pPr>
              <w:pStyle w:val="TableText0"/>
            </w:pPr>
            <w:r w:rsidRPr="00732679">
              <w:t>412</w:t>
            </w:r>
          </w:p>
        </w:tc>
        <w:tc>
          <w:tcPr>
            <w:tcW w:w="984" w:type="dxa"/>
            <w:vAlign w:val="center"/>
          </w:tcPr>
          <w:p w14:paraId="111E1ECD" w14:textId="77777777" w:rsidR="008D40C6" w:rsidRPr="00732679" w:rsidRDefault="008D40C6" w:rsidP="005E4D14">
            <w:pPr>
              <w:pStyle w:val="TableText0"/>
            </w:pPr>
            <w:r w:rsidRPr="00732679">
              <w:t>421</w:t>
            </w:r>
          </w:p>
        </w:tc>
        <w:tc>
          <w:tcPr>
            <w:tcW w:w="984" w:type="dxa"/>
            <w:vAlign w:val="center"/>
          </w:tcPr>
          <w:p w14:paraId="4B905D0A" w14:textId="77777777" w:rsidR="008D40C6" w:rsidRPr="00732679" w:rsidRDefault="008D40C6" w:rsidP="005E4D14">
            <w:pPr>
              <w:pStyle w:val="TableText0"/>
            </w:pPr>
            <w:r w:rsidRPr="00732679">
              <w:t>430</w:t>
            </w:r>
          </w:p>
        </w:tc>
        <w:tc>
          <w:tcPr>
            <w:tcW w:w="984" w:type="dxa"/>
            <w:vAlign w:val="center"/>
          </w:tcPr>
          <w:p w14:paraId="7C4E15CE" w14:textId="77777777" w:rsidR="008D40C6" w:rsidRPr="00732679" w:rsidRDefault="008D40C6" w:rsidP="005E4D14">
            <w:pPr>
              <w:pStyle w:val="TableText0"/>
            </w:pPr>
            <w:r w:rsidRPr="00732679">
              <w:t>440</w:t>
            </w:r>
          </w:p>
        </w:tc>
      </w:tr>
      <w:tr w:rsidR="008D40C6" w14:paraId="36FF5D91" w14:textId="77777777" w:rsidTr="005E4D14">
        <w:tc>
          <w:tcPr>
            <w:tcW w:w="9017" w:type="dxa"/>
            <w:gridSpan w:val="7"/>
          </w:tcPr>
          <w:p w14:paraId="676C0B6E" w14:textId="77777777" w:rsidR="008D40C6" w:rsidRPr="00732679" w:rsidRDefault="008D40C6" w:rsidP="005E4D14">
            <w:pPr>
              <w:pStyle w:val="TableText0"/>
              <w:rPr>
                <w:b/>
                <w:bCs w:val="0"/>
              </w:rPr>
            </w:pPr>
            <w:r w:rsidRPr="00732679">
              <w:rPr>
                <w:b/>
                <w:bCs w:val="0"/>
              </w:rPr>
              <w:t>Renal pelvis cancer</w:t>
            </w:r>
          </w:p>
        </w:tc>
      </w:tr>
      <w:tr w:rsidR="008D40C6" w14:paraId="776D4997" w14:textId="77777777" w:rsidTr="005E4D14">
        <w:tc>
          <w:tcPr>
            <w:tcW w:w="3114" w:type="dxa"/>
          </w:tcPr>
          <w:p w14:paraId="7DB55F03" w14:textId="77777777" w:rsidR="008D40C6" w:rsidRPr="00732679" w:rsidRDefault="008D40C6" w:rsidP="005E4D14">
            <w:pPr>
              <w:pStyle w:val="TableText0"/>
            </w:pPr>
            <w:r w:rsidRPr="00732679">
              <w:t>Incident patients</w:t>
            </w:r>
            <w:r>
              <w:t xml:space="preserve"> (B) </w:t>
            </w:r>
          </w:p>
        </w:tc>
        <w:tc>
          <w:tcPr>
            <w:tcW w:w="983" w:type="dxa"/>
            <w:vAlign w:val="center"/>
          </w:tcPr>
          <w:p w14:paraId="320AE00A" w14:textId="77777777" w:rsidR="008D40C6" w:rsidRPr="00732679" w:rsidRDefault="008D40C6" w:rsidP="005E4D14">
            <w:pPr>
              <w:pStyle w:val="TableText0"/>
            </w:pPr>
            <w:r w:rsidRPr="00732679">
              <w:t>348</w:t>
            </w:r>
          </w:p>
        </w:tc>
        <w:tc>
          <w:tcPr>
            <w:tcW w:w="984" w:type="dxa"/>
            <w:vAlign w:val="center"/>
          </w:tcPr>
          <w:p w14:paraId="6641B37A" w14:textId="77777777" w:rsidR="008D40C6" w:rsidRPr="00732679" w:rsidRDefault="008D40C6" w:rsidP="005E4D14">
            <w:pPr>
              <w:pStyle w:val="TableText0"/>
            </w:pPr>
            <w:r w:rsidRPr="00732679">
              <w:t>353</w:t>
            </w:r>
          </w:p>
        </w:tc>
        <w:tc>
          <w:tcPr>
            <w:tcW w:w="984" w:type="dxa"/>
            <w:vAlign w:val="center"/>
          </w:tcPr>
          <w:p w14:paraId="018F32FB" w14:textId="77777777" w:rsidR="008D40C6" w:rsidRPr="00732679" w:rsidRDefault="008D40C6" w:rsidP="005E4D14">
            <w:pPr>
              <w:pStyle w:val="TableText0"/>
            </w:pPr>
            <w:r w:rsidRPr="00732679">
              <w:t>358</w:t>
            </w:r>
          </w:p>
        </w:tc>
        <w:tc>
          <w:tcPr>
            <w:tcW w:w="984" w:type="dxa"/>
            <w:vAlign w:val="center"/>
          </w:tcPr>
          <w:p w14:paraId="6DA36A9F" w14:textId="77777777" w:rsidR="008D40C6" w:rsidRPr="00732679" w:rsidRDefault="008D40C6" w:rsidP="005E4D14">
            <w:pPr>
              <w:pStyle w:val="TableText0"/>
            </w:pPr>
            <w:r w:rsidRPr="00732679">
              <w:t>364</w:t>
            </w:r>
          </w:p>
        </w:tc>
        <w:tc>
          <w:tcPr>
            <w:tcW w:w="984" w:type="dxa"/>
            <w:vAlign w:val="center"/>
          </w:tcPr>
          <w:p w14:paraId="313E52BF" w14:textId="77777777" w:rsidR="008D40C6" w:rsidRPr="00732679" w:rsidRDefault="008D40C6" w:rsidP="005E4D14">
            <w:pPr>
              <w:pStyle w:val="TableText0"/>
            </w:pPr>
            <w:r w:rsidRPr="00732679">
              <w:t>370</w:t>
            </w:r>
          </w:p>
        </w:tc>
        <w:tc>
          <w:tcPr>
            <w:tcW w:w="984" w:type="dxa"/>
            <w:vAlign w:val="center"/>
          </w:tcPr>
          <w:p w14:paraId="3EF92781" w14:textId="77777777" w:rsidR="008D40C6" w:rsidRPr="00732679" w:rsidRDefault="008D40C6" w:rsidP="005E4D14">
            <w:pPr>
              <w:pStyle w:val="TableText0"/>
            </w:pPr>
            <w:r w:rsidRPr="00732679">
              <w:t>375</w:t>
            </w:r>
          </w:p>
        </w:tc>
      </w:tr>
      <w:tr w:rsidR="008D40C6" w14:paraId="4E23D040" w14:textId="77777777" w:rsidTr="005E4D14">
        <w:tc>
          <w:tcPr>
            <w:tcW w:w="3114" w:type="dxa"/>
          </w:tcPr>
          <w:p w14:paraId="36AD1BDE" w14:textId="77777777" w:rsidR="008D40C6" w:rsidRPr="00732679" w:rsidRDefault="008D40C6" w:rsidP="005E4D14">
            <w:pPr>
              <w:pStyle w:val="TableText0"/>
            </w:pPr>
            <w:r w:rsidRPr="00732679">
              <w:t>No. of patients diagnosed at late stage</w:t>
            </w:r>
            <w:r>
              <w:t xml:space="preserve"> </w:t>
            </w:r>
            <w:r w:rsidRPr="00F0515D">
              <w:t>(Stage III/IV)</w:t>
            </w:r>
            <w:r>
              <w:t xml:space="preserve"> (B x 87% x 68.68%)</w:t>
            </w:r>
          </w:p>
        </w:tc>
        <w:tc>
          <w:tcPr>
            <w:tcW w:w="983" w:type="dxa"/>
            <w:vAlign w:val="center"/>
          </w:tcPr>
          <w:p w14:paraId="2A12F0C9" w14:textId="77777777" w:rsidR="008D40C6" w:rsidRPr="00732679" w:rsidRDefault="008D40C6" w:rsidP="005E4D14">
            <w:pPr>
              <w:pStyle w:val="TableText0"/>
            </w:pPr>
            <w:r w:rsidRPr="00732679">
              <w:t>208</w:t>
            </w:r>
          </w:p>
        </w:tc>
        <w:tc>
          <w:tcPr>
            <w:tcW w:w="984" w:type="dxa"/>
            <w:vAlign w:val="center"/>
          </w:tcPr>
          <w:p w14:paraId="33AC2065" w14:textId="77777777" w:rsidR="008D40C6" w:rsidRPr="00732679" w:rsidRDefault="008D40C6" w:rsidP="005E4D14">
            <w:pPr>
              <w:pStyle w:val="TableText0"/>
            </w:pPr>
            <w:r w:rsidRPr="00732679">
              <w:t>211</w:t>
            </w:r>
          </w:p>
        </w:tc>
        <w:tc>
          <w:tcPr>
            <w:tcW w:w="984" w:type="dxa"/>
            <w:vAlign w:val="center"/>
          </w:tcPr>
          <w:p w14:paraId="6D638035" w14:textId="77777777" w:rsidR="008D40C6" w:rsidRPr="00732679" w:rsidRDefault="008D40C6" w:rsidP="005E4D14">
            <w:pPr>
              <w:pStyle w:val="TableText0"/>
            </w:pPr>
            <w:r w:rsidRPr="00732679">
              <w:t>215</w:t>
            </w:r>
          </w:p>
        </w:tc>
        <w:tc>
          <w:tcPr>
            <w:tcW w:w="984" w:type="dxa"/>
            <w:vAlign w:val="center"/>
          </w:tcPr>
          <w:p w14:paraId="1D3A4FF7" w14:textId="77777777" w:rsidR="008D40C6" w:rsidRPr="00732679" w:rsidRDefault="008D40C6" w:rsidP="005E4D14">
            <w:pPr>
              <w:pStyle w:val="TableText0"/>
            </w:pPr>
            <w:r w:rsidRPr="00732679">
              <w:t>218</w:t>
            </w:r>
          </w:p>
        </w:tc>
        <w:tc>
          <w:tcPr>
            <w:tcW w:w="984" w:type="dxa"/>
            <w:vAlign w:val="center"/>
          </w:tcPr>
          <w:p w14:paraId="611A80FC" w14:textId="77777777" w:rsidR="008D40C6" w:rsidRPr="00732679" w:rsidRDefault="008D40C6" w:rsidP="005E4D14">
            <w:pPr>
              <w:pStyle w:val="TableText0"/>
            </w:pPr>
            <w:r w:rsidRPr="00732679">
              <w:t>221</w:t>
            </w:r>
          </w:p>
        </w:tc>
        <w:tc>
          <w:tcPr>
            <w:tcW w:w="984" w:type="dxa"/>
            <w:vAlign w:val="center"/>
          </w:tcPr>
          <w:p w14:paraId="50D31D9C" w14:textId="77777777" w:rsidR="008D40C6" w:rsidRPr="00732679" w:rsidRDefault="008D40C6" w:rsidP="005E4D14">
            <w:pPr>
              <w:pStyle w:val="TableText0"/>
            </w:pPr>
            <w:r w:rsidRPr="00732679">
              <w:t>225</w:t>
            </w:r>
          </w:p>
        </w:tc>
      </w:tr>
      <w:tr w:rsidR="008D40C6" w14:paraId="15815C77" w14:textId="77777777" w:rsidTr="005E4D14">
        <w:tc>
          <w:tcPr>
            <w:tcW w:w="3114" w:type="dxa"/>
          </w:tcPr>
          <w:p w14:paraId="4EF8F447" w14:textId="77777777" w:rsidR="008D40C6" w:rsidRDefault="008D40C6" w:rsidP="005E4D14">
            <w:pPr>
              <w:pStyle w:val="TableText0"/>
            </w:pPr>
            <w:r w:rsidRPr="00732679">
              <w:t>No. of patients with distance recurrence post RNU</w:t>
            </w:r>
            <w:r>
              <w:t xml:space="preserve"> </w:t>
            </w:r>
            <w:r w:rsidRPr="00F0515D">
              <w:t>(Stage 0/I/II)</w:t>
            </w:r>
            <w:r>
              <w:t xml:space="preserve"> </w:t>
            </w:r>
          </w:p>
          <w:p w14:paraId="3FC01724" w14:textId="77777777" w:rsidR="008D40C6" w:rsidRPr="00732679" w:rsidRDefault="008D40C6" w:rsidP="005E4D14">
            <w:pPr>
              <w:pStyle w:val="TableText0"/>
            </w:pPr>
            <w:r>
              <w:t>(B x 87% x 31.14% x 16.64 %)</w:t>
            </w:r>
          </w:p>
        </w:tc>
        <w:tc>
          <w:tcPr>
            <w:tcW w:w="983" w:type="dxa"/>
            <w:vAlign w:val="center"/>
          </w:tcPr>
          <w:p w14:paraId="4744A7A1" w14:textId="77777777" w:rsidR="008D40C6" w:rsidRPr="00732679" w:rsidRDefault="008D40C6" w:rsidP="005E4D14">
            <w:pPr>
              <w:pStyle w:val="TableText0"/>
            </w:pPr>
            <w:r w:rsidRPr="00732679">
              <w:t>16</w:t>
            </w:r>
          </w:p>
        </w:tc>
        <w:tc>
          <w:tcPr>
            <w:tcW w:w="984" w:type="dxa"/>
            <w:vAlign w:val="center"/>
          </w:tcPr>
          <w:p w14:paraId="2FDFA661" w14:textId="77777777" w:rsidR="008D40C6" w:rsidRPr="00732679" w:rsidRDefault="008D40C6" w:rsidP="005E4D14">
            <w:pPr>
              <w:pStyle w:val="TableText0"/>
            </w:pPr>
            <w:r w:rsidRPr="00732679">
              <w:t>16</w:t>
            </w:r>
          </w:p>
        </w:tc>
        <w:tc>
          <w:tcPr>
            <w:tcW w:w="984" w:type="dxa"/>
            <w:vAlign w:val="center"/>
          </w:tcPr>
          <w:p w14:paraId="31FE9761" w14:textId="77777777" w:rsidR="008D40C6" w:rsidRPr="00732679" w:rsidRDefault="008D40C6" w:rsidP="005E4D14">
            <w:pPr>
              <w:pStyle w:val="TableText0"/>
            </w:pPr>
            <w:r w:rsidRPr="00732679">
              <w:t>16</w:t>
            </w:r>
          </w:p>
        </w:tc>
        <w:tc>
          <w:tcPr>
            <w:tcW w:w="984" w:type="dxa"/>
            <w:vAlign w:val="center"/>
          </w:tcPr>
          <w:p w14:paraId="0F022A4D" w14:textId="77777777" w:rsidR="008D40C6" w:rsidRPr="00732679" w:rsidRDefault="008D40C6" w:rsidP="005E4D14">
            <w:pPr>
              <w:pStyle w:val="TableText0"/>
            </w:pPr>
            <w:r w:rsidRPr="00732679">
              <w:t>16</w:t>
            </w:r>
          </w:p>
        </w:tc>
        <w:tc>
          <w:tcPr>
            <w:tcW w:w="984" w:type="dxa"/>
            <w:vAlign w:val="center"/>
          </w:tcPr>
          <w:p w14:paraId="611D7914" w14:textId="77777777" w:rsidR="008D40C6" w:rsidRPr="00732679" w:rsidRDefault="008D40C6" w:rsidP="005E4D14">
            <w:pPr>
              <w:pStyle w:val="TableText0"/>
            </w:pPr>
            <w:r w:rsidRPr="00732679">
              <w:t>17</w:t>
            </w:r>
          </w:p>
        </w:tc>
        <w:tc>
          <w:tcPr>
            <w:tcW w:w="984" w:type="dxa"/>
            <w:vAlign w:val="center"/>
          </w:tcPr>
          <w:p w14:paraId="42BADB71" w14:textId="77777777" w:rsidR="008D40C6" w:rsidRPr="00732679" w:rsidRDefault="008D40C6" w:rsidP="005E4D14">
            <w:pPr>
              <w:pStyle w:val="TableText0"/>
            </w:pPr>
            <w:r w:rsidRPr="00732679">
              <w:t>17</w:t>
            </w:r>
          </w:p>
        </w:tc>
      </w:tr>
      <w:tr w:rsidR="008D40C6" w14:paraId="04291E39" w14:textId="77777777" w:rsidTr="005E4D14">
        <w:tc>
          <w:tcPr>
            <w:tcW w:w="9017" w:type="dxa"/>
            <w:gridSpan w:val="7"/>
          </w:tcPr>
          <w:p w14:paraId="1EC4EF9D" w14:textId="77777777" w:rsidR="008D40C6" w:rsidRPr="00732679" w:rsidRDefault="008D40C6" w:rsidP="005E4D14">
            <w:pPr>
              <w:pStyle w:val="TableText0"/>
              <w:rPr>
                <w:b/>
                <w:bCs w:val="0"/>
              </w:rPr>
            </w:pPr>
            <w:r w:rsidRPr="00732679">
              <w:rPr>
                <w:b/>
                <w:bCs w:val="0"/>
              </w:rPr>
              <w:t>Ureteral cancer</w:t>
            </w:r>
          </w:p>
        </w:tc>
      </w:tr>
      <w:tr w:rsidR="008D40C6" w14:paraId="77B9F8B9" w14:textId="77777777" w:rsidTr="005E4D14">
        <w:tc>
          <w:tcPr>
            <w:tcW w:w="3114" w:type="dxa"/>
          </w:tcPr>
          <w:p w14:paraId="38792F6C" w14:textId="77777777" w:rsidR="008D40C6" w:rsidRPr="00732679" w:rsidRDefault="008D40C6" w:rsidP="005E4D14">
            <w:pPr>
              <w:pStyle w:val="TableText0"/>
            </w:pPr>
            <w:r w:rsidRPr="00732679">
              <w:t>Incident patients</w:t>
            </w:r>
            <w:r>
              <w:t xml:space="preserve"> (C)</w:t>
            </w:r>
          </w:p>
        </w:tc>
        <w:tc>
          <w:tcPr>
            <w:tcW w:w="983" w:type="dxa"/>
            <w:vAlign w:val="center"/>
          </w:tcPr>
          <w:p w14:paraId="1C1D1D5A" w14:textId="77777777" w:rsidR="008D40C6" w:rsidRPr="00732679" w:rsidRDefault="008D40C6" w:rsidP="005E4D14">
            <w:pPr>
              <w:pStyle w:val="TableText0"/>
            </w:pPr>
            <w:r w:rsidRPr="00732679">
              <w:t>186</w:t>
            </w:r>
          </w:p>
        </w:tc>
        <w:tc>
          <w:tcPr>
            <w:tcW w:w="984" w:type="dxa"/>
            <w:vAlign w:val="center"/>
          </w:tcPr>
          <w:p w14:paraId="23FBB461" w14:textId="77777777" w:rsidR="008D40C6" w:rsidRPr="00732679" w:rsidRDefault="008D40C6" w:rsidP="005E4D14">
            <w:pPr>
              <w:pStyle w:val="TableText0"/>
            </w:pPr>
            <w:r w:rsidRPr="00732679">
              <w:t>190</w:t>
            </w:r>
          </w:p>
        </w:tc>
        <w:tc>
          <w:tcPr>
            <w:tcW w:w="984" w:type="dxa"/>
            <w:vAlign w:val="center"/>
          </w:tcPr>
          <w:p w14:paraId="0A43A6F0" w14:textId="77777777" w:rsidR="008D40C6" w:rsidRPr="00732679" w:rsidRDefault="008D40C6" w:rsidP="005E4D14">
            <w:pPr>
              <w:pStyle w:val="TableText0"/>
            </w:pPr>
            <w:r w:rsidRPr="00732679">
              <w:t>195</w:t>
            </w:r>
          </w:p>
        </w:tc>
        <w:tc>
          <w:tcPr>
            <w:tcW w:w="984" w:type="dxa"/>
            <w:vAlign w:val="center"/>
          </w:tcPr>
          <w:p w14:paraId="6067F36B" w14:textId="77777777" w:rsidR="008D40C6" w:rsidRPr="00732679" w:rsidRDefault="008D40C6" w:rsidP="005E4D14">
            <w:pPr>
              <w:pStyle w:val="TableText0"/>
            </w:pPr>
            <w:r w:rsidRPr="00732679">
              <w:t>200</w:t>
            </w:r>
          </w:p>
        </w:tc>
        <w:tc>
          <w:tcPr>
            <w:tcW w:w="984" w:type="dxa"/>
            <w:vAlign w:val="center"/>
          </w:tcPr>
          <w:p w14:paraId="0EF22C7C" w14:textId="77777777" w:rsidR="008D40C6" w:rsidRPr="00732679" w:rsidRDefault="008D40C6" w:rsidP="005E4D14">
            <w:pPr>
              <w:pStyle w:val="TableText0"/>
            </w:pPr>
            <w:r w:rsidRPr="00732679">
              <w:t>204</w:t>
            </w:r>
          </w:p>
        </w:tc>
        <w:tc>
          <w:tcPr>
            <w:tcW w:w="984" w:type="dxa"/>
            <w:vAlign w:val="center"/>
          </w:tcPr>
          <w:p w14:paraId="7BA15800" w14:textId="77777777" w:rsidR="008D40C6" w:rsidRPr="00732679" w:rsidRDefault="008D40C6" w:rsidP="005E4D14">
            <w:pPr>
              <w:pStyle w:val="TableText0"/>
            </w:pPr>
            <w:r w:rsidRPr="00732679">
              <w:t>209</w:t>
            </w:r>
          </w:p>
        </w:tc>
      </w:tr>
      <w:tr w:rsidR="008D40C6" w14:paraId="788A6FEA" w14:textId="77777777" w:rsidTr="005E4D14">
        <w:tc>
          <w:tcPr>
            <w:tcW w:w="3114" w:type="dxa"/>
          </w:tcPr>
          <w:p w14:paraId="3487D3CF" w14:textId="77777777" w:rsidR="008D40C6" w:rsidRPr="00732679" w:rsidRDefault="008D40C6" w:rsidP="005E4D14">
            <w:pPr>
              <w:pStyle w:val="TableText0"/>
            </w:pPr>
            <w:r w:rsidRPr="00732679">
              <w:t>No. of patients diagnosed at late stage</w:t>
            </w:r>
            <w:r>
              <w:t xml:space="preserve"> </w:t>
            </w:r>
            <w:r w:rsidRPr="00F0515D">
              <w:t>(Stage III/IV)</w:t>
            </w:r>
            <w:r>
              <w:t xml:space="preserve"> (C x 87% x 68.68%)</w:t>
            </w:r>
          </w:p>
        </w:tc>
        <w:tc>
          <w:tcPr>
            <w:tcW w:w="983" w:type="dxa"/>
            <w:vAlign w:val="center"/>
          </w:tcPr>
          <w:p w14:paraId="59D576C0" w14:textId="77777777" w:rsidR="008D40C6" w:rsidRPr="00732679" w:rsidRDefault="008D40C6" w:rsidP="005E4D14">
            <w:pPr>
              <w:pStyle w:val="TableText0"/>
            </w:pPr>
            <w:r w:rsidRPr="00732679">
              <w:t>111</w:t>
            </w:r>
          </w:p>
        </w:tc>
        <w:tc>
          <w:tcPr>
            <w:tcW w:w="984" w:type="dxa"/>
            <w:vAlign w:val="center"/>
          </w:tcPr>
          <w:p w14:paraId="6D3999AF" w14:textId="77777777" w:rsidR="008D40C6" w:rsidRPr="00732679" w:rsidRDefault="008D40C6" w:rsidP="005E4D14">
            <w:pPr>
              <w:pStyle w:val="TableText0"/>
            </w:pPr>
            <w:r w:rsidRPr="00732679">
              <w:t>114</w:t>
            </w:r>
          </w:p>
        </w:tc>
        <w:tc>
          <w:tcPr>
            <w:tcW w:w="984" w:type="dxa"/>
            <w:vAlign w:val="center"/>
          </w:tcPr>
          <w:p w14:paraId="55C9CB07" w14:textId="77777777" w:rsidR="008D40C6" w:rsidRPr="00732679" w:rsidRDefault="008D40C6" w:rsidP="005E4D14">
            <w:pPr>
              <w:pStyle w:val="TableText0"/>
            </w:pPr>
            <w:r w:rsidRPr="00732679">
              <w:t>117</w:t>
            </w:r>
          </w:p>
        </w:tc>
        <w:tc>
          <w:tcPr>
            <w:tcW w:w="984" w:type="dxa"/>
            <w:vAlign w:val="center"/>
          </w:tcPr>
          <w:p w14:paraId="397EC082" w14:textId="77777777" w:rsidR="008D40C6" w:rsidRPr="00732679" w:rsidRDefault="008D40C6" w:rsidP="005E4D14">
            <w:pPr>
              <w:pStyle w:val="TableText0"/>
            </w:pPr>
            <w:r w:rsidRPr="00732679">
              <w:t>120</w:t>
            </w:r>
          </w:p>
        </w:tc>
        <w:tc>
          <w:tcPr>
            <w:tcW w:w="984" w:type="dxa"/>
            <w:vAlign w:val="center"/>
          </w:tcPr>
          <w:p w14:paraId="4EAC0375" w14:textId="77777777" w:rsidR="008D40C6" w:rsidRPr="00732679" w:rsidRDefault="008D40C6" w:rsidP="005E4D14">
            <w:pPr>
              <w:pStyle w:val="TableText0"/>
            </w:pPr>
            <w:r w:rsidRPr="00732679">
              <w:t>122</w:t>
            </w:r>
          </w:p>
        </w:tc>
        <w:tc>
          <w:tcPr>
            <w:tcW w:w="984" w:type="dxa"/>
            <w:vAlign w:val="center"/>
          </w:tcPr>
          <w:p w14:paraId="380D7D3D" w14:textId="77777777" w:rsidR="008D40C6" w:rsidRPr="00732679" w:rsidRDefault="008D40C6" w:rsidP="005E4D14">
            <w:pPr>
              <w:pStyle w:val="TableText0"/>
            </w:pPr>
            <w:r w:rsidRPr="00732679">
              <w:t>125</w:t>
            </w:r>
          </w:p>
        </w:tc>
      </w:tr>
      <w:tr w:rsidR="008D40C6" w14:paraId="69A7606D" w14:textId="77777777" w:rsidTr="005E4D14">
        <w:tc>
          <w:tcPr>
            <w:tcW w:w="3114" w:type="dxa"/>
          </w:tcPr>
          <w:p w14:paraId="71F44D48" w14:textId="77777777" w:rsidR="008D40C6" w:rsidRPr="00732679" w:rsidRDefault="008D40C6" w:rsidP="005E4D14">
            <w:pPr>
              <w:pStyle w:val="TableText0"/>
            </w:pPr>
            <w:r w:rsidRPr="00732679">
              <w:t>No. of patients with distance recurrence post RNU</w:t>
            </w:r>
            <w:r>
              <w:t xml:space="preserve"> </w:t>
            </w:r>
            <w:r w:rsidRPr="00F0515D">
              <w:t>(Stage 0/I/II)</w:t>
            </w:r>
            <w:r>
              <w:t xml:space="preserve"> </w:t>
            </w:r>
            <w:r>
              <w:br/>
              <w:t xml:space="preserve">(C x 87% x 31.14% x </w:t>
            </w:r>
            <w:r w:rsidRPr="0079168E">
              <w:t>16.64</w:t>
            </w:r>
            <w:r>
              <w:t xml:space="preserve"> %)</w:t>
            </w:r>
          </w:p>
        </w:tc>
        <w:tc>
          <w:tcPr>
            <w:tcW w:w="983" w:type="dxa"/>
            <w:vAlign w:val="center"/>
          </w:tcPr>
          <w:p w14:paraId="4445A4F0" w14:textId="77777777" w:rsidR="008D40C6" w:rsidRPr="00732679" w:rsidRDefault="008D40C6" w:rsidP="005E4D14">
            <w:pPr>
              <w:pStyle w:val="TableText0"/>
            </w:pPr>
            <w:r w:rsidRPr="00732679">
              <w:t>8</w:t>
            </w:r>
          </w:p>
        </w:tc>
        <w:tc>
          <w:tcPr>
            <w:tcW w:w="984" w:type="dxa"/>
            <w:vAlign w:val="center"/>
          </w:tcPr>
          <w:p w14:paraId="3ED566AD" w14:textId="77777777" w:rsidR="008D40C6" w:rsidRPr="00732679" w:rsidRDefault="008D40C6" w:rsidP="005E4D14">
            <w:pPr>
              <w:pStyle w:val="TableText0"/>
            </w:pPr>
            <w:r w:rsidRPr="00732679">
              <w:t>9</w:t>
            </w:r>
          </w:p>
        </w:tc>
        <w:tc>
          <w:tcPr>
            <w:tcW w:w="984" w:type="dxa"/>
            <w:vAlign w:val="center"/>
          </w:tcPr>
          <w:p w14:paraId="1BD0CC5F" w14:textId="77777777" w:rsidR="008D40C6" w:rsidRPr="00732679" w:rsidRDefault="008D40C6" w:rsidP="005E4D14">
            <w:pPr>
              <w:pStyle w:val="TableText0"/>
            </w:pPr>
            <w:r w:rsidRPr="00732679">
              <w:t>9</w:t>
            </w:r>
          </w:p>
        </w:tc>
        <w:tc>
          <w:tcPr>
            <w:tcW w:w="984" w:type="dxa"/>
            <w:vAlign w:val="center"/>
          </w:tcPr>
          <w:p w14:paraId="343D23F7" w14:textId="77777777" w:rsidR="008D40C6" w:rsidRPr="00732679" w:rsidRDefault="008D40C6" w:rsidP="005E4D14">
            <w:pPr>
              <w:pStyle w:val="TableText0"/>
            </w:pPr>
            <w:r w:rsidRPr="00732679">
              <w:t>9</w:t>
            </w:r>
          </w:p>
        </w:tc>
        <w:tc>
          <w:tcPr>
            <w:tcW w:w="984" w:type="dxa"/>
            <w:vAlign w:val="center"/>
          </w:tcPr>
          <w:p w14:paraId="28999133" w14:textId="77777777" w:rsidR="008D40C6" w:rsidRPr="00732679" w:rsidRDefault="008D40C6" w:rsidP="005E4D14">
            <w:pPr>
              <w:pStyle w:val="TableText0"/>
            </w:pPr>
            <w:r w:rsidRPr="00732679">
              <w:t>9</w:t>
            </w:r>
          </w:p>
        </w:tc>
        <w:tc>
          <w:tcPr>
            <w:tcW w:w="984" w:type="dxa"/>
            <w:vAlign w:val="center"/>
          </w:tcPr>
          <w:p w14:paraId="26641C88" w14:textId="77777777" w:rsidR="008D40C6" w:rsidRPr="00732679" w:rsidRDefault="008D40C6" w:rsidP="005E4D14">
            <w:pPr>
              <w:pStyle w:val="TableText0"/>
            </w:pPr>
            <w:r w:rsidRPr="00732679">
              <w:t>9</w:t>
            </w:r>
          </w:p>
        </w:tc>
      </w:tr>
      <w:tr w:rsidR="008D40C6" w14:paraId="71777C49" w14:textId="77777777" w:rsidTr="005E4D14">
        <w:tc>
          <w:tcPr>
            <w:tcW w:w="9017" w:type="dxa"/>
            <w:gridSpan w:val="7"/>
          </w:tcPr>
          <w:p w14:paraId="552B1954" w14:textId="77777777" w:rsidR="008D40C6" w:rsidRPr="00732679" w:rsidRDefault="008D40C6" w:rsidP="005E4D14">
            <w:pPr>
              <w:pStyle w:val="TableText0"/>
              <w:rPr>
                <w:b/>
                <w:bCs w:val="0"/>
              </w:rPr>
            </w:pPr>
            <w:r w:rsidRPr="00732679">
              <w:rPr>
                <w:b/>
                <w:bCs w:val="0"/>
              </w:rPr>
              <w:t>Urethral cancer</w:t>
            </w:r>
          </w:p>
        </w:tc>
      </w:tr>
      <w:tr w:rsidR="008D40C6" w14:paraId="7B898D45" w14:textId="77777777" w:rsidTr="005E4D14">
        <w:tc>
          <w:tcPr>
            <w:tcW w:w="3114" w:type="dxa"/>
          </w:tcPr>
          <w:p w14:paraId="0FE7F562" w14:textId="77777777" w:rsidR="008D40C6" w:rsidRPr="00732679" w:rsidRDefault="008D40C6" w:rsidP="005E4D14">
            <w:pPr>
              <w:pStyle w:val="TableText0"/>
            </w:pPr>
            <w:r w:rsidRPr="00732679">
              <w:t>Incident patients</w:t>
            </w:r>
            <w:r>
              <w:t xml:space="preserve"> (D)</w:t>
            </w:r>
          </w:p>
        </w:tc>
        <w:tc>
          <w:tcPr>
            <w:tcW w:w="983" w:type="dxa"/>
            <w:vAlign w:val="center"/>
          </w:tcPr>
          <w:p w14:paraId="50BD63A1" w14:textId="77777777" w:rsidR="008D40C6" w:rsidRPr="00732679" w:rsidRDefault="008D40C6" w:rsidP="005E4D14">
            <w:pPr>
              <w:pStyle w:val="TableText0"/>
            </w:pPr>
            <w:r w:rsidRPr="00732679">
              <w:t>47</w:t>
            </w:r>
          </w:p>
        </w:tc>
        <w:tc>
          <w:tcPr>
            <w:tcW w:w="984" w:type="dxa"/>
            <w:vAlign w:val="center"/>
          </w:tcPr>
          <w:p w14:paraId="0CA3E5B8" w14:textId="77777777" w:rsidR="008D40C6" w:rsidRPr="00732679" w:rsidRDefault="008D40C6" w:rsidP="005E4D14">
            <w:pPr>
              <w:pStyle w:val="TableText0"/>
            </w:pPr>
            <w:r w:rsidRPr="00732679">
              <w:t>49</w:t>
            </w:r>
          </w:p>
        </w:tc>
        <w:tc>
          <w:tcPr>
            <w:tcW w:w="984" w:type="dxa"/>
            <w:vAlign w:val="center"/>
          </w:tcPr>
          <w:p w14:paraId="06B0693D" w14:textId="77777777" w:rsidR="008D40C6" w:rsidRPr="00732679" w:rsidRDefault="008D40C6" w:rsidP="005E4D14">
            <w:pPr>
              <w:pStyle w:val="TableText0"/>
            </w:pPr>
            <w:r w:rsidRPr="00732679">
              <w:t>50</w:t>
            </w:r>
          </w:p>
        </w:tc>
        <w:tc>
          <w:tcPr>
            <w:tcW w:w="984" w:type="dxa"/>
            <w:vAlign w:val="center"/>
          </w:tcPr>
          <w:p w14:paraId="38C1EEC6" w14:textId="77777777" w:rsidR="008D40C6" w:rsidRPr="00732679" w:rsidRDefault="008D40C6" w:rsidP="005E4D14">
            <w:pPr>
              <w:pStyle w:val="TableText0"/>
            </w:pPr>
            <w:r w:rsidRPr="00732679">
              <w:t>52</w:t>
            </w:r>
          </w:p>
        </w:tc>
        <w:tc>
          <w:tcPr>
            <w:tcW w:w="984" w:type="dxa"/>
            <w:vAlign w:val="center"/>
          </w:tcPr>
          <w:p w14:paraId="02F202D1" w14:textId="77777777" w:rsidR="008D40C6" w:rsidRPr="00732679" w:rsidRDefault="008D40C6" w:rsidP="005E4D14">
            <w:pPr>
              <w:pStyle w:val="TableText0"/>
            </w:pPr>
            <w:r w:rsidRPr="00732679">
              <w:t>54</w:t>
            </w:r>
          </w:p>
        </w:tc>
        <w:tc>
          <w:tcPr>
            <w:tcW w:w="984" w:type="dxa"/>
            <w:vAlign w:val="center"/>
          </w:tcPr>
          <w:p w14:paraId="1962BA16" w14:textId="77777777" w:rsidR="008D40C6" w:rsidRPr="00732679" w:rsidRDefault="008D40C6" w:rsidP="005E4D14">
            <w:pPr>
              <w:pStyle w:val="TableText0"/>
            </w:pPr>
            <w:r w:rsidRPr="00732679">
              <w:t>55</w:t>
            </w:r>
          </w:p>
        </w:tc>
      </w:tr>
      <w:tr w:rsidR="008D40C6" w14:paraId="54202F8B" w14:textId="77777777" w:rsidTr="005E4D14">
        <w:tc>
          <w:tcPr>
            <w:tcW w:w="3114" w:type="dxa"/>
          </w:tcPr>
          <w:p w14:paraId="66FD9882" w14:textId="77777777" w:rsidR="008D40C6" w:rsidRPr="00732679" w:rsidRDefault="008D40C6" w:rsidP="005E4D14">
            <w:pPr>
              <w:pStyle w:val="TableText0"/>
            </w:pPr>
            <w:r w:rsidRPr="00732679">
              <w:t>No. of patients diagnosed at late stage</w:t>
            </w:r>
            <w:r>
              <w:t xml:space="preserve"> (D x 42% x 68.68%)</w:t>
            </w:r>
          </w:p>
        </w:tc>
        <w:tc>
          <w:tcPr>
            <w:tcW w:w="983" w:type="dxa"/>
            <w:vAlign w:val="center"/>
          </w:tcPr>
          <w:p w14:paraId="29D0AA97" w14:textId="77777777" w:rsidR="008D40C6" w:rsidRPr="00732679" w:rsidRDefault="008D40C6" w:rsidP="005E4D14">
            <w:pPr>
              <w:pStyle w:val="TableText0"/>
            </w:pPr>
            <w:r w:rsidRPr="00732679">
              <w:t>14</w:t>
            </w:r>
          </w:p>
        </w:tc>
        <w:tc>
          <w:tcPr>
            <w:tcW w:w="984" w:type="dxa"/>
            <w:vAlign w:val="center"/>
          </w:tcPr>
          <w:p w14:paraId="452D23E5" w14:textId="77777777" w:rsidR="008D40C6" w:rsidRPr="00732679" w:rsidRDefault="008D40C6" w:rsidP="005E4D14">
            <w:pPr>
              <w:pStyle w:val="TableText0"/>
            </w:pPr>
            <w:r w:rsidRPr="00732679">
              <w:t>14</w:t>
            </w:r>
          </w:p>
        </w:tc>
        <w:tc>
          <w:tcPr>
            <w:tcW w:w="984" w:type="dxa"/>
            <w:vAlign w:val="center"/>
          </w:tcPr>
          <w:p w14:paraId="6FC6D524" w14:textId="77777777" w:rsidR="008D40C6" w:rsidRPr="00732679" w:rsidRDefault="008D40C6" w:rsidP="005E4D14">
            <w:pPr>
              <w:pStyle w:val="TableText0"/>
            </w:pPr>
            <w:r w:rsidRPr="00732679">
              <w:t>15</w:t>
            </w:r>
          </w:p>
        </w:tc>
        <w:tc>
          <w:tcPr>
            <w:tcW w:w="984" w:type="dxa"/>
            <w:vAlign w:val="center"/>
          </w:tcPr>
          <w:p w14:paraId="39EBB4D3" w14:textId="77777777" w:rsidR="008D40C6" w:rsidRPr="00732679" w:rsidRDefault="008D40C6" w:rsidP="005E4D14">
            <w:pPr>
              <w:pStyle w:val="TableText0"/>
            </w:pPr>
            <w:r w:rsidRPr="00732679">
              <w:t>15</w:t>
            </w:r>
          </w:p>
        </w:tc>
        <w:tc>
          <w:tcPr>
            <w:tcW w:w="984" w:type="dxa"/>
            <w:vAlign w:val="center"/>
          </w:tcPr>
          <w:p w14:paraId="2284C81D" w14:textId="77777777" w:rsidR="008D40C6" w:rsidRPr="00732679" w:rsidRDefault="008D40C6" w:rsidP="005E4D14">
            <w:pPr>
              <w:pStyle w:val="TableText0"/>
            </w:pPr>
            <w:r w:rsidRPr="00732679">
              <w:t>15</w:t>
            </w:r>
          </w:p>
        </w:tc>
        <w:tc>
          <w:tcPr>
            <w:tcW w:w="984" w:type="dxa"/>
            <w:vAlign w:val="center"/>
          </w:tcPr>
          <w:p w14:paraId="5AFDC29F" w14:textId="77777777" w:rsidR="008D40C6" w:rsidRPr="00732679" w:rsidRDefault="008D40C6" w:rsidP="005E4D14">
            <w:pPr>
              <w:pStyle w:val="TableText0"/>
            </w:pPr>
            <w:r w:rsidRPr="00732679">
              <w:t>16</w:t>
            </w:r>
          </w:p>
        </w:tc>
      </w:tr>
      <w:tr w:rsidR="008D40C6" w14:paraId="5E8A856B" w14:textId="77777777" w:rsidTr="005E4D14">
        <w:tc>
          <w:tcPr>
            <w:tcW w:w="3114" w:type="dxa"/>
          </w:tcPr>
          <w:p w14:paraId="71CCC2E8" w14:textId="77777777" w:rsidR="008D40C6" w:rsidRDefault="008D40C6" w:rsidP="005E4D14">
            <w:pPr>
              <w:pStyle w:val="TableText0"/>
            </w:pPr>
            <w:r w:rsidRPr="00732679">
              <w:t>No. of patients with distance recurrence post RNU</w:t>
            </w:r>
            <w:r>
              <w:t xml:space="preserve"> </w:t>
            </w:r>
            <w:r w:rsidRPr="00F0515D">
              <w:t>(Stage 0/I/II)</w:t>
            </w:r>
            <w:r>
              <w:t xml:space="preserve"> </w:t>
            </w:r>
          </w:p>
          <w:p w14:paraId="575E2F32" w14:textId="77777777" w:rsidR="008D40C6" w:rsidRPr="00732679" w:rsidRDefault="008D40C6" w:rsidP="005E4D14">
            <w:pPr>
              <w:pStyle w:val="TableText0"/>
            </w:pPr>
            <w:r>
              <w:t>(D x 42% x 31.14% x 16.64%)</w:t>
            </w:r>
          </w:p>
        </w:tc>
        <w:tc>
          <w:tcPr>
            <w:tcW w:w="983" w:type="dxa"/>
            <w:vAlign w:val="center"/>
          </w:tcPr>
          <w:p w14:paraId="5345872D" w14:textId="77777777" w:rsidR="008D40C6" w:rsidRPr="00732679" w:rsidRDefault="008D40C6" w:rsidP="005E4D14">
            <w:pPr>
              <w:pStyle w:val="TableText0"/>
            </w:pPr>
            <w:r w:rsidRPr="00732679">
              <w:t>1</w:t>
            </w:r>
          </w:p>
        </w:tc>
        <w:tc>
          <w:tcPr>
            <w:tcW w:w="984" w:type="dxa"/>
            <w:vAlign w:val="center"/>
          </w:tcPr>
          <w:p w14:paraId="2D5FA669" w14:textId="77777777" w:rsidR="008D40C6" w:rsidRPr="00732679" w:rsidRDefault="008D40C6" w:rsidP="005E4D14">
            <w:pPr>
              <w:pStyle w:val="TableText0"/>
            </w:pPr>
            <w:r w:rsidRPr="00732679">
              <w:t>1</w:t>
            </w:r>
          </w:p>
        </w:tc>
        <w:tc>
          <w:tcPr>
            <w:tcW w:w="984" w:type="dxa"/>
            <w:vAlign w:val="center"/>
          </w:tcPr>
          <w:p w14:paraId="497FD48C" w14:textId="77777777" w:rsidR="008D40C6" w:rsidRPr="00732679" w:rsidRDefault="008D40C6" w:rsidP="005E4D14">
            <w:pPr>
              <w:pStyle w:val="TableText0"/>
            </w:pPr>
            <w:r w:rsidRPr="00732679">
              <w:t>1</w:t>
            </w:r>
          </w:p>
        </w:tc>
        <w:tc>
          <w:tcPr>
            <w:tcW w:w="984" w:type="dxa"/>
            <w:vAlign w:val="center"/>
          </w:tcPr>
          <w:p w14:paraId="4809E6DC" w14:textId="77777777" w:rsidR="008D40C6" w:rsidRPr="00732679" w:rsidRDefault="008D40C6" w:rsidP="005E4D14">
            <w:pPr>
              <w:pStyle w:val="TableText0"/>
            </w:pPr>
            <w:r w:rsidRPr="00732679">
              <w:t>1</w:t>
            </w:r>
          </w:p>
        </w:tc>
        <w:tc>
          <w:tcPr>
            <w:tcW w:w="984" w:type="dxa"/>
            <w:vAlign w:val="center"/>
          </w:tcPr>
          <w:p w14:paraId="3EEA6442" w14:textId="77777777" w:rsidR="008D40C6" w:rsidRPr="00732679" w:rsidRDefault="008D40C6" w:rsidP="005E4D14">
            <w:pPr>
              <w:pStyle w:val="TableText0"/>
            </w:pPr>
            <w:r w:rsidRPr="00732679">
              <w:t>1</w:t>
            </w:r>
          </w:p>
        </w:tc>
        <w:tc>
          <w:tcPr>
            <w:tcW w:w="984" w:type="dxa"/>
            <w:vAlign w:val="center"/>
          </w:tcPr>
          <w:p w14:paraId="411505C1" w14:textId="77777777" w:rsidR="008D40C6" w:rsidRPr="00732679" w:rsidRDefault="008D40C6" w:rsidP="005E4D14">
            <w:pPr>
              <w:pStyle w:val="TableText0"/>
            </w:pPr>
            <w:r w:rsidRPr="00732679">
              <w:t>1</w:t>
            </w:r>
          </w:p>
        </w:tc>
      </w:tr>
      <w:tr w:rsidR="008D40C6" w14:paraId="79C66C09" w14:textId="77777777" w:rsidTr="005E4D14">
        <w:tc>
          <w:tcPr>
            <w:tcW w:w="9017" w:type="dxa"/>
            <w:gridSpan w:val="7"/>
          </w:tcPr>
          <w:p w14:paraId="032D3E94" w14:textId="77777777" w:rsidR="008D40C6" w:rsidRPr="00732679" w:rsidRDefault="008D40C6" w:rsidP="005E4D14">
            <w:pPr>
              <w:pStyle w:val="TableText0"/>
              <w:rPr>
                <w:b/>
                <w:bCs w:val="0"/>
              </w:rPr>
            </w:pPr>
            <w:r w:rsidRPr="00732679">
              <w:rPr>
                <w:b/>
                <w:bCs w:val="0"/>
              </w:rPr>
              <w:t xml:space="preserve">Treated patients </w:t>
            </w:r>
          </w:p>
        </w:tc>
      </w:tr>
      <w:tr w:rsidR="008D40C6" w14:paraId="7DACA50C" w14:textId="77777777" w:rsidTr="005E4D14">
        <w:tc>
          <w:tcPr>
            <w:tcW w:w="3114" w:type="dxa"/>
          </w:tcPr>
          <w:p w14:paraId="4C2B7EEC" w14:textId="77777777" w:rsidR="008D40C6" w:rsidRPr="00732679" w:rsidRDefault="008D40C6" w:rsidP="005E4D14">
            <w:pPr>
              <w:pStyle w:val="TableText0"/>
            </w:pPr>
            <w:r w:rsidRPr="00732679">
              <w:t>Total incident patients</w:t>
            </w:r>
            <w:r>
              <w:t xml:space="preserve"> (E)</w:t>
            </w:r>
          </w:p>
        </w:tc>
        <w:tc>
          <w:tcPr>
            <w:tcW w:w="983" w:type="dxa"/>
          </w:tcPr>
          <w:p w14:paraId="3BB0F2A2" w14:textId="77777777" w:rsidR="008D40C6" w:rsidRPr="00732679" w:rsidRDefault="008D40C6" w:rsidP="005E4D14">
            <w:pPr>
              <w:pStyle w:val="TableText0"/>
            </w:pPr>
            <w:r w:rsidRPr="00732679">
              <w:t>1,682</w:t>
            </w:r>
          </w:p>
        </w:tc>
        <w:tc>
          <w:tcPr>
            <w:tcW w:w="984" w:type="dxa"/>
          </w:tcPr>
          <w:p w14:paraId="0E5914F6" w14:textId="77777777" w:rsidR="008D40C6" w:rsidRPr="00732679" w:rsidRDefault="008D40C6" w:rsidP="005E4D14">
            <w:pPr>
              <w:pStyle w:val="TableText0"/>
            </w:pPr>
            <w:r w:rsidRPr="00732679">
              <w:t>1,718</w:t>
            </w:r>
          </w:p>
        </w:tc>
        <w:tc>
          <w:tcPr>
            <w:tcW w:w="984" w:type="dxa"/>
          </w:tcPr>
          <w:p w14:paraId="0A85C842" w14:textId="77777777" w:rsidR="008D40C6" w:rsidRPr="00732679" w:rsidRDefault="008D40C6" w:rsidP="005E4D14">
            <w:pPr>
              <w:pStyle w:val="TableText0"/>
            </w:pPr>
            <w:r w:rsidRPr="00732679">
              <w:t>1,755</w:t>
            </w:r>
          </w:p>
        </w:tc>
        <w:tc>
          <w:tcPr>
            <w:tcW w:w="984" w:type="dxa"/>
          </w:tcPr>
          <w:p w14:paraId="496049DE" w14:textId="77777777" w:rsidR="008D40C6" w:rsidRPr="00732679" w:rsidRDefault="008D40C6" w:rsidP="005E4D14">
            <w:pPr>
              <w:pStyle w:val="TableText0"/>
            </w:pPr>
            <w:r w:rsidRPr="00732679">
              <w:t>1,793</w:t>
            </w:r>
          </w:p>
        </w:tc>
        <w:tc>
          <w:tcPr>
            <w:tcW w:w="984" w:type="dxa"/>
          </w:tcPr>
          <w:p w14:paraId="0DFEA4D7" w14:textId="77777777" w:rsidR="008D40C6" w:rsidRPr="00732679" w:rsidRDefault="008D40C6" w:rsidP="005E4D14">
            <w:pPr>
              <w:pStyle w:val="TableText0"/>
            </w:pPr>
            <w:r w:rsidRPr="00732679">
              <w:t>1,831</w:t>
            </w:r>
          </w:p>
        </w:tc>
        <w:tc>
          <w:tcPr>
            <w:tcW w:w="984" w:type="dxa"/>
          </w:tcPr>
          <w:p w14:paraId="7D0681C0" w14:textId="77777777" w:rsidR="008D40C6" w:rsidRPr="00732679" w:rsidRDefault="008D40C6" w:rsidP="005E4D14">
            <w:pPr>
              <w:pStyle w:val="TableText0"/>
            </w:pPr>
            <w:r w:rsidRPr="00732679">
              <w:t>1,871</w:t>
            </w:r>
          </w:p>
        </w:tc>
      </w:tr>
      <w:tr w:rsidR="008D40C6" w14:paraId="443CAF4B" w14:textId="77777777" w:rsidTr="005E4D14">
        <w:tc>
          <w:tcPr>
            <w:tcW w:w="3114" w:type="dxa"/>
          </w:tcPr>
          <w:p w14:paraId="6344B8C4" w14:textId="5876E7C7" w:rsidR="008D40C6" w:rsidRPr="00732679" w:rsidRDefault="008D40C6" w:rsidP="005E4D14">
            <w:pPr>
              <w:pStyle w:val="TableText0"/>
            </w:pPr>
            <w:r w:rsidRPr="00732679">
              <w:t>Patients eligible for first-line treatment</w:t>
            </w:r>
            <w:r>
              <w:t xml:space="preserve"> </w:t>
            </w:r>
            <w:r w:rsidR="00747AFC" w:rsidRPr="001D64F1">
              <w:t xml:space="preserve">with EV + PEM </w:t>
            </w:r>
            <w:r>
              <w:t xml:space="preserve">(E x </w:t>
            </w:r>
            <w:r w:rsidRPr="0079168E">
              <w:t>90%)</w:t>
            </w:r>
          </w:p>
        </w:tc>
        <w:tc>
          <w:tcPr>
            <w:tcW w:w="983" w:type="dxa"/>
            <w:vAlign w:val="center"/>
          </w:tcPr>
          <w:p w14:paraId="5E711756" w14:textId="77777777" w:rsidR="008D40C6" w:rsidRPr="00732679" w:rsidRDefault="008D40C6" w:rsidP="005E4D14">
            <w:pPr>
              <w:pStyle w:val="TableText0"/>
            </w:pPr>
            <w:r w:rsidRPr="00732679">
              <w:t>1,513</w:t>
            </w:r>
          </w:p>
        </w:tc>
        <w:tc>
          <w:tcPr>
            <w:tcW w:w="984" w:type="dxa"/>
            <w:vAlign w:val="center"/>
          </w:tcPr>
          <w:p w14:paraId="339919CE" w14:textId="77777777" w:rsidR="008D40C6" w:rsidRPr="00732679" w:rsidRDefault="008D40C6" w:rsidP="005E4D14">
            <w:pPr>
              <w:pStyle w:val="TableText0"/>
            </w:pPr>
            <w:r w:rsidRPr="00732679">
              <w:t>1,546</w:t>
            </w:r>
          </w:p>
        </w:tc>
        <w:tc>
          <w:tcPr>
            <w:tcW w:w="984" w:type="dxa"/>
            <w:vAlign w:val="center"/>
          </w:tcPr>
          <w:p w14:paraId="137FCC54" w14:textId="77777777" w:rsidR="008D40C6" w:rsidRPr="00732679" w:rsidRDefault="008D40C6" w:rsidP="005E4D14">
            <w:pPr>
              <w:pStyle w:val="TableText0"/>
            </w:pPr>
            <w:r w:rsidRPr="00732679">
              <w:t>1,579</w:t>
            </w:r>
          </w:p>
        </w:tc>
        <w:tc>
          <w:tcPr>
            <w:tcW w:w="984" w:type="dxa"/>
            <w:vAlign w:val="center"/>
          </w:tcPr>
          <w:p w14:paraId="28CE79D9" w14:textId="77777777" w:rsidR="008D40C6" w:rsidRPr="00732679" w:rsidRDefault="008D40C6" w:rsidP="005E4D14">
            <w:pPr>
              <w:pStyle w:val="TableText0"/>
            </w:pPr>
            <w:r w:rsidRPr="00732679">
              <w:t>1,614</w:t>
            </w:r>
          </w:p>
        </w:tc>
        <w:tc>
          <w:tcPr>
            <w:tcW w:w="984" w:type="dxa"/>
            <w:vAlign w:val="center"/>
          </w:tcPr>
          <w:p w14:paraId="142550AD" w14:textId="77777777" w:rsidR="008D40C6" w:rsidRPr="00732679" w:rsidRDefault="008D40C6" w:rsidP="005E4D14">
            <w:pPr>
              <w:pStyle w:val="TableText0"/>
            </w:pPr>
            <w:r w:rsidRPr="00732679">
              <w:t>1,648</w:t>
            </w:r>
          </w:p>
        </w:tc>
        <w:tc>
          <w:tcPr>
            <w:tcW w:w="984" w:type="dxa"/>
            <w:vAlign w:val="center"/>
          </w:tcPr>
          <w:p w14:paraId="7694C454" w14:textId="77777777" w:rsidR="008D40C6" w:rsidRPr="00732679" w:rsidRDefault="008D40C6" w:rsidP="005E4D14">
            <w:pPr>
              <w:pStyle w:val="TableText0"/>
            </w:pPr>
            <w:r w:rsidRPr="00732679">
              <w:t>1,684</w:t>
            </w:r>
          </w:p>
        </w:tc>
      </w:tr>
      <w:tr w:rsidR="008D40C6" w14:paraId="62297C6E" w14:textId="77777777" w:rsidTr="005E4D14">
        <w:tc>
          <w:tcPr>
            <w:tcW w:w="3114" w:type="dxa"/>
          </w:tcPr>
          <w:p w14:paraId="671DB5EC" w14:textId="77777777" w:rsidR="008D40C6" w:rsidRPr="00732679" w:rsidRDefault="008D40C6" w:rsidP="005E4D14">
            <w:pPr>
              <w:pStyle w:val="TableText0"/>
              <w:rPr>
                <w:b/>
                <w:bCs w:val="0"/>
              </w:rPr>
            </w:pPr>
            <w:r w:rsidRPr="00732679">
              <w:rPr>
                <w:b/>
                <w:bCs w:val="0"/>
              </w:rPr>
              <w:t xml:space="preserve">Total treated incident patients </w:t>
            </w:r>
          </w:p>
        </w:tc>
        <w:tc>
          <w:tcPr>
            <w:tcW w:w="983" w:type="dxa"/>
            <w:vAlign w:val="center"/>
          </w:tcPr>
          <w:p w14:paraId="79D90B3A" w14:textId="499030B1" w:rsidR="008D40C6" w:rsidRPr="00E36DB9" w:rsidRDefault="004C53B1" w:rsidP="005E4D14">
            <w:pPr>
              <w:pStyle w:val="TableText0"/>
              <w:rPr>
                <w:b/>
                <w:bCs w:val="0"/>
                <w:highlight w:val="darkGray"/>
              </w:rPr>
            </w:pPr>
            <w:r w:rsidRPr="004C53B1">
              <w:rPr>
                <w:b/>
                <w:bCs w:val="0"/>
                <w:color w:val="000000"/>
                <w:spacing w:val="58"/>
                <w:shd w:val="solid" w:color="000000" w:fill="000000"/>
                <w:fitText w:val="360" w:id="-761019644"/>
                <w14:textFill>
                  <w14:solidFill>
                    <w14:srgbClr w14:val="000000">
                      <w14:alpha w14:val="100000"/>
                    </w14:srgbClr>
                  </w14:solidFill>
                </w14:textFill>
              </w:rPr>
              <w:t>|||</w:t>
            </w:r>
            <w:r w:rsidRPr="004C53B1">
              <w:rPr>
                <w:b/>
                <w:bCs w:val="0"/>
                <w:color w:val="000000"/>
                <w:spacing w:val="3"/>
                <w:shd w:val="solid" w:color="000000" w:fill="000000"/>
                <w:fitText w:val="360" w:id="-761019644"/>
                <w14:textFill>
                  <w14:solidFill>
                    <w14:srgbClr w14:val="000000">
                      <w14:alpha w14:val="100000"/>
                    </w14:srgbClr>
                  </w14:solidFill>
                </w14:textFill>
              </w:rPr>
              <w:t>|</w:t>
            </w:r>
            <w:r w:rsidR="00332545" w:rsidRPr="00E36DB9">
              <w:rPr>
                <w:b/>
                <w:bCs w:val="0"/>
                <w:vertAlign w:val="superscript"/>
              </w:rPr>
              <w:t>1</w:t>
            </w:r>
          </w:p>
        </w:tc>
        <w:tc>
          <w:tcPr>
            <w:tcW w:w="984" w:type="dxa"/>
            <w:vAlign w:val="center"/>
          </w:tcPr>
          <w:p w14:paraId="1690B0E0" w14:textId="6997DC1A" w:rsidR="008D40C6" w:rsidRPr="00E36DB9" w:rsidRDefault="004C53B1" w:rsidP="005E4D14">
            <w:pPr>
              <w:pStyle w:val="TableText0"/>
              <w:rPr>
                <w:b/>
                <w:bCs w:val="0"/>
                <w:highlight w:val="darkGray"/>
              </w:rPr>
            </w:pPr>
            <w:r w:rsidRPr="004C53B1">
              <w:rPr>
                <w:b/>
                <w:bCs w:val="0"/>
                <w:color w:val="000000"/>
                <w:spacing w:val="58"/>
                <w:shd w:val="solid" w:color="000000" w:fill="000000"/>
                <w:fitText w:val="360" w:id="-761019643"/>
                <w14:textFill>
                  <w14:solidFill>
                    <w14:srgbClr w14:val="000000">
                      <w14:alpha w14:val="100000"/>
                    </w14:srgbClr>
                  </w14:solidFill>
                </w14:textFill>
              </w:rPr>
              <w:t>|||</w:t>
            </w:r>
            <w:r w:rsidRPr="004C53B1">
              <w:rPr>
                <w:b/>
                <w:bCs w:val="0"/>
                <w:color w:val="000000"/>
                <w:spacing w:val="3"/>
                <w:shd w:val="solid" w:color="000000" w:fill="000000"/>
                <w:fitText w:val="360" w:id="-761019643"/>
                <w14:textFill>
                  <w14:solidFill>
                    <w14:srgbClr w14:val="000000">
                      <w14:alpha w14:val="100000"/>
                    </w14:srgbClr>
                  </w14:solidFill>
                </w14:textFill>
              </w:rPr>
              <w:t>|</w:t>
            </w:r>
            <w:r w:rsidR="00332545" w:rsidRPr="00E36DB9">
              <w:rPr>
                <w:b/>
                <w:bCs w:val="0"/>
                <w:vertAlign w:val="superscript"/>
              </w:rPr>
              <w:t>1</w:t>
            </w:r>
          </w:p>
        </w:tc>
        <w:tc>
          <w:tcPr>
            <w:tcW w:w="984" w:type="dxa"/>
            <w:vAlign w:val="center"/>
          </w:tcPr>
          <w:p w14:paraId="47DE3E24" w14:textId="75056513" w:rsidR="008D40C6" w:rsidRPr="00E36DB9" w:rsidRDefault="004C53B1" w:rsidP="005E4D14">
            <w:pPr>
              <w:pStyle w:val="TableText0"/>
              <w:rPr>
                <w:b/>
                <w:bCs w:val="0"/>
                <w:highlight w:val="darkGray"/>
              </w:rPr>
            </w:pPr>
            <w:r w:rsidRPr="004C53B1">
              <w:rPr>
                <w:b/>
                <w:bCs w:val="0"/>
                <w:color w:val="000000"/>
                <w:spacing w:val="58"/>
                <w:shd w:val="solid" w:color="000000" w:fill="000000"/>
                <w:fitText w:val="360" w:id="-761019642"/>
                <w14:textFill>
                  <w14:solidFill>
                    <w14:srgbClr w14:val="000000">
                      <w14:alpha w14:val="100000"/>
                    </w14:srgbClr>
                  </w14:solidFill>
                </w14:textFill>
              </w:rPr>
              <w:t>|||</w:t>
            </w:r>
            <w:r w:rsidRPr="004C53B1">
              <w:rPr>
                <w:b/>
                <w:bCs w:val="0"/>
                <w:color w:val="000000"/>
                <w:spacing w:val="3"/>
                <w:shd w:val="solid" w:color="000000" w:fill="000000"/>
                <w:fitText w:val="360" w:id="-761019642"/>
                <w14:textFill>
                  <w14:solidFill>
                    <w14:srgbClr w14:val="000000">
                      <w14:alpha w14:val="100000"/>
                    </w14:srgbClr>
                  </w14:solidFill>
                </w14:textFill>
              </w:rPr>
              <w:t>|</w:t>
            </w:r>
            <w:r w:rsidR="00332545" w:rsidRPr="00E36DB9">
              <w:rPr>
                <w:b/>
                <w:bCs w:val="0"/>
                <w:vertAlign w:val="superscript"/>
              </w:rPr>
              <w:t>1</w:t>
            </w:r>
          </w:p>
        </w:tc>
        <w:tc>
          <w:tcPr>
            <w:tcW w:w="984" w:type="dxa"/>
            <w:vAlign w:val="center"/>
          </w:tcPr>
          <w:p w14:paraId="3402D0D5" w14:textId="4164394D" w:rsidR="008D40C6" w:rsidRPr="00E36DB9" w:rsidRDefault="004C53B1" w:rsidP="005E4D14">
            <w:pPr>
              <w:pStyle w:val="TableText0"/>
              <w:rPr>
                <w:b/>
                <w:bCs w:val="0"/>
                <w:highlight w:val="darkGray"/>
              </w:rPr>
            </w:pPr>
            <w:r w:rsidRPr="004C53B1">
              <w:rPr>
                <w:b/>
                <w:bCs w:val="0"/>
                <w:color w:val="000000"/>
                <w:spacing w:val="58"/>
                <w:shd w:val="solid" w:color="000000" w:fill="000000"/>
                <w:fitText w:val="360" w:id="-761019641"/>
                <w14:textFill>
                  <w14:solidFill>
                    <w14:srgbClr w14:val="000000">
                      <w14:alpha w14:val="100000"/>
                    </w14:srgbClr>
                  </w14:solidFill>
                </w14:textFill>
              </w:rPr>
              <w:t>|||</w:t>
            </w:r>
            <w:r w:rsidRPr="004C53B1">
              <w:rPr>
                <w:b/>
                <w:bCs w:val="0"/>
                <w:color w:val="000000"/>
                <w:spacing w:val="3"/>
                <w:shd w:val="solid" w:color="000000" w:fill="000000"/>
                <w:fitText w:val="360" w:id="-761019641"/>
                <w14:textFill>
                  <w14:solidFill>
                    <w14:srgbClr w14:val="000000">
                      <w14:alpha w14:val="100000"/>
                    </w14:srgbClr>
                  </w14:solidFill>
                </w14:textFill>
              </w:rPr>
              <w:t>|</w:t>
            </w:r>
            <w:r w:rsidR="00332545" w:rsidRPr="00E36DB9">
              <w:rPr>
                <w:b/>
                <w:bCs w:val="0"/>
                <w:vertAlign w:val="superscript"/>
              </w:rPr>
              <w:t>1</w:t>
            </w:r>
          </w:p>
        </w:tc>
        <w:tc>
          <w:tcPr>
            <w:tcW w:w="984" w:type="dxa"/>
            <w:vAlign w:val="center"/>
          </w:tcPr>
          <w:p w14:paraId="6B12487A" w14:textId="0037D266" w:rsidR="008D40C6" w:rsidRPr="00E36DB9" w:rsidRDefault="004C53B1" w:rsidP="005E4D14">
            <w:pPr>
              <w:pStyle w:val="TableText0"/>
              <w:rPr>
                <w:b/>
                <w:bCs w:val="0"/>
                <w:highlight w:val="darkGray"/>
              </w:rPr>
            </w:pPr>
            <w:r w:rsidRPr="004C53B1">
              <w:rPr>
                <w:b/>
                <w:bCs w:val="0"/>
                <w:color w:val="000000"/>
                <w:spacing w:val="58"/>
                <w:shd w:val="solid" w:color="000000" w:fill="000000"/>
                <w:fitText w:val="360" w:id="-761019640"/>
                <w14:textFill>
                  <w14:solidFill>
                    <w14:srgbClr w14:val="000000">
                      <w14:alpha w14:val="100000"/>
                    </w14:srgbClr>
                  </w14:solidFill>
                </w14:textFill>
              </w:rPr>
              <w:t>|||</w:t>
            </w:r>
            <w:r w:rsidRPr="004C53B1">
              <w:rPr>
                <w:b/>
                <w:bCs w:val="0"/>
                <w:color w:val="000000"/>
                <w:spacing w:val="3"/>
                <w:shd w:val="solid" w:color="000000" w:fill="000000"/>
                <w:fitText w:val="360" w:id="-761019640"/>
                <w14:textFill>
                  <w14:solidFill>
                    <w14:srgbClr w14:val="000000">
                      <w14:alpha w14:val="100000"/>
                    </w14:srgbClr>
                  </w14:solidFill>
                </w14:textFill>
              </w:rPr>
              <w:t>|</w:t>
            </w:r>
            <w:r w:rsidR="00332545" w:rsidRPr="00E36DB9">
              <w:rPr>
                <w:b/>
                <w:bCs w:val="0"/>
                <w:vertAlign w:val="superscript"/>
              </w:rPr>
              <w:t>1</w:t>
            </w:r>
          </w:p>
        </w:tc>
        <w:tc>
          <w:tcPr>
            <w:tcW w:w="984" w:type="dxa"/>
            <w:vAlign w:val="center"/>
          </w:tcPr>
          <w:p w14:paraId="37736D00" w14:textId="6102132D" w:rsidR="008D40C6" w:rsidRPr="00E36DB9" w:rsidRDefault="004C53B1" w:rsidP="005E4D14">
            <w:pPr>
              <w:pStyle w:val="TableText0"/>
              <w:rPr>
                <w:b/>
                <w:bCs w:val="0"/>
                <w:highlight w:val="darkGray"/>
              </w:rPr>
            </w:pPr>
            <w:r w:rsidRPr="004C53B1">
              <w:rPr>
                <w:b/>
                <w:bCs w:val="0"/>
                <w:color w:val="000000"/>
                <w:spacing w:val="58"/>
                <w:shd w:val="solid" w:color="000000" w:fill="000000"/>
                <w:fitText w:val="360" w:id="-761019639"/>
                <w14:textFill>
                  <w14:solidFill>
                    <w14:srgbClr w14:val="000000">
                      <w14:alpha w14:val="100000"/>
                    </w14:srgbClr>
                  </w14:solidFill>
                </w14:textFill>
              </w:rPr>
              <w:t>|||</w:t>
            </w:r>
            <w:r w:rsidRPr="004C53B1">
              <w:rPr>
                <w:b/>
                <w:bCs w:val="0"/>
                <w:color w:val="000000"/>
                <w:spacing w:val="3"/>
                <w:shd w:val="solid" w:color="000000" w:fill="000000"/>
                <w:fitText w:val="360" w:id="-761019639"/>
                <w14:textFill>
                  <w14:solidFill>
                    <w14:srgbClr w14:val="000000">
                      <w14:alpha w14:val="100000"/>
                    </w14:srgbClr>
                  </w14:solidFill>
                </w14:textFill>
              </w:rPr>
              <w:t>|</w:t>
            </w:r>
            <w:r w:rsidR="00332545" w:rsidRPr="00E36DB9">
              <w:rPr>
                <w:b/>
                <w:bCs w:val="0"/>
                <w:vertAlign w:val="superscript"/>
              </w:rPr>
              <w:t>1</w:t>
            </w:r>
          </w:p>
        </w:tc>
      </w:tr>
      <w:tr w:rsidR="008D40C6" w14:paraId="0F9F4E7D" w14:textId="77777777" w:rsidTr="005E4D14">
        <w:tc>
          <w:tcPr>
            <w:tcW w:w="3114" w:type="dxa"/>
          </w:tcPr>
          <w:p w14:paraId="6C976339" w14:textId="77777777" w:rsidR="008D40C6" w:rsidRPr="00732679" w:rsidRDefault="008D40C6" w:rsidP="005E4D14">
            <w:pPr>
              <w:pStyle w:val="TableText0"/>
              <w:rPr>
                <w:b/>
                <w:bCs w:val="0"/>
              </w:rPr>
            </w:pPr>
            <w:r w:rsidRPr="00732679">
              <w:rPr>
                <w:b/>
                <w:bCs w:val="0"/>
              </w:rPr>
              <w:t>Grandfathered patients</w:t>
            </w:r>
          </w:p>
        </w:tc>
        <w:tc>
          <w:tcPr>
            <w:tcW w:w="983" w:type="dxa"/>
            <w:vAlign w:val="center"/>
          </w:tcPr>
          <w:p w14:paraId="06C664B1" w14:textId="1417AE75" w:rsidR="008D40C6" w:rsidRPr="00732679" w:rsidRDefault="004C53B1" w:rsidP="005E4D14">
            <w:pPr>
              <w:pStyle w:val="TableText0"/>
              <w:rPr>
                <w:b/>
                <w:bCs w:val="0"/>
              </w:rPr>
            </w:pPr>
            <w:r w:rsidRPr="004C53B1">
              <w:rPr>
                <w:b/>
                <w:bCs w:val="0"/>
                <w:color w:val="000000"/>
                <w:spacing w:val="58"/>
                <w:shd w:val="solid" w:color="000000" w:fill="000000"/>
                <w:fitText w:val="360" w:id="-761019638"/>
                <w14:textFill>
                  <w14:solidFill>
                    <w14:srgbClr w14:val="000000">
                      <w14:alpha w14:val="100000"/>
                    </w14:srgbClr>
                  </w14:solidFill>
                </w14:textFill>
              </w:rPr>
              <w:t>|||</w:t>
            </w:r>
            <w:r w:rsidRPr="004C53B1">
              <w:rPr>
                <w:b/>
                <w:bCs w:val="0"/>
                <w:color w:val="000000"/>
                <w:spacing w:val="3"/>
                <w:shd w:val="solid" w:color="000000" w:fill="000000"/>
                <w:fitText w:val="360" w:id="-761019638"/>
                <w14:textFill>
                  <w14:solidFill>
                    <w14:srgbClr w14:val="000000">
                      <w14:alpha w14:val="100000"/>
                    </w14:srgbClr>
                  </w14:solidFill>
                </w14:textFill>
              </w:rPr>
              <w:t>|</w:t>
            </w:r>
            <w:r w:rsidR="00332545" w:rsidRPr="00E36DB9">
              <w:rPr>
                <w:b/>
                <w:bCs w:val="0"/>
                <w:vertAlign w:val="superscript"/>
              </w:rPr>
              <w:t>2</w:t>
            </w:r>
            <w:r w:rsidR="008D40C6" w:rsidRPr="00732679">
              <w:rPr>
                <w:b/>
                <w:bCs w:val="0"/>
              </w:rPr>
              <w:t xml:space="preserve"> </w:t>
            </w:r>
          </w:p>
        </w:tc>
        <w:tc>
          <w:tcPr>
            <w:tcW w:w="984" w:type="dxa"/>
            <w:vAlign w:val="center"/>
          </w:tcPr>
          <w:p w14:paraId="04118BD5" w14:textId="77777777" w:rsidR="008D40C6" w:rsidRPr="00732679" w:rsidRDefault="008D40C6" w:rsidP="005E4D14">
            <w:pPr>
              <w:pStyle w:val="TableText0"/>
              <w:rPr>
                <w:b/>
                <w:bCs w:val="0"/>
              </w:rPr>
            </w:pPr>
            <w:r w:rsidRPr="00732679">
              <w:rPr>
                <w:b/>
                <w:bCs w:val="0"/>
              </w:rPr>
              <w:t>-</w:t>
            </w:r>
          </w:p>
        </w:tc>
        <w:tc>
          <w:tcPr>
            <w:tcW w:w="984" w:type="dxa"/>
            <w:vAlign w:val="center"/>
          </w:tcPr>
          <w:p w14:paraId="302E2054" w14:textId="77777777" w:rsidR="008D40C6" w:rsidRPr="00732679" w:rsidRDefault="008D40C6" w:rsidP="005E4D14">
            <w:pPr>
              <w:pStyle w:val="TableText0"/>
              <w:rPr>
                <w:b/>
                <w:bCs w:val="0"/>
              </w:rPr>
            </w:pPr>
            <w:r w:rsidRPr="00732679">
              <w:rPr>
                <w:b/>
                <w:bCs w:val="0"/>
              </w:rPr>
              <w:t>-</w:t>
            </w:r>
          </w:p>
        </w:tc>
        <w:tc>
          <w:tcPr>
            <w:tcW w:w="984" w:type="dxa"/>
            <w:vAlign w:val="center"/>
          </w:tcPr>
          <w:p w14:paraId="749B07F6" w14:textId="77777777" w:rsidR="008D40C6" w:rsidRPr="00732679" w:rsidRDefault="008D40C6" w:rsidP="005E4D14">
            <w:pPr>
              <w:pStyle w:val="TableText0"/>
              <w:rPr>
                <w:b/>
                <w:bCs w:val="0"/>
              </w:rPr>
            </w:pPr>
            <w:r w:rsidRPr="00732679">
              <w:rPr>
                <w:b/>
                <w:bCs w:val="0"/>
              </w:rPr>
              <w:t>-</w:t>
            </w:r>
          </w:p>
        </w:tc>
        <w:tc>
          <w:tcPr>
            <w:tcW w:w="984" w:type="dxa"/>
            <w:vAlign w:val="center"/>
          </w:tcPr>
          <w:p w14:paraId="7A8D5336" w14:textId="77777777" w:rsidR="008D40C6" w:rsidRPr="00732679" w:rsidRDefault="008D40C6" w:rsidP="005E4D14">
            <w:pPr>
              <w:pStyle w:val="TableText0"/>
              <w:rPr>
                <w:b/>
                <w:bCs w:val="0"/>
              </w:rPr>
            </w:pPr>
            <w:r w:rsidRPr="00732679">
              <w:rPr>
                <w:b/>
                <w:bCs w:val="0"/>
              </w:rPr>
              <w:t>-</w:t>
            </w:r>
          </w:p>
        </w:tc>
        <w:tc>
          <w:tcPr>
            <w:tcW w:w="984" w:type="dxa"/>
            <w:vAlign w:val="center"/>
          </w:tcPr>
          <w:p w14:paraId="1ABE3FB9" w14:textId="77777777" w:rsidR="008D40C6" w:rsidRPr="00732679" w:rsidRDefault="008D40C6" w:rsidP="005E4D14">
            <w:pPr>
              <w:pStyle w:val="TableText0"/>
              <w:rPr>
                <w:b/>
                <w:bCs w:val="0"/>
              </w:rPr>
            </w:pPr>
            <w:r w:rsidRPr="00732679">
              <w:rPr>
                <w:b/>
                <w:bCs w:val="0"/>
              </w:rPr>
              <w:t>-</w:t>
            </w:r>
          </w:p>
        </w:tc>
      </w:tr>
    </w:tbl>
    <w:p w14:paraId="6D92C050" w14:textId="77777777" w:rsidR="008D40C6" w:rsidRDefault="008D40C6" w:rsidP="008D40C6">
      <w:pPr>
        <w:pStyle w:val="TableFigureFooter"/>
      </w:pPr>
      <w:r>
        <w:t xml:space="preserve">Source: tabulated during the evaluation from </w:t>
      </w:r>
      <w:r w:rsidRPr="00F0515D">
        <w:t>Tables 4-3, 4-4, 4-5, 4-6 and 4-7, pp118-121 of the submission.</w:t>
      </w:r>
    </w:p>
    <w:p w14:paraId="06798099" w14:textId="77777777" w:rsidR="00332545" w:rsidRDefault="008D40C6" w:rsidP="00332545">
      <w:pPr>
        <w:pStyle w:val="TableFigureFooter"/>
      </w:pPr>
      <w:r w:rsidRPr="00F0515D">
        <w:t>BCG = Bacillus Calmette-Guerin; RNU = radical nephroureterectomy</w:t>
      </w:r>
      <w:r w:rsidR="00332545" w:rsidRPr="00332545">
        <w:t xml:space="preserve"> </w:t>
      </w:r>
    </w:p>
    <w:p w14:paraId="3B77C8CF" w14:textId="0D796DE4" w:rsidR="00332545" w:rsidRPr="00D035D2" w:rsidRDefault="00332545" w:rsidP="00332545">
      <w:pPr>
        <w:pStyle w:val="TableFigureFooter"/>
        <w:rPr>
          <w:i/>
          <w:iCs/>
        </w:rPr>
      </w:pPr>
      <w:r w:rsidRPr="00D035D2">
        <w:rPr>
          <w:i/>
          <w:iCs/>
        </w:rPr>
        <w:t>The redacted values correspond to the following ranges:</w:t>
      </w:r>
    </w:p>
    <w:p w14:paraId="7D5F92CC" w14:textId="77777777" w:rsidR="00332545" w:rsidRPr="00D035D2" w:rsidRDefault="00332545" w:rsidP="00332545">
      <w:pPr>
        <w:pStyle w:val="TableFigureFooter"/>
        <w:rPr>
          <w:i/>
          <w:iCs/>
        </w:rPr>
      </w:pPr>
      <w:r w:rsidRPr="00D035D2">
        <w:rPr>
          <w:i/>
          <w:iCs/>
        </w:rPr>
        <w:t>1 500 to &lt; 5,000</w:t>
      </w:r>
    </w:p>
    <w:p w14:paraId="31E8B207" w14:textId="568FA800" w:rsidR="008D40C6" w:rsidRPr="00D035D2" w:rsidRDefault="00332545" w:rsidP="00332545">
      <w:pPr>
        <w:pStyle w:val="TableFigureFooter"/>
        <w:rPr>
          <w:i/>
          <w:iCs/>
        </w:rPr>
      </w:pPr>
      <w:r w:rsidRPr="00D035D2">
        <w:rPr>
          <w:i/>
          <w:iCs/>
        </w:rPr>
        <w:t>2 &lt;500</w:t>
      </w:r>
    </w:p>
    <w:p w14:paraId="47027ED9" w14:textId="77777777" w:rsidR="008D40C6" w:rsidRPr="00E273AF" w:rsidRDefault="008D40C6" w:rsidP="00A92A70">
      <w:pPr>
        <w:pStyle w:val="3-BodyText"/>
        <w:keepNext/>
        <w:widowControl w:val="0"/>
      </w:pPr>
      <w:r w:rsidRPr="00E273AF">
        <w:t xml:space="preserve">Treatment durations of 59.42 weeks and 51.55 weeks were derived from the mean time on treatment from the economic model for EV and PEM, respectively. For grandfathered patients, treatment durations of 29.71 weeks for EV and 25.78 weeks for PEM were applied. Based on compliance rates of 80.10% (EV) and 92.30% (PEM) from the EV-302 trial, the submission estimated that each patient would require 27.86 </w:t>
      </w:r>
      <w:r w:rsidRPr="00E273AF">
        <w:lastRenderedPageBreak/>
        <w:t>scripts per treatment year for EV</w:t>
      </w:r>
      <w:r w:rsidRPr="00E273AF">
        <w:rPr>
          <w:vertAlign w:val="superscript"/>
        </w:rPr>
        <w:footnoteReference w:id="31"/>
      </w:r>
      <w:r w:rsidRPr="00E273AF">
        <w:t xml:space="preserve"> and 16.05 scripts per treatment year for PEM</w:t>
      </w:r>
      <w:r w:rsidRPr="00E273AF">
        <w:rPr>
          <w:vertAlign w:val="superscript"/>
        </w:rPr>
        <w:footnoteReference w:id="32"/>
      </w:r>
      <w:r w:rsidRPr="00E273AF">
        <w:t xml:space="preserve">. </w:t>
      </w:r>
    </w:p>
    <w:p w14:paraId="45C92F89" w14:textId="5809CBD0" w:rsidR="008D40C6" w:rsidRPr="00E273AF" w:rsidRDefault="008D40C6" w:rsidP="00A92A70">
      <w:pPr>
        <w:pStyle w:val="3-BodyText"/>
        <w:keepNext/>
        <w:widowControl w:val="0"/>
      </w:pPr>
      <w:r w:rsidRPr="00E273AF">
        <w:t xml:space="preserve">The submission assumed that the listing of EV+PEM would displace the first-line use of platinum-based chemotherapy (cisplatin or carboplatin) in combination with gemcitabine and reduce the use of second-line </w:t>
      </w:r>
      <w:r>
        <w:t>PEM</w:t>
      </w:r>
      <w:r w:rsidRPr="00E273AF">
        <w:t xml:space="preserve"> and third-line </w:t>
      </w:r>
      <w:r>
        <w:t>EV</w:t>
      </w:r>
      <w:r w:rsidRPr="00E273AF">
        <w:t xml:space="preserve">. Finally, the submission assumed that there would be an increase in the second-line use of chemotherapy. </w:t>
      </w:r>
      <w:r w:rsidRPr="00C11145">
        <w:t>However, the proportions of patients that go on to receive subsequent treatments remain uncertain and therefore, is it difficult to accurately ascertain the change in use of subsequent treatments</w:t>
      </w:r>
      <w:r w:rsidRPr="00E273AF">
        <w:rPr>
          <w:i/>
          <w:iCs/>
        </w:rPr>
        <w:t xml:space="preserve">. </w:t>
      </w:r>
    </w:p>
    <w:p w14:paraId="52317967" w14:textId="563DE564" w:rsidR="008D40C6" w:rsidRPr="00E273AF" w:rsidRDefault="008D40C6" w:rsidP="00A92A70">
      <w:pPr>
        <w:pStyle w:val="3-BodyText"/>
        <w:keepNext/>
        <w:widowControl w:val="0"/>
      </w:pPr>
      <w:r w:rsidRPr="00E273AF">
        <w:t xml:space="preserve">The submission did not estimate any costs to the MBS. </w:t>
      </w:r>
      <w:r w:rsidRPr="00C11145">
        <w:t xml:space="preserve">This is not reasonable. As the proposed drugs, comparators and subsequent treatments are all administered intravenously, costs for IV administration using MBS item 13950 will apply. The net </w:t>
      </w:r>
      <w:r w:rsidRPr="00C11145">
        <w:lastRenderedPageBreak/>
        <w:t xml:space="preserve">cost to the MBS was calculated </w:t>
      </w:r>
      <w:r w:rsidR="00E17A6D">
        <w:t>during</w:t>
      </w:r>
      <w:r w:rsidRPr="00C11145">
        <w:t xml:space="preserve"> the </w:t>
      </w:r>
      <w:r w:rsidR="00E17A6D">
        <w:t>e</w:t>
      </w:r>
      <w:r w:rsidRPr="00C11145">
        <w:t>valuation and is presented below</w:t>
      </w:r>
      <w:r w:rsidRPr="00E273AF">
        <w:rPr>
          <w:i/>
          <w:iCs/>
        </w:rPr>
        <w:t xml:space="preserve">. </w:t>
      </w:r>
    </w:p>
    <w:p w14:paraId="43D98B66" w14:textId="63FEFF33" w:rsidR="00A92A70" w:rsidRPr="00FE0BD6" w:rsidRDefault="008D40C6" w:rsidP="00FE0BD6">
      <w:pPr>
        <w:pStyle w:val="3-BodyText"/>
        <w:keepNext/>
        <w:rPr>
          <w:rFonts w:cstheme="minorHAnsi"/>
        </w:rPr>
      </w:pPr>
      <w:r w:rsidRPr="00E273AF">
        <w:t xml:space="preserve">The net financial implications of listing EV+PEM are presented in </w:t>
      </w:r>
      <w:r w:rsidRPr="00E273AF">
        <w:fldChar w:fldCharType="begin" w:fldLock="1"/>
      </w:r>
      <w:r w:rsidRPr="00E273AF">
        <w:instrText xml:space="preserve"> REF _Ref174023504 \h </w:instrText>
      </w:r>
      <w:r>
        <w:instrText xml:space="preserve"> \* MERGEFORMAT </w:instrText>
      </w:r>
      <w:r w:rsidRPr="00E273AF">
        <w:fldChar w:fldCharType="separate"/>
      </w:r>
      <w:r w:rsidR="00FE0BD6" w:rsidRPr="00FE0BD6">
        <w:rPr>
          <w:rFonts w:cstheme="minorHAnsi"/>
          <w:noProof/>
        </w:rPr>
        <w:t>Table</w:t>
      </w:r>
      <w:r w:rsidR="00FE0BD6" w:rsidRPr="00E273AF">
        <w:rPr>
          <w:noProof/>
        </w:rPr>
        <w:t xml:space="preserve"> </w:t>
      </w:r>
      <w:r w:rsidR="00FE0BD6">
        <w:rPr>
          <w:noProof/>
        </w:rPr>
        <w:t>17</w:t>
      </w:r>
      <w:r w:rsidRPr="00E273AF">
        <w:fldChar w:fldCharType="end"/>
      </w:r>
      <w:r w:rsidRPr="00E273AF">
        <w:t>.</w:t>
      </w:r>
    </w:p>
    <w:p w14:paraId="7FBEC05B" w14:textId="6422A5A0" w:rsidR="008D40C6" w:rsidRPr="00E273AF" w:rsidRDefault="008D40C6" w:rsidP="00AF450C">
      <w:pPr>
        <w:pStyle w:val="TableFigureHeading"/>
        <w:keepLines/>
        <w:widowControl w:val="0"/>
        <w:contextualSpacing/>
      </w:pPr>
      <w:bookmarkStart w:id="67" w:name="_Ref174023504"/>
      <w:bookmarkStart w:id="68" w:name="_Ref182398432"/>
      <w:r w:rsidRPr="00E273AF">
        <w:t xml:space="preserve">Table </w:t>
      </w:r>
      <w:r>
        <w:fldChar w:fldCharType="begin" w:fldLock="1"/>
      </w:r>
      <w:r>
        <w:instrText xml:space="preserve"> SEQ Table \* ARABIC </w:instrText>
      </w:r>
      <w:r>
        <w:fldChar w:fldCharType="separate"/>
      </w:r>
      <w:r w:rsidR="00FE0BD6">
        <w:rPr>
          <w:noProof/>
        </w:rPr>
        <w:t>17</w:t>
      </w:r>
      <w:r>
        <w:rPr>
          <w:noProof/>
        </w:rPr>
        <w:fldChar w:fldCharType="end"/>
      </w:r>
      <w:bookmarkEnd w:id="67"/>
      <w:bookmarkEnd w:id="68"/>
      <w:r w:rsidRPr="00E273AF">
        <w:t xml:space="preserve">: Estimation use and financial implications of listing EV+PEM </w:t>
      </w:r>
    </w:p>
    <w:tbl>
      <w:tblPr>
        <w:tblStyle w:val="TableGrid"/>
        <w:tblW w:w="0" w:type="auto"/>
        <w:tblLayout w:type="fixed"/>
        <w:tblLook w:val="04A0" w:firstRow="1" w:lastRow="0" w:firstColumn="1" w:lastColumn="0" w:noHBand="0" w:noVBand="1"/>
      </w:tblPr>
      <w:tblGrid>
        <w:gridCol w:w="3823"/>
        <w:gridCol w:w="850"/>
        <w:gridCol w:w="851"/>
        <w:gridCol w:w="850"/>
        <w:gridCol w:w="851"/>
        <w:gridCol w:w="850"/>
        <w:gridCol w:w="942"/>
      </w:tblGrid>
      <w:tr w:rsidR="008D40C6" w:rsidRPr="00E273AF" w14:paraId="12127338" w14:textId="77777777" w:rsidTr="00AC05F2">
        <w:trPr>
          <w:cantSplit/>
          <w:tblHeader/>
        </w:trPr>
        <w:tc>
          <w:tcPr>
            <w:tcW w:w="3823" w:type="dxa"/>
          </w:tcPr>
          <w:p w14:paraId="53E66FA0" w14:textId="77777777" w:rsidR="008D40C6" w:rsidRPr="00E273AF" w:rsidRDefault="008D40C6" w:rsidP="00AF450C">
            <w:pPr>
              <w:keepNext/>
              <w:keepLines/>
              <w:widowControl w:val="0"/>
              <w:jc w:val="left"/>
              <w:rPr>
                <w:rFonts w:ascii="Arial Narrow" w:eastAsiaTheme="majorEastAsia" w:hAnsi="Arial Narrow" w:cstheme="majorBidi"/>
                <w:b/>
                <w:sz w:val="20"/>
              </w:rPr>
            </w:pPr>
          </w:p>
        </w:tc>
        <w:tc>
          <w:tcPr>
            <w:tcW w:w="850" w:type="dxa"/>
          </w:tcPr>
          <w:p w14:paraId="4A551DAC" w14:textId="77777777" w:rsidR="008D40C6" w:rsidRPr="00E273AF" w:rsidRDefault="008D40C6" w:rsidP="00AF450C">
            <w:pPr>
              <w:pStyle w:val="In-tableHeading"/>
              <w:widowControl w:val="0"/>
            </w:pPr>
            <w:r w:rsidRPr="00E273AF">
              <w:t>Year 1</w:t>
            </w:r>
          </w:p>
        </w:tc>
        <w:tc>
          <w:tcPr>
            <w:tcW w:w="851" w:type="dxa"/>
          </w:tcPr>
          <w:p w14:paraId="3E603370" w14:textId="77777777" w:rsidR="008D40C6" w:rsidRPr="00E273AF" w:rsidRDefault="008D40C6" w:rsidP="00AF450C">
            <w:pPr>
              <w:pStyle w:val="In-tableHeading"/>
              <w:widowControl w:val="0"/>
            </w:pPr>
            <w:r w:rsidRPr="00E273AF">
              <w:t>Year 2</w:t>
            </w:r>
          </w:p>
        </w:tc>
        <w:tc>
          <w:tcPr>
            <w:tcW w:w="850" w:type="dxa"/>
          </w:tcPr>
          <w:p w14:paraId="0BA2355E" w14:textId="77777777" w:rsidR="008D40C6" w:rsidRPr="00E273AF" w:rsidRDefault="008D40C6" w:rsidP="00AF450C">
            <w:pPr>
              <w:pStyle w:val="In-tableHeading"/>
              <w:widowControl w:val="0"/>
            </w:pPr>
            <w:r w:rsidRPr="00E273AF">
              <w:t>Year 3</w:t>
            </w:r>
          </w:p>
        </w:tc>
        <w:tc>
          <w:tcPr>
            <w:tcW w:w="851" w:type="dxa"/>
          </w:tcPr>
          <w:p w14:paraId="68E61D47" w14:textId="77777777" w:rsidR="008D40C6" w:rsidRPr="00E273AF" w:rsidRDefault="008D40C6" w:rsidP="00AF450C">
            <w:pPr>
              <w:pStyle w:val="In-tableHeading"/>
              <w:widowControl w:val="0"/>
            </w:pPr>
            <w:r w:rsidRPr="00E273AF">
              <w:t>Year 4</w:t>
            </w:r>
          </w:p>
        </w:tc>
        <w:tc>
          <w:tcPr>
            <w:tcW w:w="850" w:type="dxa"/>
          </w:tcPr>
          <w:p w14:paraId="5EFE2D98" w14:textId="77777777" w:rsidR="008D40C6" w:rsidRPr="00E273AF" w:rsidRDefault="008D40C6" w:rsidP="00AF450C">
            <w:pPr>
              <w:pStyle w:val="In-tableHeading"/>
              <w:widowControl w:val="0"/>
            </w:pPr>
            <w:r w:rsidRPr="00E273AF">
              <w:t>Year 5</w:t>
            </w:r>
          </w:p>
        </w:tc>
        <w:tc>
          <w:tcPr>
            <w:tcW w:w="942" w:type="dxa"/>
          </w:tcPr>
          <w:p w14:paraId="58280346" w14:textId="77777777" w:rsidR="008D40C6" w:rsidRPr="00E273AF" w:rsidRDefault="008D40C6" w:rsidP="00AF450C">
            <w:pPr>
              <w:pStyle w:val="In-tableHeading"/>
              <w:widowControl w:val="0"/>
            </w:pPr>
            <w:r w:rsidRPr="00E273AF">
              <w:t>Year 6</w:t>
            </w:r>
          </w:p>
        </w:tc>
      </w:tr>
      <w:tr w:rsidR="008D40C6" w:rsidRPr="00E273AF" w14:paraId="2E585ED6" w14:textId="77777777" w:rsidTr="00CF3EC7">
        <w:trPr>
          <w:cantSplit/>
        </w:trPr>
        <w:tc>
          <w:tcPr>
            <w:tcW w:w="9017" w:type="dxa"/>
            <w:gridSpan w:val="7"/>
          </w:tcPr>
          <w:p w14:paraId="68DAD633" w14:textId="77777777" w:rsidR="008D40C6" w:rsidRPr="00E273AF" w:rsidRDefault="008D40C6" w:rsidP="00AF450C">
            <w:pPr>
              <w:keepNext/>
              <w:keepLines/>
              <w:widowControl w:val="0"/>
              <w:jc w:val="left"/>
              <w:rPr>
                <w:rFonts w:ascii="Arial Narrow" w:eastAsiaTheme="majorEastAsia" w:hAnsi="Arial Narrow" w:cstheme="majorBidi"/>
                <w:b/>
                <w:sz w:val="20"/>
              </w:rPr>
            </w:pPr>
            <w:r>
              <w:rPr>
                <w:rFonts w:ascii="Arial Narrow" w:eastAsiaTheme="majorEastAsia" w:hAnsi="Arial Narrow" w:cstheme="majorBidi"/>
                <w:b/>
                <w:sz w:val="20"/>
              </w:rPr>
              <w:t xml:space="preserve">Increase in use of </w:t>
            </w:r>
            <w:r w:rsidRPr="00E273AF">
              <w:rPr>
                <w:rFonts w:ascii="Arial Narrow" w:eastAsiaTheme="majorEastAsia" w:hAnsi="Arial Narrow" w:cstheme="majorBidi"/>
                <w:b/>
                <w:sz w:val="20"/>
              </w:rPr>
              <w:t>EV+PEM</w:t>
            </w:r>
          </w:p>
        </w:tc>
      </w:tr>
      <w:tr w:rsidR="008D40C6" w:rsidRPr="00E273AF" w14:paraId="2C12F68B" w14:textId="77777777" w:rsidTr="00AC05F2">
        <w:trPr>
          <w:cantSplit/>
        </w:trPr>
        <w:tc>
          <w:tcPr>
            <w:tcW w:w="3823" w:type="dxa"/>
          </w:tcPr>
          <w:p w14:paraId="0F3AF855" w14:textId="77777777" w:rsidR="008D40C6" w:rsidRPr="00E273AF" w:rsidRDefault="008D40C6" w:rsidP="00AF450C">
            <w:pPr>
              <w:keepNext/>
              <w:keepLines/>
              <w:widowControl w:val="0"/>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Total treated </w:t>
            </w:r>
            <w:r>
              <w:rPr>
                <w:rFonts w:ascii="Arial Narrow" w:eastAsiaTheme="majorEastAsia" w:hAnsi="Arial Narrow" w:cstheme="majorBidi"/>
                <w:bCs/>
                <w:sz w:val="20"/>
              </w:rPr>
              <w:t xml:space="preserve">incident </w:t>
            </w:r>
            <w:r w:rsidRPr="00E273AF">
              <w:rPr>
                <w:rFonts w:ascii="Arial Narrow" w:eastAsiaTheme="majorEastAsia" w:hAnsi="Arial Narrow" w:cstheme="majorBidi"/>
                <w:bCs/>
                <w:sz w:val="20"/>
              </w:rPr>
              <w:t xml:space="preserve">patients  </w:t>
            </w:r>
          </w:p>
        </w:tc>
        <w:tc>
          <w:tcPr>
            <w:tcW w:w="850" w:type="dxa"/>
            <w:vAlign w:val="center"/>
          </w:tcPr>
          <w:p w14:paraId="64559E62" w14:textId="74D2D955" w:rsidR="008D40C6" w:rsidRPr="00E36DB9" w:rsidRDefault="004C53B1" w:rsidP="00AF450C">
            <w:pPr>
              <w:keepNext/>
              <w:keepLines/>
              <w:widowControl w:val="0"/>
              <w:jc w:val="left"/>
              <w:rPr>
                <w:rFonts w:ascii="Arial Narrow" w:eastAsiaTheme="majorEastAsia" w:hAnsi="Arial Narrow" w:cstheme="majorBidi"/>
                <w:bCs/>
                <w:sz w:val="20"/>
                <w:szCs w:val="20"/>
                <w:highlight w:val="darkGray"/>
              </w:rPr>
            </w:pPr>
            <w:r w:rsidRPr="001F54E0">
              <w:rPr>
                <w:rFonts w:ascii="Arial Narrow" w:hAnsi="Arial Narrow"/>
                <w:bCs/>
                <w:color w:val="000000"/>
                <w:spacing w:val="56"/>
                <w:sz w:val="20"/>
                <w:szCs w:val="20"/>
                <w:shd w:val="solid" w:color="000000" w:fill="000000"/>
                <w:fitText w:val="340" w:id="-761019637"/>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637"/>
                <w14:textFill>
                  <w14:solidFill>
                    <w14:srgbClr w14:val="000000">
                      <w14:alpha w14:val="100000"/>
                    </w14:srgbClr>
                  </w14:solidFill>
                </w14:textFill>
              </w:rPr>
              <w:t>|</w:t>
            </w:r>
            <w:r w:rsidR="00C223DA" w:rsidRPr="00E36DB9">
              <w:rPr>
                <w:rFonts w:ascii="Arial Narrow" w:hAnsi="Arial Narrow"/>
                <w:bCs/>
                <w:sz w:val="20"/>
                <w:szCs w:val="20"/>
                <w:vertAlign w:val="superscript"/>
              </w:rPr>
              <w:t>1</w:t>
            </w:r>
          </w:p>
        </w:tc>
        <w:tc>
          <w:tcPr>
            <w:tcW w:w="851" w:type="dxa"/>
            <w:vAlign w:val="center"/>
          </w:tcPr>
          <w:p w14:paraId="43A9F6B5" w14:textId="60231F1F" w:rsidR="008D40C6" w:rsidRPr="00E36DB9" w:rsidRDefault="004C53B1" w:rsidP="00AF450C">
            <w:pPr>
              <w:keepNext/>
              <w:keepLines/>
              <w:widowControl w:val="0"/>
              <w:jc w:val="left"/>
              <w:rPr>
                <w:rFonts w:ascii="Arial Narrow" w:eastAsiaTheme="majorEastAsia" w:hAnsi="Arial Narrow" w:cstheme="majorBidi"/>
                <w:bCs/>
                <w:sz w:val="20"/>
                <w:szCs w:val="20"/>
                <w:highlight w:val="darkGray"/>
              </w:rPr>
            </w:pPr>
            <w:r w:rsidRPr="001F54E0">
              <w:rPr>
                <w:rFonts w:ascii="Arial Narrow" w:hAnsi="Arial Narrow"/>
                <w:bCs/>
                <w:color w:val="000000"/>
                <w:spacing w:val="56"/>
                <w:sz w:val="20"/>
                <w:szCs w:val="20"/>
                <w:shd w:val="solid" w:color="000000" w:fill="000000"/>
                <w:fitText w:val="340" w:id="-761019636"/>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636"/>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0" w:type="dxa"/>
            <w:vAlign w:val="center"/>
          </w:tcPr>
          <w:p w14:paraId="6A6A672D" w14:textId="378F134E" w:rsidR="008D40C6" w:rsidRPr="00E36DB9" w:rsidRDefault="004C53B1" w:rsidP="00AF450C">
            <w:pPr>
              <w:keepNext/>
              <w:keepLines/>
              <w:widowControl w:val="0"/>
              <w:jc w:val="left"/>
              <w:rPr>
                <w:rFonts w:ascii="Arial Narrow" w:eastAsiaTheme="majorEastAsia" w:hAnsi="Arial Narrow" w:cstheme="majorBidi"/>
                <w:bCs/>
                <w:sz w:val="20"/>
                <w:szCs w:val="20"/>
                <w:highlight w:val="darkGray"/>
              </w:rPr>
            </w:pPr>
            <w:r w:rsidRPr="001F54E0">
              <w:rPr>
                <w:rFonts w:ascii="Arial Narrow" w:hAnsi="Arial Narrow"/>
                <w:bCs/>
                <w:color w:val="000000"/>
                <w:spacing w:val="56"/>
                <w:sz w:val="20"/>
                <w:szCs w:val="20"/>
                <w:shd w:val="solid" w:color="000000" w:fill="000000"/>
                <w:fitText w:val="340" w:id="-761019635"/>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635"/>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1" w:type="dxa"/>
            <w:vAlign w:val="center"/>
          </w:tcPr>
          <w:p w14:paraId="0F0518FE" w14:textId="24489A97" w:rsidR="008D40C6" w:rsidRPr="00E36DB9" w:rsidRDefault="004C53B1" w:rsidP="00AF450C">
            <w:pPr>
              <w:keepNext/>
              <w:keepLines/>
              <w:widowControl w:val="0"/>
              <w:jc w:val="left"/>
              <w:rPr>
                <w:rFonts w:ascii="Arial Narrow" w:eastAsiaTheme="majorEastAsia" w:hAnsi="Arial Narrow" w:cstheme="majorBidi"/>
                <w:bCs/>
                <w:sz w:val="20"/>
                <w:szCs w:val="20"/>
                <w:highlight w:val="darkGray"/>
              </w:rPr>
            </w:pPr>
            <w:r w:rsidRPr="001F54E0">
              <w:rPr>
                <w:rFonts w:ascii="Arial Narrow" w:hAnsi="Arial Narrow"/>
                <w:bCs/>
                <w:color w:val="000000"/>
                <w:spacing w:val="56"/>
                <w:sz w:val="20"/>
                <w:szCs w:val="20"/>
                <w:shd w:val="solid" w:color="000000" w:fill="000000"/>
                <w:fitText w:val="340" w:id="-761019634"/>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634"/>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0" w:type="dxa"/>
            <w:vAlign w:val="center"/>
          </w:tcPr>
          <w:p w14:paraId="519C947A" w14:textId="3A5F4944" w:rsidR="008D40C6" w:rsidRPr="00E36DB9" w:rsidRDefault="004C53B1" w:rsidP="00AF450C">
            <w:pPr>
              <w:keepNext/>
              <w:keepLines/>
              <w:widowControl w:val="0"/>
              <w:jc w:val="left"/>
              <w:rPr>
                <w:rFonts w:ascii="Arial Narrow" w:eastAsiaTheme="majorEastAsia" w:hAnsi="Arial Narrow" w:cstheme="majorBidi"/>
                <w:bCs/>
                <w:sz w:val="20"/>
                <w:szCs w:val="20"/>
                <w:highlight w:val="darkGray"/>
              </w:rPr>
            </w:pPr>
            <w:r w:rsidRPr="001F54E0">
              <w:rPr>
                <w:rFonts w:ascii="Arial Narrow" w:hAnsi="Arial Narrow"/>
                <w:bCs/>
                <w:color w:val="000000"/>
                <w:spacing w:val="56"/>
                <w:sz w:val="20"/>
                <w:szCs w:val="20"/>
                <w:shd w:val="solid" w:color="000000" w:fill="000000"/>
                <w:fitText w:val="340" w:id="-761019633"/>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633"/>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942" w:type="dxa"/>
            <w:vAlign w:val="center"/>
          </w:tcPr>
          <w:p w14:paraId="7EF8DBBE" w14:textId="238CC92F" w:rsidR="008D40C6" w:rsidRPr="00E36DB9" w:rsidRDefault="004C53B1" w:rsidP="00AF450C">
            <w:pPr>
              <w:keepNext/>
              <w:keepLines/>
              <w:widowControl w:val="0"/>
              <w:jc w:val="left"/>
              <w:rPr>
                <w:rFonts w:ascii="Arial Narrow" w:eastAsiaTheme="majorEastAsia" w:hAnsi="Arial Narrow" w:cstheme="majorBidi"/>
                <w:bCs/>
                <w:sz w:val="20"/>
                <w:szCs w:val="20"/>
                <w:highlight w:val="darkGray"/>
              </w:rPr>
            </w:pPr>
            <w:r w:rsidRPr="001F54E0">
              <w:rPr>
                <w:rFonts w:ascii="Arial Narrow" w:hAnsi="Arial Narrow"/>
                <w:bCs/>
                <w:color w:val="000000"/>
                <w:spacing w:val="56"/>
                <w:sz w:val="20"/>
                <w:szCs w:val="20"/>
                <w:shd w:val="solid" w:color="000000" w:fill="000000"/>
                <w:fitText w:val="340" w:id="-761019632"/>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632"/>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r>
      <w:tr w:rsidR="008D40C6" w:rsidRPr="00E273AF" w14:paraId="03EEDBC2" w14:textId="77777777" w:rsidTr="00AC05F2">
        <w:trPr>
          <w:cantSplit/>
        </w:trPr>
        <w:tc>
          <w:tcPr>
            <w:tcW w:w="3823" w:type="dxa"/>
          </w:tcPr>
          <w:p w14:paraId="6E890956" w14:textId="77777777" w:rsidR="008D40C6" w:rsidRPr="00E273AF" w:rsidRDefault="008D40C6"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Grandfathered patients </w:t>
            </w:r>
          </w:p>
        </w:tc>
        <w:tc>
          <w:tcPr>
            <w:tcW w:w="850" w:type="dxa"/>
            <w:vAlign w:val="center"/>
          </w:tcPr>
          <w:p w14:paraId="1A381617" w14:textId="78E5D15F" w:rsidR="008D40C6" w:rsidRPr="00E36DB9" w:rsidRDefault="004C53B1" w:rsidP="00AF450C">
            <w:pPr>
              <w:keepNext/>
              <w:keepLines/>
              <w:jc w:val="left"/>
              <w:rPr>
                <w:rFonts w:ascii="Arial Narrow" w:hAnsi="Arial Narrow"/>
                <w:bCs/>
                <w:sz w:val="20"/>
                <w:szCs w:val="20"/>
                <w:highlight w:val="darkGray"/>
                <w:vertAlign w:val="superscript"/>
              </w:rPr>
            </w:pPr>
            <w:r w:rsidRPr="001F54E0">
              <w:rPr>
                <w:rFonts w:ascii="Arial Narrow" w:hAnsi="Arial Narrow"/>
                <w:bCs/>
                <w:color w:val="000000"/>
                <w:spacing w:val="56"/>
                <w:sz w:val="20"/>
                <w:szCs w:val="20"/>
                <w:shd w:val="solid" w:color="000000" w:fill="000000"/>
                <w:fitText w:val="340" w:id="-761019648"/>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648"/>
                <w14:textFill>
                  <w14:solidFill>
                    <w14:srgbClr w14:val="000000">
                      <w14:alpha w14:val="100000"/>
                    </w14:srgbClr>
                  </w14:solidFill>
                </w14:textFill>
              </w:rPr>
              <w:t>|</w:t>
            </w:r>
            <w:r w:rsidR="00E51976" w:rsidRPr="00E36DB9">
              <w:rPr>
                <w:rFonts w:ascii="Arial Narrow" w:hAnsi="Arial Narrow"/>
                <w:bCs/>
                <w:sz w:val="20"/>
                <w:szCs w:val="20"/>
                <w:vertAlign w:val="superscript"/>
              </w:rPr>
              <w:t>2</w:t>
            </w:r>
          </w:p>
        </w:tc>
        <w:tc>
          <w:tcPr>
            <w:tcW w:w="851" w:type="dxa"/>
            <w:vAlign w:val="center"/>
          </w:tcPr>
          <w:p w14:paraId="74B42EEB" w14:textId="77777777" w:rsidR="008D40C6" w:rsidRPr="0080309E" w:rsidRDefault="008D40C6" w:rsidP="00AF450C">
            <w:pPr>
              <w:keepNext/>
              <w:keepLines/>
              <w:jc w:val="left"/>
              <w:rPr>
                <w:rFonts w:ascii="Arial Narrow" w:hAnsi="Arial Narrow"/>
                <w:bCs/>
                <w:sz w:val="20"/>
                <w:szCs w:val="20"/>
              </w:rPr>
            </w:pPr>
            <w:r>
              <w:rPr>
                <w:rFonts w:ascii="Arial Narrow" w:hAnsi="Arial Narrow"/>
                <w:bCs/>
                <w:sz w:val="20"/>
                <w:szCs w:val="20"/>
              </w:rPr>
              <w:t>-</w:t>
            </w:r>
          </w:p>
        </w:tc>
        <w:tc>
          <w:tcPr>
            <w:tcW w:w="850" w:type="dxa"/>
            <w:vAlign w:val="center"/>
          </w:tcPr>
          <w:p w14:paraId="3F78E0E9" w14:textId="77777777" w:rsidR="008D40C6" w:rsidRPr="0080309E" w:rsidRDefault="008D40C6" w:rsidP="00AF450C">
            <w:pPr>
              <w:keepNext/>
              <w:keepLines/>
              <w:jc w:val="left"/>
              <w:rPr>
                <w:rFonts w:ascii="Arial Narrow" w:hAnsi="Arial Narrow"/>
                <w:bCs/>
                <w:sz w:val="20"/>
                <w:szCs w:val="20"/>
              </w:rPr>
            </w:pPr>
            <w:r>
              <w:rPr>
                <w:rFonts w:ascii="Arial Narrow" w:hAnsi="Arial Narrow"/>
                <w:bCs/>
                <w:sz w:val="20"/>
                <w:szCs w:val="20"/>
              </w:rPr>
              <w:t>-</w:t>
            </w:r>
          </w:p>
        </w:tc>
        <w:tc>
          <w:tcPr>
            <w:tcW w:w="851" w:type="dxa"/>
            <w:vAlign w:val="center"/>
          </w:tcPr>
          <w:p w14:paraId="1B592815" w14:textId="77777777" w:rsidR="008D40C6" w:rsidRPr="0080309E" w:rsidRDefault="008D40C6" w:rsidP="00AF450C">
            <w:pPr>
              <w:keepNext/>
              <w:keepLines/>
              <w:jc w:val="left"/>
              <w:rPr>
                <w:rFonts w:ascii="Arial Narrow" w:hAnsi="Arial Narrow"/>
                <w:bCs/>
                <w:sz w:val="20"/>
                <w:szCs w:val="20"/>
              </w:rPr>
            </w:pPr>
            <w:r>
              <w:rPr>
                <w:rFonts w:ascii="Arial Narrow" w:hAnsi="Arial Narrow"/>
                <w:bCs/>
                <w:sz w:val="20"/>
                <w:szCs w:val="20"/>
              </w:rPr>
              <w:t>-</w:t>
            </w:r>
          </w:p>
        </w:tc>
        <w:tc>
          <w:tcPr>
            <w:tcW w:w="850" w:type="dxa"/>
            <w:vAlign w:val="center"/>
          </w:tcPr>
          <w:p w14:paraId="46637483" w14:textId="77777777" w:rsidR="008D40C6" w:rsidRPr="0080309E" w:rsidRDefault="008D40C6" w:rsidP="00AF450C">
            <w:pPr>
              <w:keepNext/>
              <w:keepLines/>
              <w:jc w:val="left"/>
              <w:rPr>
                <w:rFonts w:ascii="Arial Narrow" w:hAnsi="Arial Narrow"/>
                <w:bCs/>
                <w:sz w:val="20"/>
                <w:szCs w:val="20"/>
              </w:rPr>
            </w:pPr>
            <w:r>
              <w:rPr>
                <w:rFonts w:ascii="Arial Narrow" w:hAnsi="Arial Narrow"/>
                <w:bCs/>
                <w:sz w:val="20"/>
                <w:szCs w:val="20"/>
              </w:rPr>
              <w:t>-</w:t>
            </w:r>
          </w:p>
        </w:tc>
        <w:tc>
          <w:tcPr>
            <w:tcW w:w="942" w:type="dxa"/>
            <w:vAlign w:val="center"/>
          </w:tcPr>
          <w:p w14:paraId="707998FB" w14:textId="77777777" w:rsidR="008D40C6" w:rsidRPr="0080309E" w:rsidRDefault="008D40C6" w:rsidP="00AF450C">
            <w:pPr>
              <w:keepNext/>
              <w:keepLines/>
              <w:jc w:val="left"/>
              <w:rPr>
                <w:rFonts w:ascii="Arial Narrow" w:hAnsi="Arial Narrow"/>
                <w:bCs/>
                <w:sz w:val="20"/>
                <w:szCs w:val="20"/>
              </w:rPr>
            </w:pPr>
            <w:r>
              <w:rPr>
                <w:rFonts w:ascii="Arial Narrow" w:hAnsi="Arial Narrow"/>
                <w:bCs/>
                <w:sz w:val="20"/>
                <w:szCs w:val="20"/>
              </w:rPr>
              <w:t>-</w:t>
            </w:r>
          </w:p>
        </w:tc>
      </w:tr>
      <w:tr w:rsidR="008D40C6" w:rsidRPr="00E273AF" w14:paraId="30BF9E63" w14:textId="77777777" w:rsidTr="00AC05F2">
        <w:trPr>
          <w:cantSplit/>
        </w:trPr>
        <w:tc>
          <w:tcPr>
            <w:tcW w:w="3823" w:type="dxa"/>
          </w:tcPr>
          <w:p w14:paraId="7D715DA4" w14:textId="2468A1DA" w:rsidR="008D40C6" w:rsidRPr="00220A03" w:rsidRDefault="008D40C6" w:rsidP="00AF450C">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sz w:val="20"/>
              </w:rPr>
              <w:t>Patient years of treatment: EV</w:t>
            </w:r>
            <w:r w:rsidR="00220A03">
              <w:rPr>
                <w:rFonts w:ascii="Arial Narrow" w:eastAsiaTheme="majorEastAsia" w:hAnsi="Arial Narrow" w:cstheme="majorBidi"/>
                <w:bCs/>
                <w:sz w:val="20"/>
              </w:rPr>
              <w:t xml:space="preserve"> </w:t>
            </w:r>
            <w:r w:rsidR="00220A03">
              <w:rPr>
                <w:rFonts w:ascii="Arial Narrow" w:eastAsiaTheme="majorEastAsia" w:hAnsi="Arial Narrow" w:cstheme="majorBidi"/>
                <w:bCs/>
                <w:sz w:val="20"/>
                <w:vertAlign w:val="superscript"/>
              </w:rPr>
              <w:t>a</w:t>
            </w:r>
          </w:p>
        </w:tc>
        <w:tc>
          <w:tcPr>
            <w:tcW w:w="850" w:type="dxa"/>
            <w:vAlign w:val="center"/>
          </w:tcPr>
          <w:p w14:paraId="01225751" w14:textId="5270FF21" w:rsidR="008D40C6" w:rsidRPr="00E36DB9" w:rsidRDefault="004C53B1"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647"/>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647"/>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1" w:type="dxa"/>
            <w:vAlign w:val="center"/>
          </w:tcPr>
          <w:p w14:paraId="1D7C5FEC" w14:textId="6492DDD3" w:rsidR="008D40C6" w:rsidRPr="00E36DB9" w:rsidRDefault="004C53B1"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64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646"/>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0" w:type="dxa"/>
            <w:vAlign w:val="center"/>
          </w:tcPr>
          <w:p w14:paraId="47789BA1" w14:textId="541B9390" w:rsidR="008D40C6" w:rsidRPr="00E36DB9" w:rsidRDefault="004C53B1"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64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645"/>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1" w:type="dxa"/>
            <w:vAlign w:val="center"/>
          </w:tcPr>
          <w:p w14:paraId="78F74BFC" w14:textId="4869A1BA" w:rsidR="008D40C6" w:rsidRPr="00E36DB9" w:rsidRDefault="004C53B1"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64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644"/>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0" w:type="dxa"/>
            <w:vAlign w:val="center"/>
          </w:tcPr>
          <w:p w14:paraId="422AF8A2" w14:textId="47679459" w:rsidR="008D40C6" w:rsidRPr="00E36DB9" w:rsidRDefault="004C53B1"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64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643"/>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942" w:type="dxa"/>
            <w:vAlign w:val="center"/>
          </w:tcPr>
          <w:p w14:paraId="059142E2" w14:textId="3EF181EA" w:rsidR="008D40C6" w:rsidRPr="00E36DB9" w:rsidRDefault="004C53B1"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64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642"/>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r>
      <w:tr w:rsidR="008D40C6" w:rsidRPr="00E273AF" w14:paraId="09CFBBC3" w14:textId="77777777" w:rsidTr="00AC05F2">
        <w:trPr>
          <w:cantSplit/>
        </w:trPr>
        <w:tc>
          <w:tcPr>
            <w:tcW w:w="3823" w:type="dxa"/>
          </w:tcPr>
          <w:p w14:paraId="422BFDFA" w14:textId="65529BC8" w:rsidR="008D40C6" w:rsidRPr="00220A03" w:rsidRDefault="008D40C6" w:rsidP="00AF450C">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sz w:val="20"/>
              </w:rPr>
              <w:t>Patient years of treatment: PEM</w:t>
            </w:r>
            <w:r w:rsidR="00220A03">
              <w:rPr>
                <w:rFonts w:ascii="Arial Narrow" w:eastAsiaTheme="majorEastAsia" w:hAnsi="Arial Narrow" w:cstheme="majorBidi"/>
                <w:bCs/>
                <w:sz w:val="20"/>
              </w:rPr>
              <w:t xml:space="preserve"> </w:t>
            </w:r>
            <w:r w:rsidR="00220A03">
              <w:rPr>
                <w:rFonts w:ascii="Arial Narrow" w:eastAsiaTheme="majorEastAsia" w:hAnsi="Arial Narrow" w:cstheme="majorBidi"/>
                <w:bCs/>
                <w:sz w:val="20"/>
                <w:vertAlign w:val="superscript"/>
              </w:rPr>
              <w:t>b</w:t>
            </w:r>
          </w:p>
        </w:tc>
        <w:tc>
          <w:tcPr>
            <w:tcW w:w="850" w:type="dxa"/>
            <w:vAlign w:val="center"/>
          </w:tcPr>
          <w:p w14:paraId="2CBB3AA3" w14:textId="1385BAD3"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13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6"/>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1" w:type="dxa"/>
            <w:vAlign w:val="center"/>
          </w:tcPr>
          <w:p w14:paraId="25C53863" w14:textId="152699A8"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13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5"/>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0" w:type="dxa"/>
            <w:vAlign w:val="center"/>
          </w:tcPr>
          <w:p w14:paraId="1A10F826" w14:textId="0E8A9B36"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13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4"/>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1" w:type="dxa"/>
            <w:vAlign w:val="center"/>
          </w:tcPr>
          <w:p w14:paraId="180C768A" w14:textId="3250400A"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13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3"/>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0" w:type="dxa"/>
            <w:vAlign w:val="center"/>
          </w:tcPr>
          <w:p w14:paraId="312C5078" w14:textId="78A3470B"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13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2"/>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942" w:type="dxa"/>
            <w:vAlign w:val="center"/>
          </w:tcPr>
          <w:p w14:paraId="0C17D840" w14:textId="5470E1B1"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color w:val="000000"/>
                <w:spacing w:val="56"/>
                <w:sz w:val="20"/>
                <w:szCs w:val="20"/>
                <w:shd w:val="solid" w:color="000000" w:fill="000000"/>
                <w:fitText w:val="340" w:id="-761019131"/>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1"/>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r>
      <w:tr w:rsidR="008D40C6" w:rsidRPr="00E273AF" w14:paraId="17993B71" w14:textId="77777777" w:rsidTr="00AC05F2">
        <w:trPr>
          <w:cantSplit/>
        </w:trPr>
        <w:tc>
          <w:tcPr>
            <w:tcW w:w="3823" w:type="dxa"/>
          </w:tcPr>
          <w:p w14:paraId="0162D746" w14:textId="77777777" w:rsidR="008D40C6" w:rsidRPr="00E273AF" w:rsidRDefault="008D40C6"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Total patient years of treatment</w:t>
            </w:r>
          </w:p>
        </w:tc>
        <w:tc>
          <w:tcPr>
            <w:tcW w:w="850" w:type="dxa"/>
            <w:vAlign w:val="center"/>
          </w:tcPr>
          <w:p w14:paraId="47E94B15" w14:textId="7AC63CAF"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bCs/>
                <w:color w:val="000000"/>
                <w:spacing w:val="56"/>
                <w:sz w:val="20"/>
                <w:szCs w:val="20"/>
                <w:shd w:val="solid" w:color="000000" w:fill="000000"/>
                <w:fitText w:val="340" w:id="-761019130"/>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130"/>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1" w:type="dxa"/>
            <w:vAlign w:val="center"/>
          </w:tcPr>
          <w:p w14:paraId="5BF23660" w14:textId="55DEF81C"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bCs/>
                <w:color w:val="000000"/>
                <w:spacing w:val="56"/>
                <w:sz w:val="20"/>
                <w:szCs w:val="20"/>
                <w:shd w:val="solid" w:color="000000" w:fill="000000"/>
                <w:fitText w:val="340" w:id="-761019129"/>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129"/>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0" w:type="dxa"/>
            <w:vAlign w:val="center"/>
          </w:tcPr>
          <w:p w14:paraId="761CECB2" w14:textId="538725DB"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bCs/>
                <w:color w:val="000000"/>
                <w:spacing w:val="56"/>
                <w:sz w:val="20"/>
                <w:szCs w:val="20"/>
                <w:shd w:val="solid" w:color="000000" w:fill="000000"/>
                <w:fitText w:val="340" w:id="-761019128"/>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128"/>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1" w:type="dxa"/>
            <w:vAlign w:val="center"/>
          </w:tcPr>
          <w:p w14:paraId="4EB1511D" w14:textId="2703FD72"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bCs/>
                <w:color w:val="000000"/>
                <w:spacing w:val="56"/>
                <w:sz w:val="20"/>
                <w:szCs w:val="20"/>
                <w:shd w:val="solid" w:color="000000" w:fill="000000"/>
                <w:fitText w:val="340" w:id="-761019127"/>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127"/>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850" w:type="dxa"/>
            <w:vAlign w:val="center"/>
          </w:tcPr>
          <w:p w14:paraId="0381A778" w14:textId="5EB4716C"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bCs/>
                <w:color w:val="000000"/>
                <w:spacing w:val="56"/>
                <w:sz w:val="20"/>
                <w:szCs w:val="20"/>
                <w:shd w:val="solid" w:color="000000" w:fill="000000"/>
                <w:fitText w:val="340" w:id="-761019126"/>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126"/>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c>
          <w:tcPr>
            <w:tcW w:w="942" w:type="dxa"/>
            <w:vAlign w:val="center"/>
          </w:tcPr>
          <w:p w14:paraId="20026995" w14:textId="28C3DB9F" w:rsidR="008D40C6" w:rsidRPr="00E36DB9" w:rsidRDefault="001F54E0" w:rsidP="00AF450C">
            <w:pPr>
              <w:keepNext/>
              <w:keepLines/>
              <w:jc w:val="left"/>
              <w:rPr>
                <w:rFonts w:ascii="Arial Narrow" w:hAnsi="Arial Narrow"/>
                <w:bCs/>
                <w:sz w:val="20"/>
                <w:szCs w:val="20"/>
                <w:highlight w:val="darkGray"/>
              </w:rPr>
            </w:pPr>
            <w:r w:rsidRPr="001F54E0">
              <w:rPr>
                <w:rFonts w:ascii="Arial Narrow" w:hAnsi="Arial Narrow"/>
                <w:bCs/>
                <w:color w:val="000000"/>
                <w:spacing w:val="56"/>
                <w:sz w:val="20"/>
                <w:szCs w:val="20"/>
                <w:shd w:val="solid" w:color="000000" w:fill="000000"/>
                <w:fitText w:val="340" w:id="-761019125"/>
                <w14:textFill>
                  <w14:solidFill>
                    <w14:srgbClr w14:val="000000">
                      <w14:alpha w14:val="100000"/>
                    </w14:srgbClr>
                  </w14:solidFill>
                </w14:textFill>
              </w:rPr>
              <w:t>|||</w:t>
            </w:r>
            <w:r w:rsidRPr="001F54E0">
              <w:rPr>
                <w:rFonts w:ascii="Arial Narrow" w:hAnsi="Arial Narrow"/>
                <w:bCs/>
                <w:color w:val="000000"/>
                <w:spacing w:val="2"/>
                <w:sz w:val="20"/>
                <w:szCs w:val="20"/>
                <w:shd w:val="solid" w:color="000000" w:fill="000000"/>
                <w:fitText w:val="340" w:id="-761019125"/>
                <w14:textFill>
                  <w14:solidFill>
                    <w14:srgbClr w14:val="000000">
                      <w14:alpha w14:val="100000"/>
                    </w14:srgbClr>
                  </w14:solidFill>
                </w14:textFill>
              </w:rPr>
              <w:t>|</w:t>
            </w:r>
            <w:r w:rsidR="00287FC9" w:rsidRPr="00450C49">
              <w:rPr>
                <w:rFonts w:ascii="Arial Narrow" w:hAnsi="Arial Narrow"/>
                <w:bCs/>
                <w:sz w:val="20"/>
                <w:szCs w:val="20"/>
                <w:vertAlign w:val="superscript"/>
              </w:rPr>
              <w:t>1</w:t>
            </w:r>
          </w:p>
        </w:tc>
      </w:tr>
      <w:tr w:rsidR="008D40C6" w:rsidRPr="00E273AF" w14:paraId="6A2598C7" w14:textId="77777777" w:rsidTr="00AC05F2">
        <w:trPr>
          <w:cantSplit/>
        </w:trPr>
        <w:tc>
          <w:tcPr>
            <w:tcW w:w="3823" w:type="dxa"/>
          </w:tcPr>
          <w:p w14:paraId="6C8A2E5F" w14:textId="20B6329D" w:rsidR="008D40C6" w:rsidRPr="00EC6FD1" w:rsidRDefault="008D40C6" w:rsidP="00AF450C">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sz w:val="20"/>
              </w:rPr>
              <w:t xml:space="preserve">EV scripts </w:t>
            </w:r>
            <w:r w:rsidR="00220A03">
              <w:rPr>
                <w:rFonts w:ascii="Arial Narrow" w:eastAsiaTheme="majorEastAsia" w:hAnsi="Arial Narrow" w:cstheme="majorBidi"/>
                <w:bCs/>
                <w:sz w:val="20"/>
                <w:vertAlign w:val="superscript"/>
              </w:rPr>
              <w:t>c</w:t>
            </w:r>
          </w:p>
        </w:tc>
        <w:tc>
          <w:tcPr>
            <w:tcW w:w="850" w:type="dxa"/>
          </w:tcPr>
          <w:p w14:paraId="0C21E7EE" w14:textId="01A3817E"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2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24"/>
                <w14:textFill>
                  <w14:solidFill>
                    <w14:srgbClr w14:val="000000">
                      <w14:alpha w14:val="100000"/>
                    </w14:srgbClr>
                  </w14:solidFill>
                </w14:textFill>
              </w:rPr>
              <w:t>|</w:t>
            </w:r>
            <w:r w:rsidR="00AD4E0D" w:rsidRPr="00E36DB9">
              <w:rPr>
                <w:rFonts w:ascii="Arial Narrow" w:hAnsi="Arial Narrow"/>
                <w:sz w:val="20"/>
                <w:szCs w:val="20"/>
                <w:vertAlign w:val="superscript"/>
              </w:rPr>
              <w:t>3</w:t>
            </w:r>
          </w:p>
        </w:tc>
        <w:tc>
          <w:tcPr>
            <w:tcW w:w="851" w:type="dxa"/>
          </w:tcPr>
          <w:p w14:paraId="0BCB3ADB" w14:textId="4303237E"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2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23"/>
                <w14:textFill>
                  <w14:solidFill>
                    <w14:srgbClr w14:val="000000">
                      <w14:alpha w14:val="100000"/>
                    </w14:srgbClr>
                  </w14:solidFill>
                </w14:textFill>
              </w:rPr>
              <w:t>|</w:t>
            </w:r>
            <w:r w:rsidR="00F3061D" w:rsidRPr="00450C49">
              <w:rPr>
                <w:rFonts w:ascii="Arial Narrow" w:hAnsi="Arial Narrow"/>
                <w:sz w:val="20"/>
                <w:szCs w:val="20"/>
                <w:vertAlign w:val="superscript"/>
              </w:rPr>
              <w:t>3</w:t>
            </w:r>
          </w:p>
        </w:tc>
        <w:tc>
          <w:tcPr>
            <w:tcW w:w="850" w:type="dxa"/>
          </w:tcPr>
          <w:p w14:paraId="0E9D892D" w14:textId="500373E9"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2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22"/>
                <w14:textFill>
                  <w14:solidFill>
                    <w14:srgbClr w14:val="000000">
                      <w14:alpha w14:val="100000"/>
                    </w14:srgbClr>
                  </w14:solidFill>
                </w14:textFill>
              </w:rPr>
              <w:t>|</w:t>
            </w:r>
            <w:r w:rsidR="001A3A6B" w:rsidRPr="00E36DB9">
              <w:rPr>
                <w:rFonts w:ascii="Arial Narrow" w:hAnsi="Arial Narrow"/>
                <w:sz w:val="20"/>
                <w:szCs w:val="20"/>
                <w:vertAlign w:val="superscript"/>
              </w:rPr>
              <w:t>4</w:t>
            </w:r>
          </w:p>
        </w:tc>
        <w:tc>
          <w:tcPr>
            <w:tcW w:w="851" w:type="dxa"/>
          </w:tcPr>
          <w:p w14:paraId="4CA43DDE" w14:textId="77CD91D0"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21"/>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21"/>
                <w14:textFill>
                  <w14:solidFill>
                    <w14:srgbClr w14:val="000000">
                      <w14:alpha w14:val="100000"/>
                    </w14:srgbClr>
                  </w14:solidFill>
                </w14:textFill>
              </w:rPr>
              <w:t>|</w:t>
            </w:r>
            <w:r w:rsidR="001A3A6B" w:rsidRPr="00450C49">
              <w:rPr>
                <w:rFonts w:ascii="Arial Narrow" w:hAnsi="Arial Narrow"/>
                <w:sz w:val="20"/>
                <w:szCs w:val="20"/>
                <w:vertAlign w:val="superscript"/>
              </w:rPr>
              <w:t>4</w:t>
            </w:r>
          </w:p>
        </w:tc>
        <w:tc>
          <w:tcPr>
            <w:tcW w:w="850" w:type="dxa"/>
          </w:tcPr>
          <w:p w14:paraId="53E6422B" w14:textId="0897D5D6"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2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20"/>
                <w14:textFill>
                  <w14:solidFill>
                    <w14:srgbClr w14:val="000000">
                      <w14:alpha w14:val="100000"/>
                    </w14:srgbClr>
                  </w14:solidFill>
                </w14:textFill>
              </w:rPr>
              <w:t>|</w:t>
            </w:r>
            <w:r w:rsidR="001A3A6B" w:rsidRPr="00450C49">
              <w:rPr>
                <w:rFonts w:ascii="Arial Narrow" w:hAnsi="Arial Narrow"/>
                <w:sz w:val="20"/>
                <w:szCs w:val="20"/>
                <w:vertAlign w:val="superscript"/>
              </w:rPr>
              <w:t>4</w:t>
            </w:r>
          </w:p>
        </w:tc>
        <w:tc>
          <w:tcPr>
            <w:tcW w:w="942" w:type="dxa"/>
          </w:tcPr>
          <w:p w14:paraId="43854144" w14:textId="35B11D28"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3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6"/>
                <w14:textFill>
                  <w14:solidFill>
                    <w14:srgbClr w14:val="000000">
                      <w14:alpha w14:val="100000"/>
                    </w14:srgbClr>
                  </w14:solidFill>
                </w14:textFill>
              </w:rPr>
              <w:t>|</w:t>
            </w:r>
            <w:r w:rsidR="00CB65DE" w:rsidRPr="00E36DB9">
              <w:rPr>
                <w:rFonts w:ascii="Arial Narrow" w:hAnsi="Arial Narrow"/>
                <w:sz w:val="20"/>
                <w:szCs w:val="20"/>
                <w:vertAlign w:val="superscript"/>
              </w:rPr>
              <w:t>5</w:t>
            </w:r>
          </w:p>
        </w:tc>
      </w:tr>
      <w:tr w:rsidR="008D40C6" w:rsidRPr="00E273AF" w14:paraId="49EC94AB" w14:textId="77777777" w:rsidTr="00AC05F2">
        <w:trPr>
          <w:cantSplit/>
        </w:trPr>
        <w:tc>
          <w:tcPr>
            <w:tcW w:w="3823" w:type="dxa"/>
          </w:tcPr>
          <w:p w14:paraId="3F630AA5" w14:textId="23357B8C" w:rsidR="008D40C6" w:rsidRPr="00EC6FD1" w:rsidRDefault="008D40C6" w:rsidP="00AF450C">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sz w:val="20"/>
              </w:rPr>
              <w:t xml:space="preserve">PEM scripts </w:t>
            </w:r>
            <w:r w:rsidR="00220A03">
              <w:rPr>
                <w:rFonts w:ascii="Arial Narrow" w:eastAsiaTheme="majorEastAsia" w:hAnsi="Arial Narrow" w:cstheme="majorBidi"/>
                <w:bCs/>
                <w:sz w:val="20"/>
                <w:vertAlign w:val="superscript"/>
              </w:rPr>
              <w:t>d</w:t>
            </w:r>
          </w:p>
        </w:tc>
        <w:tc>
          <w:tcPr>
            <w:tcW w:w="850" w:type="dxa"/>
          </w:tcPr>
          <w:p w14:paraId="559C3B8D" w14:textId="5A2755B5"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3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5"/>
                <w14:textFill>
                  <w14:solidFill>
                    <w14:srgbClr w14:val="000000">
                      <w14:alpha w14:val="100000"/>
                    </w14:srgbClr>
                  </w14:solidFill>
                </w14:textFill>
              </w:rPr>
              <w:t>|</w:t>
            </w:r>
            <w:r w:rsidR="00E46B86" w:rsidRPr="00E36DB9">
              <w:rPr>
                <w:rFonts w:ascii="Arial Narrow" w:hAnsi="Arial Narrow"/>
                <w:sz w:val="20"/>
                <w:szCs w:val="20"/>
                <w:vertAlign w:val="superscript"/>
              </w:rPr>
              <w:t>6</w:t>
            </w:r>
          </w:p>
        </w:tc>
        <w:tc>
          <w:tcPr>
            <w:tcW w:w="851" w:type="dxa"/>
          </w:tcPr>
          <w:p w14:paraId="65A5615E" w14:textId="2F0FCA4D"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3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3"/>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850" w:type="dxa"/>
          </w:tcPr>
          <w:p w14:paraId="1495487D" w14:textId="1FB91D77"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3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2"/>
                <w14:textFill>
                  <w14:solidFill>
                    <w14:srgbClr w14:val="000000">
                      <w14:alpha w14:val="100000"/>
                    </w14:srgbClr>
                  </w14:solidFill>
                </w14:textFill>
              </w:rPr>
              <w:t>|</w:t>
            </w:r>
            <w:r w:rsidR="00F06E29" w:rsidRPr="00E36DB9">
              <w:rPr>
                <w:rFonts w:ascii="Arial Narrow" w:hAnsi="Arial Narrow"/>
                <w:sz w:val="20"/>
                <w:szCs w:val="20"/>
                <w:vertAlign w:val="superscript"/>
              </w:rPr>
              <w:t>7</w:t>
            </w:r>
          </w:p>
        </w:tc>
        <w:tc>
          <w:tcPr>
            <w:tcW w:w="851" w:type="dxa"/>
          </w:tcPr>
          <w:p w14:paraId="3E0AA81F" w14:textId="722BE504"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31"/>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1"/>
                <w14:textFill>
                  <w14:solidFill>
                    <w14:srgbClr w14:val="000000">
                      <w14:alpha w14:val="100000"/>
                    </w14:srgbClr>
                  </w14:solidFill>
                </w14:textFill>
              </w:rPr>
              <w:t>|</w:t>
            </w:r>
            <w:r w:rsidR="00F06E29" w:rsidRPr="00450C49">
              <w:rPr>
                <w:rFonts w:ascii="Arial Narrow" w:hAnsi="Arial Narrow"/>
                <w:sz w:val="20"/>
                <w:szCs w:val="20"/>
                <w:vertAlign w:val="superscript"/>
              </w:rPr>
              <w:t>7</w:t>
            </w:r>
          </w:p>
        </w:tc>
        <w:tc>
          <w:tcPr>
            <w:tcW w:w="850" w:type="dxa"/>
          </w:tcPr>
          <w:p w14:paraId="39E07664" w14:textId="4F90B36E"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3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30"/>
                <w14:textFill>
                  <w14:solidFill>
                    <w14:srgbClr w14:val="000000">
                      <w14:alpha w14:val="100000"/>
                    </w14:srgbClr>
                  </w14:solidFill>
                </w14:textFill>
              </w:rPr>
              <w:t>|</w:t>
            </w:r>
            <w:r w:rsidR="00F06E29" w:rsidRPr="00450C49">
              <w:rPr>
                <w:rFonts w:ascii="Arial Narrow" w:hAnsi="Arial Narrow"/>
                <w:sz w:val="20"/>
                <w:szCs w:val="20"/>
                <w:vertAlign w:val="superscript"/>
              </w:rPr>
              <w:t>7</w:t>
            </w:r>
          </w:p>
        </w:tc>
        <w:tc>
          <w:tcPr>
            <w:tcW w:w="942" w:type="dxa"/>
          </w:tcPr>
          <w:p w14:paraId="732ABEF4" w14:textId="038168AC"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9129"/>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9129"/>
                <w14:textFill>
                  <w14:solidFill>
                    <w14:srgbClr w14:val="000000">
                      <w14:alpha w14:val="100000"/>
                    </w14:srgbClr>
                  </w14:solidFill>
                </w14:textFill>
              </w:rPr>
              <w:t>|</w:t>
            </w:r>
            <w:r w:rsidR="00F06E29" w:rsidRPr="00450C49">
              <w:rPr>
                <w:rFonts w:ascii="Arial Narrow" w:hAnsi="Arial Narrow"/>
                <w:sz w:val="20"/>
                <w:szCs w:val="20"/>
                <w:vertAlign w:val="superscript"/>
              </w:rPr>
              <w:t>7</w:t>
            </w:r>
          </w:p>
        </w:tc>
      </w:tr>
      <w:tr w:rsidR="008D40C6" w:rsidRPr="00E273AF" w14:paraId="66139DDE" w14:textId="77777777" w:rsidTr="00AC05F2">
        <w:trPr>
          <w:cantSplit/>
        </w:trPr>
        <w:tc>
          <w:tcPr>
            <w:tcW w:w="3823" w:type="dxa"/>
          </w:tcPr>
          <w:p w14:paraId="1410520B" w14:textId="77777777" w:rsidR="008D40C6" w:rsidRPr="00E273AF" w:rsidRDefault="008D40C6" w:rsidP="00AF450C">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Total EV+PEM scripts</w:t>
            </w:r>
          </w:p>
        </w:tc>
        <w:tc>
          <w:tcPr>
            <w:tcW w:w="850" w:type="dxa"/>
          </w:tcPr>
          <w:p w14:paraId="51283561" w14:textId="1A7E7F3F"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80"/>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80"/>
                <w14:textFill>
                  <w14:solidFill>
                    <w14:srgbClr w14:val="000000">
                      <w14:alpha w14:val="100000"/>
                    </w14:srgbClr>
                  </w14:solidFill>
                </w14:textFill>
              </w:rPr>
              <w:t>|</w:t>
            </w:r>
            <w:r w:rsidR="00CB65DE" w:rsidRPr="00450C49">
              <w:rPr>
                <w:rFonts w:ascii="Arial Narrow" w:hAnsi="Arial Narrow"/>
                <w:sz w:val="20"/>
                <w:szCs w:val="20"/>
                <w:vertAlign w:val="superscript"/>
              </w:rPr>
              <w:t>5</w:t>
            </w:r>
          </w:p>
        </w:tc>
        <w:tc>
          <w:tcPr>
            <w:tcW w:w="851" w:type="dxa"/>
          </w:tcPr>
          <w:p w14:paraId="0E94ABB9" w14:textId="610B2543"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9"/>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9"/>
                <w14:textFill>
                  <w14:solidFill>
                    <w14:srgbClr w14:val="000000">
                      <w14:alpha w14:val="100000"/>
                    </w14:srgbClr>
                  </w14:solidFill>
                </w14:textFill>
              </w:rPr>
              <w:t>|</w:t>
            </w:r>
            <w:r w:rsidR="00CB65DE" w:rsidRPr="00450C49">
              <w:rPr>
                <w:rFonts w:ascii="Arial Narrow" w:hAnsi="Arial Narrow"/>
                <w:sz w:val="20"/>
                <w:szCs w:val="20"/>
                <w:vertAlign w:val="superscript"/>
              </w:rPr>
              <w:t>5</w:t>
            </w:r>
          </w:p>
        </w:tc>
        <w:tc>
          <w:tcPr>
            <w:tcW w:w="850" w:type="dxa"/>
          </w:tcPr>
          <w:p w14:paraId="788C97BE" w14:textId="10ABBE16"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8"/>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8"/>
                <w14:textFill>
                  <w14:solidFill>
                    <w14:srgbClr w14:val="000000">
                      <w14:alpha w14:val="100000"/>
                    </w14:srgbClr>
                  </w14:solidFill>
                </w14:textFill>
              </w:rPr>
              <w:t>|</w:t>
            </w:r>
            <w:r w:rsidR="001243CD">
              <w:rPr>
                <w:rFonts w:ascii="Arial Narrow" w:eastAsiaTheme="majorEastAsia" w:hAnsi="Arial Narrow" w:cstheme="majorBidi"/>
                <w:bCs/>
                <w:sz w:val="20"/>
                <w:vertAlign w:val="superscript"/>
              </w:rPr>
              <w:t>8</w:t>
            </w:r>
          </w:p>
        </w:tc>
        <w:tc>
          <w:tcPr>
            <w:tcW w:w="851" w:type="dxa"/>
          </w:tcPr>
          <w:p w14:paraId="44A6556D" w14:textId="72C952CD"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7"/>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7"/>
                <w14:textFill>
                  <w14:solidFill>
                    <w14:srgbClr w14:val="000000">
                      <w14:alpha w14:val="100000"/>
                    </w14:srgbClr>
                  </w14:solidFill>
                </w14:textFill>
              </w:rPr>
              <w:t>|</w:t>
            </w:r>
            <w:r w:rsidR="001243CD">
              <w:rPr>
                <w:rFonts w:ascii="Arial Narrow" w:eastAsiaTheme="majorEastAsia" w:hAnsi="Arial Narrow" w:cstheme="majorBidi"/>
                <w:bCs/>
                <w:sz w:val="20"/>
                <w:vertAlign w:val="superscript"/>
              </w:rPr>
              <w:t>8</w:t>
            </w:r>
          </w:p>
        </w:tc>
        <w:tc>
          <w:tcPr>
            <w:tcW w:w="850" w:type="dxa"/>
          </w:tcPr>
          <w:p w14:paraId="3C2804C0" w14:textId="30F1E111"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6"/>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6"/>
                <w14:textFill>
                  <w14:solidFill>
                    <w14:srgbClr w14:val="000000">
                      <w14:alpha w14:val="100000"/>
                    </w14:srgbClr>
                  </w14:solidFill>
                </w14:textFill>
              </w:rPr>
              <w:t>|</w:t>
            </w:r>
            <w:r w:rsidR="00871739" w:rsidRPr="00E36DB9">
              <w:rPr>
                <w:rFonts w:ascii="Arial Narrow" w:eastAsiaTheme="majorEastAsia" w:hAnsi="Arial Narrow" w:cstheme="majorBidi"/>
                <w:bCs/>
                <w:sz w:val="20"/>
                <w:vertAlign w:val="superscript"/>
              </w:rPr>
              <w:t>9</w:t>
            </w:r>
          </w:p>
        </w:tc>
        <w:tc>
          <w:tcPr>
            <w:tcW w:w="942" w:type="dxa"/>
          </w:tcPr>
          <w:p w14:paraId="664AFE88" w14:textId="7C2D2484"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5"/>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5"/>
                <w14:textFill>
                  <w14:solidFill>
                    <w14:srgbClr w14:val="000000">
                      <w14:alpha w14:val="100000"/>
                    </w14:srgbClr>
                  </w14:solidFill>
                </w14:textFill>
              </w:rPr>
              <w:t>|</w:t>
            </w:r>
            <w:r w:rsidR="00871739" w:rsidRPr="00450C49">
              <w:rPr>
                <w:rFonts w:ascii="Arial Narrow" w:eastAsiaTheme="majorEastAsia" w:hAnsi="Arial Narrow" w:cstheme="majorBidi"/>
                <w:bCs/>
                <w:sz w:val="20"/>
                <w:vertAlign w:val="superscript"/>
              </w:rPr>
              <w:t>9</w:t>
            </w:r>
          </w:p>
        </w:tc>
      </w:tr>
      <w:tr w:rsidR="008D40C6" w:rsidRPr="00E273AF" w14:paraId="17A38C93" w14:textId="77777777" w:rsidTr="00CF3EC7">
        <w:trPr>
          <w:cantSplit/>
        </w:trPr>
        <w:tc>
          <w:tcPr>
            <w:tcW w:w="9017" w:type="dxa"/>
            <w:gridSpan w:val="7"/>
          </w:tcPr>
          <w:p w14:paraId="199C2E29" w14:textId="77777777" w:rsidR="008D40C6" w:rsidRPr="00E273AF" w:rsidRDefault="008D40C6" w:rsidP="00AF450C">
            <w:pPr>
              <w:keepNext/>
              <w:keepLines/>
              <w:jc w:val="left"/>
              <w:rPr>
                <w:rFonts w:ascii="Arial Narrow" w:eastAsiaTheme="majorEastAsia" w:hAnsi="Arial Narrow" w:cstheme="majorBidi"/>
                <w:b/>
                <w:sz w:val="20"/>
              </w:rPr>
            </w:pPr>
            <w:r w:rsidRPr="00E273AF">
              <w:rPr>
                <w:rFonts w:ascii="Arial Narrow" w:eastAsiaTheme="majorEastAsia" w:hAnsi="Arial Narrow" w:cstheme="majorBidi"/>
                <w:b/>
                <w:sz w:val="20"/>
              </w:rPr>
              <w:t>Estimated financial implications of EV+PEM</w:t>
            </w:r>
          </w:p>
        </w:tc>
      </w:tr>
      <w:tr w:rsidR="008D40C6" w:rsidRPr="00E273AF" w14:paraId="3A0597D3" w14:textId="77777777" w:rsidTr="00AC05F2">
        <w:trPr>
          <w:cantSplit/>
        </w:trPr>
        <w:tc>
          <w:tcPr>
            <w:tcW w:w="3823" w:type="dxa"/>
          </w:tcPr>
          <w:p w14:paraId="7854A749" w14:textId="77777777" w:rsidR="008D40C6" w:rsidRPr="00E273AF" w:rsidRDefault="008D40C6"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Cost of EV to the PBS/RPBS less copays</w:t>
            </w:r>
          </w:p>
        </w:tc>
        <w:tc>
          <w:tcPr>
            <w:tcW w:w="850" w:type="dxa"/>
          </w:tcPr>
          <w:p w14:paraId="62A28B16" w14:textId="634EC8CF"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4"/>
                <w14:textFill>
                  <w14:solidFill>
                    <w14:srgbClr w14:val="000000">
                      <w14:alpha w14:val="100000"/>
                    </w14:srgbClr>
                  </w14:solidFill>
                </w14:textFill>
              </w:rPr>
              <w:t>|</w:t>
            </w:r>
            <w:r w:rsidR="001158C9" w:rsidRPr="00E36DB9">
              <w:rPr>
                <w:rFonts w:ascii="Arial Narrow" w:hAnsi="Arial Narrow"/>
                <w:color w:val="000000"/>
                <w:sz w:val="20"/>
                <w:szCs w:val="20"/>
                <w:vertAlign w:val="superscript"/>
              </w:rPr>
              <w:t>10</w:t>
            </w:r>
          </w:p>
        </w:tc>
        <w:tc>
          <w:tcPr>
            <w:tcW w:w="851" w:type="dxa"/>
          </w:tcPr>
          <w:p w14:paraId="10BEB6AB" w14:textId="07726AE6"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3"/>
                <w14:textFill>
                  <w14:solidFill>
                    <w14:srgbClr w14:val="000000">
                      <w14:alpha w14:val="100000"/>
                    </w14:srgbClr>
                  </w14:solidFill>
                </w14:textFill>
              </w:rPr>
              <w:t>|</w:t>
            </w:r>
            <w:r w:rsidR="001158C9" w:rsidRPr="00450C49">
              <w:rPr>
                <w:rFonts w:ascii="Arial Narrow" w:hAnsi="Arial Narrow"/>
                <w:color w:val="000000"/>
                <w:sz w:val="20"/>
                <w:szCs w:val="20"/>
                <w:vertAlign w:val="superscript"/>
              </w:rPr>
              <w:t>10</w:t>
            </w:r>
          </w:p>
        </w:tc>
        <w:tc>
          <w:tcPr>
            <w:tcW w:w="850" w:type="dxa"/>
          </w:tcPr>
          <w:p w14:paraId="7F727245" w14:textId="58E1F678"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2"/>
                <w14:textFill>
                  <w14:solidFill>
                    <w14:srgbClr w14:val="000000">
                      <w14:alpha w14:val="100000"/>
                    </w14:srgbClr>
                  </w14:solidFill>
                </w14:textFill>
              </w:rPr>
              <w:t>|</w:t>
            </w:r>
            <w:r w:rsidR="00240207" w:rsidRPr="00E36DB9">
              <w:rPr>
                <w:rFonts w:ascii="Arial Narrow" w:hAnsi="Arial Narrow"/>
                <w:color w:val="000000"/>
                <w:sz w:val="20"/>
                <w:szCs w:val="20"/>
                <w:vertAlign w:val="superscript"/>
              </w:rPr>
              <w:t>11</w:t>
            </w:r>
          </w:p>
        </w:tc>
        <w:tc>
          <w:tcPr>
            <w:tcW w:w="851" w:type="dxa"/>
          </w:tcPr>
          <w:p w14:paraId="6496AB17" w14:textId="6B33D1FB"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1"/>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1"/>
                <w14:textFill>
                  <w14:solidFill>
                    <w14:srgbClr w14:val="000000">
                      <w14:alpha w14:val="100000"/>
                    </w14:srgbClr>
                  </w14:solidFill>
                </w14:textFill>
              </w:rPr>
              <w:t>|</w:t>
            </w:r>
            <w:r w:rsidR="00240207" w:rsidRPr="00450C49">
              <w:rPr>
                <w:rFonts w:ascii="Arial Narrow" w:hAnsi="Arial Narrow"/>
                <w:color w:val="000000"/>
                <w:sz w:val="20"/>
                <w:szCs w:val="20"/>
                <w:vertAlign w:val="superscript"/>
              </w:rPr>
              <w:t>11</w:t>
            </w:r>
          </w:p>
        </w:tc>
        <w:tc>
          <w:tcPr>
            <w:tcW w:w="850" w:type="dxa"/>
          </w:tcPr>
          <w:p w14:paraId="032E6C19" w14:textId="48B7FE7B"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0"/>
                <w14:textFill>
                  <w14:solidFill>
                    <w14:srgbClr w14:val="000000">
                      <w14:alpha w14:val="100000"/>
                    </w14:srgbClr>
                  </w14:solidFill>
                </w14:textFill>
              </w:rPr>
              <w:t>|</w:t>
            </w:r>
            <w:r w:rsidR="00240207" w:rsidRPr="00450C49">
              <w:rPr>
                <w:rFonts w:ascii="Arial Narrow" w:hAnsi="Arial Narrow"/>
                <w:color w:val="000000"/>
                <w:sz w:val="20"/>
                <w:szCs w:val="20"/>
                <w:vertAlign w:val="superscript"/>
              </w:rPr>
              <w:t>11</w:t>
            </w:r>
          </w:p>
        </w:tc>
        <w:tc>
          <w:tcPr>
            <w:tcW w:w="942" w:type="dxa"/>
          </w:tcPr>
          <w:p w14:paraId="26F5AD49" w14:textId="687520CA"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69"/>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9"/>
                <w14:textFill>
                  <w14:solidFill>
                    <w14:srgbClr w14:val="000000">
                      <w14:alpha w14:val="100000"/>
                    </w14:srgbClr>
                  </w14:solidFill>
                </w14:textFill>
              </w:rPr>
              <w:t>|</w:t>
            </w:r>
            <w:r w:rsidR="00240207" w:rsidRPr="00450C49">
              <w:rPr>
                <w:rFonts w:ascii="Arial Narrow" w:hAnsi="Arial Narrow"/>
                <w:color w:val="000000"/>
                <w:sz w:val="20"/>
                <w:szCs w:val="20"/>
                <w:vertAlign w:val="superscript"/>
              </w:rPr>
              <w:t>11</w:t>
            </w:r>
          </w:p>
        </w:tc>
      </w:tr>
      <w:tr w:rsidR="008D40C6" w:rsidRPr="00E273AF" w14:paraId="6698C4B4" w14:textId="77777777" w:rsidTr="00AC05F2">
        <w:trPr>
          <w:cantSplit/>
        </w:trPr>
        <w:tc>
          <w:tcPr>
            <w:tcW w:w="3823" w:type="dxa"/>
          </w:tcPr>
          <w:p w14:paraId="039E3D04" w14:textId="77777777" w:rsidR="008D40C6" w:rsidRPr="00E273AF" w:rsidRDefault="008D40C6"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Cost of PEM to the PBS/RPBS less copays</w:t>
            </w:r>
          </w:p>
        </w:tc>
        <w:tc>
          <w:tcPr>
            <w:tcW w:w="850" w:type="dxa"/>
          </w:tcPr>
          <w:p w14:paraId="6897813E" w14:textId="23F5F5B9"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68"/>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8"/>
                <w14:textFill>
                  <w14:solidFill>
                    <w14:srgbClr w14:val="000000">
                      <w14:alpha w14:val="100000"/>
                    </w14:srgbClr>
                  </w14:solidFill>
                </w14:textFill>
              </w:rPr>
              <w:t>|</w:t>
            </w:r>
            <w:r w:rsidR="001158C9" w:rsidRPr="00450C49">
              <w:rPr>
                <w:rFonts w:ascii="Arial Narrow" w:hAnsi="Arial Narrow"/>
                <w:color w:val="000000"/>
                <w:sz w:val="20"/>
                <w:szCs w:val="20"/>
                <w:vertAlign w:val="superscript"/>
              </w:rPr>
              <w:t>10</w:t>
            </w:r>
          </w:p>
        </w:tc>
        <w:tc>
          <w:tcPr>
            <w:tcW w:w="851" w:type="dxa"/>
          </w:tcPr>
          <w:p w14:paraId="1746099B" w14:textId="6A65C8B8"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67"/>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7"/>
                <w14:textFill>
                  <w14:solidFill>
                    <w14:srgbClr w14:val="000000">
                      <w14:alpha w14:val="100000"/>
                    </w14:srgbClr>
                  </w14:solidFill>
                </w14:textFill>
              </w:rPr>
              <w:t>|</w:t>
            </w:r>
            <w:r w:rsidR="001158C9" w:rsidRPr="00450C49">
              <w:rPr>
                <w:rFonts w:ascii="Arial Narrow" w:hAnsi="Arial Narrow"/>
                <w:color w:val="000000"/>
                <w:sz w:val="20"/>
                <w:szCs w:val="20"/>
                <w:vertAlign w:val="superscript"/>
              </w:rPr>
              <w:t>10</w:t>
            </w:r>
          </w:p>
        </w:tc>
        <w:tc>
          <w:tcPr>
            <w:tcW w:w="850" w:type="dxa"/>
          </w:tcPr>
          <w:p w14:paraId="74EB503A" w14:textId="1B69E3A4"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6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6"/>
                <w14:textFill>
                  <w14:solidFill>
                    <w14:srgbClr w14:val="000000">
                      <w14:alpha w14:val="100000"/>
                    </w14:srgbClr>
                  </w14:solidFill>
                </w14:textFill>
              </w:rPr>
              <w:t>|</w:t>
            </w:r>
            <w:r w:rsidR="001158C9" w:rsidRPr="00450C49">
              <w:rPr>
                <w:rFonts w:ascii="Arial Narrow" w:hAnsi="Arial Narrow"/>
                <w:color w:val="000000"/>
                <w:sz w:val="20"/>
                <w:szCs w:val="20"/>
                <w:vertAlign w:val="superscript"/>
              </w:rPr>
              <w:t>10</w:t>
            </w:r>
          </w:p>
        </w:tc>
        <w:tc>
          <w:tcPr>
            <w:tcW w:w="851" w:type="dxa"/>
          </w:tcPr>
          <w:p w14:paraId="0271C7DF" w14:textId="214629CE"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6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5"/>
                <w14:textFill>
                  <w14:solidFill>
                    <w14:srgbClr w14:val="000000">
                      <w14:alpha w14:val="100000"/>
                    </w14:srgbClr>
                  </w14:solidFill>
                </w14:textFill>
              </w:rPr>
              <w:t>|</w:t>
            </w:r>
            <w:r w:rsidR="001158C9" w:rsidRPr="00450C49">
              <w:rPr>
                <w:rFonts w:ascii="Arial Narrow" w:hAnsi="Arial Narrow"/>
                <w:color w:val="000000"/>
                <w:sz w:val="20"/>
                <w:szCs w:val="20"/>
                <w:vertAlign w:val="superscript"/>
              </w:rPr>
              <w:t>10</w:t>
            </w:r>
          </w:p>
        </w:tc>
        <w:tc>
          <w:tcPr>
            <w:tcW w:w="850" w:type="dxa"/>
          </w:tcPr>
          <w:p w14:paraId="620D60CB" w14:textId="2F9F8A62"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6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4"/>
                <w14:textFill>
                  <w14:solidFill>
                    <w14:srgbClr w14:val="000000">
                      <w14:alpha w14:val="100000"/>
                    </w14:srgbClr>
                  </w14:solidFill>
                </w14:textFill>
              </w:rPr>
              <w:t>|</w:t>
            </w:r>
            <w:r w:rsidR="001158C9" w:rsidRPr="00450C49">
              <w:rPr>
                <w:rFonts w:ascii="Arial Narrow" w:hAnsi="Arial Narrow"/>
                <w:color w:val="000000"/>
                <w:sz w:val="20"/>
                <w:szCs w:val="20"/>
                <w:vertAlign w:val="superscript"/>
              </w:rPr>
              <w:t>10</w:t>
            </w:r>
          </w:p>
        </w:tc>
        <w:tc>
          <w:tcPr>
            <w:tcW w:w="942" w:type="dxa"/>
          </w:tcPr>
          <w:p w14:paraId="36474116" w14:textId="21DEFAEF" w:rsidR="008D40C6"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8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80"/>
                <w14:textFill>
                  <w14:solidFill>
                    <w14:srgbClr w14:val="000000">
                      <w14:alpha w14:val="100000"/>
                    </w14:srgbClr>
                  </w14:solidFill>
                </w14:textFill>
              </w:rPr>
              <w:t>|</w:t>
            </w:r>
            <w:r w:rsidR="001158C9" w:rsidRPr="00450C49">
              <w:rPr>
                <w:rFonts w:ascii="Arial Narrow" w:hAnsi="Arial Narrow"/>
                <w:color w:val="000000"/>
                <w:sz w:val="20"/>
                <w:szCs w:val="20"/>
                <w:vertAlign w:val="superscript"/>
              </w:rPr>
              <w:t>10</w:t>
            </w:r>
          </w:p>
        </w:tc>
      </w:tr>
      <w:tr w:rsidR="008D40C6" w:rsidRPr="00E273AF" w14:paraId="47414CB2" w14:textId="77777777" w:rsidTr="00AC05F2">
        <w:trPr>
          <w:cantSplit/>
        </w:trPr>
        <w:tc>
          <w:tcPr>
            <w:tcW w:w="3823" w:type="dxa"/>
          </w:tcPr>
          <w:p w14:paraId="0DBF13D2" w14:textId="67A7120C" w:rsidR="008D40C6" w:rsidRPr="00E273AF" w:rsidRDefault="008D40C6"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Total c</w:t>
            </w:r>
            <w:r w:rsidRPr="00E273AF">
              <w:rPr>
                <w:rFonts w:ascii="Arial Narrow" w:eastAsiaTheme="majorEastAsia" w:hAnsi="Arial Narrow" w:cstheme="majorBidi"/>
                <w:bCs/>
                <w:sz w:val="20"/>
              </w:rPr>
              <w:t xml:space="preserve">ost </w:t>
            </w:r>
            <w:r>
              <w:rPr>
                <w:rFonts w:ascii="Arial Narrow" w:eastAsiaTheme="majorEastAsia" w:hAnsi="Arial Narrow" w:cstheme="majorBidi"/>
                <w:bCs/>
                <w:sz w:val="20"/>
              </w:rPr>
              <w:t xml:space="preserve">of EV+PEM </w:t>
            </w:r>
            <w:r w:rsidRPr="00E273AF">
              <w:rPr>
                <w:rFonts w:ascii="Arial Narrow" w:eastAsiaTheme="majorEastAsia" w:hAnsi="Arial Narrow" w:cstheme="majorBidi"/>
                <w:bCs/>
                <w:sz w:val="20"/>
              </w:rPr>
              <w:t>to the PBS/RPBS less copay</w:t>
            </w:r>
            <w:r>
              <w:rPr>
                <w:rFonts w:ascii="Arial Narrow" w:eastAsiaTheme="majorEastAsia" w:hAnsi="Arial Narrow" w:cstheme="majorBidi"/>
                <w:bCs/>
                <w:sz w:val="20"/>
              </w:rPr>
              <w:t>s</w:t>
            </w:r>
          </w:p>
        </w:tc>
        <w:tc>
          <w:tcPr>
            <w:tcW w:w="850" w:type="dxa"/>
          </w:tcPr>
          <w:p w14:paraId="76681E60" w14:textId="69358548"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9"/>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9"/>
                <w14:textFill>
                  <w14:solidFill>
                    <w14:srgbClr w14:val="000000">
                      <w14:alpha w14:val="100000"/>
                    </w14:srgbClr>
                  </w14:solidFill>
                </w14:textFill>
              </w:rPr>
              <w:t>|</w:t>
            </w:r>
            <w:r w:rsidR="002322C2" w:rsidRPr="00E36DB9">
              <w:rPr>
                <w:rFonts w:ascii="Arial Narrow" w:eastAsiaTheme="majorEastAsia" w:hAnsi="Arial Narrow" w:cstheme="majorBidi"/>
                <w:bCs/>
                <w:sz w:val="20"/>
                <w:vertAlign w:val="superscript"/>
              </w:rPr>
              <w:t>12</w:t>
            </w:r>
          </w:p>
        </w:tc>
        <w:tc>
          <w:tcPr>
            <w:tcW w:w="851" w:type="dxa"/>
          </w:tcPr>
          <w:p w14:paraId="136246D5" w14:textId="4C7CFF5E"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8"/>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8"/>
                <w14:textFill>
                  <w14:solidFill>
                    <w14:srgbClr w14:val="000000">
                      <w14:alpha w14:val="100000"/>
                    </w14:srgbClr>
                  </w14:solidFill>
                </w14:textFill>
              </w:rPr>
              <w:t>|</w:t>
            </w:r>
            <w:r w:rsidR="002322C2" w:rsidRPr="00450C49">
              <w:rPr>
                <w:rFonts w:ascii="Arial Narrow" w:eastAsiaTheme="majorEastAsia" w:hAnsi="Arial Narrow" w:cstheme="majorBidi"/>
                <w:bCs/>
                <w:sz w:val="20"/>
                <w:vertAlign w:val="superscript"/>
              </w:rPr>
              <w:t>12</w:t>
            </w:r>
          </w:p>
        </w:tc>
        <w:tc>
          <w:tcPr>
            <w:tcW w:w="850" w:type="dxa"/>
          </w:tcPr>
          <w:p w14:paraId="3C4419E5" w14:textId="634F221D"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7"/>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7"/>
                <w14:textFill>
                  <w14:solidFill>
                    <w14:srgbClr w14:val="000000">
                      <w14:alpha w14:val="100000"/>
                    </w14:srgbClr>
                  </w14:solidFill>
                </w14:textFill>
              </w:rPr>
              <w:t>|</w:t>
            </w:r>
            <w:r w:rsidR="002322C2" w:rsidRPr="00450C49">
              <w:rPr>
                <w:rFonts w:ascii="Arial Narrow" w:eastAsiaTheme="majorEastAsia" w:hAnsi="Arial Narrow" w:cstheme="majorBidi"/>
                <w:bCs/>
                <w:sz w:val="20"/>
                <w:vertAlign w:val="superscript"/>
              </w:rPr>
              <w:t>12</w:t>
            </w:r>
          </w:p>
        </w:tc>
        <w:tc>
          <w:tcPr>
            <w:tcW w:w="851" w:type="dxa"/>
          </w:tcPr>
          <w:p w14:paraId="1BA228BB" w14:textId="4C844F57"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6"/>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6"/>
                <w14:textFill>
                  <w14:solidFill>
                    <w14:srgbClr w14:val="000000">
                      <w14:alpha w14:val="100000"/>
                    </w14:srgbClr>
                  </w14:solidFill>
                </w14:textFill>
              </w:rPr>
              <w:t>|</w:t>
            </w:r>
            <w:r w:rsidR="00A92D13" w:rsidRPr="00E36DB9">
              <w:rPr>
                <w:rFonts w:ascii="Arial Narrow" w:eastAsiaTheme="majorEastAsia" w:hAnsi="Arial Narrow" w:cstheme="majorBidi"/>
                <w:bCs/>
                <w:sz w:val="20"/>
                <w:vertAlign w:val="superscript"/>
              </w:rPr>
              <w:t>13</w:t>
            </w:r>
          </w:p>
        </w:tc>
        <w:tc>
          <w:tcPr>
            <w:tcW w:w="850" w:type="dxa"/>
          </w:tcPr>
          <w:p w14:paraId="37014CCD" w14:textId="0001BB72"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5"/>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5"/>
                <w14:textFill>
                  <w14:solidFill>
                    <w14:srgbClr w14:val="000000">
                      <w14:alpha w14:val="100000"/>
                    </w14:srgbClr>
                  </w14:solidFill>
                </w14:textFill>
              </w:rPr>
              <w:t>|</w:t>
            </w:r>
            <w:r w:rsidR="00A92D13" w:rsidRPr="00450C49">
              <w:rPr>
                <w:rFonts w:ascii="Arial Narrow" w:eastAsiaTheme="majorEastAsia" w:hAnsi="Arial Narrow" w:cstheme="majorBidi"/>
                <w:bCs/>
                <w:sz w:val="20"/>
                <w:vertAlign w:val="superscript"/>
              </w:rPr>
              <w:t>13</w:t>
            </w:r>
          </w:p>
        </w:tc>
        <w:tc>
          <w:tcPr>
            <w:tcW w:w="942" w:type="dxa"/>
          </w:tcPr>
          <w:p w14:paraId="47EC1729" w14:textId="5DC0ED4A" w:rsidR="008D40C6"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4"/>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4"/>
                <w14:textFill>
                  <w14:solidFill>
                    <w14:srgbClr w14:val="000000">
                      <w14:alpha w14:val="100000"/>
                    </w14:srgbClr>
                  </w14:solidFill>
                </w14:textFill>
              </w:rPr>
              <w:t>|</w:t>
            </w:r>
            <w:r w:rsidR="00A92D13" w:rsidRPr="00450C49">
              <w:rPr>
                <w:rFonts w:ascii="Arial Narrow" w:eastAsiaTheme="majorEastAsia" w:hAnsi="Arial Narrow" w:cstheme="majorBidi"/>
                <w:bCs/>
                <w:sz w:val="20"/>
                <w:vertAlign w:val="superscript"/>
              </w:rPr>
              <w:t>13</w:t>
            </w:r>
          </w:p>
        </w:tc>
      </w:tr>
      <w:tr w:rsidR="008D40C6" w:rsidRPr="00E273AF" w14:paraId="32CBD482" w14:textId="77777777" w:rsidTr="00CF3EC7">
        <w:trPr>
          <w:cantSplit/>
        </w:trPr>
        <w:tc>
          <w:tcPr>
            <w:tcW w:w="9017" w:type="dxa"/>
            <w:gridSpan w:val="7"/>
          </w:tcPr>
          <w:p w14:paraId="2F282979" w14:textId="353E438D" w:rsidR="008D40C6" w:rsidRPr="00E273AF" w:rsidRDefault="008D40C6" w:rsidP="00AF450C">
            <w:pPr>
              <w:keepNext/>
              <w:keepLines/>
              <w:jc w:val="left"/>
              <w:rPr>
                <w:rFonts w:ascii="Arial Narrow" w:eastAsiaTheme="majorEastAsia" w:hAnsi="Arial Narrow" w:cstheme="majorBidi"/>
                <w:b/>
                <w:sz w:val="20"/>
              </w:rPr>
            </w:pPr>
            <w:r>
              <w:rPr>
                <w:rFonts w:ascii="Arial Narrow" w:eastAsiaTheme="majorEastAsia" w:hAnsi="Arial Narrow" w:cstheme="majorBidi"/>
                <w:b/>
                <w:sz w:val="20"/>
              </w:rPr>
              <w:t>Change in use of c</w:t>
            </w:r>
            <w:r w:rsidRPr="00E273AF">
              <w:rPr>
                <w:rFonts w:ascii="Arial Narrow" w:eastAsiaTheme="majorEastAsia" w:hAnsi="Arial Narrow" w:cstheme="majorBidi"/>
                <w:b/>
                <w:sz w:val="20"/>
              </w:rPr>
              <w:t xml:space="preserve">omparator </w:t>
            </w:r>
            <w:r>
              <w:rPr>
                <w:rFonts w:ascii="Arial Narrow" w:eastAsiaTheme="majorEastAsia" w:hAnsi="Arial Narrow" w:cstheme="majorBidi"/>
                <w:b/>
                <w:sz w:val="20"/>
              </w:rPr>
              <w:t>and</w:t>
            </w:r>
            <w:r w:rsidRPr="00E273AF">
              <w:rPr>
                <w:rFonts w:ascii="Arial Narrow" w:eastAsiaTheme="majorEastAsia" w:hAnsi="Arial Narrow" w:cstheme="majorBidi"/>
                <w:b/>
                <w:sz w:val="20"/>
              </w:rPr>
              <w:t xml:space="preserve"> subsequent treatments </w:t>
            </w:r>
          </w:p>
        </w:tc>
      </w:tr>
      <w:tr w:rsidR="00747AFC" w:rsidRPr="00D21C8E" w14:paraId="117E8957" w14:textId="77777777" w:rsidTr="00AC05F2">
        <w:trPr>
          <w:cantSplit/>
        </w:trPr>
        <w:tc>
          <w:tcPr>
            <w:tcW w:w="3823" w:type="dxa"/>
          </w:tcPr>
          <w:p w14:paraId="4353A6C0" w14:textId="1F1DF8F3" w:rsidR="00747AFC" w:rsidRPr="001D64F1" w:rsidRDefault="00747AFC" w:rsidP="00AF450C">
            <w:pPr>
              <w:keepNext/>
              <w:keepLines/>
              <w:jc w:val="left"/>
              <w:rPr>
                <w:rFonts w:ascii="Arial Narrow" w:eastAsiaTheme="majorEastAsia" w:hAnsi="Arial Narrow" w:cstheme="majorBidi"/>
                <w:bCs/>
                <w:sz w:val="20"/>
              </w:rPr>
            </w:pPr>
            <w:r w:rsidRPr="001D64F1">
              <w:rPr>
                <w:rFonts w:ascii="Arial Narrow" w:eastAsiaTheme="majorEastAsia" w:hAnsi="Arial Narrow" w:cstheme="majorBidi"/>
                <w:bCs/>
                <w:sz w:val="20"/>
              </w:rPr>
              <w:t>Total incident patients (A)</w:t>
            </w:r>
          </w:p>
        </w:tc>
        <w:tc>
          <w:tcPr>
            <w:tcW w:w="850" w:type="dxa"/>
          </w:tcPr>
          <w:p w14:paraId="7B30FBD2" w14:textId="3E5108C0"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3"/>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3"/>
                <w14:textFill>
                  <w14:solidFill>
                    <w14:srgbClr w14:val="000000">
                      <w14:alpha w14:val="100000"/>
                    </w14:srgbClr>
                  </w14:solidFill>
                </w14:textFill>
              </w:rPr>
              <w:t>|</w:t>
            </w:r>
            <w:r w:rsidR="003A5E67" w:rsidRPr="00450C49">
              <w:rPr>
                <w:rFonts w:ascii="Arial Narrow" w:hAnsi="Arial Narrow"/>
                <w:bCs/>
                <w:sz w:val="20"/>
                <w:szCs w:val="20"/>
                <w:vertAlign w:val="superscript"/>
              </w:rPr>
              <w:t>1</w:t>
            </w:r>
          </w:p>
        </w:tc>
        <w:tc>
          <w:tcPr>
            <w:tcW w:w="851" w:type="dxa"/>
          </w:tcPr>
          <w:p w14:paraId="2139B2F5" w14:textId="2B7131C4"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2"/>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2"/>
                <w14:textFill>
                  <w14:solidFill>
                    <w14:srgbClr w14:val="000000">
                      <w14:alpha w14:val="100000"/>
                    </w14:srgbClr>
                  </w14:solidFill>
                </w14:textFill>
              </w:rPr>
              <w:t>|</w:t>
            </w:r>
            <w:r w:rsidR="003A5E67" w:rsidRPr="00450C49">
              <w:rPr>
                <w:rFonts w:ascii="Arial Narrow" w:hAnsi="Arial Narrow"/>
                <w:bCs/>
                <w:sz w:val="20"/>
                <w:szCs w:val="20"/>
                <w:vertAlign w:val="superscript"/>
              </w:rPr>
              <w:t>1</w:t>
            </w:r>
          </w:p>
        </w:tc>
        <w:tc>
          <w:tcPr>
            <w:tcW w:w="850" w:type="dxa"/>
          </w:tcPr>
          <w:p w14:paraId="3D932AA9" w14:textId="4BBDF13C"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1"/>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1"/>
                <w14:textFill>
                  <w14:solidFill>
                    <w14:srgbClr w14:val="000000">
                      <w14:alpha w14:val="100000"/>
                    </w14:srgbClr>
                  </w14:solidFill>
                </w14:textFill>
              </w:rPr>
              <w:t>|</w:t>
            </w:r>
            <w:r w:rsidR="003A5E67" w:rsidRPr="00450C49">
              <w:rPr>
                <w:rFonts w:ascii="Arial Narrow" w:hAnsi="Arial Narrow"/>
                <w:bCs/>
                <w:sz w:val="20"/>
                <w:szCs w:val="20"/>
                <w:vertAlign w:val="superscript"/>
              </w:rPr>
              <w:t>1</w:t>
            </w:r>
          </w:p>
        </w:tc>
        <w:tc>
          <w:tcPr>
            <w:tcW w:w="851" w:type="dxa"/>
          </w:tcPr>
          <w:p w14:paraId="51D85E13" w14:textId="12508B4F"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0"/>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0"/>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tcPr>
          <w:p w14:paraId="749DE015" w14:textId="232E79DF"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9"/>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9"/>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942" w:type="dxa"/>
          </w:tcPr>
          <w:p w14:paraId="67AA7605" w14:textId="562CFFB1"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8"/>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8"/>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r>
      <w:tr w:rsidR="00747AFC" w:rsidRPr="00D21C8E" w14:paraId="4CBB5FD9" w14:textId="77777777" w:rsidTr="00AC05F2">
        <w:trPr>
          <w:cantSplit/>
        </w:trPr>
        <w:tc>
          <w:tcPr>
            <w:tcW w:w="3823" w:type="dxa"/>
          </w:tcPr>
          <w:p w14:paraId="189C8966" w14:textId="0B11435B" w:rsidR="00747AFC" w:rsidRPr="001D64F1" w:rsidRDefault="00747AFC" w:rsidP="00AF450C">
            <w:pPr>
              <w:keepNext/>
              <w:keepLines/>
              <w:jc w:val="left"/>
              <w:rPr>
                <w:rFonts w:ascii="Arial Narrow" w:eastAsiaTheme="majorEastAsia" w:hAnsi="Arial Narrow" w:cstheme="majorBidi"/>
                <w:bCs/>
                <w:sz w:val="20"/>
              </w:rPr>
            </w:pPr>
            <w:r w:rsidRPr="001D64F1">
              <w:rPr>
                <w:rFonts w:ascii="Arial Narrow" w:eastAsiaTheme="majorEastAsia" w:hAnsi="Arial Narrow" w:cstheme="majorBidi"/>
                <w:bCs/>
                <w:sz w:val="20"/>
              </w:rPr>
              <w:t>Patients eligible for first-line treatment with PDC (A</w:t>
            </w:r>
            <w:r w:rsidR="003E2D2A" w:rsidRPr="001D64F1">
              <w:rPr>
                <w:rFonts w:ascii="Arial Narrow" w:eastAsiaTheme="majorEastAsia" w:hAnsi="Arial Narrow" w:cstheme="majorBidi"/>
                <w:bCs/>
                <w:sz w:val="20"/>
              </w:rPr>
              <w:t>)</w:t>
            </w:r>
            <w:r w:rsidRPr="001D64F1">
              <w:rPr>
                <w:rFonts w:ascii="Arial Narrow" w:eastAsiaTheme="majorEastAsia" w:hAnsi="Arial Narrow" w:cstheme="majorBidi"/>
                <w:bCs/>
                <w:sz w:val="20"/>
              </w:rPr>
              <w:t xml:space="preserve"> x 90%</w:t>
            </w:r>
          </w:p>
        </w:tc>
        <w:tc>
          <w:tcPr>
            <w:tcW w:w="850" w:type="dxa"/>
            <w:vAlign w:val="center"/>
          </w:tcPr>
          <w:p w14:paraId="484FBA56" w14:textId="5299AAE6"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7"/>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7"/>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vAlign w:val="center"/>
          </w:tcPr>
          <w:p w14:paraId="35AC5C7F" w14:textId="2CF7D2F9"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6"/>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6"/>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vAlign w:val="center"/>
          </w:tcPr>
          <w:p w14:paraId="30653327" w14:textId="69C1FC09"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5"/>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5"/>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vAlign w:val="center"/>
          </w:tcPr>
          <w:p w14:paraId="35682FCB" w14:textId="121301F8"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4"/>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4"/>
                <w14:textFill>
                  <w14:solidFill>
                    <w14:srgbClr w14:val="000000">
                      <w14:alpha w14:val="100000"/>
                    </w14:srgbClr>
                  </w14:solidFill>
                </w14:textFill>
              </w:rPr>
              <w:t>|</w:t>
            </w:r>
            <w:r w:rsidR="003A5E67" w:rsidRPr="00450C49">
              <w:rPr>
                <w:rFonts w:ascii="Arial Narrow" w:hAnsi="Arial Narrow"/>
                <w:bCs/>
                <w:sz w:val="20"/>
                <w:szCs w:val="20"/>
                <w:vertAlign w:val="superscript"/>
              </w:rPr>
              <w:t>1</w:t>
            </w:r>
          </w:p>
        </w:tc>
        <w:tc>
          <w:tcPr>
            <w:tcW w:w="850" w:type="dxa"/>
            <w:vAlign w:val="center"/>
          </w:tcPr>
          <w:p w14:paraId="78FE434D" w14:textId="69778639"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80"/>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80"/>
                <w14:textFill>
                  <w14:solidFill>
                    <w14:srgbClr w14:val="000000">
                      <w14:alpha w14:val="100000"/>
                    </w14:srgbClr>
                  </w14:solidFill>
                </w14:textFill>
              </w:rPr>
              <w:t>|</w:t>
            </w:r>
            <w:r w:rsidR="00945F66" w:rsidRPr="00450C49">
              <w:rPr>
                <w:rFonts w:ascii="Arial Narrow" w:hAnsi="Arial Narrow"/>
                <w:bCs/>
                <w:sz w:val="20"/>
                <w:szCs w:val="20"/>
                <w:vertAlign w:val="superscript"/>
              </w:rPr>
              <w:t>1</w:t>
            </w:r>
          </w:p>
        </w:tc>
        <w:tc>
          <w:tcPr>
            <w:tcW w:w="942" w:type="dxa"/>
            <w:vAlign w:val="center"/>
          </w:tcPr>
          <w:p w14:paraId="4D68E8E4" w14:textId="0BC88749"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9"/>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9"/>
                <w14:textFill>
                  <w14:solidFill>
                    <w14:srgbClr w14:val="000000">
                      <w14:alpha w14:val="100000"/>
                    </w14:srgbClr>
                  </w14:solidFill>
                </w14:textFill>
              </w:rPr>
              <w:t>|</w:t>
            </w:r>
            <w:r w:rsidR="00945F66" w:rsidRPr="00450C49">
              <w:rPr>
                <w:rFonts w:ascii="Arial Narrow" w:hAnsi="Arial Narrow"/>
                <w:bCs/>
                <w:sz w:val="20"/>
                <w:szCs w:val="20"/>
                <w:vertAlign w:val="superscript"/>
              </w:rPr>
              <w:t>1</w:t>
            </w:r>
          </w:p>
        </w:tc>
      </w:tr>
      <w:tr w:rsidR="00747AFC" w:rsidRPr="00D21C8E" w14:paraId="45317C6E" w14:textId="77777777" w:rsidTr="00AC05F2">
        <w:trPr>
          <w:cantSplit/>
        </w:trPr>
        <w:tc>
          <w:tcPr>
            <w:tcW w:w="3823" w:type="dxa"/>
          </w:tcPr>
          <w:p w14:paraId="357C7345" w14:textId="28E7D955" w:rsidR="00747AFC" w:rsidRPr="00D21C8E" w:rsidRDefault="00747AFC" w:rsidP="00AF450C">
            <w:pPr>
              <w:keepNext/>
              <w:keepLines/>
              <w:jc w:val="left"/>
              <w:rPr>
                <w:rFonts w:ascii="Arial Narrow" w:eastAsiaTheme="majorEastAsia" w:hAnsi="Arial Narrow" w:cstheme="majorBidi"/>
                <w:bCs/>
                <w:sz w:val="20"/>
                <w:szCs w:val="20"/>
              </w:rPr>
            </w:pPr>
            <w:r w:rsidRPr="00D21C8E">
              <w:rPr>
                <w:rFonts w:ascii="Arial Narrow" w:hAnsi="Arial Narrow"/>
                <w:sz w:val="20"/>
                <w:szCs w:val="20"/>
              </w:rPr>
              <w:t xml:space="preserve">Incident </w:t>
            </w:r>
            <w:r>
              <w:rPr>
                <w:rFonts w:ascii="Arial Narrow" w:hAnsi="Arial Narrow"/>
                <w:sz w:val="20"/>
                <w:szCs w:val="20"/>
              </w:rPr>
              <w:t xml:space="preserve">treated </w:t>
            </w:r>
            <w:r w:rsidRPr="00D21C8E">
              <w:rPr>
                <w:rFonts w:ascii="Arial Narrow" w:hAnsi="Arial Narrow"/>
                <w:sz w:val="20"/>
                <w:szCs w:val="20"/>
              </w:rPr>
              <w:t xml:space="preserve">patients </w:t>
            </w:r>
          </w:p>
        </w:tc>
        <w:tc>
          <w:tcPr>
            <w:tcW w:w="850" w:type="dxa"/>
          </w:tcPr>
          <w:p w14:paraId="025EDF2F" w14:textId="7B41FBCF"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8"/>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8"/>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tcPr>
          <w:p w14:paraId="0CA4BBA2" w14:textId="35A3F667"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7"/>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7"/>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tcPr>
          <w:p w14:paraId="26BEFA1E" w14:textId="78A70154"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6"/>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tcPr>
          <w:p w14:paraId="078E0737" w14:textId="54BE0F82"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5"/>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tcPr>
          <w:p w14:paraId="6EB787A8" w14:textId="13C64E1F"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4"/>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942" w:type="dxa"/>
          </w:tcPr>
          <w:p w14:paraId="11DC22D8" w14:textId="77E4BCCA"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3"/>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r>
      <w:tr w:rsidR="00747AFC" w:rsidRPr="00E273AF" w14:paraId="270FDA18" w14:textId="77777777" w:rsidTr="00AC05F2">
        <w:trPr>
          <w:cantSplit/>
        </w:trPr>
        <w:tc>
          <w:tcPr>
            <w:tcW w:w="3823" w:type="dxa"/>
          </w:tcPr>
          <w:p w14:paraId="50A458FD" w14:textId="307247D0" w:rsidR="00747AFC" w:rsidRPr="00E273AF" w:rsidRDefault="00747AFC" w:rsidP="00AF450C">
            <w:pPr>
              <w:keepNext/>
              <w:keepLines/>
              <w:jc w:val="left"/>
              <w:rPr>
                <w:rFonts w:ascii="Arial Narrow" w:eastAsiaTheme="majorEastAsia" w:hAnsi="Arial Narrow" w:cstheme="majorBidi"/>
                <w:bCs/>
                <w:sz w:val="20"/>
              </w:rPr>
            </w:pPr>
            <w:r w:rsidRPr="00E273AF">
              <w:rPr>
                <w:rFonts w:ascii="Arial Narrow" w:eastAsiaTheme="majorEastAsia" w:hAnsi="Arial Narrow" w:cstheme="majorBidi"/>
                <w:bCs/>
                <w:sz w:val="20"/>
              </w:rPr>
              <w:t xml:space="preserve">Total </w:t>
            </w:r>
            <w:r>
              <w:rPr>
                <w:rFonts w:ascii="Arial Narrow" w:eastAsiaTheme="majorEastAsia" w:hAnsi="Arial Narrow" w:cstheme="majorBidi"/>
                <w:bCs/>
                <w:sz w:val="20"/>
              </w:rPr>
              <w:t xml:space="preserve">patient years of treatment </w:t>
            </w:r>
          </w:p>
        </w:tc>
        <w:tc>
          <w:tcPr>
            <w:tcW w:w="850" w:type="dxa"/>
          </w:tcPr>
          <w:p w14:paraId="4BF6D2FA" w14:textId="01522E4C"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2"/>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2"/>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tcPr>
          <w:p w14:paraId="57089E54" w14:textId="6F35F81A"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1"/>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1"/>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tcPr>
          <w:p w14:paraId="00AEF0BC" w14:textId="0A1C254A"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0"/>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0"/>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tcPr>
          <w:p w14:paraId="52560535" w14:textId="49210133"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9"/>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9"/>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tcPr>
          <w:p w14:paraId="4912A2D6" w14:textId="6D1F4C5B"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8"/>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8"/>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942" w:type="dxa"/>
          </w:tcPr>
          <w:p w14:paraId="6AFDD637" w14:textId="1E741DD8"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7"/>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7"/>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r>
      <w:tr w:rsidR="00747AFC" w:rsidRPr="00E273AF" w14:paraId="0C2057B7" w14:textId="77777777" w:rsidTr="00AC05F2">
        <w:trPr>
          <w:cantSplit/>
        </w:trPr>
        <w:tc>
          <w:tcPr>
            <w:tcW w:w="3823" w:type="dxa"/>
          </w:tcPr>
          <w:p w14:paraId="262E8397" w14:textId="77777777" w:rsidR="00747AFC" w:rsidRPr="00E273AF" w:rsidRDefault="00747AFC"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Reduction in 1L PDC scripts</w:t>
            </w:r>
          </w:p>
        </w:tc>
        <w:tc>
          <w:tcPr>
            <w:tcW w:w="850" w:type="dxa"/>
            <w:vAlign w:val="center"/>
          </w:tcPr>
          <w:p w14:paraId="617B0C86" w14:textId="61D38997"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6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6"/>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851" w:type="dxa"/>
            <w:vAlign w:val="center"/>
          </w:tcPr>
          <w:p w14:paraId="489C5442" w14:textId="14582F82"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6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5"/>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850" w:type="dxa"/>
            <w:vAlign w:val="center"/>
          </w:tcPr>
          <w:p w14:paraId="3059512D" w14:textId="4B440379"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6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4"/>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851" w:type="dxa"/>
            <w:vAlign w:val="center"/>
          </w:tcPr>
          <w:p w14:paraId="6D8C0615" w14:textId="08FEFDD5"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8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80"/>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850" w:type="dxa"/>
            <w:vAlign w:val="center"/>
          </w:tcPr>
          <w:p w14:paraId="2FD2528F" w14:textId="374B77BC"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9"/>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9"/>
                <w14:textFill>
                  <w14:solidFill>
                    <w14:srgbClr w14:val="000000">
                      <w14:alpha w14:val="100000"/>
                    </w14:srgbClr>
                  </w14:solidFill>
                </w14:textFill>
              </w:rPr>
              <w:t>|</w:t>
            </w:r>
            <w:r w:rsidR="00506718" w:rsidRPr="00E36DB9">
              <w:rPr>
                <w:rFonts w:ascii="Arial Narrow" w:hAnsi="Arial Narrow"/>
                <w:color w:val="000000"/>
                <w:sz w:val="20"/>
                <w:szCs w:val="20"/>
                <w:vertAlign w:val="superscript"/>
              </w:rPr>
              <w:t>7</w:t>
            </w:r>
          </w:p>
        </w:tc>
        <w:tc>
          <w:tcPr>
            <w:tcW w:w="942" w:type="dxa"/>
            <w:vAlign w:val="center"/>
          </w:tcPr>
          <w:p w14:paraId="32B60666" w14:textId="32E7F270"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8"/>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8"/>
                <w14:textFill>
                  <w14:solidFill>
                    <w14:srgbClr w14:val="000000">
                      <w14:alpha w14:val="100000"/>
                    </w14:srgbClr>
                  </w14:solidFill>
                </w14:textFill>
              </w:rPr>
              <w:t>|</w:t>
            </w:r>
            <w:r w:rsidR="00CF7136" w:rsidRPr="00450C49">
              <w:rPr>
                <w:rFonts w:ascii="Arial Narrow" w:hAnsi="Arial Narrow"/>
                <w:sz w:val="20"/>
                <w:szCs w:val="20"/>
                <w:vertAlign w:val="superscript"/>
              </w:rPr>
              <w:t>7</w:t>
            </w:r>
          </w:p>
        </w:tc>
      </w:tr>
      <w:tr w:rsidR="00747AFC" w:rsidRPr="00E273AF" w14:paraId="56418C0C" w14:textId="77777777" w:rsidTr="00AC05F2">
        <w:trPr>
          <w:cantSplit/>
        </w:trPr>
        <w:tc>
          <w:tcPr>
            <w:tcW w:w="3823" w:type="dxa"/>
          </w:tcPr>
          <w:p w14:paraId="4FD1C718" w14:textId="77777777" w:rsidR="00747AFC" w:rsidRPr="00E273AF" w:rsidRDefault="00747AFC"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Reduction in avelumab scripts</w:t>
            </w:r>
          </w:p>
        </w:tc>
        <w:tc>
          <w:tcPr>
            <w:tcW w:w="850" w:type="dxa"/>
            <w:vAlign w:val="center"/>
          </w:tcPr>
          <w:p w14:paraId="3DCFC5BA" w14:textId="167F185B"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7"/>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7"/>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851" w:type="dxa"/>
            <w:vAlign w:val="center"/>
          </w:tcPr>
          <w:p w14:paraId="66E13A86" w14:textId="4EC87D8B"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6"/>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850" w:type="dxa"/>
            <w:vAlign w:val="center"/>
          </w:tcPr>
          <w:p w14:paraId="698F0B3B" w14:textId="2C8E78D8"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5"/>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851" w:type="dxa"/>
            <w:vAlign w:val="center"/>
          </w:tcPr>
          <w:p w14:paraId="2FAECD7F" w14:textId="31165F97"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4"/>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850" w:type="dxa"/>
            <w:vAlign w:val="center"/>
          </w:tcPr>
          <w:p w14:paraId="600E4CAA" w14:textId="734A8518"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3"/>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c>
          <w:tcPr>
            <w:tcW w:w="942" w:type="dxa"/>
            <w:vAlign w:val="center"/>
          </w:tcPr>
          <w:p w14:paraId="1F9FF332" w14:textId="599E4EDA"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2"/>
                <w14:textFill>
                  <w14:solidFill>
                    <w14:srgbClr w14:val="000000">
                      <w14:alpha w14:val="100000"/>
                    </w14:srgbClr>
                  </w14:solidFill>
                </w14:textFill>
              </w:rPr>
              <w:t>|</w:t>
            </w:r>
            <w:r w:rsidR="00E46B86" w:rsidRPr="00450C49">
              <w:rPr>
                <w:rFonts w:ascii="Arial Narrow" w:hAnsi="Arial Narrow"/>
                <w:sz w:val="20"/>
                <w:szCs w:val="20"/>
                <w:vertAlign w:val="superscript"/>
              </w:rPr>
              <w:t>6</w:t>
            </w:r>
          </w:p>
        </w:tc>
      </w:tr>
      <w:tr w:rsidR="00747AFC" w:rsidRPr="00E273AF" w14:paraId="5E028133" w14:textId="77777777" w:rsidTr="00AC05F2">
        <w:trPr>
          <w:cantSplit/>
        </w:trPr>
        <w:tc>
          <w:tcPr>
            <w:tcW w:w="3823" w:type="dxa"/>
          </w:tcPr>
          <w:p w14:paraId="2BA67BC2" w14:textId="77777777" w:rsidR="00747AFC" w:rsidRDefault="00747AFC"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Reduction in 2L PEM scripts</w:t>
            </w:r>
          </w:p>
        </w:tc>
        <w:tc>
          <w:tcPr>
            <w:tcW w:w="850" w:type="dxa"/>
            <w:vAlign w:val="center"/>
          </w:tcPr>
          <w:p w14:paraId="2CE67B53" w14:textId="3856752F"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1"/>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1"/>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vAlign w:val="center"/>
          </w:tcPr>
          <w:p w14:paraId="2115DB52" w14:textId="19303208"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0"/>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vAlign w:val="center"/>
          </w:tcPr>
          <w:p w14:paraId="5E8BAD28" w14:textId="0991855D"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69"/>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9"/>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vAlign w:val="center"/>
          </w:tcPr>
          <w:p w14:paraId="2F7EC59A" w14:textId="13B4BF4B"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68"/>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8"/>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vAlign w:val="center"/>
          </w:tcPr>
          <w:p w14:paraId="2D6F7844" w14:textId="6BEB8E6D"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67"/>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7"/>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942" w:type="dxa"/>
            <w:vAlign w:val="center"/>
          </w:tcPr>
          <w:p w14:paraId="2865A1F2" w14:textId="7DFA8B77"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6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6"/>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r>
      <w:tr w:rsidR="00747AFC" w:rsidRPr="00E273AF" w14:paraId="789BD6BE" w14:textId="77777777" w:rsidTr="00AC05F2">
        <w:trPr>
          <w:cantSplit/>
        </w:trPr>
        <w:tc>
          <w:tcPr>
            <w:tcW w:w="3823" w:type="dxa"/>
          </w:tcPr>
          <w:p w14:paraId="21237BE3" w14:textId="77777777" w:rsidR="00747AFC" w:rsidRDefault="00747AFC"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Reduction in 3L EV scripts </w:t>
            </w:r>
          </w:p>
        </w:tc>
        <w:tc>
          <w:tcPr>
            <w:tcW w:w="850" w:type="dxa"/>
          </w:tcPr>
          <w:p w14:paraId="69547EB1" w14:textId="389186FF" w:rsidR="00747AFC" w:rsidRPr="00E36DB9" w:rsidRDefault="001F54E0" w:rsidP="00AF450C">
            <w:pPr>
              <w:keepNext/>
              <w:keepLines/>
              <w:jc w:val="left"/>
              <w:rPr>
                <w:rFonts w:ascii="Arial Narrow" w:hAnsi="Arial Narrow"/>
                <w:color w:val="000000"/>
                <w:sz w:val="20"/>
                <w:szCs w:val="20"/>
                <w:highlight w:val="darkGray"/>
              </w:rPr>
            </w:pPr>
            <w:r w:rsidRPr="001F54E0">
              <w:rPr>
                <w:rFonts w:ascii="Arial Narrow" w:hAnsi="Arial Narrow"/>
                <w:color w:val="000000"/>
                <w:spacing w:val="56"/>
                <w:sz w:val="20"/>
                <w:szCs w:val="20"/>
                <w:shd w:val="solid" w:color="000000" w:fill="000000"/>
                <w:fitText w:val="340" w:id="-76101886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5"/>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tcPr>
          <w:p w14:paraId="698D3439" w14:textId="34ADDE9F" w:rsidR="00747AFC" w:rsidRPr="00E36DB9" w:rsidRDefault="001F54E0" w:rsidP="00AF450C">
            <w:pPr>
              <w:keepNext/>
              <w:keepLines/>
              <w:jc w:val="left"/>
              <w:rPr>
                <w:rFonts w:ascii="Arial Narrow" w:hAnsi="Arial Narrow"/>
                <w:color w:val="000000"/>
                <w:sz w:val="20"/>
                <w:szCs w:val="20"/>
                <w:highlight w:val="darkGray"/>
              </w:rPr>
            </w:pPr>
            <w:r w:rsidRPr="001F54E0">
              <w:rPr>
                <w:rFonts w:ascii="Arial Narrow" w:hAnsi="Arial Narrow"/>
                <w:color w:val="000000"/>
                <w:spacing w:val="56"/>
                <w:sz w:val="20"/>
                <w:szCs w:val="20"/>
                <w:shd w:val="solid" w:color="000000" w:fill="000000"/>
                <w:fitText w:val="340" w:id="-76101886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64"/>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tcPr>
          <w:p w14:paraId="69196C6F" w14:textId="385032FC" w:rsidR="00747AFC" w:rsidRPr="00E36DB9" w:rsidRDefault="001F54E0" w:rsidP="00AF450C">
            <w:pPr>
              <w:keepNext/>
              <w:keepLines/>
              <w:jc w:val="left"/>
              <w:rPr>
                <w:rFonts w:ascii="Arial Narrow" w:hAnsi="Arial Narrow"/>
                <w:color w:val="000000"/>
                <w:sz w:val="20"/>
                <w:szCs w:val="20"/>
                <w:highlight w:val="darkGray"/>
              </w:rPr>
            </w:pPr>
            <w:r w:rsidRPr="001F54E0">
              <w:rPr>
                <w:rFonts w:ascii="Arial Narrow" w:hAnsi="Arial Narrow"/>
                <w:color w:val="000000"/>
                <w:spacing w:val="56"/>
                <w:sz w:val="20"/>
                <w:szCs w:val="20"/>
                <w:shd w:val="solid" w:color="000000" w:fill="000000"/>
                <w:fitText w:val="340" w:id="-76101888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80"/>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tcPr>
          <w:p w14:paraId="0F61D696" w14:textId="576EEC27" w:rsidR="00747AFC" w:rsidRPr="00E36DB9" w:rsidRDefault="001F54E0" w:rsidP="00AF450C">
            <w:pPr>
              <w:keepNext/>
              <w:keepLines/>
              <w:jc w:val="left"/>
              <w:rPr>
                <w:rFonts w:ascii="Arial Narrow" w:hAnsi="Arial Narrow"/>
                <w:color w:val="000000"/>
                <w:sz w:val="20"/>
                <w:szCs w:val="20"/>
                <w:highlight w:val="darkGray"/>
              </w:rPr>
            </w:pPr>
            <w:r w:rsidRPr="001F54E0">
              <w:rPr>
                <w:rFonts w:ascii="Arial Narrow" w:hAnsi="Arial Narrow"/>
                <w:color w:val="000000"/>
                <w:spacing w:val="56"/>
                <w:sz w:val="20"/>
                <w:szCs w:val="20"/>
                <w:shd w:val="solid" w:color="000000" w:fill="000000"/>
                <w:fitText w:val="340" w:id="-761018879"/>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9"/>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tcPr>
          <w:p w14:paraId="3772006D" w14:textId="085DC40B" w:rsidR="00747AFC" w:rsidRPr="00E36DB9" w:rsidRDefault="001F54E0" w:rsidP="00AF450C">
            <w:pPr>
              <w:keepNext/>
              <w:keepLines/>
              <w:jc w:val="left"/>
              <w:rPr>
                <w:rFonts w:ascii="Arial Narrow" w:hAnsi="Arial Narrow"/>
                <w:color w:val="000000"/>
                <w:sz w:val="20"/>
                <w:szCs w:val="20"/>
                <w:highlight w:val="darkGray"/>
              </w:rPr>
            </w:pPr>
            <w:r w:rsidRPr="001F54E0">
              <w:rPr>
                <w:rFonts w:ascii="Arial Narrow" w:hAnsi="Arial Narrow"/>
                <w:color w:val="000000"/>
                <w:spacing w:val="56"/>
                <w:sz w:val="20"/>
                <w:szCs w:val="20"/>
                <w:shd w:val="solid" w:color="000000" w:fill="000000"/>
                <w:fitText w:val="340" w:id="-761018878"/>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8"/>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942" w:type="dxa"/>
          </w:tcPr>
          <w:p w14:paraId="2B871776" w14:textId="1F561B2C" w:rsidR="00747AFC" w:rsidRPr="00E36DB9" w:rsidRDefault="001F54E0" w:rsidP="00AF450C">
            <w:pPr>
              <w:keepNext/>
              <w:keepLines/>
              <w:jc w:val="left"/>
              <w:rPr>
                <w:rFonts w:ascii="Arial Narrow" w:hAnsi="Arial Narrow"/>
                <w:color w:val="000000"/>
                <w:sz w:val="20"/>
                <w:szCs w:val="20"/>
                <w:highlight w:val="darkGray"/>
              </w:rPr>
            </w:pPr>
            <w:r w:rsidRPr="001F54E0">
              <w:rPr>
                <w:rFonts w:ascii="Arial Narrow" w:hAnsi="Arial Narrow"/>
                <w:color w:val="000000"/>
                <w:spacing w:val="56"/>
                <w:sz w:val="20"/>
                <w:szCs w:val="20"/>
                <w:shd w:val="solid" w:color="000000" w:fill="000000"/>
                <w:fitText w:val="340" w:id="-761018877"/>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7"/>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r>
      <w:tr w:rsidR="00747AFC" w:rsidRPr="00E273AF" w14:paraId="69702662" w14:textId="77777777" w:rsidTr="00AC05F2">
        <w:trPr>
          <w:cantSplit/>
        </w:trPr>
        <w:tc>
          <w:tcPr>
            <w:tcW w:w="3823" w:type="dxa"/>
          </w:tcPr>
          <w:p w14:paraId="0D8A1ECD" w14:textId="77777777" w:rsidR="00747AFC" w:rsidRDefault="00747AFC" w:rsidP="00AF450C">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Increase in 2L PDC scripts</w:t>
            </w:r>
          </w:p>
        </w:tc>
        <w:tc>
          <w:tcPr>
            <w:tcW w:w="850" w:type="dxa"/>
            <w:vAlign w:val="center"/>
          </w:tcPr>
          <w:p w14:paraId="06CC67FB" w14:textId="238D89A5"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6"/>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vAlign w:val="center"/>
          </w:tcPr>
          <w:p w14:paraId="6ABDC2ED" w14:textId="76EB6419"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5"/>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vAlign w:val="center"/>
          </w:tcPr>
          <w:p w14:paraId="0CEBE786" w14:textId="338B321A"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4"/>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1" w:type="dxa"/>
            <w:vAlign w:val="center"/>
          </w:tcPr>
          <w:p w14:paraId="511DC8F5" w14:textId="4F5B3400"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3"/>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850" w:type="dxa"/>
            <w:vAlign w:val="center"/>
          </w:tcPr>
          <w:p w14:paraId="7EB35191" w14:textId="74463728"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2"/>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c>
          <w:tcPr>
            <w:tcW w:w="942" w:type="dxa"/>
            <w:vAlign w:val="center"/>
          </w:tcPr>
          <w:p w14:paraId="404D1D77" w14:textId="0A4E0767"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hAnsi="Arial Narrow"/>
                <w:color w:val="000000"/>
                <w:spacing w:val="56"/>
                <w:sz w:val="20"/>
                <w:szCs w:val="20"/>
                <w:shd w:val="solid" w:color="000000" w:fill="000000"/>
                <w:fitText w:val="340" w:id="-761018871"/>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1"/>
                <w14:textFill>
                  <w14:solidFill>
                    <w14:srgbClr w14:val="000000">
                      <w14:alpha w14:val="100000"/>
                    </w14:srgbClr>
                  </w14:solidFill>
                </w14:textFill>
              </w:rPr>
              <w:t>|</w:t>
            </w:r>
            <w:r w:rsidR="0041105B" w:rsidRPr="00450C49">
              <w:rPr>
                <w:rFonts w:ascii="Arial Narrow" w:hAnsi="Arial Narrow"/>
                <w:bCs/>
                <w:sz w:val="20"/>
                <w:szCs w:val="20"/>
                <w:vertAlign w:val="superscript"/>
              </w:rPr>
              <w:t>1</w:t>
            </w:r>
          </w:p>
        </w:tc>
      </w:tr>
      <w:tr w:rsidR="00747AFC" w:rsidRPr="00E273AF" w14:paraId="0018333E" w14:textId="77777777" w:rsidTr="00AC05F2">
        <w:trPr>
          <w:cantSplit/>
        </w:trPr>
        <w:tc>
          <w:tcPr>
            <w:tcW w:w="3823" w:type="dxa"/>
          </w:tcPr>
          <w:p w14:paraId="0E7D7ABC" w14:textId="30957872" w:rsidR="00747AFC" w:rsidRPr="00D45FD3" w:rsidRDefault="00747AFC" w:rsidP="00AF450C">
            <w:pPr>
              <w:keepNext/>
              <w:keepLines/>
              <w:jc w:val="left"/>
              <w:rPr>
                <w:rFonts w:ascii="Arial Narrow" w:eastAsiaTheme="majorEastAsia" w:hAnsi="Arial Narrow" w:cstheme="majorBidi"/>
                <w:bCs/>
                <w:sz w:val="20"/>
                <w:vertAlign w:val="superscript"/>
              </w:rPr>
            </w:pPr>
            <w:r w:rsidRPr="00E273AF">
              <w:rPr>
                <w:rFonts w:ascii="Arial Narrow" w:eastAsiaTheme="majorEastAsia" w:hAnsi="Arial Narrow" w:cstheme="majorBidi"/>
                <w:bCs/>
                <w:sz w:val="20"/>
              </w:rPr>
              <w:t>Total reduction in scripts</w:t>
            </w:r>
            <w:r>
              <w:rPr>
                <w:rFonts w:ascii="Arial Narrow" w:eastAsiaTheme="majorEastAsia" w:hAnsi="Arial Narrow" w:cstheme="majorBidi"/>
                <w:bCs/>
                <w:sz w:val="20"/>
              </w:rPr>
              <w:t xml:space="preserve"> </w:t>
            </w:r>
            <w:r>
              <w:rPr>
                <w:rFonts w:ascii="Arial Narrow" w:eastAsiaTheme="majorEastAsia" w:hAnsi="Arial Narrow" w:cstheme="majorBidi"/>
                <w:bCs/>
                <w:sz w:val="20"/>
                <w:vertAlign w:val="superscript"/>
              </w:rPr>
              <w:t>e</w:t>
            </w:r>
          </w:p>
        </w:tc>
        <w:tc>
          <w:tcPr>
            <w:tcW w:w="850" w:type="dxa"/>
          </w:tcPr>
          <w:p w14:paraId="7EDA3ECE" w14:textId="1D7FC372"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70"/>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70"/>
                <w14:textFill>
                  <w14:solidFill>
                    <w14:srgbClr w14:val="000000">
                      <w14:alpha w14:val="100000"/>
                    </w14:srgbClr>
                  </w14:solidFill>
                </w14:textFill>
              </w:rPr>
              <w:t>|</w:t>
            </w:r>
            <w:r w:rsidR="00CF7136" w:rsidRPr="00450C49">
              <w:rPr>
                <w:rFonts w:ascii="Arial Narrow" w:hAnsi="Arial Narrow"/>
                <w:sz w:val="20"/>
                <w:szCs w:val="20"/>
                <w:vertAlign w:val="superscript"/>
              </w:rPr>
              <w:t>7</w:t>
            </w:r>
          </w:p>
        </w:tc>
        <w:tc>
          <w:tcPr>
            <w:tcW w:w="851" w:type="dxa"/>
          </w:tcPr>
          <w:p w14:paraId="15A8741A" w14:textId="16CAA497"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9"/>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9"/>
                <w14:textFill>
                  <w14:solidFill>
                    <w14:srgbClr w14:val="000000">
                      <w14:alpha w14:val="100000"/>
                    </w14:srgbClr>
                  </w14:solidFill>
                </w14:textFill>
              </w:rPr>
              <w:t>|</w:t>
            </w:r>
            <w:r w:rsidR="00E16098" w:rsidRPr="00450C49">
              <w:rPr>
                <w:rFonts w:ascii="Arial Narrow" w:hAnsi="Arial Narrow"/>
                <w:sz w:val="20"/>
                <w:szCs w:val="20"/>
                <w:vertAlign w:val="superscript"/>
              </w:rPr>
              <w:t>3</w:t>
            </w:r>
          </w:p>
        </w:tc>
        <w:tc>
          <w:tcPr>
            <w:tcW w:w="850" w:type="dxa"/>
          </w:tcPr>
          <w:p w14:paraId="7A7AC84F" w14:textId="13A4E1C5"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8"/>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8"/>
                <w14:textFill>
                  <w14:solidFill>
                    <w14:srgbClr w14:val="000000">
                      <w14:alpha w14:val="100000"/>
                    </w14:srgbClr>
                  </w14:solidFill>
                </w14:textFill>
              </w:rPr>
              <w:t>|</w:t>
            </w:r>
            <w:r w:rsidR="00E16098" w:rsidRPr="00450C49">
              <w:rPr>
                <w:rFonts w:ascii="Arial Narrow" w:hAnsi="Arial Narrow"/>
                <w:sz w:val="20"/>
                <w:szCs w:val="20"/>
                <w:vertAlign w:val="superscript"/>
              </w:rPr>
              <w:t>3</w:t>
            </w:r>
          </w:p>
        </w:tc>
        <w:tc>
          <w:tcPr>
            <w:tcW w:w="851" w:type="dxa"/>
          </w:tcPr>
          <w:p w14:paraId="536367BF" w14:textId="1FB49146"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7"/>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7"/>
                <w14:textFill>
                  <w14:solidFill>
                    <w14:srgbClr w14:val="000000">
                      <w14:alpha w14:val="100000"/>
                    </w14:srgbClr>
                  </w14:solidFill>
                </w14:textFill>
              </w:rPr>
              <w:t>|</w:t>
            </w:r>
            <w:r w:rsidR="00E16098" w:rsidRPr="00450C49">
              <w:rPr>
                <w:rFonts w:ascii="Arial Narrow" w:hAnsi="Arial Narrow"/>
                <w:sz w:val="20"/>
                <w:szCs w:val="20"/>
                <w:vertAlign w:val="superscript"/>
              </w:rPr>
              <w:t>3</w:t>
            </w:r>
          </w:p>
        </w:tc>
        <w:tc>
          <w:tcPr>
            <w:tcW w:w="850" w:type="dxa"/>
          </w:tcPr>
          <w:p w14:paraId="278FFDB4" w14:textId="47B33F36"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5"/>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5"/>
                <w14:textFill>
                  <w14:solidFill>
                    <w14:srgbClr w14:val="000000">
                      <w14:alpha w14:val="100000"/>
                    </w14:srgbClr>
                  </w14:solidFill>
                </w14:textFill>
              </w:rPr>
              <w:t>|</w:t>
            </w:r>
            <w:r w:rsidR="00E16098" w:rsidRPr="00450C49">
              <w:rPr>
                <w:rFonts w:ascii="Arial Narrow" w:hAnsi="Arial Narrow"/>
                <w:sz w:val="20"/>
                <w:szCs w:val="20"/>
                <w:vertAlign w:val="superscript"/>
              </w:rPr>
              <w:t>3</w:t>
            </w:r>
          </w:p>
        </w:tc>
        <w:tc>
          <w:tcPr>
            <w:tcW w:w="942" w:type="dxa"/>
          </w:tcPr>
          <w:p w14:paraId="5A04AAC5" w14:textId="72644C08" w:rsidR="00747AFC" w:rsidRPr="00E36DB9" w:rsidRDefault="001F54E0" w:rsidP="00AF450C">
            <w:pPr>
              <w:keepNext/>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864"/>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864"/>
                <w14:textFill>
                  <w14:solidFill>
                    <w14:srgbClr w14:val="000000">
                      <w14:alpha w14:val="100000"/>
                    </w14:srgbClr>
                  </w14:solidFill>
                </w14:textFill>
              </w:rPr>
              <w:t>|</w:t>
            </w:r>
            <w:r w:rsidR="001A3A6B" w:rsidRPr="00450C49">
              <w:rPr>
                <w:rFonts w:ascii="Arial Narrow" w:hAnsi="Arial Narrow"/>
                <w:sz w:val="20"/>
                <w:szCs w:val="20"/>
                <w:vertAlign w:val="superscript"/>
              </w:rPr>
              <w:t>4</w:t>
            </w:r>
          </w:p>
        </w:tc>
      </w:tr>
      <w:tr w:rsidR="00747AFC" w:rsidRPr="00E273AF" w14:paraId="337F0183" w14:textId="77777777" w:rsidTr="00CF3EC7">
        <w:trPr>
          <w:cantSplit/>
        </w:trPr>
        <w:tc>
          <w:tcPr>
            <w:tcW w:w="9017" w:type="dxa"/>
            <w:gridSpan w:val="7"/>
            <w:tcBorders>
              <w:bottom w:val="single" w:sz="4" w:space="0" w:color="auto"/>
            </w:tcBorders>
          </w:tcPr>
          <w:p w14:paraId="3B7285AD" w14:textId="77777777" w:rsidR="00747AFC" w:rsidRPr="00E273AF" w:rsidRDefault="00747AFC" w:rsidP="00AF450C">
            <w:pPr>
              <w:keepNext/>
              <w:keepLines/>
              <w:jc w:val="left"/>
              <w:rPr>
                <w:rFonts w:ascii="Arial Narrow" w:eastAsiaTheme="majorEastAsia" w:hAnsi="Arial Narrow" w:cstheme="majorBidi"/>
                <w:b/>
                <w:sz w:val="20"/>
              </w:rPr>
            </w:pPr>
            <w:r w:rsidRPr="00E273AF">
              <w:rPr>
                <w:rFonts w:ascii="Arial Narrow" w:eastAsiaTheme="majorEastAsia" w:hAnsi="Arial Narrow" w:cstheme="majorBidi"/>
                <w:b/>
                <w:sz w:val="20"/>
              </w:rPr>
              <w:t>Estimated financial implications of comparators and subsequent treatments</w:t>
            </w:r>
          </w:p>
        </w:tc>
      </w:tr>
      <w:tr w:rsidR="00747AFC" w:rsidRPr="00E273AF" w14:paraId="4E2CB629" w14:textId="77777777" w:rsidTr="00AC05F2">
        <w:trPr>
          <w:cantSplit/>
        </w:trPr>
        <w:tc>
          <w:tcPr>
            <w:tcW w:w="3823" w:type="dxa"/>
            <w:tcBorders>
              <w:top w:val="single" w:sz="4" w:space="0" w:color="auto"/>
              <w:left w:val="single" w:sz="4" w:space="0" w:color="auto"/>
              <w:bottom w:val="single" w:sz="4" w:space="0" w:color="auto"/>
              <w:right w:val="single" w:sz="4" w:space="0" w:color="auto"/>
            </w:tcBorders>
          </w:tcPr>
          <w:p w14:paraId="2A69C087" w14:textId="77777777" w:rsidR="00747AFC" w:rsidRPr="00C11145" w:rsidRDefault="00747AFC" w:rsidP="00AF450C">
            <w:pPr>
              <w:keepNext/>
              <w:keepLines/>
              <w:jc w:val="left"/>
              <w:rPr>
                <w:rFonts w:ascii="Arial Narrow" w:eastAsiaTheme="majorEastAsia" w:hAnsi="Arial Narrow" w:cstheme="majorBidi"/>
                <w:bCs/>
                <w:sz w:val="20"/>
                <w:szCs w:val="20"/>
              </w:rPr>
            </w:pPr>
            <w:r w:rsidRPr="00C11145">
              <w:rPr>
                <w:rFonts w:ascii="Arial Narrow" w:eastAsiaTheme="majorEastAsia" w:hAnsi="Arial Narrow" w:cstheme="majorBidi"/>
                <w:bCs/>
                <w:sz w:val="20"/>
                <w:szCs w:val="20"/>
              </w:rPr>
              <w:t xml:space="preserve">Cost offsets to PBS/RPBS less copays: 1L PDC </w:t>
            </w:r>
          </w:p>
        </w:tc>
        <w:tc>
          <w:tcPr>
            <w:tcW w:w="850" w:type="dxa"/>
            <w:tcBorders>
              <w:top w:val="single" w:sz="4" w:space="0" w:color="auto"/>
              <w:left w:val="single" w:sz="4" w:space="0" w:color="auto"/>
              <w:bottom w:val="single" w:sz="4" w:space="0" w:color="auto"/>
              <w:right w:val="single" w:sz="4" w:space="0" w:color="auto"/>
            </w:tcBorders>
            <w:vAlign w:val="center"/>
          </w:tcPr>
          <w:p w14:paraId="360BCEE3" w14:textId="1534372E"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8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80"/>
                <w14:textFill>
                  <w14:solidFill>
                    <w14:srgbClr w14:val="000000">
                      <w14:alpha w14:val="100000"/>
                    </w14:srgbClr>
                  </w14:solidFill>
                </w14:textFill>
              </w:rPr>
              <w:t>|</w:t>
            </w:r>
            <w:r w:rsidR="00EE44E0" w:rsidRPr="00E36DB9">
              <w:rPr>
                <w:rFonts w:ascii="Arial Narrow" w:hAnsi="Arial Narrow"/>
                <w:color w:val="000000"/>
                <w:sz w:val="20"/>
                <w:szCs w:val="20"/>
                <w:vertAlign w:val="superscript"/>
              </w:rPr>
              <w:t>14</w:t>
            </w:r>
          </w:p>
        </w:tc>
        <w:tc>
          <w:tcPr>
            <w:tcW w:w="851" w:type="dxa"/>
            <w:tcBorders>
              <w:top w:val="single" w:sz="4" w:space="0" w:color="auto"/>
              <w:left w:val="single" w:sz="4" w:space="0" w:color="auto"/>
              <w:bottom w:val="single" w:sz="4" w:space="0" w:color="auto"/>
              <w:right w:val="single" w:sz="4" w:space="0" w:color="auto"/>
            </w:tcBorders>
            <w:vAlign w:val="center"/>
          </w:tcPr>
          <w:p w14:paraId="7E0CBE1E" w14:textId="53218D37"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9"/>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9"/>
                <w14:textFill>
                  <w14:solidFill>
                    <w14:srgbClr w14:val="000000">
                      <w14:alpha w14:val="100000"/>
                    </w14:srgbClr>
                  </w14:solidFill>
                </w14:textFill>
              </w:rPr>
              <w:t>|</w:t>
            </w:r>
            <w:r w:rsidR="00B26D9C" w:rsidRPr="00450C49">
              <w:rPr>
                <w:rFonts w:ascii="Arial Narrow" w:hAnsi="Arial Narrow"/>
                <w:color w:val="000000"/>
                <w:sz w:val="20"/>
                <w:szCs w:val="20"/>
                <w:vertAlign w:val="superscript"/>
              </w:rPr>
              <w:t>14</w:t>
            </w:r>
          </w:p>
        </w:tc>
        <w:tc>
          <w:tcPr>
            <w:tcW w:w="850" w:type="dxa"/>
            <w:tcBorders>
              <w:top w:val="single" w:sz="4" w:space="0" w:color="auto"/>
              <w:left w:val="single" w:sz="4" w:space="0" w:color="auto"/>
              <w:bottom w:val="single" w:sz="4" w:space="0" w:color="auto"/>
              <w:right w:val="single" w:sz="4" w:space="0" w:color="auto"/>
            </w:tcBorders>
            <w:vAlign w:val="center"/>
          </w:tcPr>
          <w:p w14:paraId="49E67511" w14:textId="0E63F707"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8"/>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8"/>
                <w14:textFill>
                  <w14:solidFill>
                    <w14:srgbClr w14:val="000000">
                      <w14:alpha w14:val="100000"/>
                    </w14:srgbClr>
                  </w14:solidFill>
                </w14:textFill>
              </w:rPr>
              <w:t>|</w:t>
            </w:r>
            <w:r w:rsidR="00B26D9C" w:rsidRPr="00450C49">
              <w:rPr>
                <w:rFonts w:ascii="Arial Narrow" w:hAnsi="Arial Narrow"/>
                <w:color w:val="000000"/>
                <w:sz w:val="20"/>
                <w:szCs w:val="20"/>
                <w:vertAlign w:val="superscript"/>
              </w:rPr>
              <w:t>14</w:t>
            </w:r>
          </w:p>
        </w:tc>
        <w:tc>
          <w:tcPr>
            <w:tcW w:w="851" w:type="dxa"/>
            <w:tcBorders>
              <w:top w:val="single" w:sz="4" w:space="0" w:color="auto"/>
              <w:left w:val="single" w:sz="4" w:space="0" w:color="auto"/>
              <w:bottom w:val="single" w:sz="4" w:space="0" w:color="auto"/>
              <w:right w:val="single" w:sz="4" w:space="0" w:color="auto"/>
            </w:tcBorders>
            <w:vAlign w:val="center"/>
          </w:tcPr>
          <w:p w14:paraId="2925E3DF" w14:textId="42B39007"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7"/>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7"/>
                <w14:textFill>
                  <w14:solidFill>
                    <w14:srgbClr w14:val="000000">
                      <w14:alpha w14:val="100000"/>
                    </w14:srgbClr>
                  </w14:solidFill>
                </w14:textFill>
              </w:rPr>
              <w:t>|</w:t>
            </w:r>
            <w:r w:rsidR="00B26D9C" w:rsidRPr="00450C49">
              <w:rPr>
                <w:rFonts w:ascii="Arial Narrow" w:hAnsi="Arial Narrow"/>
                <w:color w:val="000000"/>
                <w:sz w:val="20"/>
                <w:szCs w:val="20"/>
                <w:vertAlign w:val="superscript"/>
              </w:rPr>
              <w:t>14</w:t>
            </w:r>
          </w:p>
        </w:tc>
        <w:tc>
          <w:tcPr>
            <w:tcW w:w="850" w:type="dxa"/>
            <w:tcBorders>
              <w:top w:val="single" w:sz="4" w:space="0" w:color="auto"/>
              <w:left w:val="single" w:sz="4" w:space="0" w:color="auto"/>
              <w:bottom w:val="single" w:sz="4" w:space="0" w:color="auto"/>
              <w:right w:val="single" w:sz="4" w:space="0" w:color="auto"/>
            </w:tcBorders>
            <w:vAlign w:val="center"/>
          </w:tcPr>
          <w:p w14:paraId="2DA39B8F" w14:textId="5D3FE343"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6"/>
                <w14:textFill>
                  <w14:solidFill>
                    <w14:srgbClr w14:val="000000">
                      <w14:alpha w14:val="100000"/>
                    </w14:srgbClr>
                  </w14:solidFill>
                </w14:textFill>
              </w:rPr>
              <w:t>|</w:t>
            </w:r>
            <w:r w:rsidR="00B26D9C" w:rsidRPr="00450C49">
              <w:rPr>
                <w:rFonts w:ascii="Arial Narrow" w:hAnsi="Arial Narrow"/>
                <w:color w:val="000000"/>
                <w:sz w:val="20"/>
                <w:szCs w:val="20"/>
                <w:vertAlign w:val="superscript"/>
              </w:rPr>
              <w:t>14</w:t>
            </w:r>
          </w:p>
        </w:tc>
        <w:tc>
          <w:tcPr>
            <w:tcW w:w="942" w:type="dxa"/>
            <w:tcBorders>
              <w:top w:val="single" w:sz="4" w:space="0" w:color="auto"/>
              <w:left w:val="single" w:sz="4" w:space="0" w:color="auto"/>
              <w:bottom w:val="single" w:sz="4" w:space="0" w:color="auto"/>
              <w:right w:val="single" w:sz="4" w:space="0" w:color="auto"/>
            </w:tcBorders>
            <w:vAlign w:val="center"/>
          </w:tcPr>
          <w:p w14:paraId="7893839A" w14:textId="4FA33B41" w:rsidR="00747AFC" w:rsidRPr="00E36DB9" w:rsidRDefault="001F54E0" w:rsidP="00AF450C">
            <w:pPr>
              <w:keepNext/>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87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875"/>
                <w14:textFill>
                  <w14:solidFill>
                    <w14:srgbClr w14:val="000000">
                      <w14:alpha w14:val="100000"/>
                    </w14:srgbClr>
                  </w14:solidFill>
                </w14:textFill>
              </w:rPr>
              <w:t>|</w:t>
            </w:r>
            <w:r w:rsidR="00B26D9C" w:rsidRPr="00450C49">
              <w:rPr>
                <w:rFonts w:ascii="Arial Narrow" w:hAnsi="Arial Narrow"/>
                <w:color w:val="000000"/>
                <w:sz w:val="20"/>
                <w:szCs w:val="20"/>
                <w:vertAlign w:val="superscript"/>
              </w:rPr>
              <w:t>14</w:t>
            </w:r>
          </w:p>
        </w:tc>
      </w:tr>
      <w:tr w:rsidR="00747AFC" w:rsidRPr="00E273AF" w14:paraId="7CD89CF7" w14:textId="77777777" w:rsidTr="00AC05F2">
        <w:trPr>
          <w:cantSplit/>
        </w:trPr>
        <w:tc>
          <w:tcPr>
            <w:tcW w:w="3823" w:type="dxa"/>
            <w:tcBorders>
              <w:top w:val="single" w:sz="4" w:space="0" w:color="auto"/>
              <w:bottom w:val="nil"/>
            </w:tcBorders>
          </w:tcPr>
          <w:p w14:paraId="24552F9E" w14:textId="77777777" w:rsidR="00747AFC" w:rsidRPr="00C11145" w:rsidRDefault="00747AFC" w:rsidP="00747AFC">
            <w:pPr>
              <w:keepLines/>
              <w:jc w:val="left"/>
              <w:rPr>
                <w:rFonts w:ascii="Arial Narrow" w:eastAsiaTheme="majorEastAsia" w:hAnsi="Arial Narrow" w:cstheme="majorBidi"/>
                <w:bCs/>
                <w:sz w:val="20"/>
                <w:szCs w:val="20"/>
              </w:rPr>
            </w:pPr>
            <w:r w:rsidRPr="00C11145">
              <w:rPr>
                <w:rFonts w:ascii="Arial Narrow" w:eastAsiaTheme="majorEastAsia" w:hAnsi="Arial Narrow" w:cstheme="majorBidi"/>
                <w:bCs/>
                <w:sz w:val="20"/>
                <w:szCs w:val="20"/>
              </w:rPr>
              <w:t>Cost offsets to PBS/RPBS less copays: avelumab</w:t>
            </w:r>
          </w:p>
        </w:tc>
        <w:tc>
          <w:tcPr>
            <w:tcW w:w="850" w:type="dxa"/>
            <w:tcBorders>
              <w:top w:val="single" w:sz="4" w:space="0" w:color="auto"/>
              <w:bottom w:val="nil"/>
            </w:tcBorders>
            <w:vAlign w:val="center"/>
          </w:tcPr>
          <w:p w14:paraId="73108960" w14:textId="31A1D8A4"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4"/>
                <w14:textFill>
                  <w14:solidFill>
                    <w14:srgbClr w14:val="000000">
                      <w14:alpha w14:val="100000"/>
                    </w14:srgbClr>
                  </w14:solidFill>
                </w14:textFill>
              </w:rPr>
              <w:t>|</w:t>
            </w:r>
            <w:r w:rsidR="00980170" w:rsidRPr="00E36DB9">
              <w:rPr>
                <w:rFonts w:ascii="Arial Narrow" w:hAnsi="Arial Narrow"/>
                <w:color w:val="000000"/>
                <w:sz w:val="20"/>
                <w:szCs w:val="20"/>
                <w:vertAlign w:val="superscript"/>
              </w:rPr>
              <w:t>15</w:t>
            </w:r>
          </w:p>
        </w:tc>
        <w:tc>
          <w:tcPr>
            <w:tcW w:w="851" w:type="dxa"/>
            <w:tcBorders>
              <w:top w:val="single" w:sz="4" w:space="0" w:color="auto"/>
              <w:bottom w:val="nil"/>
            </w:tcBorders>
            <w:vAlign w:val="center"/>
          </w:tcPr>
          <w:p w14:paraId="5C7324EE" w14:textId="58970450"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3"/>
                <w14:textFill>
                  <w14:solidFill>
                    <w14:srgbClr w14:val="000000">
                      <w14:alpha w14:val="100000"/>
                    </w14:srgbClr>
                  </w14:solidFill>
                </w14:textFill>
              </w:rPr>
              <w:t>|</w:t>
            </w:r>
            <w:r w:rsidR="00522BEF" w:rsidRPr="00E36DB9">
              <w:rPr>
                <w:rFonts w:ascii="Arial Narrow" w:hAnsi="Arial Narrow"/>
                <w:color w:val="000000"/>
                <w:sz w:val="20"/>
                <w:szCs w:val="20"/>
                <w:vertAlign w:val="superscript"/>
              </w:rPr>
              <w:t>16</w:t>
            </w:r>
          </w:p>
        </w:tc>
        <w:tc>
          <w:tcPr>
            <w:tcW w:w="850" w:type="dxa"/>
            <w:tcBorders>
              <w:top w:val="single" w:sz="4" w:space="0" w:color="auto"/>
              <w:bottom w:val="nil"/>
            </w:tcBorders>
            <w:vAlign w:val="center"/>
          </w:tcPr>
          <w:p w14:paraId="485C9E72" w14:textId="7CA48717"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2"/>
                <w14:textFill>
                  <w14:solidFill>
                    <w14:srgbClr w14:val="000000">
                      <w14:alpha w14:val="100000"/>
                    </w14:srgbClr>
                  </w14:solidFill>
                </w14:textFill>
              </w:rPr>
              <w:t>|</w:t>
            </w:r>
            <w:r w:rsidR="00522BEF" w:rsidRPr="00450C49">
              <w:rPr>
                <w:rFonts w:ascii="Arial Narrow" w:hAnsi="Arial Narrow"/>
                <w:color w:val="000000"/>
                <w:sz w:val="20"/>
                <w:szCs w:val="20"/>
                <w:vertAlign w:val="superscript"/>
              </w:rPr>
              <w:t>16</w:t>
            </w:r>
          </w:p>
        </w:tc>
        <w:tc>
          <w:tcPr>
            <w:tcW w:w="851" w:type="dxa"/>
            <w:tcBorders>
              <w:top w:val="single" w:sz="4" w:space="0" w:color="auto"/>
              <w:bottom w:val="nil"/>
            </w:tcBorders>
            <w:vAlign w:val="center"/>
          </w:tcPr>
          <w:p w14:paraId="2437490B" w14:textId="0EF3C9D4"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1"/>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1"/>
                <w14:textFill>
                  <w14:solidFill>
                    <w14:srgbClr w14:val="000000">
                      <w14:alpha w14:val="100000"/>
                    </w14:srgbClr>
                  </w14:solidFill>
                </w14:textFill>
              </w:rPr>
              <w:t>|</w:t>
            </w:r>
            <w:r w:rsidR="00D32066" w:rsidRPr="00E36DB9">
              <w:rPr>
                <w:rFonts w:ascii="Arial Narrow" w:hAnsi="Arial Narrow"/>
                <w:color w:val="000000"/>
                <w:sz w:val="20"/>
                <w:szCs w:val="20"/>
                <w:vertAlign w:val="superscript"/>
              </w:rPr>
              <w:t>17</w:t>
            </w:r>
          </w:p>
        </w:tc>
        <w:tc>
          <w:tcPr>
            <w:tcW w:w="850" w:type="dxa"/>
            <w:tcBorders>
              <w:top w:val="single" w:sz="4" w:space="0" w:color="auto"/>
              <w:bottom w:val="nil"/>
            </w:tcBorders>
            <w:vAlign w:val="center"/>
          </w:tcPr>
          <w:p w14:paraId="77F9E55D" w14:textId="150607CC"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0"/>
                <w14:textFill>
                  <w14:solidFill>
                    <w14:srgbClr w14:val="000000">
                      <w14:alpha w14:val="100000"/>
                    </w14:srgbClr>
                  </w14:solidFill>
                </w14:textFill>
              </w:rPr>
              <w:t>|</w:t>
            </w:r>
            <w:r w:rsidR="00093C9D" w:rsidRPr="00450C49">
              <w:rPr>
                <w:rFonts w:ascii="Arial Narrow" w:hAnsi="Arial Narrow"/>
                <w:color w:val="000000"/>
                <w:sz w:val="20"/>
                <w:szCs w:val="20"/>
                <w:vertAlign w:val="superscript"/>
              </w:rPr>
              <w:t>10</w:t>
            </w:r>
          </w:p>
        </w:tc>
        <w:tc>
          <w:tcPr>
            <w:tcW w:w="942" w:type="dxa"/>
            <w:tcBorders>
              <w:top w:val="single" w:sz="4" w:space="0" w:color="auto"/>
              <w:bottom w:val="nil"/>
            </w:tcBorders>
            <w:vAlign w:val="center"/>
          </w:tcPr>
          <w:p w14:paraId="48E10DBB" w14:textId="7BCE1539"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9"/>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9"/>
                <w14:textFill>
                  <w14:solidFill>
                    <w14:srgbClr w14:val="000000">
                      <w14:alpha w14:val="100000"/>
                    </w14:srgbClr>
                  </w14:solidFill>
                </w14:textFill>
              </w:rPr>
              <w:t>|</w:t>
            </w:r>
            <w:r w:rsidR="00093C9D" w:rsidRPr="00450C49">
              <w:rPr>
                <w:rFonts w:ascii="Arial Narrow" w:hAnsi="Arial Narrow"/>
                <w:color w:val="000000"/>
                <w:sz w:val="20"/>
                <w:szCs w:val="20"/>
                <w:vertAlign w:val="superscript"/>
              </w:rPr>
              <w:t>10</w:t>
            </w:r>
          </w:p>
        </w:tc>
      </w:tr>
      <w:tr w:rsidR="00747AFC" w:rsidRPr="00E273AF" w14:paraId="147E8DE2" w14:textId="77777777" w:rsidTr="00AC05F2">
        <w:trPr>
          <w:cantSplit/>
        </w:trPr>
        <w:tc>
          <w:tcPr>
            <w:tcW w:w="3823" w:type="dxa"/>
            <w:tcBorders>
              <w:bottom w:val="nil"/>
            </w:tcBorders>
          </w:tcPr>
          <w:p w14:paraId="1D0AAE5D" w14:textId="77777777" w:rsidR="00747AFC" w:rsidRPr="00C11145" w:rsidRDefault="00747AFC" w:rsidP="00747AFC">
            <w:pPr>
              <w:keepLines/>
              <w:jc w:val="left"/>
              <w:rPr>
                <w:rFonts w:ascii="Arial Narrow" w:eastAsiaTheme="majorEastAsia" w:hAnsi="Arial Narrow" w:cstheme="majorBidi"/>
                <w:bCs/>
                <w:sz w:val="20"/>
                <w:szCs w:val="20"/>
              </w:rPr>
            </w:pPr>
            <w:r w:rsidRPr="00C11145">
              <w:rPr>
                <w:rFonts w:ascii="Arial Narrow" w:eastAsiaTheme="majorEastAsia" w:hAnsi="Arial Narrow" w:cstheme="majorBidi"/>
                <w:bCs/>
                <w:sz w:val="20"/>
                <w:szCs w:val="20"/>
              </w:rPr>
              <w:t>Cost offsets to PBS/RPBS less copays: 2L PEM</w:t>
            </w:r>
          </w:p>
        </w:tc>
        <w:tc>
          <w:tcPr>
            <w:tcW w:w="850" w:type="dxa"/>
            <w:tcBorders>
              <w:bottom w:val="nil"/>
            </w:tcBorders>
            <w:vAlign w:val="center"/>
          </w:tcPr>
          <w:p w14:paraId="3DCFD85D" w14:textId="5B03CEAC"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8"/>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8"/>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c>
          <w:tcPr>
            <w:tcW w:w="851" w:type="dxa"/>
            <w:tcBorders>
              <w:bottom w:val="nil"/>
            </w:tcBorders>
            <w:vAlign w:val="center"/>
          </w:tcPr>
          <w:p w14:paraId="69AC3290" w14:textId="73F8AAE4"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7"/>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7"/>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c>
          <w:tcPr>
            <w:tcW w:w="850" w:type="dxa"/>
            <w:tcBorders>
              <w:bottom w:val="nil"/>
            </w:tcBorders>
            <w:vAlign w:val="center"/>
          </w:tcPr>
          <w:p w14:paraId="0E1CA2CB" w14:textId="1C10A8D6"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6"/>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6"/>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c>
          <w:tcPr>
            <w:tcW w:w="851" w:type="dxa"/>
            <w:tcBorders>
              <w:bottom w:val="nil"/>
            </w:tcBorders>
            <w:vAlign w:val="center"/>
          </w:tcPr>
          <w:p w14:paraId="7B9E0F79" w14:textId="2DA9602B"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5"/>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5"/>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c>
          <w:tcPr>
            <w:tcW w:w="850" w:type="dxa"/>
            <w:tcBorders>
              <w:bottom w:val="nil"/>
            </w:tcBorders>
            <w:vAlign w:val="center"/>
          </w:tcPr>
          <w:p w14:paraId="79C48AF7" w14:textId="42B1BF9D"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4"/>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c>
          <w:tcPr>
            <w:tcW w:w="942" w:type="dxa"/>
            <w:tcBorders>
              <w:bottom w:val="nil"/>
            </w:tcBorders>
            <w:vAlign w:val="center"/>
          </w:tcPr>
          <w:p w14:paraId="0414293C" w14:textId="1E8DFCE2"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3"/>
                <w14:textFill>
                  <w14:solidFill>
                    <w14:srgbClr w14:val="000000">
                      <w14:alpha w14:val="100000"/>
                    </w14:srgbClr>
                  </w14:solidFill>
                </w14:textFill>
              </w:rPr>
              <w:t>|</w:t>
            </w:r>
            <w:r w:rsidR="00815BFB" w:rsidRPr="00E36DB9">
              <w:rPr>
                <w:rFonts w:ascii="Arial Narrow" w:hAnsi="Arial Narrow"/>
                <w:color w:val="000000"/>
                <w:sz w:val="20"/>
                <w:szCs w:val="20"/>
                <w:vertAlign w:val="superscript"/>
              </w:rPr>
              <w:t>14</w:t>
            </w:r>
          </w:p>
        </w:tc>
      </w:tr>
      <w:tr w:rsidR="00747AFC" w:rsidRPr="00E273AF" w14:paraId="3023CD18" w14:textId="77777777" w:rsidTr="00AC05F2">
        <w:trPr>
          <w:cantSplit/>
        </w:trPr>
        <w:tc>
          <w:tcPr>
            <w:tcW w:w="3823" w:type="dxa"/>
            <w:tcBorders>
              <w:bottom w:val="nil"/>
            </w:tcBorders>
          </w:tcPr>
          <w:p w14:paraId="5615DB96" w14:textId="77777777" w:rsidR="00747AFC" w:rsidRPr="00C11145" w:rsidRDefault="00747AFC" w:rsidP="00747AFC">
            <w:pPr>
              <w:keepLines/>
              <w:jc w:val="left"/>
              <w:rPr>
                <w:rFonts w:ascii="Arial Narrow" w:eastAsiaTheme="majorEastAsia" w:hAnsi="Arial Narrow" w:cstheme="majorBidi"/>
                <w:bCs/>
                <w:sz w:val="20"/>
                <w:szCs w:val="20"/>
              </w:rPr>
            </w:pPr>
            <w:r w:rsidRPr="00C11145">
              <w:rPr>
                <w:rFonts w:ascii="Arial Narrow" w:eastAsiaTheme="majorEastAsia" w:hAnsi="Arial Narrow" w:cstheme="majorBidi"/>
                <w:bCs/>
                <w:sz w:val="20"/>
                <w:szCs w:val="20"/>
              </w:rPr>
              <w:t>Cost offsets to PBS/RPBS less copays: 3L EV</w:t>
            </w:r>
          </w:p>
        </w:tc>
        <w:tc>
          <w:tcPr>
            <w:tcW w:w="850" w:type="dxa"/>
            <w:tcBorders>
              <w:bottom w:val="nil"/>
            </w:tcBorders>
            <w:vAlign w:val="center"/>
          </w:tcPr>
          <w:p w14:paraId="1F95E415" w14:textId="59DD6668"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2"/>
                <w14:textFill>
                  <w14:solidFill>
                    <w14:srgbClr w14:val="000000">
                      <w14:alpha w14:val="100000"/>
                    </w14:srgbClr>
                  </w14:solidFill>
                </w14:textFill>
              </w:rPr>
              <w:t>|</w:t>
            </w:r>
            <w:r w:rsidR="00A21C9F" w:rsidRPr="00E36DB9">
              <w:rPr>
                <w:rFonts w:ascii="Arial Narrow" w:hAnsi="Arial Narrow"/>
                <w:color w:val="000000"/>
                <w:sz w:val="20"/>
                <w:szCs w:val="20"/>
                <w:vertAlign w:val="superscript"/>
              </w:rPr>
              <w:t>18</w:t>
            </w:r>
          </w:p>
        </w:tc>
        <w:tc>
          <w:tcPr>
            <w:tcW w:w="851" w:type="dxa"/>
            <w:tcBorders>
              <w:bottom w:val="nil"/>
            </w:tcBorders>
            <w:vAlign w:val="center"/>
          </w:tcPr>
          <w:p w14:paraId="545BC442" w14:textId="43E4F608"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1"/>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1"/>
                <w14:textFill>
                  <w14:solidFill>
                    <w14:srgbClr w14:val="000000">
                      <w14:alpha w14:val="100000"/>
                    </w14:srgbClr>
                  </w14:solidFill>
                </w14:textFill>
              </w:rPr>
              <w:t>|</w:t>
            </w:r>
            <w:r w:rsidR="00A21C9F" w:rsidRPr="00450C49">
              <w:rPr>
                <w:rFonts w:ascii="Arial Narrow" w:hAnsi="Arial Narrow"/>
                <w:color w:val="000000"/>
                <w:sz w:val="20"/>
                <w:szCs w:val="20"/>
                <w:vertAlign w:val="superscript"/>
              </w:rPr>
              <w:t>18</w:t>
            </w:r>
          </w:p>
        </w:tc>
        <w:tc>
          <w:tcPr>
            <w:tcW w:w="850" w:type="dxa"/>
            <w:tcBorders>
              <w:bottom w:val="nil"/>
            </w:tcBorders>
            <w:vAlign w:val="center"/>
          </w:tcPr>
          <w:p w14:paraId="5F84EE84" w14:textId="00D960AE"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0"/>
                <w14:textFill>
                  <w14:solidFill>
                    <w14:srgbClr w14:val="000000">
                      <w14:alpha w14:val="100000"/>
                    </w14:srgbClr>
                  </w14:solidFill>
                </w14:textFill>
              </w:rPr>
              <w:t>|</w:t>
            </w:r>
            <w:r w:rsidR="00A21C9F" w:rsidRPr="00450C49">
              <w:rPr>
                <w:rFonts w:ascii="Arial Narrow" w:hAnsi="Arial Narrow"/>
                <w:color w:val="000000"/>
                <w:sz w:val="20"/>
                <w:szCs w:val="20"/>
                <w:vertAlign w:val="superscript"/>
              </w:rPr>
              <w:t>18</w:t>
            </w:r>
          </w:p>
        </w:tc>
        <w:tc>
          <w:tcPr>
            <w:tcW w:w="851" w:type="dxa"/>
            <w:tcBorders>
              <w:bottom w:val="nil"/>
            </w:tcBorders>
            <w:vAlign w:val="center"/>
          </w:tcPr>
          <w:p w14:paraId="09BF364B" w14:textId="209255AE"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09"/>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09"/>
                <w14:textFill>
                  <w14:solidFill>
                    <w14:srgbClr w14:val="000000">
                      <w14:alpha w14:val="100000"/>
                    </w14:srgbClr>
                  </w14:solidFill>
                </w14:textFill>
              </w:rPr>
              <w:t>|</w:t>
            </w:r>
            <w:r w:rsidR="00A21C9F" w:rsidRPr="00450C49">
              <w:rPr>
                <w:rFonts w:ascii="Arial Narrow" w:hAnsi="Arial Narrow"/>
                <w:color w:val="000000"/>
                <w:sz w:val="20"/>
                <w:szCs w:val="20"/>
                <w:vertAlign w:val="superscript"/>
              </w:rPr>
              <w:t>18</w:t>
            </w:r>
          </w:p>
        </w:tc>
        <w:tc>
          <w:tcPr>
            <w:tcW w:w="850" w:type="dxa"/>
            <w:tcBorders>
              <w:bottom w:val="nil"/>
            </w:tcBorders>
            <w:vAlign w:val="center"/>
          </w:tcPr>
          <w:p w14:paraId="079283C9" w14:textId="07B7C3F8"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08"/>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08"/>
                <w14:textFill>
                  <w14:solidFill>
                    <w14:srgbClr w14:val="000000">
                      <w14:alpha w14:val="100000"/>
                    </w14:srgbClr>
                  </w14:solidFill>
                </w14:textFill>
              </w:rPr>
              <w:t>|</w:t>
            </w:r>
            <w:r w:rsidR="00A21C9F" w:rsidRPr="00450C49">
              <w:rPr>
                <w:rFonts w:ascii="Arial Narrow" w:hAnsi="Arial Narrow"/>
                <w:color w:val="000000"/>
                <w:sz w:val="20"/>
                <w:szCs w:val="20"/>
                <w:vertAlign w:val="superscript"/>
              </w:rPr>
              <w:t>18</w:t>
            </w:r>
          </w:p>
        </w:tc>
        <w:tc>
          <w:tcPr>
            <w:tcW w:w="942" w:type="dxa"/>
            <w:tcBorders>
              <w:bottom w:val="nil"/>
            </w:tcBorders>
            <w:vAlign w:val="center"/>
          </w:tcPr>
          <w:p w14:paraId="1AD673C3" w14:textId="15BA959D"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4"/>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4"/>
                <w14:textFill>
                  <w14:solidFill>
                    <w14:srgbClr w14:val="000000">
                      <w14:alpha w14:val="100000"/>
                    </w14:srgbClr>
                  </w14:solidFill>
                </w14:textFill>
              </w:rPr>
              <w:t>|</w:t>
            </w:r>
            <w:r w:rsidR="00A21C9F" w:rsidRPr="00450C49">
              <w:rPr>
                <w:rFonts w:ascii="Arial Narrow" w:hAnsi="Arial Narrow"/>
                <w:color w:val="000000"/>
                <w:sz w:val="20"/>
                <w:szCs w:val="20"/>
                <w:vertAlign w:val="superscript"/>
              </w:rPr>
              <w:t>18</w:t>
            </w:r>
          </w:p>
        </w:tc>
      </w:tr>
      <w:tr w:rsidR="00747AFC" w:rsidRPr="00E273AF" w14:paraId="36C8ACD2" w14:textId="77777777" w:rsidTr="00AC05F2">
        <w:trPr>
          <w:cantSplit/>
        </w:trPr>
        <w:tc>
          <w:tcPr>
            <w:tcW w:w="3823" w:type="dxa"/>
            <w:tcBorders>
              <w:bottom w:val="nil"/>
            </w:tcBorders>
          </w:tcPr>
          <w:p w14:paraId="687FCF9B" w14:textId="77777777" w:rsidR="00747AFC" w:rsidRPr="00C11145" w:rsidRDefault="00747AFC" w:rsidP="00747AFC">
            <w:pPr>
              <w:keepLines/>
              <w:jc w:val="left"/>
              <w:rPr>
                <w:rFonts w:ascii="Arial Narrow" w:eastAsiaTheme="majorEastAsia" w:hAnsi="Arial Narrow" w:cstheme="majorBidi"/>
                <w:bCs/>
                <w:sz w:val="20"/>
                <w:szCs w:val="20"/>
              </w:rPr>
            </w:pPr>
            <w:r w:rsidRPr="00C11145">
              <w:rPr>
                <w:rFonts w:ascii="Arial Narrow" w:eastAsiaTheme="majorEastAsia" w:hAnsi="Arial Narrow" w:cstheme="majorBidi"/>
                <w:bCs/>
                <w:sz w:val="20"/>
                <w:szCs w:val="20"/>
              </w:rPr>
              <w:t xml:space="preserve">Cost to PBS/RPBS less copays: 2L PDC </w:t>
            </w:r>
          </w:p>
        </w:tc>
        <w:tc>
          <w:tcPr>
            <w:tcW w:w="850" w:type="dxa"/>
            <w:tcBorders>
              <w:bottom w:val="nil"/>
            </w:tcBorders>
            <w:vAlign w:val="center"/>
          </w:tcPr>
          <w:p w14:paraId="0A4C6EDD" w14:textId="17332342"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3"/>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3"/>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c>
          <w:tcPr>
            <w:tcW w:w="851" w:type="dxa"/>
            <w:tcBorders>
              <w:bottom w:val="nil"/>
            </w:tcBorders>
            <w:vAlign w:val="center"/>
          </w:tcPr>
          <w:p w14:paraId="3145C9EF" w14:textId="3AA7F76E"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2"/>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2"/>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c>
          <w:tcPr>
            <w:tcW w:w="850" w:type="dxa"/>
            <w:tcBorders>
              <w:bottom w:val="nil"/>
            </w:tcBorders>
            <w:vAlign w:val="center"/>
          </w:tcPr>
          <w:p w14:paraId="5D60B1C2" w14:textId="682411A3"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1"/>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1"/>
                <w14:textFill>
                  <w14:solidFill>
                    <w14:srgbClr w14:val="000000">
                      <w14:alpha w14:val="100000"/>
                    </w14:srgbClr>
                  </w14:solidFill>
                </w14:textFill>
              </w:rPr>
              <w:t>|</w:t>
            </w:r>
            <w:r w:rsidR="001362AF" w:rsidRPr="00E36DB9">
              <w:rPr>
                <w:rFonts w:ascii="Arial Narrow" w:hAnsi="Arial Narrow"/>
                <w:color w:val="000000"/>
                <w:sz w:val="20"/>
                <w:szCs w:val="20"/>
                <w:vertAlign w:val="superscript"/>
              </w:rPr>
              <w:t>14</w:t>
            </w:r>
          </w:p>
        </w:tc>
        <w:tc>
          <w:tcPr>
            <w:tcW w:w="851" w:type="dxa"/>
            <w:tcBorders>
              <w:bottom w:val="nil"/>
            </w:tcBorders>
            <w:vAlign w:val="center"/>
          </w:tcPr>
          <w:p w14:paraId="61905ACF" w14:textId="6D9DB646"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20"/>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20"/>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c>
          <w:tcPr>
            <w:tcW w:w="850" w:type="dxa"/>
            <w:tcBorders>
              <w:bottom w:val="nil"/>
            </w:tcBorders>
            <w:vAlign w:val="center"/>
          </w:tcPr>
          <w:p w14:paraId="79F89049" w14:textId="654090EC"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9"/>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9"/>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c>
          <w:tcPr>
            <w:tcW w:w="942" w:type="dxa"/>
            <w:tcBorders>
              <w:bottom w:val="nil"/>
            </w:tcBorders>
            <w:vAlign w:val="center"/>
          </w:tcPr>
          <w:p w14:paraId="4FC43F99" w14:textId="218717A9" w:rsidR="00747AFC" w:rsidRPr="00E36DB9" w:rsidRDefault="001F54E0" w:rsidP="00747AFC">
            <w:pPr>
              <w:keepLines/>
              <w:jc w:val="left"/>
              <w:rPr>
                <w:rFonts w:ascii="Arial Narrow" w:eastAsiaTheme="majorEastAsia" w:hAnsi="Arial Narrow" w:cstheme="majorBidi"/>
                <w:bCs/>
                <w:sz w:val="20"/>
                <w:szCs w:val="20"/>
                <w:highlight w:val="darkGray"/>
              </w:rPr>
            </w:pPr>
            <w:r w:rsidRPr="001F54E0">
              <w:rPr>
                <w:rFonts w:ascii="Arial Narrow" w:hAnsi="Arial Narrow"/>
                <w:color w:val="000000"/>
                <w:spacing w:val="56"/>
                <w:sz w:val="20"/>
                <w:szCs w:val="20"/>
                <w:shd w:val="solid" w:color="000000" w:fill="000000"/>
                <w:fitText w:val="340" w:id="-761018618"/>
                <w14:textFill>
                  <w14:solidFill>
                    <w14:srgbClr w14:val="000000">
                      <w14:alpha w14:val="100000"/>
                    </w14:srgbClr>
                  </w14:solidFill>
                </w14:textFill>
              </w:rPr>
              <w:t>|||</w:t>
            </w:r>
            <w:r w:rsidRPr="001F54E0">
              <w:rPr>
                <w:rFonts w:ascii="Arial Narrow" w:hAnsi="Arial Narrow"/>
                <w:color w:val="000000"/>
                <w:spacing w:val="2"/>
                <w:sz w:val="20"/>
                <w:szCs w:val="20"/>
                <w:shd w:val="solid" w:color="000000" w:fill="000000"/>
                <w:fitText w:val="340" w:id="-761018618"/>
                <w14:textFill>
                  <w14:solidFill>
                    <w14:srgbClr w14:val="000000">
                      <w14:alpha w14:val="100000"/>
                    </w14:srgbClr>
                  </w14:solidFill>
                </w14:textFill>
              </w:rPr>
              <w:t>|</w:t>
            </w:r>
            <w:r w:rsidR="00522CB6" w:rsidRPr="00450C49">
              <w:rPr>
                <w:rFonts w:ascii="Arial Narrow" w:hAnsi="Arial Narrow"/>
                <w:color w:val="000000"/>
                <w:sz w:val="20"/>
                <w:szCs w:val="20"/>
                <w:vertAlign w:val="superscript"/>
              </w:rPr>
              <w:t>14</w:t>
            </w:r>
          </w:p>
        </w:tc>
      </w:tr>
      <w:tr w:rsidR="00747AFC" w:rsidRPr="00E273AF" w14:paraId="1131CBE1" w14:textId="77777777" w:rsidTr="00AC05F2">
        <w:trPr>
          <w:cantSplit/>
        </w:trPr>
        <w:tc>
          <w:tcPr>
            <w:tcW w:w="3823" w:type="dxa"/>
            <w:tcBorders>
              <w:bottom w:val="nil"/>
            </w:tcBorders>
          </w:tcPr>
          <w:p w14:paraId="4B9ABEC4" w14:textId="20BAB2FA" w:rsidR="00747AFC" w:rsidRPr="00C11145" w:rsidRDefault="00747AFC" w:rsidP="00747AFC">
            <w:pPr>
              <w:keepLines/>
              <w:jc w:val="left"/>
              <w:rPr>
                <w:rFonts w:ascii="Arial Narrow" w:eastAsiaTheme="majorEastAsia" w:hAnsi="Arial Narrow" w:cstheme="majorBidi"/>
                <w:bCs/>
                <w:sz w:val="20"/>
                <w:vertAlign w:val="superscript"/>
              </w:rPr>
            </w:pPr>
            <w:r w:rsidRPr="00C11145">
              <w:rPr>
                <w:rFonts w:ascii="Arial Narrow" w:eastAsiaTheme="majorEastAsia" w:hAnsi="Arial Narrow" w:cstheme="majorBidi"/>
                <w:bCs/>
                <w:sz w:val="20"/>
              </w:rPr>
              <w:t xml:space="preserve">Total reduction in cost to the PBS/RPBS less copays </w:t>
            </w:r>
            <w:r w:rsidRPr="00C11145">
              <w:rPr>
                <w:rFonts w:ascii="Arial Narrow" w:eastAsiaTheme="majorEastAsia" w:hAnsi="Arial Narrow" w:cstheme="majorBidi"/>
                <w:bCs/>
                <w:sz w:val="20"/>
                <w:vertAlign w:val="superscript"/>
              </w:rPr>
              <w:t>f</w:t>
            </w:r>
          </w:p>
        </w:tc>
        <w:tc>
          <w:tcPr>
            <w:tcW w:w="850" w:type="dxa"/>
            <w:tcBorders>
              <w:bottom w:val="nil"/>
            </w:tcBorders>
          </w:tcPr>
          <w:p w14:paraId="0A95542D" w14:textId="7470EABA"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7"/>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7"/>
                <w14:textFill>
                  <w14:solidFill>
                    <w14:srgbClr w14:val="000000">
                      <w14:alpha w14:val="100000"/>
                    </w14:srgbClr>
                  </w14:solidFill>
                </w14:textFill>
              </w:rPr>
              <w:t>|</w:t>
            </w:r>
            <w:r w:rsidR="00CF67DE" w:rsidRPr="00E36DB9">
              <w:rPr>
                <w:rFonts w:ascii="Arial Narrow" w:eastAsiaTheme="majorEastAsia" w:hAnsi="Arial Narrow" w:cstheme="majorBidi"/>
                <w:bCs/>
                <w:sz w:val="20"/>
                <w:vertAlign w:val="superscript"/>
              </w:rPr>
              <w:t>19</w:t>
            </w:r>
          </w:p>
        </w:tc>
        <w:tc>
          <w:tcPr>
            <w:tcW w:w="851" w:type="dxa"/>
            <w:tcBorders>
              <w:bottom w:val="nil"/>
            </w:tcBorders>
          </w:tcPr>
          <w:p w14:paraId="1DCAF633" w14:textId="6C4B58A6"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6"/>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6"/>
                <w14:textFill>
                  <w14:solidFill>
                    <w14:srgbClr w14:val="000000">
                      <w14:alpha w14:val="100000"/>
                    </w14:srgbClr>
                  </w14:solidFill>
                </w14:textFill>
              </w:rPr>
              <w:t>|</w:t>
            </w:r>
            <w:r w:rsidR="00D538F9" w:rsidRPr="00450C49">
              <w:rPr>
                <w:rFonts w:ascii="Arial Narrow" w:hAnsi="Arial Narrow"/>
                <w:color w:val="000000"/>
                <w:sz w:val="20"/>
                <w:szCs w:val="20"/>
                <w:vertAlign w:val="superscript"/>
              </w:rPr>
              <w:t>10</w:t>
            </w:r>
          </w:p>
        </w:tc>
        <w:tc>
          <w:tcPr>
            <w:tcW w:w="850" w:type="dxa"/>
            <w:tcBorders>
              <w:bottom w:val="nil"/>
            </w:tcBorders>
          </w:tcPr>
          <w:p w14:paraId="0E53D0AE" w14:textId="38EFD5A1"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5"/>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5"/>
                <w14:textFill>
                  <w14:solidFill>
                    <w14:srgbClr w14:val="000000">
                      <w14:alpha w14:val="100000"/>
                    </w14:srgbClr>
                  </w14:solidFill>
                </w14:textFill>
              </w:rPr>
              <w:t>|</w:t>
            </w:r>
            <w:r w:rsidR="00D538F9" w:rsidRPr="00450C49">
              <w:rPr>
                <w:rFonts w:ascii="Arial Narrow" w:hAnsi="Arial Narrow"/>
                <w:color w:val="000000"/>
                <w:sz w:val="20"/>
                <w:szCs w:val="20"/>
                <w:vertAlign w:val="superscript"/>
              </w:rPr>
              <w:t>10</w:t>
            </w:r>
          </w:p>
        </w:tc>
        <w:tc>
          <w:tcPr>
            <w:tcW w:w="851" w:type="dxa"/>
            <w:tcBorders>
              <w:bottom w:val="nil"/>
            </w:tcBorders>
          </w:tcPr>
          <w:p w14:paraId="407967FF" w14:textId="19583463"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4"/>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4"/>
                <w14:textFill>
                  <w14:solidFill>
                    <w14:srgbClr w14:val="000000">
                      <w14:alpha w14:val="100000"/>
                    </w14:srgbClr>
                  </w14:solidFill>
                </w14:textFill>
              </w:rPr>
              <w:t>|</w:t>
            </w:r>
            <w:r w:rsidR="00D538F9" w:rsidRPr="00450C49">
              <w:rPr>
                <w:rFonts w:ascii="Arial Narrow" w:hAnsi="Arial Narrow"/>
                <w:color w:val="000000"/>
                <w:sz w:val="20"/>
                <w:szCs w:val="20"/>
                <w:vertAlign w:val="superscript"/>
              </w:rPr>
              <w:t>10</w:t>
            </w:r>
          </w:p>
        </w:tc>
        <w:tc>
          <w:tcPr>
            <w:tcW w:w="850" w:type="dxa"/>
            <w:tcBorders>
              <w:bottom w:val="nil"/>
            </w:tcBorders>
          </w:tcPr>
          <w:p w14:paraId="0C9771BD" w14:textId="1E4F075C"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3"/>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3"/>
                <w14:textFill>
                  <w14:solidFill>
                    <w14:srgbClr w14:val="000000">
                      <w14:alpha w14:val="100000"/>
                    </w14:srgbClr>
                  </w14:solidFill>
                </w14:textFill>
              </w:rPr>
              <w:t>|</w:t>
            </w:r>
            <w:r w:rsidR="00D538F9" w:rsidRPr="00450C49">
              <w:rPr>
                <w:rFonts w:ascii="Arial Narrow" w:hAnsi="Arial Narrow"/>
                <w:color w:val="000000"/>
                <w:sz w:val="20"/>
                <w:szCs w:val="20"/>
                <w:vertAlign w:val="superscript"/>
              </w:rPr>
              <w:t>10</w:t>
            </w:r>
          </w:p>
        </w:tc>
        <w:tc>
          <w:tcPr>
            <w:tcW w:w="942" w:type="dxa"/>
            <w:tcBorders>
              <w:bottom w:val="nil"/>
            </w:tcBorders>
          </w:tcPr>
          <w:p w14:paraId="28F319CE" w14:textId="57B4CFC5"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2"/>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2"/>
                <w14:textFill>
                  <w14:solidFill>
                    <w14:srgbClr w14:val="000000">
                      <w14:alpha w14:val="100000"/>
                    </w14:srgbClr>
                  </w14:solidFill>
                </w14:textFill>
              </w:rPr>
              <w:t>|</w:t>
            </w:r>
            <w:r w:rsidR="00D538F9" w:rsidRPr="00450C49">
              <w:rPr>
                <w:rFonts w:ascii="Arial Narrow" w:hAnsi="Arial Narrow"/>
                <w:color w:val="000000"/>
                <w:sz w:val="20"/>
                <w:szCs w:val="20"/>
                <w:vertAlign w:val="superscript"/>
              </w:rPr>
              <w:t>10</w:t>
            </w:r>
          </w:p>
        </w:tc>
      </w:tr>
      <w:tr w:rsidR="00747AFC" w:rsidRPr="00E273AF" w14:paraId="1940D555" w14:textId="77777777" w:rsidTr="00CF3EC7">
        <w:trPr>
          <w:cantSplit/>
        </w:trPr>
        <w:tc>
          <w:tcPr>
            <w:tcW w:w="9017" w:type="dxa"/>
            <w:gridSpan w:val="7"/>
            <w:tcBorders>
              <w:bottom w:val="single" w:sz="4" w:space="0" w:color="auto"/>
            </w:tcBorders>
          </w:tcPr>
          <w:p w14:paraId="3E673AA0" w14:textId="77777777" w:rsidR="00747AFC" w:rsidRPr="00E273AF" w:rsidRDefault="00747AFC" w:rsidP="00747AFC">
            <w:pPr>
              <w:keepLines/>
              <w:jc w:val="left"/>
              <w:rPr>
                <w:rFonts w:ascii="Arial Narrow" w:eastAsiaTheme="majorEastAsia" w:hAnsi="Arial Narrow" w:cstheme="majorBidi"/>
                <w:b/>
                <w:sz w:val="20"/>
              </w:rPr>
            </w:pPr>
            <w:r w:rsidRPr="00E273AF">
              <w:rPr>
                <w:rFonts w:ascii="Arial Narrow" w:eastAsiaTheme="majorEastAsia" w:hAnsi="Arial Narrow" w:cstheme="majorBidi"/>
                <w:b/>
                <w:sz w:val="20"/>
              </w:rPr>
              <w:t xml:space="preserve">Net financial implications </w:t>
            </w:r>
            <w:r>
              <w:rPr>
                <w:rFonts w:ascii="Arial Narrow" w:eastAsiaTheme="majorEastAsia" w:hAnsi="Arial Narrow" w:cstheme="majorBidi"/>
                <w:b/>
                <w:sz w:val="20"/>
              </w:rPr>
              <w:t>of listing EV+PEM</w:t>
            </w:r>
          </w:p>
        </w:tc>
      </w:tr>
      <w:tr w:rsidR="00747AFC" w:rsidRPr="00E273AF" w14:paraId="4D3385CC" w14:textId="77777777" w:rsidTr="00AC05F2">
        <w:trPr>
          <w:cantSplit/>
        </w:trPr>
        <w:tc>
          <w:tcPr>
            <w:tcW w:w="3823" w:type="dxa"/>
            <w:tcBorders>
              <w:bottom w:val="nil"/>
            </w:tcBorders>
          </w:tcPr>
          <w:p w14:paraId="6744E31C" w14:textId="77777777" w:rsidR="00747AFC" w:rsidRPr="00C11145" w:rsidRDefault="00747AFC" w:rsidP="00747AFC">
            <w:pPr>
              <w:keepLines/>
              <w:jc w:val="left"/>
              <w:rPr>
                <w:rFonts w:ascii="Arial Narrow" w:eastAsiaTheme="majorEastAsia" w:hAnsi="Arial Narrow" w:cstheme="majorBidi"/>
                <w:bCs/>
                <w:sz w:val="20"/>
              </w:rPr>
            </w:pPr>
            <w:r w:rsidRPr="00C11145">
              <w:rPr>
                <w:rFonts w:ascii="Arial Narrow" w:eastAsiaTheme="majorEastAsia" w:hAnsi="Arial Narrow" w:cstheme="majorBidi"/>
                <w:bCs/>
                <w:sz w:val="20"/>
              </w:rPr>
              <w:t>Net cost to PBS/RPBS</w:t>
            </w:r>
          </w:p>
        </w:tc>
        <w:tc>
          <w:tcPr>
            <w:tcW w:w="850" w:type="dxa"/>
            <w:tcBorders>
              <w:bottom w:val="nil"/>
            </w:tcBorders>
          </w:tcPr>
          <w:p w14:paraId="58C9A314" w14:textId="528E3383"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1"/>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1"/>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1" w:type="dxa"/>
            <w:tcBorders>
              <w:bottom w:val="nil"/>
            </w:tcBorders>
          </w:tcPr>
          <w:p w14:paraId="4A822469" w14:textId="51FA2790"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0"/>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0"/>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0" w:type="dxa"/>
            <w:tcBorders>
              <w:bottom w:val="nil"/>
            </w:tcBorders>
          </w:tcPr>
          <w:p w14:paraId="7DBBAA6E" w14:textId="4CBE4DB5"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09"/>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09"/>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1" w:type="dxa"/>
            <w:tcBorders>
              <w:bottom w:val="nil"/>
            </w:tcBorders>
          </w:tcPr>
          <w:p w14:paraId="23863972" w14:textId="0EF4CE9F"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08"/>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08"/>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0" w:type="dxa"/>
            <w:tcBorders>
              <w:bottom w:val="nil"/>
            </w:tcBorders>
          </w:tcPr>
          <w:p w14:paraId="6F568B13" w14:textId="3870EF9A"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24"/>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24"/>
                <w14:textFill>
                  <w14:solidFill>
                    <w14:srgbClr w14:val="000000">
                      <w14:alpha w14:val="100000"/>
                    </w14:srgbClr>
                  </w14:solidFill>
                </w14:textFill>
              </w:rPr>
              <w:t>|</w:t>
            </w:r>
            <w:r w:rsidR="00A20C63" w:rsidRPr="00450C49">
              <w:rPr>
                <w:rFonts w:ascii="Arial Narrow" w:eastAsiaTheme="majorEastAsia" w:hAnsi="Arial Narrow" w:cstheme="majorBidi"/>
                <w:bCs/>
                <w:sz w:val="20"/>
                <w:vertAlign w:val="superscript"/>
              </w:rPr>
              <w:t>12</w:t>
            </w:r>
          </w:p>
        </w:tc>
        <w:tc>
          <w:tcPr>
            <w:tcW w:w="942" w:type="dxa"/>
            <w:tcBorders>
              <w:bottom w:val="nil"/>
            </w:tcBorders>
          </w:tcPr>
          <w:p w14:paraId="66224EBD" w14:textId="35CA345C"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23"/>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23"/>
                <w14:textFill>
                  <w14:solidFill>
                    <w14:srgbClr w14:val="000000">
                      <w14:alpha w14:val="100000"/>
                    </w14:srgbClr>
                  </w14:solidFill>
                </w14:textFill>
              </w:rPr>
              <w:t>|</w:t>
            </w:r>
            <w:r w:rsidR="00A20C63" w:rsidRPr="00450C49">
              <w:rPr>
                <w:rFonts w:ascii="Arial Narrow" w:eastAsiaTheme="majorEastAsia" w:hAnsi="Arial Narrow" w:cstheme="majorBidi"/>
                <w:bCs/>
                <w:sz w:val="20"/>
                <w:vertAlign w:val="superscript"/>
              </w:rPr>
              <w:t>1212</w:t>
            </w:r>
          </w:p>
        </w:tc>
      </w:tr>
      <w:tr w:rsidR="00747AFC" w:rsidRPr="00E273AF" w14:paraId="00035608" w14:textId="77777777" w:rsidTr="00AC05F2">
        <w:trPr>
          <w:cantSplit/>
        </w:trPr>
        <w:tc>
          <w:tcPr>
            <w:tcW w:w="3823" w:type="dxa"/>
            <w:tcBorders>
              <w:bottom w:val="single" w:sz="4" w:space="0" w:color="auto"/>
            </w:tcBorders>
          </w:tcPr>
          <w:p w14:paraId="4CA0B47B" w14:textId="4623A10E" w:rsidR="00747AFC" w:rsidRPr="00C11145" w:rsidRDefault="00747AFC" w:rsidP="00B20C10">
            <w:pPr>
              <w:keepLines/>
              <w:jc w:val="left"/>
              <w:rPr>
                <w:rFonts w:ascii="Arial Narrow" w:eastAsiaTheme="majorEastAsia" w:hAnsi="Arial Narrow" w:cstheme="majorBidi"/>
                <w:bCs/>
                <w:sz w:val="20"/>
                <w:vertAlign w:val="superscript"/>
              </w:rPr>
            </w:pPr>
            <w:r w:rsidRPr="00C11145">
              <w:rPr>
                <w:rFonts w:ascii="Arial Narrow" w:eastAsiaTheme="majorEastAsia" w:hAnsi="Arial Narrow" w:cstheme="majorBidi"/>
                <w:bCs/>
                <w:sz w:val="20"/>
              </w:rPr>
              <w:t xml:space="preserve">Net cost to MBS </w:t>
            </w:r>
            <w:r w:rsidRPr="00C11145">
              <w:rPr>
                <w:rFonts w:ascii="Arial Narrow" w:eastAsiaTheme="majorEastAsia" w:hAnsi="Arial Narrow" w:cstheme="majorBidi"/>
                <w:bCs/>
                <w:sz w:val="20"/>
                <w:vertAlign w:val="superscript"/>
              </w:rPr>
              <w:t>g</w:t>
            </w:r>
          </w:p>
        </w:tc>
        <w:tc>
          <w:tcPr>
            <w:tcW w:w="850" w:type="dxa"/>
            <w:tcBorders>
              <w:bottom w:val="single" w:sz="4" w:space="0" w:color="auto"/>
            </w:tcBorders>
          </w:tcPr>
          <w:p w14:paraId="4C38B690" w14:textId="28041C1F"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22"/>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22"/>
                <w14:textFill>
                  <w14:solidFill>
                    <w14:srgbClr w14:val="000000">
                      <w14:alpha w14:val="100000"/>
                    </w14:srgbClr>
                  </w14:solidFill>
                </w14:textFill>
              </w:rPr>
              <w:t>|</w:t>
            </w:r>
            <w:r w:rsidR="00C0124B" w:rsidRPr="00450C49">
              <w:rPr>
                <w:rFonts w:ascii="Arial Narrow" w:hAnsi="Arial Narrow"/>
                <w:color w:val="000000"/>
                <w:sz w:val="20"/>
                <w:szCs w:val="20"/>
                <w:vertAlign w:val="superscript"/>
              </w:rPr>
              <w:t>14</w:t>
            </w:r>
          </w:p>
        </w:tc>
        <w:tc>
          <w:tcPr>
            <w:tcW w:w="851" w:type="dxa"/>
            <w:tcBorders>
              <w:bottom w:val="single" w:sz="4" w:space="0" w:color="auto"/>
            </w:tcBorders>
          </w:tcPr>
          <w:p w14:paraId="36C09106" w14:textId="3E791D71"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21"/>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21"/>
                <w14:textFill>
                  <w14:solidFill>
                    <w14:srgbClr w14:val="000000">
                      <w14:alpha w14:val="100000"/>
                    </w14:srgbClr>
                  </w14:solidFill>
                </w14:textFill>
              </w:rPr>
              <w:t>|</w:t>
            </w:r>
            <w:r w:rsidR="00C0124B" w:rsidRPr="00450C49">
              <w:rPr>
                <w:rFonts w:ascii="Arial Narrow" w:hAnsi="Arial Narrow"/>
                <w:color w:val="000000"/>
                <w:sz w:val="20"/>
                <w:szCs w:val="20"/>
                <w:vertAlign w:val="superscript"/>
              </w:rPr>
              <w:t>14</w:t>
            </w:r>
          </w:p>
        </w:tc>
        <w:tc>
          <w:tcPr>
            <w:tcW w:w="850" w:type="dxa"/>
            <w:tcBorders>
              <w:bottom w:val="single" w:sz="4" w:space="0" w:color="auto"/>
            </w:tcBorders>
          </w:tcPr>
          <w:p w14:paraId="14885D70" w14:textId="2407CE2E"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20"/>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20"/>
                <w14:textFill>
                  <w14:solidFill>
                    <w14:srgbClr w14:val="000000">
                      <w14:alpha w14:val="100000"/>
                    </w14:srgbClr>
                  </w14:solidFill>
                </w14:textFill>
              </w:rPr>
              <w:t>|</w:t>
            </w:r>
            <w:r w:rsidR="00C0124B" w:rsidRPr="00450C49">
              <w:rPr>
                <w:rFonts w:ascii="Arial Narrow" w:hAnsi="Arial Narrow"/>
                <w:color w:val="000000"/>
                <w:sz w:val="20"/>
                <w:szCs w:val="20"/>
                <w:vertAlign w:val="superscript"/>
              </w:rPr>
              <w:t>14</w:t>
            </w:r>
          </w:p>
        </w:tc>
        <w:tc>
          <w:tcPr>
            <w:tcW w:w="851" w:type="dxa"/>
            <w:tcBorders>
              <w:bottom w:val="single" w:sz="4" w:space="0" w:color="auto"/>
            </w:tcBorders>
          </w:tcPr>
          <w:p w14:paraId="4E754563" w14:textId="7E33746A"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9"/>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9"/>
                <w14:textFill>
                  <w14:solidFill>
                    <w14:srgbClr w14:val="000000">
                      <w14:alpha w14:val="100000"/>
                    </w14:srgbClr>
                  </w14:solidFill>
                </w14:textFill>
              </w:rPr>
              <w:t>|</w:t>
            </w:r>
            <w:r w:rsidR="00C0124B" w:rsidRPr="00450C49">
              <w:rPr>
                <w:rFonts w:ascii="Arial Narrow" w:hAnsi="Arial Narrow"/>
                <w:color w:val="000000"/>
                <w:sz w:val="20"/>
                <w:szCs w:val="20"/>
                <w:vertAlign w:val="superscript"/>
              </w:rPr>
              <w:t>14</w:t>
            </w:r>
          </w:p>
        </w:tc>
        <w:tc>
          <w:tcPr>
            <w:tcW w:w="850" w:type="dxa"/>
            <w:tcBorders>
              <w:bottom w:val="single" w:sz="4" w:space="0" w:color="auto"/>
            </w:tcBorders>
          </w:tcPr>
          <w:p w14:paraId="03F3CD8C" w14:textId="3184D335"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8"/>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8"/>
                <w14:textFill>
                  <w14:solidFill>
                    <w14:srgbClr w14:val="000000">
                      <w14:alpha w14:val="100000"/>
                    </w14:srgbClr>
                  </w14:solidFill>
                </w14:textFill>
              </w:rPr>
              <w:t>|</w:t>
            </w:r>
            <w:r w:rsidR="00556FE0" w:rsidRPr="00E36DB9">
              <w:rPr>
                <w:rFonts w:ascii="Arial Narrow" w:eastAsiaTheme="majorEastAsia" w:hAnsi="Arial Narrow" w:cstheme="majorBidi"/>
                <w:bCs/>
                <w:sz w:val="20"/>
                <w:vertAlign w:val="superscript"/>
              </w:rPr>
              <w:t>14</w:t>
            </w:r>
          </w:p>
        </w:tc>
        <w:tc>
          <w:tcPr>
            <w:tcW w:w="942" w:type="dxa"/>
            <w:tcBorders>
              <w:bottom w:val="single" w:sz="4" w:space="0" w:color="auto"/>
            </w:tcBorders>
          </w:tcPr>
          <w:p w14:paraId="3B211A86" w14:textId="318A26FC" w:rsidR="00747AFC" w:rsidRPr="00E36DB9" w:rsidRDefault="001F54E0" w:rsidP="00747AFC">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7"/>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7"/>
                <w14:textFill>
                  <w14:solidFill>
                    <w14:srgbClr w14:val="000000">
                      <w14:alpha w14:val="100000"/>
                    </w14:srgbClr>
                  </w14:solidFill>
                </w14:textFill>
              </w:rPr>
              <w:t>|</w:t>
            </w:r>
            <w:r w:rsidR="00C0124B" w:rsidRPr="00450C49">
              <w:rPr>
                <w:rFonts w:ascii="Arial Narrow" w:hAnsi="Arial Narrow"/>
                <w:color w:val="000000"/>
                <w:sz w:val="20"/>
                <w:szCs w:val="20"/>
                <w:vertAlign w:val="superscript"/>
              </w:rPr>
              <w:t>14</w:t>
            </w:r>
          </w:p>
        </w:tc>
      </w:tr>
      <w:tr w:rsidR="00747AFC" w:rsidRPr="00E273AF" w14:paraId="0F6364B7" w14:textId="77777777" w:rsidTr="00AC05F2">
        <w:trPr>
          <w:cantSplit/>
        </w:trPr>
        <w:tc>
          <w:tcPr>
            <w:tcW w:w="3823" w:type="dxa"/>
            <w:tcBorders>
              <w:bottom w:val="single" w:sz="4" w:space="0" w:color="auto"/>
            </w:tcBorders>
          </w:tcPr>
          <w:p w14:paraId="1B083219" w14:textId="53A40727" w:rsidR="00747AFC" w:rsidRPr="00C11145" w:rsidRDefault="00747AFC" w:rsidP="00747AFC">
            <w:pPr>
              <w:keepLines/>
              <w:jc w:val="left"/>
              <w:rPr>
                <w:rFonts w:ascii="Arial Narrow" w:eastAsiaTheme="majorEastAsia" w:hAnsi="Arial Narrow" w:cstheme="majorBidi"/>
                <w:b/>
                <w:sz w:val="20"/>
              </w:rPr>
            </w:pPr>
            <w:r w:rsidRPr="00C11145">
              <w:rPr>
                <w:rFonts w:ascii="Arial Narrow" w:eastAsiaTheme="majorEastAsia" w:hAnsi="Arial Narrow" w:cstheme="majorBidi"/>
                <w:b/>
                <w:sz w:val="20"/>
              </w:rPr>
              <w:t>Net cost to PBS/RPBS and MBS</w:t>
            </w:r>
          </w:p>
        </w:tc>
        <w:tc>
          <w:tcPr>
            <w:tcW w:w="850" w:type="dxa"/>
            <w:tcBorders>
              <w:bottom w:val="single" w:sz="4" w:space="0" w:color="auto"/>
            </w:tcBorders>
          </w:tcPr>
          <w:p w14:paraId="24769D9C" w14:textId="262F3135" w:rsidR="00747AFC" w:rsidRPr="00E36DB9" w:rsidRDefault="001F54E0" w:rsidP="00747AFC">
            <w:pPr>
              <w:keepLines/>
              <w:jc w:val="left"/>
              <w:rPr>
                <w:rFonts w:ascii="Arial Narrow" w:eastAsiaTheme="majorEastAsia" w:hAnsi="Arial Narrow" w:cstheme="majorBidi"/>
                <w:b/>
                <w:sz w:val="20"/>
                <w:highlight w:val="darkGray"/>
              </w:rPr>
            </w:pPr>
            <w:r w:rsidRPr="001F54E0">
              <w:rPr>
                <w:rFonts w:ascii="Arial Narrow" w:eastAsiaTheme="majorEastAsia" w:hAnsi="Arial Narrow" w:cstheme="majorBidi"/>
                <w:b/>
                <w:color w:val="000000"/>
                <w:spacing w:val="58"/>
                <w:sz w:val="20"/>
                <w:shd w:val="solid" w:color="000000" w:fill="000000"/>
                <w:fitText w:val="360" w:id="-761018616"/>
                <w14:textFill>
                  <w14:solidFill>
                    <w14:srgbClr w14:val="000000">
                      <w14:alpha w14:val="100000"/>
                    </w14:srgbClr>
                  </w14:solidFill>
                </w14:textFill>
              </w:rPr>
              <w:t>|||</w:t>
            </w:r>
            <w:r w:rsidRPr="001F54E0">
              <w:rPr>
                <w:rFonts w:ascii="Arial Narrow" w:eastAsiaTheme="majorEastAsia" w:hAnsi="Arial Narrow" w:cstheme="majorBidi"/>
                <w:b/>
                <w:color w:val="000000"/>
                <w:spacing w:val="3"/>
                <w:sz w:val="20"/>
                <w:shd w:val="solid" w:color="000000" w:fill="000000"/>
                <w:fitText w:val="360" w:id="-761018616"/>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1" w:type="dxa"/>
            <w:tcBorders>
              <w:bottom w:val="single" w:sz="4" w:space="0" w:color="auto"/>
            </w:tcBorders>
          </w:tcPr>
          <w:p w14:paraId="758937A2" w14:textId="5C49BB77" w:rsidR="00747AFC" w:rsidRPr="00E36DB9" w:rsidRDefault="001F54E0" w:rsidP="00747AFC">
            <w:pPr>
              <w:keepLines/>
              <w:jc w:val="left"/>
              <w:rPr>
                <w:rFonts w:ascii="Arial Narrow" w:eastAsiaTheme="majorEastAsia" w:hAnsi="Arial Narrow" w:cstheme="majorBidi"/>
                <w:b/>
                <w:sz w:val="20"/>
                <w:highlight w:val="darkGray"/>
              </w:rPr>
            </w:pPr>
            <w:r w:rsidRPr="001F54E0">
              <w:rPr>
                <w:rFonts w:ascii="Arial Narrow" w:eastAsiaTheme="majorEastAsia" w:hAnsi="Arial Narrow" w:cstheme="majorBidi"/>
                <w:b/>
                <w:color w:val="000000"/>
                <w:spacing w:val="58"/>
                <w:sz w:val="20"/>
                <w:shd w:val="solid" w:color="000000" w:fill="000000"/>
                <w:fitText w:val="360" w:id="-761018615"/>
                <w14:textFill>
                  <w14:solidFill>
                    <w14:srgbClr w14:val="000000">
                      <w14:alpha w14:val="100000"/>
                    </w14:srgbClr>
                  </w14:solidFill>
                </w14:textFill>
              </w:rPr>
              <w:t>|||</w:t>
            </w:r>
            <w:r w:rsidRPr="001F54E0">
              <w:rPr>
                <w:rFonts w:ascii="Arial Narrow" w:eastAsiaTheme="majorEastAsia" w:hAnsi="Arial Narrow" w:cstheme="majorBidi"/>
                <w:b/>
                <w:color w:val="000000"/>
                <w:spacing w:val="3"/>
                <w:sz w:val="20"/>
                <w:shd w:val="solid" w:color="000000" w:fill="000000"/>
                <w:fitText w:val="360" w:id="-761018615"/>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0" w:type="dxa"/>
            <w:tcBorders>
              <w:bottom w:val="single" w:sz="4" w:space="0" w:color="auto"/>
            </w:tcBorders>
          </w:tcPr>
          <w:p w14:paraId="2C282EC3" w14:textId="51E4BE97" w:rsidR="00747AFC" w:rsidRPr="00E36DB9" w:rsidRDefault="001F54E0" w:rsidP="00747AFC">
            <w:pPr>
              <w:keepLines/>
              <w:jc w:val="left"/>
              <w:rPr>
                <w:rFonts w:ascii="Arial Narrow" w:eastAsiaTheme="majorEastAsia" w:hAnsi="Arial Narrow" w:cstheme="majorBidi"/>
                <w:b/>
                <w:sz w:val="20"/>
                <w:highlight w:val="darkGray"/>
              </w:rPr>
            </w:pPr>
            <w:r w:rsidRPr="001F54E0">
              <w:rPr>
                <w:rFonts w:ascii="Arial Narrow" w:eastAsiaTheme="majorEastAsia" w:hAnsi="Arial Narrow" w:cstheme="majorBidi"/>
                <w:b/>
                <w:color w:val="000000"/>
                <w:spacing w:val="58"/>
                <w:sz w:val="20"/>
                <w:shd w:val="solid" w:color="000000" w:fill="000000"/>
                <w:fitText w:val="360" w:id="-761018614"/>
                <w14:textFill>
                  <w14:solidFill>
                    <w14:srgbClr w14:val="000000">
                      <w14:alpha w14:val="100000"/>
                    </w14:srgbClr>
                  </w14:solidFill>
                </w14:textFill>
              </w:rPr>
              <w:t>|||</w:t>
            </w:r>
            <w:r w:rsidRPr="001F54E0">
              <w:rPr>
                <w:rFonts w:ascii="Arial Narrow" w:eastAsiaTheme="majorEastAsia" w:hAnsi="Arial Narrow" w:cstheme="majorBidi"/>
                <w:b/>
                <w:color w:val="000000"/>
                <w:spacing w:val="3"/>
                <w:sz w:val="20"/>
                <w:shd w:val="solid" w:color="000000" w:fill="000000"/>
                <w:fitText w:val="360" w:id="-761018614"/>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1" w:type="dxa"/>
            <w:tcBorders>
              <w:bottom w:val="single" w:sz="4" w:space="0" w:color="auto"/>
            </w:tcBorders>
          </w:tcPr>
          <w:p w14:paraId="1C96B619" w14:textId="0B349A84" w:rsidR="00747AFC" w:rsidRPr="00E36DB9" w:rsidRDefault="001F54E0" w:rsidP="00747AFC">
            <w:pPr>
              <w:keepLines/>
              <w:jc w:val="left"/>
              <w:rPr>
                <w:rFonts w:ascii="Arial Narrow" w:eastAsiaTheme="majorEastAsia" w:hAnsi="Arial Narrow" w:cstheme="majorBidi"/>
                <w:b/>
                <w:sz w:val="20"/>
                <w:highlight w:val="darkGray"/>
              </w:rPr>
            </w:pPr>
            <w:r w:rsidRPr="001F54E0">
              <w:rPr>
                <w:rFonts w:ascii="Arial Narrow" w:eastAsiaTheme="majorEastAsia" w:hAnsi="Arial Narrow" w:cstheme="majorBidi"/>
                <w:b/>
                <w:color w:val="000000"/>
                <w:spacing w:val="58"/>
                <w:sz w:val="20"/>
                <w:shd w:val="solid" w:color="000000" w:fill="000000"/>
                <w:fitText w:val="360" w:id="-761018613"/>
                <w14:textFill>
                  <w14:solidFill>
                    <w14:srgbClr w14:val="000000">
                      <w14:alpha w14:val="100000"/>
                    </w14:srgbClr>
                  </w14:solidFill>
                </w14:textFill>
              </w:rPr>
              <w:t>|||</w:t>
            </w:r>
            <w:r w:rsidRPr="001F54E0">
              <w:rPr>
                <w:rFonts w:ascii="Arial Narrow" w:eastAsiaTheme="majorEastAsia" w:hAnsi="Arial Narrow" w:cstheme="majorBidi"/>
                <w:b/>
                <w:color w:val="000000"/>
                <w:spacing w:val="3"/>
                <w:sz w:val="20"/>
                <w:shd w:val="solid" w:color="000000" w:fill="000000"/>
                <w:fitText w:val="360" w:id="-761018613"/>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0" w:type="dxa"/>
            <w:tcBorders>
              <w:bottom w:val="single" w:sz="4" w:space="0" w:color="auto"/>
            </w:tcBorders>
          </w:tcPr>
          <w:p w14:paraId="5CD4ACF4" w14:textId="130279F0" w:rsidR="00747AFC" w:rsidRPr="00E36DB9" w:rsidRDefault="001F54E0" w:rsidP="00747AFC">
            <w:pPr>
              <w:keepLines/>
              <w:jc w:val="left"/>
              <w:rPr>
                <w:rFonts w:ascii="Arial Narrow" w:eastAsiaTheme="majorEastAsia" w:hAnsi="Arial Narrow" w:cstheme="majorBidi"/>
                <w:b/>
                <w:sz w:val="20"/>
                <w:highlight w:val="darkGray"/>
              </w:rPr>
            </w:pPr>
            <w:r w:rsidRPr="001F54E0">
              <w:rPr>
                <w:rFonts w:ascii="Arial Narrow" w:eastAsiaTheme="majorEastAsia" w:hAnsi="Arial Narrow" w:cstheme="majorBidi"/>
                <w:b/>
                <w:color w:val="000000"/>
                <w:spacing w:val="58"/>
                <w:sz w:val="20"/>
                <w:shd w:val="solid" w:color="000000" w:fill="000000"/>
                <w:fitText w:val="360" w:id="-761018612"/>
                <w14:textFill>
                  <w14:solidFill>
                    <w14:srgbClr w14:val="000000">
                      <w14:alpha w14:val="100000"/>
                    </w14:srgbClr>
                  </w14:solidFill>
                </w14:textFill>
              </w:rPr>
              <w:t>|||</w:t>
            </w:r>
            <w:r w:rsidRPr="001F54E0">
              <w:rPr>
                <w:rFonts w:ascii="Arial Narrow" w:eastAsiaTheme="majorEastAsia" w:hAnsi="Arial Narrow" w:cstheme="majorBidi"/>
                <w:b/>
                <w:color w:val="000000"/>
                <w:spacing w:val="3"/>
                <w:sz w:val="20"/>
                <w:shd w:val="solid" w:color="000000" w:fill="000000"/>
                <w:fitText w:val="360" w:id="-761018612"/>
                <w14:textFill>
                  <w14:solidFill>
                    <w14:srgbClr w14:val="000000">
                      <w14:alpha w14:val="100000"/>
                    </w14:srgbClr>
                  </w14:solidFill>
                </w14:textFill>
              </w:rPr>
              <w:t>|</w:t>
            </w:r>
            <w:r w:rsidR="00556FE0" w:rsidRPr="00E36DB9">
              <w:rPr>
                <w:rFonts w:ascii="Arial Narrow" w:eastAsiaTheme="majorEastAsia" w:hAnsi="Arial Narrow" w:cstheme="majorBidi"/>
                <w:b/>
                <w:sz w:val="20"/>
                <w:vertAlign w:val="superscript"/>
              </w:rPr>
              <w:t>12</w:t>
            </w:r>
          </w:p>
        </w:tc>
        <w:tc>
          <w:tcPr>
            <w:tcW w:w="942" w:type="dxa"/>
            <w:tcBorders>
              <w:bottom w:val="single" w:sz="4" w:space="0" w:color="auto"/>
            </w:tcBorders>
          </w:tcPr>
          <w:p w14:paraId="65FBFE9B" w14:textId="4DE96E2F" w:rsidR="00747AFC" w:rsidRPr="00E36DB9" w:rsidRDefault="001F54E0" w:rsidP="00747AFC">
            <w:pPr>
              <w:keepLines/>
              <w:jc w:val="left"/>
              <w:rPr>
                <w:rFonts w:ascii="Arial Narrow" w:eastAsiaTheme="majorEastAsia" w:hAnsi="Arial Narrow" w:cstheme="majorBidi"/>
                <w:b/>
                <w:sz w:val="20"/>
                <w:highlight w:val="darkGray"/>
              </w:rPr>
            </w:pPr>
            <w:r w:rsidRPr="001F54E0">
              <w:rPr>
                <w:rFonts w:ascii="Arial Narrow" w:eastAsiaTheme="majorEastAsia" w:hAnsi="Arial Narrow" w:cstheme="majorBidi"/>
                <w:b/>
                <w:color w:val="000000"/>
                <w:spacing w:val="58"/>
                <w:sz w:val="20"/>
                <w:shd w:val="solid" w:color="000000" w:fill="000000"/>
                <w:fitText w:val="360" w:id="-761018611"/>
                <w14:textFill>
                  <w14:solidFill>
                    <w14:srgbClr w14:val="000000">
                      <w14:alpha w14:val="100000"/>
                    </w14:srgbClr>
                  </w14:solidFill>
                </w14:textFill>
              </w:rPr>
              <w:t>|||</w:t>
            </w:r>
            <w:r w:rsidRPr="001F54E0">
              <w:rPr>
                <w:rFonts w:ascii="Arial Narrow" w:eastAsiaTheme="majorEastAsia" w:hAnsi="Arial Narrow" w:cstheme="majorBidi"/>
                <w:b/>
                <w:color w:val="000000"/>
                <w:spacing w:val="3"/>
                <w:sz w:val="20"/>
                <w:shd w:val="solid" w:color="000000" w:fill="000000"/>
                <w:fitText w:val="360" w:id="-761018611"/>
                <w14:textFill>
                  <w14:solidFill>
                    <w14:srgbClr w14:val="000000">
                      <w14:alpha w14:val="100000"/>
                    </w14:srgbClr>
                  </w14:solidFill>
                </w14:textFill>
              </w:rPr>
              <w:t>|</w:t>
            </w:r>
            <w:r w:rsidR="00A20C63" w:rsidRPr="00450C49">
              <w:rPr>
                <w:rFonts w:ascii="Arial Narrow" w:eastAsiaTheme="majorEastAsia" w:hAnsi="Arial Narrow" w:cstheme="majorBidi"/>
                <w:bCs/>
                <w:sz w:val="20"/>
                <w:vertAlign w:val="superscript"/>
              </w:rPr>
              <w:t>12</w:t>
            </w:r>
          </w:p>
        </w:tc>
      </w:tr>
      <w:tr w:rsidR="005018B2" w:rsidRPr="00E273AF" w14:paraId="787FC050" w14:textId="77777777" w:rsidTr="005E4D14">
        <w:trPr>
          <w:cantSplit/>
        </w:trPr>
        <w:tc>
          <w:tcPr>
            <w:tcW w:w="9017" w:type="dxa"/>
            <w:gridSpan w:val="7"/>
          </w:tcPr>
          <w:p w14:paraId="461D98E7" w14:textId="79ADF38F" w:rsidR="005018B2" w:rsidRPr="00C11145" w:rsidRDefault="005018B2" w:rsidP="00747AFC">
            <w:pPr>
              <w:keepLines/>
              <w:jc w:val="left"/>
              <w:rPr>
                <w:rFonts w:ascii="Arial Narrow" w:eastAsiaTheme="majorEastAsia" w:hAnsi="Arial Narrow" w:cstheme="majorBidi"/>
                <w:b/>
                <w:sz w:val="20"/>
              </w:rPr>
            </w:pPr>
            <w:r>
              <w:rPr>
                <w:rFonts w:ascii="Arial Narrow" w:eastAsiaTheme="majorEastAsia" w:hAnsi="Arial Narrow" w:cstheme="majorBidi"/>
                <w:b/>
                <w:sz w:val="20"/>
              </w:rPr>
              <w:t>Pre-PBAC response</w:t>
            </w:r>
          </w:p>
        </w:tc>
      </w:tr>
      <w:tr w:rsidR="005018B2" w:rsidRPr="00E273AF" w14:paraId="681096B9" w14:textId="77777777" w:rsidTr="00AC05F2">
        <w:trPr>
          <w:cantSplit/>
        </w:trPr>
        <w:tc>
          <w:tcPr>
            <w:tcW w:w="3823" w:type="dxa"/>
            <w:tcBorders>
              <w:bottom w:val="single" w:sz="4" w:space="0" w:color="auto"/>
            </w:tcBorders>
          </w:tcPr>
          <w:p w14:paraId="20D6479F" w14:textId="260959A0" w:rsidR="005018B2" w:rsidRPr="005018B2" w:rsidRDefault="005018B2" w:rsidP="005018B2">
            <w:pPr>
              <w:keepLines/>
              <w:jc w:val="left"/>
              <w:rPr>
                <w:rFonts w:ascii="Arial Narrow" w:eastAsiaTheme="majorEastAsia" w:hAnsi="Arial Narrow" w:cstheme="majorBidi"/>
                <w:bCs/>
                <w:sz w:val="20"/>
              </w:rPr>
            </w:pPr>
            <w:r w:rsidRPr="005018B2">
              <w:rPr>
                <w:rFonts w:ascii="Arial Narrow" w:eastAsiaTheme="majorEastAsia" w:hAnsi="Arial Narrow" w:cstheme="majorBidi"/>
                <w:bCs/>
                <w:sz w:val="20"/>
              </w:rPr>
              <w:t>Net cost to PBS/</w:t>
            </w:r>
            <w:proofErr w:type="spellStart"/>
            <w:r w:rsidRPr="005018B2">
              <w:rPr>
                <w:rFonts w:ascii="Arial Narrow" w:eastAsiaTheme="majorEastAsia" w:hAnsi="Arial Narrow" w:cstheme="majorBidi"/>
                <w:bCs/>
                <w:sz w:val="20"/>
              </w:rPr>
              <w:t>RPBS</w:t>
            </w:r>
            <w:r w:rsidR="00364045" w:rsidRPr="00364045">
              <w:rPr>
                <w:rFonts w:ascii="Arial Narrow" w:eastAsiaTheme="majorEastAsia" w:hAnsi="Arial Narrow" w:cstheme="majorBidi"/>
                <w:bCs/>
                <w:sz w:val="20"/>
                <w:vertAlign w:val="superscript"/>
              </w:rPr>
              <w:t>h</w:t>
            </w:r>
            <w:proofErr w:type="spellEnd"/>
          </w:p>
        </w:tc>
        <w:tc>
          <w:tcPr>
            <w:tcW w:w="850" w:type="dxa"/>
            <w:tcBorders>
              <w:bottom w:val="single" w:sz="4" w:space="0" w:color="auto"/>
            </w:tcBorders>
          </w:tcPr>
          <w:p w14:paraId="57866CB0" w14:textId="514C157E" w:rsidR="005018B2" w:rsidRPr="00E36DB9" w:rsidRDefault="001F54E0" w:rsidP="005018B2">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10"/>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10"/>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1" w:type="dxa"/>
            <w:tcBorders>
              <w:bottom w:val="single" w:sz="4" w:space="0" w:color="auto"/>
            </w:tcBorders>
          </w:tcPr>
          <w:p w14:paraId="5B04722E" w14:textId="0DF98378" w:rsidR="005018B2" w:rsidRPr="00E36DB9" w:rsidRDefault="001F54E0" w:rsidP="005018B2">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09"/>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09"/>
                <w14:textFill>
                  <w14:solidFill>
                    <w14:srgbClr w14:val="000000">
                      <w14:alpha w14:val="100000"/>
                    </w14:srgbClr>
                  </w14:solidFill>
                </w14:textFill>
              </w:rPr>
              <w:t>|</w:t>
            </w:r>
            <w:r w:rsidR="00E16A1D" w:rsidRPr="00450C49">
              <w:rPr>
                <w:rFonts w:ascii="Arial Narrow" w:hAnsi="Arial Narrow"/>
                <w:color w:val="000000"/>
                <w:sz w:val="20"/>
                <w:szCs w:val="20"/>
                <w:vertAlign w:val="superscript"/>
              </w:rPr>
              <w:t>11</w:t>
            </w:r>
          </w:p>
        </w:tc>
        <w:tc>
          <w:tcPr>
            <w:tcW w:w="850" w:type="dxa"/>
            <w:tcBorders>
              <w:bottom w:val="single" w:sz="4" w:space="0" w:color="auto"/>
            </w:tcBorders>
          </w:tcPr>
          <w:p w14:paraId="549D2B2C" w14:textId="09CC7554" w:rsidR="005018B2" w:rsidRPr="00E36DB9" w:rsidRDefault="001F54E0" w:rsidP="005018B2">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08"/>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08"/>
                <w14:textFill>
                  <w14:solidFill>
                    <w14:srgbClr w14:val="000000">
                      <w14:alpha w14:val="100000"/>
                    </w14:srgbClr>
                  </w14:solidFill>
                </w14:textFill>
              </w:rPr>
              <w:t>|</w:t>
            </w:r>
            <w:r w:rsidR="00A20C63" w:rsidRPr="00450C49">
              <w:rPr>
                <w:rFonts w:ascii="Arial Narrow" w:eastAsiaTheme="majorEastAsia" w:hAnsi="Arial Narrow" w:cstheme="majorBidi"/>
                <w:bCs/>
                <w:sz w:val="20"/>
                <w:vertAlign w:val="superscript"/>
              </w:rPr>
              <w:t>12</w:t>
            </w:r>
          </w:p>
        </w:tc>
        <w:tc>
          <w:tcPr>
            <w:tcW w:w="851" w:type="dxa"/>
            <w:tcBorders>
              <w:bottom w:val="single" w:sz="4" w:space="0" w:color="auto"/>
            </w:tcBorders>
          </w:tcPr>
          <w:p w14:paraId="2C8E165F" w14:textId="280DE38B" w:rsidR="005018B2" w:rsidRPr="00E36DB9" w:rsidRDefault="001F54E0" w:rsidP="005018B2">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24"/>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24"/>
                <w14:textFill>
                  <w14:solidFill>
                    <w14:srgbClr w14:val="000000">
                      <w14:alpha w14:val="100000"/>
                    </w14:srgbClr>
                  </w14:solidFill>
                </w14:textFill>
              </w:rPr>
              <w:t>|</w:t>
            </w:r>
            <w:r w:rsidR="00A20C63" w:rsidRPr="00450C49">
              <w:rPr>
                <w:rFonts w:ascii="Arial Narrow" w:eastAsiaTheme="majorEastAsia" w:hAnsi="Arial Narrow" w:cstheme="majorBidi"/>
                <w:bCs/>
                <w:sz w:val="20"/>
                <w:vertAlign w:val="superscript"/>
              </w:rPr>
              <w:t>12</w:t>
            </w:r>
          </w:p>
        </w:tc>
        <w:tc>
          <w:tcPr>
            <w:tcW w:w="850" w:type="dxa"/>
            <w:tcBorders>
              <w:bottom w:val="single" w:sz="4" w:space="0" w:color="auto"/>
            </w:tcBorders>
          </w:tcPr>
          <w:p w14:paraId="61FCF6C1" w14:textId="77A5C3EA" w:rsidR="005018B2" w:rsidRPr="00E36DB9" w:rsidRDefault="001F54E0" w:rsidP="005018B2">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23"/>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23"/>
                <w14:textFill>
                  <w14:solidFill>
                    <w14:srgbClr w14:val="000000">
                      <w14:alpha w14:val="100000"/>
                    </w14:srgbClr>
                  </w14:solidFill>
                </w14:textFill>
              </w:rPr>
              <w:t>|</w:t>
            </w:r>
            <w:r w:rsidR="00A20C63" w:rsidRPr="00450C49">
              <w:rPr>
                <w:rFonts w:ascii="Arial Narrow" w:eastAsiaTheme="majorEastAsia" w:hAnsi="Arial Narrow" w:cstheme="majorBidi"/>
                <w:bCs/>
                <w:sz w:val="20"/>
                <w:vertAlign w:val="superscript"/>
              </w:rPr>
              <w:t>12</w:t>
            </w:r>
          </w:p>
        </w:tc>
        <w:tc>
          <w:tcPr>
            <w:tcW w:w="942" w:type="dxa"/>
            <w:tcBorders>
              <w:bottom w:val="single" w:sz="4" w:space="0" w:color="auto"/>
            </w:tcBorders>
          </w:tcPr>
          <w:p w14:paraId="40932573" w14:textId="6B052667" w:rsidR="005018B2" w:rsidRPr="00E36DB9" w:rsidRDefault="001F54E0" w:rsidP="005018B2">
            <w:pPr>
              <w:keepLines/>
              <w:jc w:val="left"/>
              <w:rPr>
                <w:rFonts w:ascii="Arial Narrow" w:eastAsiaTheme="majorEastAsia" w:hAnsi="Arial Narrow" w:cstheme="majorBidi"/>
                <w:bCs/>
                <w:sz w:val="20"/>
                <w:highlight w:val="darkGray"/>
              </w:rPr>
            </w:pPr>
            <w:r w:rsidRPr="001F54E0">
              <w:rPr>
                <w:rFonts w:ascii="Arial Narrow" w:eastAsiaTheme="majorEastAsia" w:hAnsi="Arial Narrow" w:cstheme="majorBidi"/>
                <w:bCs/>
                <w:color w:val="000000"/>
                <w:spacing w:val="56"/>
                <w:sz w:val="20"/>
                <w:shd w:val="solid" w:color="000000" w:fill="000000"/>
                <w:fitText w:val="340" w:id="-761018622"/>
                <w14:textFill>
                  <w14:solidFill>
                    <w14:srgbClr w14:val="000000">
                      <w14:alpha w14:val="100000"/>
                    </w14:srgbClr>
                  </w14:solidFill>
                </w14:textFill>
              </w:rPr>
              <w:t>|||</w:t>
            </w:r>
            <w:r w:rsidRPr="001F54E0">
              <w:rPr>
                <w:rFonts w:ascii="Arial Narrow" w:eastAsiaTheme="majorEastAsia" w:hAnsi="Arial Narrow" w:cstheme="majorBidi"/>
                <w:bCs/>
                <w:color w:val="000000"/>
                <w:spacing w:val="2"/>
                <w:sz w:val="20"/>
                <w:shd w:val="solid" w:color="000000" w:fill="000000"/>
                <w:fitText w:val="340" w:id="-761018622"/>
                <w14:textFill>
                  <w14:solidFill>
                    <w14:srgbClr w14:val="000000">
                      <w14:alpha w14:val="100000"/>
                    </w14:srgbClr>
                  </w14:solidFill>
                </w14:textFill>
              </w:rPr>
              <w:t>|</w:t>
            </w:r>
            <w:r w:rsidR="00A20C63" w:rsidRPr="00450C49">
              <w:rPr>
                <w:rFonts w:ascii="Arial Narrow" w:eastAsiaTheme="majorEastAsia" w:hAnsi="Arial Narrow" w:cstheme="majorBidi"/>
                <w:bCs/>
                <w:sz w:val="20"/>
                <w:vertAlign w:val="superscript"/>
              </w:rPr>
              <w:t>12</w:t>
            </w:r>
          </w:p>
        </w:tc>
      </w:tr>
    </w:tbl>
    <w:p w14:paraId="731B833D" w14:textId="00F52A4E" w:rsidR="008D40C6" w:rsidRPr="00E273AF" w:rsidRDefault="008D40C6" w:rsidP="00AF450C">
      <w:pPr>
        <w:keepLines/>
        <w:spacing w:after="120"/>
        <w:contextualSpacing/>
        <w:rPr>
          <w:rFonts w:ascii="Arial Narrow" w:hAnsi="Arial Narrow"/>
          <w:snapToGrid w:val="0"/>
          <w:sz w:val="18"/>
          <w:szCs w:val="22"/>
        </w:rPr>
      </w:pPr>
      <w:r w:rsidRPr="00E273AF">
        <w:rPr>
          <w:rFonts w:ascii="Arial Narrow" w:hAnsi="Arial Narrow"/>
          <w:snapToGrid w:val="0"/>
          <w:sz w:val="18"/>
          <w:szCs w:val="22"/>
        </w:rPr>
        <w:t>Source: compiled during the evaluation from the “Attachment 4.1 EV and PEM budget impact model” workbook included in the submission</w:t>
      </w:r>
      <w:r w:rsidR="001B4340">
        <w:rPr>
          <w:rFonts w:ascii="Arial Narrow" w:hAnsi="Arial Narrow"/>
          <w:snapToGrid w:val="0"/>
          <w:sz w:val="18"/>
          <w:szCs w:val="22"/>
        </w:rPr>
        <w:t xml:space="preserve"> and from Table 2 pre-PBAC response</w:t>
      </w:r>
    </w:p>
    <w:p w14:paraId="0186B54C" w14:textId="77777777" w:rsidR="008D40C6" w:rsidRDefault="008D40C6" w:rsidP="00AF450C">
      <w:pPr>
        <w:keepLines/>
        <w:spacing w:after="120"/>
        <w:contextualSpacing/>
        <w:rPr>
          <w:rFonts w:ascii="Arial Narrow" w:hAnsi="Arial Narrow"/>
          <w:snapToGrid w:val="0"/>
          <w:sz w:val="18"/>
          <w:szCs w:val="22"/>
        </w:rPr>
      </w:pPr>
      <w:r>
        <w:rPr>
          <w:rFonts w:ascii="Arial Narrow" w:hAnsi="Arial Narrow"/>
          <w:snapToGrid w:val="0"/>
          <w:sz w:val="18"/>
          <w:szCs w:val="22"/>
        </w:rPr>
        <w:t xml:space="preserve">1L = First-line; 2L = Second-line; 3L = Third-line; copays = copayments; </w:t>
      </w:r>
      <w:r w:rsidRPr="00E273AF">
        <w:rPr>
          <w:rFonts w:ascii="Arial Narrow" w:hAnsi="Arial Narrow"/>
          <w:snapToGrid w:val="0"/>
          <w:sz w:val="18"/>
          <w:szCs w:val="22"/>
        </w:rPr>
        <w:t xml:space="preserve">EV = Enfortumab vedotin; MBS = Medicare Benefits Schedule; PBS = Pharmaceutical Benefits Scheme; </w:t>
      </w:r>
      <w:r>
        <w:rPr>
          <w:rFonts w:ascii="Arial Narrow" w:hAnsi="Arial Narrow"/>
          <w:snapToGrid w:val="0"/>
          <w:sz w:val="18"/>
          <w:szCs w:val="22"/>
        </w:rPr>
        <w:t xml:space="preserve">PDC = Platinum-doublet chemotherapy; </w:t>
      </w:r>
      <w:r w:rsidRPr="00E273AF">
        <w:rPr>
          <w:rFonts w:ascii="Arial Narrow" w:hAnsi="Arial Narrow"/>
          <w:snapToGrid w:val="0"/>
          <w:sz w:val="18"/>
          <w:szCs w:val="22"/>
        </w:rPr>
        <w:t>PEM = Pembrolizumab; RPBS = Repatriation Schedule of Pharmaceutical Benefits</w:t>
      </w:r>
    </w:p>
    <w:p w14:paraId="30B6E45C" w14:textId="72C61F42" w:rsidR="00220A03" w:rsidRPr="00220A03" w:rsidRDefault="008D40C6" w:rsidP="00AF450C">
      <w:pPr>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t xml:space="preserve">a </w:t>
      </w:r>
      <w:r w:rsidR="00220A03">
        <w:rPr>
          <w:rFonts w:ascii="Arial Narrow" w:hAnsi="Arial Narrow"/>
          <w:snapToGrid w:val="0"/>
          <w:sz w:val="18"/>
          <w:szCs w:val="22"/>
        </w:rPr>
        <w:t>Included 9 grandfathered patient</w:t>
      </w:r>
      <w:r w:rsidR="00226C1F">
        <w:rPr>
          <w:rFonts w:ascii="Arial Narrow" w:hAnsi="Arial Narrow"/>
          <w:snapToGrid w:val="0"/>
          <w:sz w:val="18"/>
          <w:szCs w:val="22"/>
        </w:rPr>
        <w:t xml:space="preserve"> years of treatment</w:t>
      </w:r>
      <w:r w:rsidR="00220A03">
        <w:rPr>
          <w:rFonts w:ascii="Arial Narrow" w:hAnsi="Arial Narrow"/>
          <w:snapToGrid w:val="0"/>
          <w:sz w:val="18"/>
          <w:szCs w:val="22"/>
        </w:rPr>
        <w:t xml:space="preserve"> in year 1.</w:t>
      </w:r>
    </w:p>
    <w:p w14:paraId="6E763782" w14:textId="208A7367" w:rsidR="00220A03" w:rsidRDefault="008D40C6" w:rsidP="00AF450C">
      <w:pPr>
        <w:keepLines/>
        <w:spacing w:after="120"/>
        <w:contextualSpacing/>
        <w:rPr>
          <w:rFonts w:ascii="Arial Narrow" w:hAnsi="Arial Narrow"/>
          <w:snapToGrid w:val="0"/>
          <w:sz w:val="18"/>
          <w:szCs w:val="22"/>
          <w:vertAlign w:val="superscript"/>
        </w:rPr>
      </w:pPr>
      <w:r>
        <w:rPr>
          <w:rFonts w:ascii="Arial Narrow" w:hAnsi="Arial Narrow"/>
          <w:snapToGrid w:val="0"/>
          <w:sz w:val="18"/>
          <w:szCs w:val="22"/>
          <w:vertAlign w:val="superscript"/>
        </w:rPr>
        <w:t xml:space="preserve">b </w:t>
      </w:r>
      <w:r w:rsidR="00220A03">
        <w:rPr>
          <w:rFonts w:ascii="Arial Narrow" w:hAnsi="Arial Narrow"/>
          <w:snapToGrid w:val="0"/>
          <w:sz w:val="18"/>
          <w:szCs w:val="22"/>
        </w:rPr>
        <w:t>Included 7 grandfathered patient</w:t>
      </w:r>
      <w:r w:rsidR="00226C1F">
        <w:rPr>
          <w:rFonts w:ascii="Arial Narrow" w:hAnsi="Arial Narrow"/>
          <w:snapToGrid w:val="0"/>
          <w:sz w:val="18"/>
          <w:szCs w:val="22"/>
        </w:rPr>
        <w:t xml:space="preserve"> years of treatment</w:t>
      </w:r>
      <w:r w:rsidR="00220A03">
        <w:rPr>
          <w:rFonts w:ascii="Arial Narrow" w:hAnsi="Arial Narrow"/>
          <w:snapToGrid w:val="0"/>
          <w:sz w:val="18"/>
          <w:szCs w:val="22"/>
        </w:rPr>
        <w:t xml:space="preserve"> in year 1.</w:t>
      </w:r>
    </w:p>
    <w:p w14:paraId="0E28C60C" w14:textId="59FD3456" w:rsidR="00220A03" w:rsidRPr="00B52FBB" w:rsidRDefault="00220A03" w:rsidP="00AF450C">
      <w:pPr>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t xml:space="preserve">c </w:t>
      </w:r>
      <w:r>
        <w:rPr>
          <w:rFonts w:ascii="Arial Narrow" w:hAnsi="Arial Narrow"/>
          <w:snapToGrid w:val="0"/>
          <w:sz w:val="18"/>
          <w:szCs w:val="22"/>
        </w:rPr>
        <w:t>Based on scripts per treatment year of 27.86 per patient.</w:t>
      </w:r>
    </w:p>
    <w:p w14:paraId="3812907E" w14:textId="630EC5F9" w:rsidR="008D40C6" w:rsidRDefault="00220A03" w:rsidP="00AF450C">
      <w:pPr>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lastRenderedPageBreak/>
        <w:t xml:space="preserve">d </w:t>
      </w:r>
      <w:r w:rsidR="008D40C6">
        <w:rPr>
          <w:rFonts w:ascii="Arial Narrow" w:hAnsi="Arial Narrow"/>
          <w:snapToGrid w:val="0"/>
          <w:sz w:val="18"/>
          <w:szCs w:val="22"/>
        </w:rPr>
        <w:t>Based on scripts per treatment year of 16.05 per patient</w:t>
      </w:r>
      <w:r>
        <w:rPr>
          <w:rFonts w:ascii="Arial Narrow" w:hAnsi="Arial Narrow"/>
          <w:snapToGrid w:val="0"/>
          <w:sz w:val="18"/>
          <w:szCs w:val="22"/>
        </w:rPr>
        <w:t>.</w:t>
      </w:r>
    </w:p>
    <w:p w14:paraId="3B3E0B47" w14:textId="5D77FA95" w:rsidR="008D40C6" w:rsidRPr="00D45FD3" w:rsidRDefault="00220A03" w:rsidP="00AF450C">
      <w:pPr>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t>e</w:t>
      </w:r>
      <w:r w:rsidR="008D40C6">
        <w:rPr>
          <w:rFonts w:ascii="Arial Narrow" w:hAnsi="Arial Narrow"/>
          <w:snapToGrid w:val="0"/>
          <w:sz w:val="18"/>
          <w:szCs w:val="22"/>
          <w:vertAlign w:val="superscript"/>
        </w:rPr>
        <w:t xml:space="preserve"> </w:t>
      </w:r>
      <w:r w:rsidR="008D40C6">
        <w:rPr>
          <w:rFonts w:ascii="Arial Narrow" w:hAnsi="Arial Narrow"/>
          <w:snapToGrid w:val="0"/>
          <w:sz w:val="18"/>
          <w:szCs w:val="22"/>
        </w:rPr>
        <w:t xml:space="preserve">Based on scripts per treatment year of 15.91, 27.48, 17.39, 24.8, 16.06 and 31.35 for cisplatin, gemcitabine, carboplatin, avelumab, pembrolizumab and enfortumab vedotin, respectively. </w:t>
      </w:r>
    </w:p>
    <w:p w14:paraId="56436853" w14:textId="7A223DB7" w:rsidR="008D40C6" w:rsidRDefault="00220A03" w:rsidP="00AF450C">
      <w:pPr>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t>f</w:t>
      </w:r>
      <w:r w:rsidR="008D40C6">
        <w:rPr>
          <w:rFonts w:ascii="Arial Narrow" w:hAnsi="Arial Narrow"/>
          <w:snapToGrid w:val="0"/>
          <w:sz w:val="18"/>
          <w:szCs w:val="22"/>
          <w:vertAlign w:val="superscript"/>
        </w:rPr>
        <w:t xml:space="preserve"> </w:t>
      </w:r>
      <w:r w:rsidR="008D40C6">
        <w:rPr>
          <w:rFonts w:ascii="Arial Narrow" w:hAnsi="Arial Narrow"/>
          <w:snapToGrid w:val="0"/>
          <w:sz w:val="18"/>
          <w:szCs w:val="22"/>
        </w:rPr>
        <w:t xml:space="preserve">Revised estimates are based on the correct cost for cisplatin ($177.14) and gemcitabine ($191.38), based on the efficient combination of vials. </w:t>
      </w:r>
    </w:p>
    <w:p w14:paraId="73062791" w14:textId="6C8AAA8B" w:rsidR="008D40C6" w:rsidRDefault="00220A03" w:rsidP="00AF450C">
      <w:pPr>
        <w:keepLines/>
        <w:spacing w:after="120"/>
        <w:contextualSpacing/>
        <w:rPr>
          <w:rFonts w:ascii="Arial Narrow" w:hAnsi="Arial Narrow"/>
          <w:snapToGrid w:val="0"/>
          <w:sz w:val="18"/>
          <w:szCs w:val="22"/>
        </w:rPr>
      </w:pPr>
      <w:r>
        <w:rPr>
          <w:rFonts w:ascii="Arial Narrow" w:hAnsi="Arial Narrow"/>
          <w:snapToGrid w:val="0"/>
          <w:sz w:val="18"/>
          <w:szCs w:val="22"/>
          <w:vertAlign w:val="superscript"/>
        </w:rPr>
        <w:t>g</w:t>
      </w:r>
      <w:r w:rsidR="008D40C6">
        <w:rPr>
          <w:rFonts w:ascii="Arial Narrow" w:hAnsi="Arial Narrow"/>
          <w:snapToGrid w:val="0"/>
          <w:sz w:val="18"/>
          <w:szCs w:val="22"/>
          <w:vertAlign w:val="superscript"/>
        </w:rPr>
        <w:t xml:space="preserve"> </w:t>
      </w:r>
      <w:r w:rsidR="008D40C6">
        <w:rPr>
          <w:rFonts w:ascii="Arial Narrow" w:hAnsi="Arial Narrow"/>
          <w:snapToGrid w:val="0"/>
          <w:sz w:val="18"/>
          <w:szCs w:val="22"/>
        </w:rPr>
        <w:t>Calculated during the evaluation for all drugs administered intravenously using MBS item 13950 ($123.05, 80% benefit)</w:t>
      </w:r>
      <w:r>
        <w:rPr>
          <w:rFonts w:ascii="Arial Narrow" w:hAnsi="Arial Narrow"/>
          <w:snapToGrid w:val="0"/>
          <w:sz w:val="18"/>
          <w:szCs w:val="22"/>
        </w:rPr>
        <w:t xml:space="preserve">. </w:t>
      </w:r>
    </w:p>
    <w:p w14:paraId="5148ED66" w14:textId="77777777" w:rsidR="00F84C24" w:rsidRDefault="00364045" w:rsidP="00AF450C">
      <w:pPr>
        <w:keepLines/>
        <w:spacing w:after="120"/>
        <w:contextualSpacing/>
      </w:pPr>
      <w:r>
        <w:rPr>
          <w:rFonts w:ascii="Arial Narrow" w:hAnsi="Arial Narrow"/>
          <w:snapToGrid w:val="0"/>
          <w:sz w:val="18"/>
          <w:szCs w:val="22"/>
          <w:vertAlign w:val="superscript"/>
        </w:rPr>
        <w:t>h</w:t>
      </w:r>
      <w:r w:rsidRPr="00364045">
        <w:rPr>
          <w:rFonts w:ascii="Arial Narrow" w:hAnsi="Arial Narrow"/>
          <w:snapToGrid w:val="0"/>
          <w:sz w:val="18"/>
          <w:szCs w:val="22"/>
          <w:vertAlign w:val="superscript"/>
        </w:rPr>
        <w:t xml:space="preserve"> </w:t>
      </w:r>
      <w:r w:rsidRPr="00364045">
        <w:rPr>
          <w:rFonts w:ascii="Arial Narrow" w:hAnsi="Arial Narrow"/>
          <w:snapToGrid w:val="0"/>
          <w:sz w:val="18"/>
          <w:szCs w:val="22"/>
        </w:rPr>
        <w:t>A revised financial estimates spreadsheet was not provided with the pre-PBAC response</w:t>
      </w:r>
      <w:r w:rsidR="00F84C24" w:rsidRPr="00F84C24">
        <w:t xml:space="preserve"> </w:t>
      </w:r>
    </w:p>
    <w:p w14:paraId="5D7D647C" w14:textId="27C1CFAD" w:rsidR="00F84C24" w:rsidRPr="00742E91" w:rsidRDefault="00F84C24" w:rsidP="00F84C24">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The redacted values correspond to the following ranges:</w:t>
      </w:r>
    </w:p>
    <w:p w14:paraId="1EB0756D" w14:textId="7D1BB6F3" w:rsidR="00F876D8" w:rsidRPr="00742E91" w:rsidRDefault="00F84C24" w:rsidP="00F84C24">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1</w:t>
      </w:r>
      <w:r w:rsidR="00DB397C" w:rsidRPr="00742E91">
        <w:rPr>
          <w:rFonts w:ascii="Arial Narrow" w:hAnsi="Arial Narrow"/>
          <w:i/>
          <w:iCs/>
          <w:snapToGrid w:val="0"/>
          <w:sz w:val="18"/>
          <w:szCs w:val="22"/>
        </w:rPr>
        <w:t xml:space="preserve"> </w:t>
      </w:r>
      <w:bookmarkStart w:id="69" w:name="_Hlk190350089"/>
      <w:r w:rsidR="00F876D8" w:rsidRPr="00742E91">
        <w:rPr>
          <w:rFonts w:ascii="Arial Narrow" w:hAnsi="Arial Narrow"/>
          <w:i/>
          <w:iCs/>
          <w:snapToGrid w:val="0"/>
          <w:sz w:val="18"/>
          <w:szCs w:val="22"/>
        </w:rPr>
        <w:t xml:space="preserve">500 to &lt; 5,000 </w:t>
      </w:r>
      <w:bookmarkEnd w:id="69"/>
    </w:p>
    <w:p w14:paraId="0D519DE2" w14:textId="77777777" w:rsidR="00F8156E" w:rsidRPr="00742E91" w:rsidRDefault="00F876D8" w:rsidP="00F8156E">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2</w:t>
      </w:r>
      <w:r w:rsidR="00F84C24" w:rsidRPr="00742E91">
        <w:rPr>
          <w:rFonts w:ascii="Arial Narrow" w:hAnsi="Arial Narrow"/>
          <w:i/>
          <w:iCs/>
          <w:snapToGrid w:val="0"/>
          <w:sz w:val="18"/>
          <w:szCs w:val="22"/>
        </w:rPr>
        <w:t xml:space="preserve"> &lt;500</w:t>
      </w:r>
      <w:r w:rsidR="00F8156E" w:rsidRPr="00742E91">
        <w:rPr>
          <w:rFonts w:ascii="Arial Narrow" w:hAnsi="Arial Narrow"/>
          <w:i/>
          <w:iCs/>
          <w:snapToGrid w:val="0"/>
          <w:sz w:val="18"/>
          <w:szCs w:val="22"/>
        </w:rPr>
        <w:t xml:space="preserve"> </w:t>
      </w:r>
    </w:p>
    <w:p w14:paraId="54564680" w14:textId="3FADE5B1" w:rsidR="00F8156E" w:rsidRPr="00742E91" w:rsidRDefault="00F8156E" w:rsidP="00F8156E">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3 30,000 to &lt; 40,000</w:t>
      </w:r>
    </w:p>
    <w:p w14:paraId="0CDB754B" w14:textId="394BFE34" w:rsidR="00F8156E" w:rsidRPr="00742E91" w:rsidRDefault="001A3A6B" w:rsidP="00F8156E">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 xml:space="preserve">4 </w:t>
      </w:r>
      <w:r w:rsidR="00F8156E" w:rsidRPr="00742E91">
        <w:rPr>
          <w:rFonts w:ascii="Arial Narrow" w:hAnsi="Arial Narrow"/>
          <w:i/>
          <w:iCs/>
          <w:snapToGrid w:val="0"/>
          <w:sz w:val="18"/>
          <w:szCs w:val="22"/>
        </w:rPr>
        <w:t>40,000 to &lt; 50,000</w:t>
      </w:r>
    </w:p>
    <w:p w14:paraId="03F40BD5" w14:textId="77777777" w:rsidR="00EC538C" w:rsidRPr="00742E91" w:rsidRDefault="001A3A6B" w:rsidP="00EC538C">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 xml:space="preserve">5 </w:t>
      </w:r>
      <w:r w:rsidR="00F8156E" w:rsidRPr="00742E91">
        <w:rPr>
          <w:rFonts w:ascii="Arial Narrow" w:hAnsi="Arial Narrow"/>
          <w:i/>
          <w:iCs/>
          <w:snapToGrid w:val="0"/>
          <w:sz w:val="18"/>
          <w:szCs w:val="22"/>
        </w:rPr>
        <w:t>50,000 to &lt; 60,000</w:t>
      </w:r>
      <w:r w:rsidR="00EC538C" w:rsidRPr="00742E91">
        <w:rPr>
          <w:rFonts w:ascii="Arial Narrow" w:hAnsi="Arial Narrow"/>
          <w:i/>
          <w:iCs/>
          <w:snapToGrid w:val="0"/>
          <w:sz w:val="18"/>
          <w:szCs w:val="22"/>
        </w:rPr>
        <w:t xml:space="preserve"> </w:t>
      </w:r>
    </w:p>
    <w:p w14:paraId="51A14A74" w14:textId="77777777" w:rsidR="00B82ACA" w:rsidRPr="00742E91" w:rsidRDefault="00B82ACA" w:rsidP="00B82ACA">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6 10,000 to &lt;20,000</w:t>
      </w:r>
    </w:p>
    <w:p w14:paraId="1ABE23E5" w14:textId="33B22240" w:rsidR="00B82ACA" w:rsidRPr="00742E91" w:rsidRDefault="00B82ACA" w:rsidP="00B82ACA">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7 $20 million to &lt;$30 million</w:t>
      </w:r>
    </w:p>
    <w:p w14:paraId="35673C1B" w14:textId="5684F812" w:rsidR="00EC538C" w:rsidRPr="00742E91" w:rsidRDefault="001243CD" w:rsidP="00EC538C">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8</w:t>
      </w:r>
      <w:r w:rsidR="00EC538C" w:rsidRPr="00742E91">
        <w:rPr>
          <w:rFonts w:ascii="Arial Narrow" w:hAnsi="Arial Narrow"/>
          <w:i/>
          <w:iCs/>
          <w:snapToGrid w:val="0"/>
          <w:sz w:val="18"/>
          <w:szCs w:val="22"/>
        </w:rPr>
        <w:t xml:space="preserve"> 60,000 to &lt; 70,000</w:t>
      </w:r>
    </w:p>
    <w:p w14:paraId="33C2FC1F" w14:textId="77777777" w:rsidR="0075061F" w:rsidRPr="00742E91" w:rsidRDefault="00871739" w:rsidP="00EC538C">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9</w:t>
      </w:r>
      <w:r w:rsidR="00605D8E" w:rsidRPr="00742E91">
        <w:rPr>
          <w:rFonts w:ascii="Arial Narrow" w:hAnsi="Arial Narrow"/>
          <w:i/>
          <w:iCs/>
          <w:snapToGrid w:val="0"/>
          <w:sz w:val="18"/>
          <w:szCs w:val="22"/>
        </w:rPr>
        <w:t xml:space="preserve"> </w:t>
      </w:r>
      <w:r w:rsidR="00EC538C" w:rsidRPr="00742E91">
        <w:rPr>
          <w:rFonts w:ascii="Arial Narrow" w:hAnsi="Arial Narrow"/>
          <w:i/>
          <w:iCs/>
          <w:snapToGrid w:val="0"/>
          <w:sz w:val="18"/>
          <w:szCs w:val="22"/>
        </w:rPr>
        <w:t>70,000 to &lt; 80,000</w:t>
      </w:r>
      <w:r w:rsidR="0075061F" w:rsidRPr="00742E91">
        <w:rPr>
          <w:rFonts w:ascii="Arial Narrow" w:hAnsi="Arial Narrow"/>
          <w:i/>
          <w:iCs/>
          <w:snapToGrid w:val="0"/>
          <w:sz w:val="18"/>
          <w:szCs w:val="22"/>
        </w:rPr>
        <w:t xml:space="preserve"> </w:t>
      </w:r>
    </w:p>
    <w:p w14:paraId="641EA501" w14:textId="77777777" w:rsidR="00EB091A" w:rsidRPr="00742E91" w:rsidRDefault="0075061F" w:rsidP="00EB091A">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10 $100 million to &lt; $200 million</w:t>
      </w:r>
      <w:r w:rsidR="00EB091A" w:rsidRPr="00742E91">
        <w:rPr>
          <w:rFonts w:ascii="Arial Narrow" w:hAnsi="Arial Narrow"/>
          <w:i/>
          <w:iCs/>
          <w:snapToGrid w:val="0"/>
          <w:sz w:val="18"/>
          <w:szCs w:val="22"/>
        </w:rPr>
        <w:t xml:space="preserve"> </w:t>
      </w:r>
    </w:p>
    <w:p w14:paraId="5EA6FFA4" w14:textId="3CAA161A" w:rsidR="00EB091A" w:rsidRPr="00742E91" w:rsidRDefault="00EB091A" w:rsidP="00EB091A">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11 $200 million to &lt; $300 million</w:t>
      </w:r>
    </w:p>
    <w:p w14:paraId="47AA1BF5" w14:textId="3E187CFD" w:rsidR="00EB091A" w:rsidRPr="00742E91" w:rsidRDefault="00A20C63" w:rsidP="00EB091A">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 xml:space="preserve">12 </w:t>
      </w:r>
      <w:r w:rsidR="00EB091A" w:rsidRPr="00742E91">
        <w:rPr>
          <w:rFonts w:ascii="Arial Narrow" w:hAnsi="Arial Narrow"/>
          <w:i/>
          <w:iCs/>
          <w:snapToGrid w:val="0"/>
          <w:sz w:val="18"/>
          <w:szCs w:val="22"/>
        </w:rPr>
        <w:t>$300 million to &lt; $400 million</w:t>
      </w:r>
    </w:p>
    <w:p w14:paraId="6FA8D392" w14:textId="77777777" w:rsidR="001D7151" w:rsidRPr="00742E91" w:rsidRDefault="00EE44E0" w:rsidP="001D7151">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 xml:space="preserve">13 </w:t>
      </w:r>
      <w:r w:rsidR="00EB091A" w:rsidRPr="00742E91">
        <w:rPr>
          <w:rFonts w:ascii="Arial Narrow" w:hAnsi="Arial Narrow"/>
          <w:i/>
          <w:iCs/>
          <w:snapToGrid w:val="0"/>
          <w:sz w:val="18"/>
          <w:szCs w:val="22"/>
        </w:rPr>
        <w:t>$400 million to &lt; $500 million</w:t>
      </w:r>
      <w:r w:rsidR="001D7151" w:rsidRPr="00742E91">
        <w:rPr>
          <w:rFonts w:ascii="Arial Narrow" w:hAnsi="Arial Narrow"/>
          <w:i/>
          <w:iCs/>
          <w:snapToGrid w:val="0"/>
          <w:sz w:val="18"/>
          <w:szCs w:val="22"/>
        </w:rPr>
        <w:t xml:space="preserve"> </w:t>
      </w:r>
    </w:p>
    <w:p w14:paraId="0A83C3E8" w14:textId="58B33FF1" w:rsidR="001D7151" w:rsidRPr="00742E91" w:rsidRDefault="001D7151" w:rsidP="001D7151">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14 $0 to &lt; $10 million</w:t>
      </w:r>
    </w:p>
    <w:p w14:paraId="5C717CDC" w14:textId="16E7F674" w:rsidR="00D8033E" w:rsidRPr="00742E91" w:rsidRDefault="00D8033E" w:rsidP="00D8033E">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15 $50 million to &lt; $60 million</w:t>
      </w:r>
    </w:p>
    <w:p w14:paraId="2429402E" w14:textId="2A7718F2" w:rsidR="00D8033E" w:rsidRPr="00742E91" w:rsidRDefault="005549E9" w:rsidP="00D8033E">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 xml:space="preserve">16 </w:t>
      </w:r>
      <w:r w:rsidR="00D8033E" w:rsidRPr="00742E91">
        <w:rPr>
          <w:rFonts w:ascii="Arial Narrow" w:hAnsi="Arial Narrow"/>
          <w:i/>
          <w:iCs/>
          <w:snapToGrid w:val="0"/>
          <w:sz w:val="18"/>
          <w:szCs w:val="22"/>
        </w:rPr>
        <w:t>$80 million to &lt; $90 million</w:t>
      </w:r>
    </w:p>
    <w:p w14:paraId="2730BF3F" w14:textId="27562431" w:rsidR="00FF60EA" w:rsidRPr="00742E91" w:rsidRDefault="00F111B4" w:rsidP="00D8033E">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 xml:space="preserve">17 </w:t>
      </w:r>
      <w:r w:rsidR="00D8033E" w:rsidRPr="00742E91">
        <w:rPr>
          <w:rFonts w:ascii="Arial Narrow" w:hAnsi="Arial Narrow"/>
          <w:i/>
          <w:iCs/>
          <w:snapToGrid w:val="0"/>
          <w:sz w:val="18"/>
          <w:szCs w:val="22"/>
        </w:rPr>
        <w:t>$90 million to &lt; $100 million</w:t>
      </w:r>
    </w:p>
    <w:p w14:paraId="29DD81BF" w14:textId="77777777" w:rsidR="00CF67DE" w:rsidRPr="00742E91" w:rsidRDefault="009B636E" w:rsidP="00D8033E">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 xml:space="preserve">18 </w:t>
      </w:r>
      <w:r w:rsidR="00FF60EA" w:rsidRPr="00742E91">
        <w:rPr>
          <w:rFonts w:ascii="Arial Narrow" w:hAnsi="Arial Narrow"/>
          <w:i/>
          <w:iCs/>
          <w:snapToGrid w:val="0"/>
          <w:sz w:val="18"/>
          <w:szCs w:val="22"/>
        </w:rPr>
        <w:t xml:space="preserve">$10 million to &lt; $20 million  </w:t>
      </w:r>
    </w:p>
    <w:p w14:paraId="6B091870" w14:textId="42E94A19" w:rsidR="00CF67DE" w:rsidRPr="00742E91" w:rsidRDefault="00CF67DE" w:rsidP="00D8033E">
      <w:pPr>
        <w:keepLines/>
        <w:spacing w:after="120"/>
        <w:contextualSpacing/>
        <w:jc w:val="left"/>
        <w:rPr>
          <w:rFonts w:ascii="Arial Narrow" w:hAnsi="Arial Narrow"/>
          <w:i/>
          <w:iCs/>
          <w:snapToGrid w:val="0"/>
          <w:sz w:val="18"/>
          <w:szCs w:val="22"/>
        </w:rPr>
      </w:pPr>
      <w:r w:rsidRPr="00742E91">
        <w:rPr>
          <w:rFonts w:ascii="Arial Narrow" w:hAnsi="Arial Narrow"/>
          <w:i/>
          <w:iCs/>
          <w:snapToGrid w:val="0"/>
          <w:sz w:val="18"/>
          <w:szCs w:val="22"/>
        </w:rPr>
        <w:t>19 $70 million to &lt; $80 million</w:t>
      </w:r>
    </w:p>
    <w:p w14:paraId="3273A2D0" w14:textId="7C31088F" w:rsidR="00C809D8" w:rsidRDefault="00C809D8" w:rsidP="008D40C6">
      <w:pPr>
        <w:pStyle w:val="3-BodyText"/>
      </w:pPr>
      <w:r>
        <w:t>Based on the published prices of EV and PEM</w:t>
      </w:r>
      <w:r w:rsidR="005920C5">
        <w:t xml:space="preserve"> </w:t>
      </w:r>
      <w:r w:rsidR="005920C5" w:rsidRPr="005920C5">
        <w:rPr>
          <w:i/>
          <w:iCs/>
        </w:rPr>
        <w:t>(</w:t>
      </w:r>
      <w:r w:rsidR="005920C5" w:rsidRPr="001D64F1">
        <w:t xml:space="preserve">i.e., resulting in an ICER of </w:t>
      </w:r>
      <w:r w:rsidR="002F4C7B" w:rsidRPr="002F4C7B">
        <w:t>$155,000 to &lt;</w:t>
      </w:r>
      <w:r w:rsidR="00AF450C">
        <w:t> </w:t>
      </w:r>
      <w:r w:rsidR="002F4C7B" w:rsidRPr="002F4C7B">
        <w:t>$255,000</w:t>
      </w:r>
      <w:r w:rsidR="00742E91">
        <w:t xml:space="preserve"> </w:t>
      </w:r>
      <w:r w:rsidR="005920C5" w:rsidRPr="001D64F1">
        <w:t>per QALY)</w:t>
      </w:r>
      <w:r>
        <w:t xml:space="preserve">, the cost of listing EV + PEM on the PBS/RBPS is estimated to be </w:t>
      </w:r>
      <w:r w:rsidR="000F63C2" w:rsidRPr="000F63C2">
        <w:t>$400</w:t>
      </w:r>
      <w:r w:rsidR="00742E91">
        <w:t> </w:t>
      </w:r>
      <w:r w:rsidR="000F63C2" w:rsidRPr="000F63C2">
        <w:t>million to &lt; $500 million</w:t>
      </w:r>
      <w:r w:rsidR="00742E91">
        <w:t xml:space="preserve"> </w:t>
      </w:r>
      <w:r>
        <w:t xml:space="preserve">in Year 6, and a total of </w:t>
      </w:r>
      <w:r w:rsidR="009B179D" w:rsidRPr="009B179D">
        <w:t>&gt; $1 billion</w:t>
      </w:r>
      <w:r w:rsidR="00742E91">
        <w:t xml:space="preserve"> </w:t>
      </w:r>
      <w:r>
        <w:t xml:space="preserve">the first 6 years of listing. Based on the </w:t>
      </w:r>
      <w:r w:rsidR="00DE02AD">
        <w:t xml:space="preserve">undiscounted </w:t>
      </w:r>
      <w:r>
        <w:t>cost per patient per course outlined in paragraph</w:t>
      </w:r>
      <w:r w:rsidR="00DE02AD">
        <w:t xml:space="preserve">s </w:t>
      </w:r>
      <w:r w:rsidR="00DE02AD">
        <w:fldChar w:fldCharType="begin" w:fldLock="1"/>
      </w:r>
      <w:r w:rsidR="00DE02AD">
        <w:instrText xml:space="preserve"> REF _Ref177503110 \r \h </w:instrText>
      </w:r>
      <w:r w:rsidR="00DE02AD">
        <w:fldChar w:fldCharType="separate"/>
      </w:r>
      <w:r w:rsidR="00FE0BD6">
        <w:t>6.57</w:t>
      </w:r>
      <w:r w:rsidR="00DE02AD">
        <w:fldChar w:fldCharType="end"/>
      </w:r>
      <w:r w:rsidR="00DE02AD">
        <w:t xml:space="preserve"> and</w:t>
      </w:r>
      <w:r>
        <w:t xml:space="preserve"> </w:t>
      </w:r>
      <w:r w:rsidRPr="005D3209">
        <w:fldChar w:fldCharType="begin" w:fldLock="1"/>
      </w:r>
      <w:r w:rsidRPr="005D3209">
        <w:instrText xml:space="preserve"> REF _Ref177502035 \r \h </w:instrText>
      </w:r>
      <w:r w:rsidR="005D3209" w:rsidRPr="005D3209">
        <w:instrText xml:space="preserve"> \* MERGEFORMAT </w:instrText>
      </w:r>
      <w:r w:rsidRPr="005D3209">
        <w:fldChar w:fldCharType="separate"/>
      </w:r>
      <w:r w:rsidR="00FE0BD6">
        <w:t>6.58</w:t>
      </w:r>
      <w:r w:rsidRPr="005D3209">
        <w:fldChar w:fldCharType="end"/>
      </w:r>
      <w:r w:rsidR="005920C5" w:rsidRPr="005D3209">
        <w:t xml:space="preserve"> (i.e, resulting in an ICER of </w:t>
      </w:r>
      <w:r w:rsidR="00FA3E4B" w:rsidRPr="00FA3E4B">
        <w:t>$75,000 to &lt; $95,000</w:t>
      </w:r>
      <w:r w:rsidR="00742E91">
        <w:t xml:space="preserve"> </w:t>
      </w:r>
      <w:r w:rsidR="005920C5" w:rsidRPr="005D3209">
        <w:t>per QALY)</w:t>
      </w:r>
      <w:r w:rsidRPr="005D3209">
        <w:t>,</w:t>
      </w:r>
      <w:r>
        <w:t xml:space="preserve"> the cost over 6 years would be approximately </w:t>
      </w:r>
      <w:r w:rsidR="00B521EE" w:rsidRPr="00B521EE">
        <w:t>&gt; $1 billion</w:t>
      </w:r>
      <w:r>
        <w:rPr>
          <w:rStyle w:val="FootnoteReference"/>
        </w:rPr>
        <w:footnoteReference w:id="33"/>
      </w:r>
      <w:r>
        <w:t>.</w:t>
      </w:r>
    </w:p>
    <w:p w14:paraId="4E28E9B3" w14:textId="576C958D" w:rsidR="008D40C6" w:rsidRPr="00C11145" w:rsidRDefault="008D40C6" w:rsidP="008D40C6">
      <w:pPr>
        <w:pStyle w:val="3-BodyText"/>
      </w:pPr>
      <w:r w:rsidRPr="00E273AF">
        <w:t xml:space="preserve">The total </w:t>
      </w:r>
      <w:r w:rsidR="00C809D8">
        <w:t xml:space="preserve">net </w:t>
      </w:r>
      <w:r w:rsidRPr="00E273AF">
        <w:t>cost to the PBS</w:t>
      </w:r>
      <w:r w:rsidRPr="005D3209">
        <w:t>/RPBS</w:t>
      </w:r>
      <w:r w:rsidR="00402B6E" w:rsidRPr="005D3209">
        <w:t xml:space="preserve"> and MBS</w:t>
      </w:r>
      <w:r w:rsidRPr="005D3209">
        <w:t xml:space="preserve"> of listing EV+PEM was estimated to be </w:t>
      </w:r>
      <w:r w:rsidR="00A75081" w:rsidRPr="00A75081">
        <w:t>$300</w:t>
      </w:r>
      <w:r w:rsidR="00742E91">
        <w:t> </w:t>
      </w:r>
      <w:r w:rsidR="00A75081" w:rsidRPr="00A75081">
        <w:t>million to &lt; $400 million</w:t>
      </w:r>
      <w:r w:rsidR="00742E91">
        <w:t xml:space="preserve"> </w:t>
      </w:r>
      <w:r w:rsidRPr="005D3209">
        <w:t xml:space="preserve">in Year 6, and a total of </w:t>
      </w:r>
      <w:r w:rsidR="00B521EE" w:rsidRPr="00B521EE">
        <w:t>&gt; $1 billion</w:t>
      </w:r>
      <w:r w:rsidR="00742E91">
        <w:t xml:space="preserve"> </w:t>
      </w:r>
      <w:r w:rsidRPr="005D3209">
        <w:t>in the first 6 years of listing, based on the published prices for the proposed, comparator and subsequent treatment drugs.</w:t>
      </w:r>
      <w:r w:rsidR="00D24DAF" w:rsidRPr="005D3209">
        <w:rPr>
          <w:color w:val="3366FF"/>
        </w:rPr>
        <w:t xml:space="preserve"> </w:t>
      </w:r>
      <w:r w:rsidR="009D5603" w:rsidRPr="005D3209">
        <w:t xml:space="preserve">The treatment durations of subsequent </w:t>
      </w:r>
      <w:r w:rsidR="00CB4811" w:rsidRPr="005D3209">
        <w:t>avelumab and third-line EV are longer than what has been previously accepted by the PBAC and as such</w:t>
      </w:r>
      <w:r w:rsidR="00CB4811">
        <w:rPr>
          <w:i/>
          <w:iCs/>
        </w:rPr>
        <w:t xml:space="preserve"> </w:t>
      </w:r>
      <w:r w:rsidRPr="00C11145">
        <w:t xml:space="preserve">the cost offsets may have been overestimated. Further, there is uncertainty regarding the proportions of patients who receive avelumab maintenance therapy and 2L PEM. Thus, the net cost to the PBS/RPBS, as estimated in the submission, is largely uncertain. </w:t>
      </w:r>
    </w:p>
    <w:p w14:paraId="5A5DACA3" w14:textId="6770D166" w:rsidR="00FD42A9" w:rsidRPr="006E7448" w:rsidRDefault="008D40C6" w:rsidP="006E7448">
      <w:pPr>
        <w:pStyle w:val="3-BodyText"/>
        <w:rPr>
          <w:snapToGrid w:val="0"/>
        </w:rPr>
      </w:pPr>
      <w:bookmarkStart w:id="70" w:name="_Ref180163506"/>
      <w:bookmarkStart w:id="71" w:name="_Ref179707468"/>
      <w:r w:rsidRPr="00E273AF">
        <w:rPr>
          <w:snapToGrid w:val="0"/>
        </w:rPr>
        <w:t xml:space="preserve">The financial estimations were highly sensitive to several inputs that were identified as areas of uncertainty during the evaluation. </w:t>
      </w:r>
      <w:r w:rsidRPr="00C11145">
        <w:rPr>
          <w:snapToGrid w:val="0"/>
        </w:rPr>
        <w:t xml:space="preserve">In addition to the sensitivity analyses presented in the submission, alternate treatment durations for avelumab maintenance therapy and third-line EV, as well as alternate credible values for progression rates of carcinoma in situs and localised disease for each cancer type were </w:t>
      </w:r>
      <w:r w:rsidRPr="00C11145">
        <w:rPr>
          <w:snapToGrid w:val="0"/>
        </w:rPr>
        <w:lastRenderedPageBreak/>
        <w:t>identified during the evaluation</w:t>
      </w:r>
      <w:r w:rsidR="001A6405">
        <w:rPr>
          <w:snapToGrid w:val="0"/>
        </w:rPr>
        <w:t xml:space="preserve"> (</w:t>
      </w:r>
      <w:r w:rsidR="001A6405" w:rsidRPr="00E273AF">
        <w:rPr>
          <w:snapToGrid w:val="0"/>
        </w:rPr>
        <w:fldChar w:fldCharType="begin" w:fldLock="1"/>
      </w:r>
      <w:r w:rsidR="001A6405" w:rsidRPr="00E273AF">
        <w:rPr>
          <w:snapToGrid w:val="0"/>
        </w:rPr>
        <w:instrText xml:space="preserve"> REF _Ref174025576 \h  \* MERGEFORMAT </w:instrText>
      </w:r>
      <w:r w:rsidR="001A6405" w:rsidRPr="00E273AF">
        <w:rPr>
          <w:snapToGrid w:val="0"/>
        </w:rPr>
      </w:r>
      <w:r w:rsidR="001A6405" w:rsidRPr="00E273AF">
        <w:rPr>
          <w:snapToGrid w:val="0"/>
        </w:rPr>
        <w:fldChar w:fldCharType="separate"/>
      </w:r>
      <w:r w:rsidR="00FE0BD6" w:rsidRPr="00FE0BD6">
        <w:t xml:space="preserve">Table </w:t>
      </w:r>
      <w:r w:rsidR="00FE0BD6" w:rsidRPr="00FE0BD6">
        <w:rPr>
          <w:noProof/>
        </w:rPr>
        <w:t>18</w:t>
      </w:r>
      <w:r w:rsidR="001A6405" w:rsidRPr="00E273AF">
        <w:rPr>
          <w:snapToGrid w:val="0"/>
        </w:rPr>
        <w:fldChar w:fldCharType="end"/>
      </w:r>
      <w:r w:rsidR="001A6405">
        <w:rPr>
          <w:snapToGrid w:val="0"/>
        </w:rPr>
        <w:t>)</w:t>
      </w:r>
      <w:r w:rsidRPr="00C11145">
        <w:rPr>
          <w:snapToGrid w:val="0"/>
        </w:rPr>
        <w:t>. Further, the submission assumed that all patients who are eligible for treatment with EV+PEM would have otherwise received first-line chemotherapy. However, the DUSC has previously stated</w:t>
      </w:r>
      <w:r w:rsidRPr="00E273AF">
        <w:rPr>
          <w:i/>
          <w:iCs/>
          <w:snapToGrid w:val="0"/>
        </w:rPr>
        <w:t xml:space="preserve"> </w:t>
      </w:r>
      <w:r w:rsidRPr="00C11145">
        <w:rPr>
          <w:snapToGrid w:val="0"/>
        </w:rPr>
        <w:t>that 70% is a more reasonable estimate of eligibility for first-line chemotherapy</w:t>
      </w:r>
      <w:r w:rsidRPr="00C11145">
        <w:t xml:space="preserve"> while the PBAC noted that 90% likely reflected the upper end of use of 1L </w:t>
      </w:r>
      <w:r w:rsidR="007131AF">
        <w:t>p</w:t>
      </w:r>
      <w:r w:rsidR="000645C4">
        <w:t>latinum-</w:t>
      </w:r>
      <w:r w:rsidR="007131AF">
        <w:t>d</w:t>
      </w:r>
      <w:r w:rsidR="000645C4">
        <w:t>oublet chemotherapy (</w:t>
      </w:r>
      <w:r w:rsidRPr="00C11145">
        <w:t>PDC</w:t>
      </w:r>
      <w:r w:rsidR="000645C4">
        <w:t>)</w:t>
      </w:r>
      <w:r w:rsidRPr="00C11145">
        <w:t xml:space="preserve"> and that the proportion of patients who receive 1L PDC is uncertain</w:t>
      </w:r>
      <w:r w:rsidRPr="00C11145">
        <w:rPr>
          <w:snapToGrid w:val="0"/>
        </w:rPr>
        <w:t xml:space="preserve"> </w:t>
      </w:r>
      <w:r w:rsidRPr="00C11145">
        <w:t>(paragraph 6.67 and 7.11, Avelumab PSD, March 2021 PBAC meeting)</w:t>
      </w:r>
      <w:r w:rsidRPr="00C11145">
        <w:rPr>
          <w:snapToGrid w:val="0"/>
        </w:rPr>
        <w:t>.</w:t>
      </w:r>
      <w:r w:rsidRPr="00E273AF">
        <w:rPr>
          <w:i/>
          <w:iCs/>
          <w:snapToGrid w:val="0"/>
        </w:rPr>
        <w:t xml:space="preserve"> </w:t>
      </w:r>
      <w:r w:rsidR="001A6405" w:rsidRPr="005D3209">
        <w:t xml:space="preserve">The PSCR stated that patient eligibility for platinum-based chemotherapy is determined based on ECOG performance status and comorbidities with EV+PEM having fewer contraindications to treatment. As such, the PSCR argued that the higher estimate of 90% eligibility for treatment with EV+PEM, and consequently for the cost offsets associated with the first-line use of chemotherapy were justified. </w:t>
      </w:r>
      <w:r w:rsidR="002B5BE8" w:rsidRPr="005D3209">
        <w:t>The ESC noted the potential for differences in eligibility for treatment between EV+PEM and platinum-based chemotherapy due to contraindications and considered that, while 90% eligibility for EV+PEM might be reasonable, it may not be appropriate to assume all patients eligible for treatment with EV+PEM would otherwise have received platinum-based chemotherapy. The ESC considered that in terms of cost offsets it may be more appropriate to assume that 70% of all incident patients would otherwise have received platinum-based chemotherapy. The ESC noted this would impact on the cost offsets for AVEL, PEM and EV as they are used after PDC.</w:t>
      </w:r>
      <w:bookmarkEnd w:id="70"/>
      <w:r w:rsidR="002D4F26">
        <w:t xml:space="preserve"> The pre-PBAC response </w:t>
      </w:r>
      <w:r w:rsidR="00055421">
        <w:t>agreed with the ESC that it would be appropriate to assume that 70% of all incident patients would otherwise have received platinum-based chemotherapy and incorporated this approach in the revised estimates provided.</w:t>
      </w:r>
      <w:bookmarkEnd w:id="71"/>
    </w:p>
    <w:p w14:paraId="4593FFB3" w14:textId="229F36A4" w:rsidR="008D40C6" w:rsidRPr="00E273AF" w:rsidRDefault="008D40C6" w:rsidP="00EC50F1">
      <w:pPr>
        <w:keepNext/>
        <w:keepLines/>
        <w:rPr>
          <w:rFonts w:ascii="Arial Narrow" w:hAnsi="Arial Narrow"/>
          <w:b/>
          <w:bCs/>
          <w:sz w:val="20"/>
          <w:szCs w:val="18"/>
        </w:rPr>
      </w:pPr>
      <w:bookmarkStart w:id="72" w:name="_Ref174025576"/>
      <w:r w:rsidRPr="00E273AF">
        <w:rPr>
          <w:rFonts w:ascii="Arial Narrow" w:hAnsi="Arial Narrow"/>
          <w:b/>
          <w:bCs/>
          <w:sz w:val="20"/>
          <w:szCs w:val="18"/>
        </w:rPr>
        <w:lastRenderedPageBreak/>
        <w:t xml:space="preserve">Table </w:t>
      </w:r>
      <w:r w:rsidRPr="00E273AF">
        <w:rPr>
          <w:rFonts w:ascii="Arial Narrow" w:hAnsi="Arial Narrow"/>
          <w:b/>
          <w:bCs/>
          <w:sz w:val="20"/>
          <w:szCs w:val="18"/>
        </w:rPr>
        <w:fldChar w:fldCharType="begin" w:fldLock="1"/>
      </w:r>
      <w:r w:rsidRPr="00E273AF">
        <w:rPr>
          <w:rFonts w:ascii="Arial Narrow" w:hAnsi="Arial Narrow"/>
          <w:b/>
          <w:bCs/>
          <w:sz w:val="20"/>
          <w:szCs w:val="18"/>
        </w:rPr>
        <w:instrText xml:space="preserve"> SEQ Table \* ARABIC </w:instrText>
      </w:r>
      <w:r w:rsidRPr="00E273AF">
        <w:rPr>
          <w:rFonts w:ascii="Arial Narrow" w:hAnsi="Arial Narrow"/>
          <w:b/>
          <w:bCs/>
          <w:sz w:val="20"/>
          <w:szCs w:val="18"/>
        </w:rPr>
        <w:fldChar w:fldCharType="separate"/>
      </w:r>
      <w:r w:rsidR="00FE0BD6">
        <w:rPr>
          <w:rFonts w:ascii="Arial Narrow" w:hAnsi="Arial Narrow"/>
          <w:b/>
          <w:bCs/>
          <w:noProof/>
          <w:sz w:val="20"/>
          <w:szCs w:val="18"/>
        </w:rPr>
        <w:t>18</w:t>
      </w:r>
      <w:r w:rsidRPr="00E273AF">
        <w:rPr>
          <w:rFonts w:ascii="Arial Narrow" w:hAnsi="Arial Narrow"/>
          <w:b/>
          <w:bCs/>
          <w:sz w:val="20"/>
          <w:szCs w:val="18"/>
        </w:rPr>
        <w:fldChar w:fldCharType="end"/>
      </w:r>
      <w:bookmarkEnd w:id="72"/>
      <w:r w:rsidRPr="00E273AF">
        <w:rPr>
          <w:rFonts w:ascii="Arial Narrow" w:hAnsi="Arial Narrow"/>
          <w:b/>
          <w:bCs/>
          <w:sz w:val="20"/>
          <w:szCs w:val="18"/>
        </w:rPr>
        <w:t>: Results of the univariate sensitivity analyses</w:t>
      </w:r>
    </w:p>
    <w:tbl>
      <w:tblPr>
        <w:tblStyle w:val="TableGrid"/>
        <w:tblW w:w="5106" w:type="pct"/>
        <w:tblLayout w:type="fixed"/>
        <w:tblLook w:val="04A0" w:firstRow="1" w:lastRow="0" w:firstColumn="1" w:lastColumn="0" w:noHBand="0" w:noVBand="1"/>
      </w:tblPr>
      <w:tblGrid>
        <w:gridCol w:w="2263"/>
        <w:gridCol w:w="993"/>
        <w:gridCol w:w="992"/>
        <w:gridCol w:w="992"/>
        <w:gridCol w:w="992"/>
        <w:gridCol w:w="993"/>
        <w:gridCol w:w="992"/>
        <w:gridCol w:w="991"/>
      </w:tblGrid>
      <w:tr w:rsidR="008D40C6" w:rsidRPr="00C11145" w14:paraId="4C29A074" w14:textId="1B822406" w:rsidTr="00EC50F1">
        <w:trPr>
          <w:trHeight w:val="113"/>
          <w:tblHeader/>
        </w:trPr>
        <w:tc>
          <w:tcPr>
            <w:tcW w:w="2263" w:type="dxa"/>
            <w:vAlign w:val="center"/>
          </w:tcPr>
          <w:p w14:paraId="59C54F1E" w14:textId="3789A85C" w:rsidR="008D40C6" w:rsidRPr="00C11145" w:rsidRDefault="008D40C6" w:rsidP="00EC50F1">
            <w:pPr>
              <w:keepNext/>
              <w:keepLines/>
              <w:widowControl w:val="0"/>
              <w:jc w:val="left"/>
              <w:rPr>
                <w:rFonts w:ascii="Arial Narrow" w:eastAsiaTheme="majorEastAsia" w:hAnsi="Arial Narrow" w:cstheme="majorBidi"/>
                <w:b/>
                <w:bCs/>
                <w:sz w:val="20"/>
              </w:rPr>
            </w:pPr>
            <w:r w:rsidRPr="00C11145">
              <w:rPr>
                <w:rFonts w:ascii="Arial Narrow" w:eastAsiaTheme="majorEastAsia" w:hAnsi="Arial Narrow" w:cstheme="majorBidi"/>
                <w:b/>
                <w:bCs/>
                <w:sz w:val="20"/>
              </w:rPr>
              <w:t>Net cost to the PBS</w:t>
            </w:r>
            <w:r w:rsidR="00B90C68" w:rsidRPr="00C11145">
              <w:rPr>
                <w:rFonts w:ascii="Arial Narrow" w:eastAsiaTheme="majorEastAsia" w:hAnsi="Arial Narrow" w:cstheme="majorBidi"/>
                <w:b/>
                <w:bCs/>
                <w:sz w:val="20"/>
              </w:rPr>
              <w:t xml:space="preserve"> and </w:t>
            </w:r>
            <w:r w:rsidRPr="00C11145">
              <w:rPr>
                <w:rFonts w:ascii="Arial Narrow" w:eastAsiaTheme="majorEastAsia" w:hAnsi="Arial Narrow" w:cstheme="majorBidi"/>
                <w:b/>
                <w:bCs/>
                <w:sz w:val="20"/>
              </w:rPr>
              <w:t>RPBS</w:t>
            </w:r>
          </w:p>
        </w:tc>
        <w:tc>
          <w:tcPr>
            <w:tcW w:w="993" w:type="dxa"/>
            <w:vAlign w:val="center"/>
          </w:tcPr>
          <w:p w14:paraId="01790A9E" w14:textId="7C9A14EE" w:rsidR="008D40C6" w:rsidRPr="00C11145" w:rsidRDefault="008D40C6" w:rsidP="00EC50F1">
            <w:pPr>
              <w:keepNext/>
              <w:keepLines/>
              <w:widowControl w:val="0"/>
              <w:jc w:val="left"/>
              <w:rPr>
                <w:rFonts w:ascii="Arial Narrow" w:eastAsiaTheme="majorEastAsia" w:hAnsi="Arial Narrow" w:cstheme="majorBidi"/>
                <w:b/>
                <w:bCs/>
                <w:sz w:val="20"/>
              </w:rPr>
            </w:pPr>
            <w:r w:rsidRPr="00C11145">
              <w:rPr>
                <w:rFonts w:ascii="Arial Narrow" w:eastAsiaTheme="majorEastAsia" w:hAnsi="Arial Narrow" w:cstheme="majorBidi"/>
                <w:b/>
                <w:bCs/>
                <w:sz w:val="20"/>
              </w:rPr>
              <w:t>Year 1</w:t>
            </w:r>
          </w:p>
        </w:tc>
        <w:tc>
          <w:tcPr>
            <w:tcW w:w="992" w:type="dxa"/>
            <w:vAlign w:val="center"/>
          </w:tcPr>
          <w:p w14:paraId="1B990546" w14:textId="3674A571" w:rsidR="008D40C6" w:rsidRPr="00C11145" w:rsidRDefault="008D40C6" w:rsidP="00EC50F1">
            <w:pPr>
              <w:keepNext/>
              <w:keepLines/>
              <w:widowControl w:val="0"/>
              <w:jc w:val="left"/>
              <w:rPr>
                <w:rFonts w:ascii="Arial Narrow" w:eastAsiaTheme="majorEastAsia" w:hAnsi="Arial Narrow" w:cstheme="majorBidi"/>
                <w:b/>
                <w:bCs/>
                <w:sz w:val="20"/>
              </w:rPr>
            </w:pPr>
            <w:r w:rsidRPr="00C11145">
              <w:rPr>
                <w:rFonts w:ascii="Arial Narrow" w:eastAsiaTheme="majorEastAsia" w:hAnsi="Arial Narrow" w:cstheme="majorBidi"/>
                <w:b/>
                <w:bCs/>
                <w:sz w:val="20"/>
              </w:rPr>
              <w:t>Year 2</w:t>
            </w:r>
          </w:p>
        </w:tc>
        <w:tc>
          <w:tcPr>
            <w:tcW w:w="992" w:type="dxa"/>
            <w:vAlign w:val="center"/>
          </w:tcPr>
          <w:p w14:paraId="586C18E9" w14:textId="572BFEA2" w:rsidR="008D40C6" w:rsidRPr="00C11145" w:rsidRDefault="008D40C6" w:rsidP="00EC50F1">
            <w:pPr>
              <w:keepNext/>
              <w:keepLines/>
              <w:widowControl w:val="0"/>
              <w:jc w:val="left"/>
              <w:rPr>
                <w:rFonts w:ascii="Arial Narrow" w:eastAsiaTheme="majorEastAsia" w:hAnsi="Arial Narrow" w:cstheme="majorBidi"/>
                <w:b/>
                <w:bCs/>
                <w:sz w:val="20"/>
              </w:rPr>
            </w:pPr>
            <w:r w:rsidRPr="00C11145">
              <w:rPr>
                <w:rFonts w:ascii="Arial Narrow" w:eastAsiaTheme="majorEastAsia" w:hAnsi="Arial Narrow" w:cstheme="majorBidi"/>
                <w:b/>
                <w:bCs/>
                <w:sz w:val="20"/>
              </w:rPr>
              <w:t>Year 3</w:t>
            </w:r>
          </w:p>
        </w:tc>
        <w:tc>
          <w:tcPr>
            <w:tcW w:w="992" w:type="dxa"/>
            <w:vAlign w:val="center"/>
          </w:tcPr>
          <w:p w14:paraId="460476C0" w14:textId="6B34A649" w:rsidR="008D40C6" w:rsidRPr="00C11145" w:rsidRDefault="008D40C6" w:rsidP="00EC50F1">
            <w:pPr>
              <w:keepNext/>
              <w:keepLines/>
              <w:widowControl w:val="0"/>
              <w:jc w:val="left"/>
              <w:rPr>
                <w:rFonts w:ascii="Arial Narrow" w:eastAsiaTheme="majorEastAsia" w:hAnsi="Arial Narrow" w:cstheme="majorBidi"/>
                <w:b/>
                <w:bCs/>
                <w:sz w:val="20"/>
              </w:rPr>
            </w:pPr>
            <w:r w:rsidRPr="00C11145">
              <w:rPr>
                <w:rFonts w:ascii="Arial Narrow" w:eastAsiaTheme="majorEastAsia" w:hAnsi="Arial Narrow" w:cstheme="majorBidi"/>
                <w:b/>
                <w:bCs/>
                <w:sz w:val="20"/>
              </w:rPr>
              <w:t>Year 4</w:t>
            </w:r>
          </w:p>
        </w:tc>
        <w:tc>
          <w:tcPr>
            <w:tcW w:w="993" w:type="dxa"/>
            <w:vAlign w:val="center"/>
          </w:tcPr>
          <w:p w14:paraId="344C8CA7" w14:textId="637946E2" w:rsidR="008D40C6" w:rsidRPr="00C11145" w:rsidRDefault="008D40C6" w:rsidP="00EC50F1">
            <w:pPr>
              <w:keepNext/>
              <w:keepLines/>
              <w:widowControl w:val="0"/>
              <w:jc w:val="left"/>
              <w:rPr>
                <w:rFonts w:ascii="Arial Narrow" w:eastAsiaTheme="majorEastAsia" w:hAnsi="Arial Narrow" w:cstheme="majorBidi"/>
                <w:b/>
                <w:bCs/>
                <w:sz w:val="20"/>
              </w:rPr>
            </w:pPr>
            <w:r w:rsidRPr="00C11145">
              <w:rPr>
                <w:rFonts w:ascii="Arial Narrow" w:eastAsiaTheme="majorEastAsia" w:hAnsi="Arial Narrow" w:cstheme="majorBidi"/>
                <w:b/>
                <w:bCs/>
                <w:sz w:val="20"/>
              </w:rPr>
              <w:t>Year 5</w:t>
            </w:r>
          </w:p>
        </w:tc>
        <w:tc>
          <w:tcPr>
            <w:tcW w:w="992" w:type="dxa"/>
            <w:vAlign w:val="center"/>
          </w:tcPr>
          <w:p w14:paraId="77BCA188" w14:textId="4A21DEBA" w:rsidR="008D40C6" w:rsidRPr="00C11145" w:rsidRDefault="008D40C6" w:rsidP="00EC50F1">
            <w:pPr>
              <w:keepNext/>
              <w:keepLines/>
              <w:widowControl w:val="0"/>
              <w:jc w:val="left"/>
              <w:rPr>
                <w:rFonts w:ascii="Arial Narrow" w:eastAsiaTheme="majorEastAsia" w:hAnsi="Arial Narrow" w:cstheme="majorBidi"/>
                <w:b/>
                <w:bCs/>
                <w:sz w:val="20"/>
              </w:rPr>
            </w:pPr>
            <w:r w:rsidRPr="00C11145">
              <w:rPr>
                <w:rFonts w:ascii="Arial Narrow" w:eastAsiaTheme="majorEastAsia" w:hAnsi="Arial Narrow" w:cstheme="majorBidi"/>
                <w:b/>
                <w:bCs/>
                <w:sz w:val="20"/>
              </w:rPr>
              <w:t>Year 6</w:t>
            </w:r>
          </w:p>
        </w:tc>
        <w:tc>
          <w:tcPr>
            <w:tcW w:w="991" w:type="dxa"/>
          </w:tcPr>
          <w:p w14:paraId="1A8DC775" w14:textId="5CCF65D2" w:rsidR="008D40C6" w:rsidRPr="00C11145" w:rsidRDefault="008D40C6" w:rsidP="00EC50F1">
            <w:pPr>
              <w:keepNext/>
              <w:keepLines/>
              <w:widowControl w:val="0"/>
              <w:jc w:val="left"/>
              <w:rPr>
                <w:rFonts w:ascii="Arial Narrow" w:eastAsiaTheme="majorEastAsia" w:hAnsi="Arial Narrow" w:cstheme="majorBidi"/>
                <w:b/>
                <w:bCs/>
                <w:sz w:val="20"/>
              </w:rPr>
            </w:pPr>
            <w:r w:rsidRPr="00C11145">
              <w:rPr>
                <w:rFonts w:ascii="Arial Narrow" w:eastAsiaTheme="majorEastAsia" w:hAnsi="Arial Narrow" w:cstheme="majorBidi"/>
                <w:b/>
                <w:bCs/>
                <w:sz w:val="20"/>
              </w:rPr>
              <w:t>% change from baseline</w:t>
            </w:r>
          </w:p>
        </w:tc>
      </w:tr>
      <w:tr w:rsidR="008D40C6" w:rsidRPr="00C11145" w14:paraId="59C62B3D" w14:textId="55A019ED" w:rsidTr="00EC50F1">
        <w:trPr>
          <w:trHeight w:val="113"/>
        </w:trPr>
        <w:tc>
          <w:tcPr>
            <w:tcW w:w="2263" w:type="dxa"/>
          </w:tcPr>
          <w:p w14:paraId="2AAC7B85" w14:textId="0096F4CA" w:rsidR="008D40C6" w:rsidRPr="00C11145" w:rsidRDefault="008D40C6" w:rsidP="00EC50F1">
            <w:pPr>
              <w:keepNext/>
              <w:keepLines/>
              <w:widowControl w:val="0"/>
              <w:jc w:val="left"/>
              <w:rPr>
                <w:rFonts w:ascii="Arial Narrow" w:hAnsi="Arial Narrow" w:cs="Times New Roman"/>
                <w:b/>
                <w:bCs/>
                <w:snapToGrid w:val="0"/>
                <w:sz w:val="20"/>
              </w:rPr>
            </w:pPr>
            <w:r w:rsidRPr="00C11145">
              <w:rPr>
                <w:rFonts w:ascii="Arial Narrow" w:hAnsi="Arial Narrow" w:cs="Times New Roman"/>
                <w:b/>
                <w:bCs/>
                <w:snapToGrid w:val="0"/>
                <w:sz w:val="20"/>
              </w:rPr>
              <w:t xml:space="preserve">Base case </w:t>
            </w:r>
          </w:p>
        </w:tc>
        <w:tc>
          <w:tcPr>
            <w:tcW w:w="993" w:type="dxa"/>
          </w:tcPr>
          <w:p w14:paraId="360B67F2" w14:textId="6B33342C" w:rsidR="008D40C6" w:rsidRPr="00E36DB9" w:rsidRDefault="001F54E0" w:rsidP="00EC50F1">
            <w:pPr>
              <w:keepNext/>
              <w:keepLines/>
              <w:widowControl w:val="0"/>
              <w:jc w:val="left"/>
              <w:rPr>
                <w:rFonts w:ascii="Arial Narrow" w:hAnsi="Arial Narrow" w:cs="Times New Roman"/>
                <w:b/>
                <w:bCs/>
                <w:snapToGrid w:val="0"/>
                <w:sz w:val="20"/>
                <w:highlight w:val="darkGray"/>
              </w:rPr>
            </w:pPr>
            <w:r w:rsidRPr="001F54E0">
              <w:rPr>
                <w:rFonts w:ascii="Arial Narrow" w:hAnsi="Arial Narrow" w:cs="Times New Roman"/>
                <w:b/>
                <w:bCs/>
                <w:snapToGrid w:val="0"/>
                <w:color w:val="000000"/>
                <w:spacing w:val="58"/>
                <w:sz w:val="20"/>
                <w:shd w:val="solid" w:color="000000" w:fill="000000"/>
                <w:fitText w:val="360" w:id="-761018621"/>
                <w14:textFill>
                  <w14:solidFill>
                    <w14:srgbClr w14:val="000000">
                      <w14:alpha w14:val="100000"/>
                    </w14:srgbClr>
                  </w14:solidFill>
                </w14:textFill>
              </w:rPr>
              <w:t>|||</w:t>
            </w:r>
            <w:r w:rsidRPr="001F54E0">
              <w:rPr>
                <w:rFonts w:ascii="Arial Narrow" w:hAnsi="Arial Narrow" w:cs="Times New Roman"/>
                <w:b/>
                <w:bCs/>
                <w:snapToGrid w:val="0"/>
                <w:color w:val="000000"/>
                <w:spacing w:val="3"/>
                <w:sz w:val="20"/>
                <w:shd w:val="solid" w:color="000000" w:fill="000000"/>
                <w:fitText w:val="360" w:id="-761018621"/>
                <w14:textFill>
                  <w14:solidFill>
                    <w14:srgbClr w14:val="000000">
                      <w14:alpha w14:val="100000"/>
                    </w14:srgbClr>
                  </w14:solidFill>
                </w14:textFill>
              </w:rPr>
              <w:t>|</w:t>
            </w:r>
            <w:r w:rsidR="00D1454E" w:rsidRPr="00E36DB9">
              <w:rPr>
                <w:rFonts w:ascii="Arial Narrow" w:hAnsi="Arial Narrow" w:cs="Times New Roman"/>
                <w:b/>
                <w:bCs/>
                <w:snapToGrid w:val="0"/>
                <w:sz w:val="20"/>
                <w:vertAlign w:val="superscript"/>
              </w:rPr>
              <w:t>1</w:t>
            </w:r>
          </w:p>
        </w:tc>
        <w:tc>
          <w:tcPr>
            <w:tcW w:w="992" w:type="dxa"/>
          </w:tcPr>
          <w:p w14:paraId="6E9F8574" w14:textId="7AEB1C9A" w:rsidR="008D40C6" w:rsidRPr="00E36DB9" w:rsidRDefault="001F54E0" w:rsidP="00EC50F1">
            <w:pPr>
              <w:keepNext/>
              <w:keepLines/>
              <w:widowControl w:val="0"/>
              <w:jc w:val="left"/>
              <w:rPr>
                <w:rFonts w:ascii="Arial Narrow" w:hAnsi="Arial Narrow" w:cs="Times New Roman"/>
                <w:b/>
                <w:bCs/>
                <w:snapToGrid w:val="0"/>
                <w:sz w:val="20"/>
                <w:highlight w:val="darkGray"/>
              </w:rPr>
            </w:pPr>
            <w:r w:rsidRPr="001F54E0">
              <w:rPr>
                <w:rFonts w:ascii="Arial Narrow" w:hAnsi="Arial Narrow" w:cs="Times New Roman"/>
                <w:b/>
                <w:bCs/>
                <w:snapToGrid w:val="0"/>
                <w:color w:val="000000"/>
                <w:spacing w:val="58"/>
                <w:sz w:val="20"/>
                <w:shd w:val="solid" w:color="000000" w:fill="000000"/>
                <w:fitText w:val="360" w:id="-761018620"/>
                <w14:textFill>
                  <w14:solidFill>
                    <w14:srgbClr w14:val="000000">
                      <w14:alpha w14:val="100000"/>
                    </w14:srgbClr>
                  </w14:solidFill>
                </w14:textFill>
              </w:rPr>
              <w:t>|||</w:t>
            </w:r>
            <w:r w:rsidRPr="001F54E0">
              <w:rPr>
                <w:rFonts w:ascii="Arial Narrow" w:hAnsi="Arial Narrow" w:cs="Times New Roman"/>
                <w:b/>
                <w:bCs/>
                <w:snapToGrid w:val="0"/>
                <w:color w:val="000000"/>
                <w:spacing w:val="3"/>
                <w:sz w:val="20"/>
                <w:shd w:val="solid" w:color="000000" w:fill="000000"/>
                <w:fitText w:val="360" w:id="-761018620"/>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78CFAB79" w14:textId="052DE94A" w:rsidR="008D40C6" w:rsidRPr="00E36DB9" w:rsidRDefault="001F54E0" w:rsidP="00EC50F1">
            <w:pPr>
              <w:keepNext/>
              <w:keepLines/>
              <w:widowControl w:val="0"/>
              <w:jc w:val="left"/>
              <w:rPr>
                <w:rFonts w:ascii="Arial Narrow" w:hAnsi="Arial Narrow" w:cs="Times New Roman"/>
                <w:b/>
                <w:bCs/>
                <w:snapToGrid w:val="0"/>
                <w:sz w:val="20"/>
                <w:highlight w:val="darkGray"/>
              </w:rPr>
            </w:pPr>
            <w:r w:rsidRPr="001F54E0">
              <w:rPr>
                <w:rFonts w:ascii="Arial Narrow" w:hAnsi="Arial Narrow" w:cs="Times New Roman"/>
                <w:b/>
                <w:bCs/>
                <w:snapToGrid w:val="0"/>
                <w:color w:val="000000"/>
                <w:spacing w:val="58"/>
                <w:sz w:val="20"/>
                <w:shd w:val="solid" w:color="000000" w:fill="000000"/>
                <w:fitText w:val="360" w:id="-761018619"/>
                <w14:textFill>
                  <w14:solidFill>
                    <w14:srgbClr w14:val="000000">
                      <w14:alpha w14:val="100000"/>
                    </w14:srgbClr>
                  </w14:solidFill>
                </w14:textFill>
              </w:rPr>
              <w:t>|||</w:t>
            </w:r>
            <w:r w:rsidRPr="001F54E0">
              <w:rPr>
                <w:rFonts w:ascii="Arial Narrow" w:hAnsi="Arial Narrow" w:cs="Times New Roman"/>
                <w:b/>
                <w:bCs/>
                <w:snapToGrid w:val="0"/>
                <w:color w:val="000000"/>
                <w:spacing w:val="3"/>
                <w:sz w:val="20"/>
                <w:shd w:val="solid" w:color="000000" w:fill="000000"/>
                <w:fitText w:val="360" w:id="-761018619"/>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51F2365E" w14:textId="2D09DADB" w:rsidR="008D40C6" w:rsidRPr="00E36DB9" w:rsidRDefault="001F54E0" w:rsidP="00EC50F1">
            <w:pPr>
              <w:keepNext/>
              <w:keepLines/>
              <w:widowControl w:val="0"/>
              <w:jc w:val="left"/>
              <w:rPr>
                <w:rFonts w:ascii="Arial Narrow" w:hAnsi="Arial Narrow" w:cs="Times New Roman"/>
                <w:b/>
                <w:bCs/>
                <w:snapToGrid w:val="0"/>
                <w:sz w:val="20"/>
                <w:highlight w:val="darkGray"/>
              </w:rPr>
            </w:pPr>
            <w:r w:rsidRPr="001F54E0">
              <w:rPr>
                <w:rFonts w:ascii="Arial Narrow" w:hAnsi="Arial Narrow" w:cs="Times New Roman"/>
                <w:b/>
                <w:bCs/>
                <w:snapToGrid w:val="0"/>
                <w:color w:val="000000"/>
                <w:spacing w:val="58"/>
                <w:sz w:val="20"/>
                <w:shd w:val="solid" w:color="000000" w:fill="000000"/>
                <w:fitText w:val="360" w:id="-761018618"/>
                <w14:textFill>
                  <w14:solidFill>
                    <w14:srgbClr w14:val="000000">
                      <w14:alpha w14:val="100000"/>
                    </w14:srgbClr>
                  </w14:solidFill>
                </w14:textFill>
              </w:rPr>
              <w:t>|||</w:t>
            </w:r>
            <w:r w:rsidRPr="001F54E0">
              <w:rPr>
                <w:rFonts w:ascii="Arial Narrow" w:hAnsi="Arial Narrow" w:cs="Times New Roman"/>
                <w:b/>
                <w:bCs/>
                <w:snapToGrid w:val="0"/>
                <w:color w:val="000000"/>
                <w:spacing w:val="3"/>
                <w:sz w:val="20"/>
                <w:shd w:val="solid" w:color="000000" w:fill="000000"/>
                <w:fitText w:val="360" w:id="-761018618"/>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3" w:type="dxa"/>
          </w:tcPr>
          <w:p w14:paraId="541CA643" w14:textId="2DFDDCBC" w:rsidR="008D40C6" w:rsidRPr="00E36DB9" w:rsidRDefault="001F54E0" w:rsidP="00EC50F1">
            <w:pPr>
              <w:keepNext/>
              <w:keepLines/>
              <w:widowControl w:val="0"/>
              <w:jc w:val="left"/>
              <w:rPr>
                <w:rFonts w:ascii="Arial Narrow" w:hAnsi="Arial Narrow" w:cs="Times New Roman"/>
                <w:b/>
                <w:bCs/>
                <w:snapToGrid w:val="0"/>
                <w:sz w:val="20"/>
                <w:highlight w:val="darkGray"/>
              </w:rPr>
            </w:pPr>
            <w:r w:rsidRPr="001F54E0">
              <w:rPr>
                <w:rFonts w:ascii="Arial Narrow" w:hAnsi="Arial Narrow" w:cs="Times New Roman"/>
                <w:b/>
                <w:bCs/>
                <w:snapToGrid w:val="0"/>
                <w:color w:val="000000"/>
                <w:spacing w:val="58"/>
                <w:sz w:val="20"/>
                <w:shd w:val="solid" w:color="000000" w:fill="000000"/>
                <w:fitText w:val="360" w:id="-761018617"/>
                <w14:textFill>
                  <w14:solidFill>
                    <w14:srgbClr w14:val="000000">
                      <w14:alpha w14:val="100000"/>
                    </w14:srgbClr>
                  </w14:solidFill>
                </w14:textFill>
              </w:rPr>
              <w:t>|||</w:t>
            </w:r>
            <w:r w:rsidRPr="001F54E0">
              <w:rPr>
                <w:rFonts w:ascii="Arial Narrow" w:hAnsi="Arial Narrow" w:cs="Times New Roman"/>
                <w:b/>
                <w:bCs/>
                <w:snapToGrid w:val="0"/>
                <w:color w:val="000000"/>
                <w:spacing w:val="3"/>
                <w:sz w:val="20"/>
                <w:shd w:val="solid" w:color="000000" w:fill="000000"/>
                <w:fitText w:val="360" w:id="-761018617"/>
                <w14:textFill>
                  <w14:solidFill>
                    <w14:srgbClr w14:val="000000">
                      <w14:alpha w14:val="100000"/>
                    </w14:srgbClr>
                  </w14:solidFill>
                </w14:textFill>
              </w:rPr>
              <w:t>|</w:t>
            </w:r>
            <w:r w:rsidR="00681B7E" w:rsidRPr="00E36DB9">
              <w:rPr>
                <w:rFonts w:ascii="Arial Narrow" w:hAnsi="Arial Narrow" w:cs="Times New Roman"/>
                <w:b/>
                <w:bCs/>
                <w:snapToGrid w:val="0"/>
                <w:sz w:val="20"/>
                <w:vertAlign w:val="superscript"/>
              </w:rPr>
              <w:t>2</w:t>
            </w:r>
          </w:p>
        </w:tc>
        <w:tc>
          <w:tcPr>
            <w:tcW w:w="992" w:type="dxa"/>
          </w:tcPr>
          <w:p w14:paraId="6A234AAE" w14:textId="3198E84E" w:rsidR="008D40C6" w:rsidRPr="00E36DB9" w:rsidRDefault="001F54E0" w:rsidP="00EC50F1">
            <w:pPr>
              <w:keepNext/>
              <w:keepLines/>
              <w:widowControl w:val="0"/>
              <w:jc w:val="left"/>
              <w:rPr>
                <w:rFonts w:ascii="Arial Narrow" w:hAnsi="Arial Narrow" w:cs="Times New Roman"/>
                <w:b/>
                <w:bCs/>
                <w:snapToGrid w:val="0"/>
                <w:sz w:val="20"/>
                <w:highlight w:val="darkGray"/>
              </w:rPr>
            </w:pPr>
            <w:r w:rsidRPr="001F54E0">
              <w:rPr>
                <w:rFonts w:ascii="Arial Narrow" w:hAnsi="Arial Narrow" w:cs="Times New Roman"/>
                <w:b/>
                <w:bCs/>
                <w:snapToGrid w:val="0"/>
                <w:color w:val="000000"/>
                <w:spacing w:val="58"/>
                <w:sz w:val="20"/>
                <w:shd w:val="solid" w:color="000000" w:fill="000000"/>
                <w:fitText w:val="360" w:id="-761018616"/>
                <w14:textFill>
                  <w14:solidFill>
                    <w14:srgbClr w14:val="000000">
                      <w14:alpha w14:val="100000"/>
                    </w14:srgbClr>
                  </w14:solidFill>
                </w14:textFill>
              </w:rPr>
              <w:t>|||</w:t>
            </w:r>
            <w:r w:rsidRPr="001F54E0">
              <w:rPr>
                <w:rFonts w:ascii="Arial Narrow" w:hAnsi="Arial Narrow" w:cs="Times New Roman"/>
                <w:b/>
                <w:bCs/>
                <w:snapToGrid w:val="0"/>
                <w:color w:val="000000"/>
                <w:spacing w:val="3"/>
                <w:sz w:val="20"/>
                <w:shd w:val="solid" w:color="000000" w:fill="000000"/>
                <w:fitText w:val="360" w:id="-761018616"/>
                <w14:textFill>
                  <w14:solidFill>
                    <w14:srgbClr w14:val="000000">
                      <w14:alpha w14:val="100000"/>
                    </w14:srgbClr>
                  </w14:solidFill>
                </w14:textFill>
              </w:rPr>
              <w:t>|</w:t>
            </w:r>
            <w:r w:rsidR="007739FA" w:rsidRPr="00450C49">
              <w:rPr>
                <w:rFonts w:ascii="Arial Narrow" w:hAnsi="Arial Narrow" w:cs="Times New Roman"/>
                <w:b/>
                <w:bCs/>
                <w:snapToGrid w:val="0"/>
                <w:sz w:val="20"/>
                <w:vertAlign w:val="superscript"/>
              </w:rPr>
              <w:t>2</w:t>
            </w:r>
          </w:p>
        </w:tc>
        <w:tc>
          <w:tcPr>
            <w:tcW w:w="991" w:type="dxa"/>
          </w:tcPr>
          <w:p w14:paraId="66F4D617" w14:textId="20DCE73F" w:rsidR="008D40C6" w:rsidRPr="00C11145" w:rsidRDefault="008D40C6" w:rsidP="00EC50F1">
            <w:pPr>
              <w:keepNext/>
              <w:keepLines/>
              <w:widowControl w:val="0"/>
              <w:jc w:val="left"/>
              <w:rPr>
                <w:rFonts w:ascii="Arial Narrow" w:hAnsi="Arial Narrow" w:cs="Times New Roman"/>
                <w:b/>
                <w:bCs/>
                <w:snapToGrid w:val="0"/>
                <w:sz w:val="20"/>
              </w:rPr>
            </w:pPr>
            <w:r w:rsidRPr="00C11145">
              <w:rPr>
                <w:rFonts w:ascii="Arial Narrow" w:hAnsi="Arial Narrow" w:cs="Times New Roman"/>
                <w:b/>
                <w:bCs/>
                <w:snapToGrid w:val="0"/>
                <w:sz w:val="20"/>
              </w:rPr>
              <w:t>-</w:t>
            </w:r>
          </w:p>
        </w:tc>
      </w:tr>
      <w:tr w:rsidR="008D40C6" w:rsidRPr="00C11145" w14:paraId="1473E1EB" w14:textId="64FD5D28" w:rsidTr="00EC50F1">
        <w:trPr>
          <w:trHeight w:val="113"/>
        </w:trPr>
        <w:tc>
          <w:tcPr>
            <w:tcW w:w="9208" w:type="dxa"/>
            <w:gridSpan w:val="8"/>
          </w:tcPr>
          <w:p w14:paraId="227598CE" w14:textId="4003987A" w:rsidR="008D40C6" w:rsidRPr="00C11145" w:rsidRDefault="008D40C6" w:rsidP="00EC50F1">
            <w:pPr>
              <w:keepNext/>
              <w:keepLines/>
              <w:widowControl w:val="0"/>
              <w:jc w:val="left"/>
              <w:rPr>
                <w:rFonts w:ascii="Arial Narrow" w:hAnsi="Arial Narrow" w:cs="Times New Roman"/>
                <w:b/>
                <w:bCs/>
                <w:snapToGrid w:val="0"/>
                <w:sz w:val="20"/>
              </w:rPr>
            </w:pPr>
            <w:r w:rsidRPr="00C11145">
              <w:rPr>
                <w:rFonts w:ascii="Arial Narrow" w:hAnsi="Arial Narrow" w:cs="Times New Roman"/>
                <w:b/>
                <w:bCs/>
                <w:snapToGrid w:val="0"/>
                <w:sz w:val="20"/>
              </w:rPr>
              <w:t>Stage distribution (base case: SEER incidence data, 2012-2021)</w:t>
            </w:r>
          </w:p>
        </w:tc>
      </w:tr>
      <w:tr w:rsidR="008D40C6" w:rsidRPr="00C11145" w14:paraId="061D33EE" w14:textId="693CE66F" w:rsidTr="00EC50F1">
        <w:trPr>
          <w:trHeight w:val="113"/>
        </w:trPr>
        <w:tc>
          <w:tcPr>
            <w:tcW w:w="2263" w:type="dxa"/>
          </w:tcPr>
          <w:p w14:paraId="3CAEA7FF" w14:textId="7D478E82"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 xml:space="preserve">David, Mallin et al. (2009) </w:t>
            </w:r>
            <w:r w:rsidRPr="00C11145">
              <w:rPr>
                <w:rFonts w:ascii="Arial Narrow" w:hAnsi="Arial Narrow" w:cs="Times New Roman"/>
                <w:snapToGrid w:val="0"/>
                <w:sz w:val="20"/>
                <w:vertAlign w:val="superscript"/>
              </w:rPr>
              <w:footnoteReference w:id="34"/>
            </w:r>
          </w:p>
        </w:tc>
        <w:tc>
          <w:tcPr>
            <w:tcW w:w="993" w:type="dxa"/>
          </w:tcPr>
          <w:p w14:paraId="136FC140" w14:textId="29B5B16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5"/>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5"/>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41555F09" w14:textId="702C74B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4"/>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4"/>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032BAB3F" w14:textId="06E03ABA"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3"/>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3"/>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3D555499" w14:textId="1D7ECCAD"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2"/>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2"/>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3" w:type="dxa"/>
          </w:tcPr>
          <w:p w14:paraId="0D9B3AB8" w14:textId="4BF321B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1"/>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1"/>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172853C0" w14:textId="6DF5FA0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0"/>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0"/>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1" w:type="dxa"/>
          </w:tcPr>
          <w:p w14:paraId="0121BB5B" w14:textId="10215169"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-9%</w:t>
            </w:r>
          </w:p>
        </w:tc>
      </w:tr>
      <w:tr w:rsidR="008D40C6" w:rsidRPr="00C11145" w14:paraId="12BA21A2" w14:textId="6BD3CD44" w:rsidTr="00EC50F1">
        <w:trPr>
          <w:trHeight w:val="113"/>
        </w:trPr>
        <w:tc>
          <w:tcPr>
            <w:tcW w:w="9208" w:type="dxa"/>
            <w:gridSpan w:val="8"/>
          </w:tcPr>
          <w:p w14:paraId="295DE8D6" w14:textId="09285865" w:rsidR="008D40C6" w:rsidRPr="00C11145" w:rsidRDefault="008D40C6" w:rsidP="00EC50F1">
            <w:pPr>
              <w:keepNext/>
              <w:keepLines/>
              <w:widowControl w:val="0"/>
              <w:jc w:val="left"/>
              <w:rPr>
                <w:rFonts w:ascii="Arial Narrow" w:hAnsi="Arial Narrow" w:cs="Times New Roman"/>
                <w:b/>
                <w:bCs/>
                <w:snapToGrid w:val="0"/>
                <w:sz w:val="20"/>
              </w:rPr>
            </w:pPr>
            <w:r w:rsidRPr="00C11145">
              <w:rPr>
                <w:rFonts w:ascii="Arial Narrow" w:hAnsi="Arial Narrow" w:cs="Times New Roman"/>
                <w:b/>
                <w:bCs/>
                <w:snapToGrid w:val="0"/>
                <w:sz w:val="20"/>
              </w:rPr>
              <w:t>Uptake rate of EV+PEM</w:t>
            </w:r>
          </w:p>
        </w:tc>
      </w:tr>
      <w:tr w:rsidR="008D40C6" w:rsidRPr="00C11145" w14:paraId="625F7A5B" w14:textId="141AF1F1" w:rsidTr="00EC50F1">
        <w:trPr>
          <w:trHeight w:val="113"/>
        </w:trPr>
        <w:tc>
          <w:tcPr>
            <w:tcW w:w="2263" w:type="dxa"/>
          </w:tcPr>
          <w:p w14:paraId="09A90DC6" w14:textId="7CE4F367"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+5%/year</w:t>
            </w:r>
          </w:p>
        </w:tc>
        <w:tc>
          <w:tcPr>
            <w:tcW w:w="993" w:type="dxa"/>
          </w:tcPr>
          <w:p w14:paraId="35820C75" w14:textId="47DBBF0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09"/>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09"/>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5924A414" w14:textId="319FC244"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08"/>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08"/>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6DB78501" w14:textId="63E2567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24"/>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24"/>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34766D3A" w14:textId="57D6953F" w:rsidR="008D40C6" w:rsidRPr="00E36DB9" w:rsidRDefault="001F54E0" w:rsidP="00EC50F1">
            <w:pPr>
              <w:keepNext/>
              <w:keepLines/>
              <w:widowControl w:val="0"/>
              <w:jc w:val="left"/>
              <w:rPr>
                <w:rFonts w:ascii="Arial Narrow" w:hAnsi="Arial Narrow" w:cs="Times New Roman"/>
                <w:snapToGrid w:val="0"/>
                <w:sz w:val="20"/>
                <w:highlight w:val="darkGray"/>
              </w:rPr>
            </w:pPr>
            <w:r w:rsidRPr="00EC50F1">
              <w:rPr>
                <w:rFonts w:ascii="Arial Narrow" w:hAnsi="Arial Narrow" w:cs="Times New Roman"/>
                <w:snapToGrid w:val="0"/>
                <w:color w:val="000000"/>
                <w:spacing w:val="56"/>
                <w:sz w:val="20"/>
                <w:shd w:val="solid" w:color="000000" w:fill="000000"/>
                <w:fitText w:val="340" w:id="-761018623"/>
                <w14:textFill>
                  <w14:solidFill>
                    <w14:srgbClr w14:val="000000">
                      <w14:alpha w14:val="100000"/>
                    </w14:srgbClr>
                  </w14:solidFill>
                </w14:textFill>
              </w:rPr>
              <w:t>|||</w:t>
            </w:r>
            <w:r w:rsidRPr="00EC50F1">
              <w:rPr>
                <w:rFonts w:ascii="Arial Narrow" w:hAnsi="Arial Narrow" w:cs="Times New Roman"/>
                <w:snapToGrid w:val="0"/>
                <w:color w:val="000000"/>
                <w:spacing w:val="2"/>
                <w:sz w:val="20"/>
                <w:shd w:val="solid" w:color="000000" w:fill="000000"/>
                <w:fitText w:val="340" w:id="-761018623"/>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3" w:type="dxa"/>
          </w:tcPr>
          <w:p w14:paraId="3E491945" w14:textId="365CC29F"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22"/>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22"/>
                <w14:textFill>
                  <w14:solidFill>
                    <w14:srgbClr w14:val="000000">
                      <w14:alpha w14:val="100000"/>
                    </w14:srgbClr>
                  </w14:solidFill>
                </w14:textFill>
              </w:rPr>
              <w:t>|</w:t>
            </w:r>
            <w:r w:rsidR="007739FA" w:rsidRPr="00450C49">
              <w:rPr>
                <w:rFonts w:ascii="Arial Narrow" w:hAnsi="Arial Narrow" w:cs="Times New Roman"/>
                <w:b/>
                <w:bCs/>
                <w:snapToGrid w:val="0"/>
                <w:sz w:val="20"/>
                <w:vertAlign w:val="superscript"/>
              </w:rPr>
              <w:t>2</w:t>
            </w:r>
          </w:p>
        </w:tc>
        <w:tc>
          <w:tcPr>
            <w:tcW w:w="992" w:type="dxa"/>
          </w:tcPr>
          <w:p w14:paraId="155B45AF" w14:textId="72047CAD"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21"/>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21"/>
                <w14:textFill>
                  <w14:solidFill>
                    <w14:srgbClr w14:val="000000">
                      <w14:alpha w14:val="100000"/>
                    </w14:srgbClr>
                  </w14:solidFill>
                </w14:textFill>
              </w:rPr>
              <w:t>|</w:t>
            </w:r>
            <w:r w:rsidR="007739FA" w:rsidRPr="00450C49">
              <w:rPr>
                <w:rFonts w:ascii="Arial Narrow" w:hAnsi="Arial Narrow" w:cs="Times New Roman"/>
                <w:b/>
                <w:bCs/>
                <w:snapToGrid w:val="0"/>
                <w:sz w:val="20"/>
                <w:vertAlign w:val="superscript"/>
              </w:rPr>
              <w:t>2</w:t>
            </w:r>
          </w:p>
        </w:tc>
        <w:tc>
          <w:tcPr>
            <w:tcW w:w="991" w:type="dxa"/>
          </w:tcPr>
          <w:p w14:paraId="698D0757" w14:textId="35F1B0DD"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5%</w:t>
            </w:r>
          </w:p>
        </w:tc>
      </w:tr>
      <w:tr w:rsidR="008D40C6" w:rsidRPr="00C11145" w14:paraId="1C37D1E1" w14:textId="16EA5A97" w:rsidTr="00EC50F1">
        <w:trPr>
          <w:trHeight w:val="113"/>
        </w:trPr>
        <w:tc>
          <w:tcPr>
            <w:tcW w:w="2263" w:type="dxa"/>
          </w:tcPr>
          <w:p w14:paraId="03E5E887" w14:textId="765A9FEA"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-5%/year</w:t>
            </w:r>
          </w:p>
        </w:tc>
        <w:tc>
          <w:tcPr>
            <w:tcW w:w="993" w:type="dxa"/>
          </w:tcPr>
          <w:p w14:paraId="26163300" w14:textId="4A914965"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20"/>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20"/>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3CAF4411" w14:textId="008D0534"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9"/>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9"/>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2AD31B71" w14:textId="2D6977F6"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8"/>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8"/>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7FD07AAA" w14:textId="679698EF"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6"/>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6"/>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3" w:type="dxa"/>
          </w:tcPr>
          <w:p w14:paraId="7BFEC9EF" w14:textId="28D148D5"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5"/>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5"/>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7895D187" w14:textId="63E43F87"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4"/>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4"/>
                <w14:textFill>
                  <w14:solidFill>
                    <w14:srgbClr w14:val="000000">
                      <w14:alpha w14:val="100000"/>
                    </w14:srgbClr>
                  </w14:solidFill>
                </w14:textFill>
              </w:rPr>
              <w:t>|</w:t>
            </w:r>
            <w:r w:rsidR="00DD1031" w:rsidRPr="00E36DB9">
              <w:rPr>
                <w:rFonts w:ascii="Arial Narrow" w:hAnsi="Arial Narrow" w:cs="Times New Roman"/>
                <w:snapToGrid w:val="0"/>
                <w:sz w:val="20"/>
                <w:vertAlign w:val="superscript"/>
              </w:rPr>
              <w:t>1</w:t>
            </w:r>
          </w:p>
        </w:tc>
        <w:tc>
          <w:tcPr>
            <w:tcW w:w="991" w:type="dxa"/>
          </w:tcPr>
          <w:p w14:paraId="2694240D" w14:textId="7AE3F992"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-6%</w:t>
            </w:r>
          </w:p>
        </w:tc>
      </w:tr>
      <w:tr w:rsidR="008D40C6" w:rsidRPr="00C11145" w14:paraId="2C051B5E" w14:textId="3017A02B" w:rsidTr="00EC50F1">
        <w:trPr>
          <w:trHeight w:val="113"/>
        </w:trPr>
        <w:tc>
          <w:tcPr>
            <w:tcW w:w="9208" w:type="dxa"/>
            <w:gridSpan w:val="8"/>
          </w:tcPr>
          <w:p w14:paraId="247B5F56" w14:textId="75935458" w:rsidR="008D40C6" w:rsidRPr="00C11145" w:rsidRDefault="008D40C6" w:rsidP="00EC50F1">
            <w:pPr>
              <w:keepNext/>
              <w:keepLines/>
              <w:widowControl w:val="0"/>
              <w:jc w:val="left"/>
              <w:rPr>
                <w:rFonts w:ascii="Arial Narrow" w:hAnsi="Arial Narrow" w:cs="Times New Roman"/>
                <w:b/>
                <w:bCs/>
                <w:snapToGrid w:val="0"/>
                <w:sz w:val="20"/>
              </w:rPr>
            </w:pPr>
            <w:r w:rsidRPr="00C11145">
              <w:rPr>
                <w:rFonts w:ascii="Arial Narrow" w:hAnsi="Arial Narrow" w:cs="Times New Roman"/>
                <w:b/>
                <w:bCs/>
                <w:snapToGrid w:val="0"/>
                <w:sz w:val="20"/>
              </w:rPr>
              <w:t xml:space="preserve">Proportion of la/mUC patients eligible for first-line </w:t>
            </w:r>
            <w:r w:rsidR="00EA3E45" w:rsidRPr="00C11145">
              <w:rPr>
                <w:rFonts w:ascii="Arial Narrow" w:hAnsi="Arial Narrow" w:cs="Times New Roman"/>
                <w:b/>
                <w:bCs/>
                <w:snapToGrid w:val="0"/>
                <w:sz w:val="20"/>
              </w:rPr>
              <w:t>treatment (</w:t>
            </w:r>
            <w:r w:rsidRPr="00C11145">
              <w:rPr>
                <w:rFonts w:ascii="Arial Narrow" w:hAnsi="Arial Narrow" w:cs="Times New Roman"/>
                <w:b/>
                <w:bCs/>
                <w:snapToGrid w:val="0"/>
                <w:sz w:val="20"/>
              </w:rPr>
              <w:t>base case: EV+PEM = 90%, PBC = 90%)</w:t>
            </w:r>
          </w:p>
        </w:tc>
      </w:tr>
      <w:tr w:rsidR="008D40C6" w:rsidRPr="00C11145" w14:paraId="45336F31" w14:textId="791FC5B9" w:rsidTr="00EC50F1">
        <w:trPr>
          <w:trHeight w:val="113"/>
        </w:trPr>
        <w:tc>
          <w:tcPr>
            <w:tcW w:w="2263" w:type="dxa"/>
          </w:tcPr>
          <w:p w14:paraId="587BD3FF" w14:textId="122AFDEC"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85% (EV+</w:t>
            </w:r>
            <w:r w:rsidR="00EC50F1">
              <w:rPr>
                <w:rFonts w:ascii="Arial Narrow" w:hAnsi="Arial Narrow" w:cs="Times New Roman"/>
                <w:snapToGrid w:val="0"/>
                <w:sz w:val="20"/>
              </w:rPr>
              <w:t xml:space="preserve"> </w:t>
            </w:r>
            <w:r w:rsidRPr="00C11145">
              <w:rPr>
                <w:rFonts w:ascii="Arial Narrow" w:hAnsi="Arial Narrow" w:cs="Times New Roman"/>
                <w:snapToGrid w:val="0"/>
                <w:sz w:val="20"/>
              </w:rPr>
              <w:t>PEM &amp; PBC)</w:t>
            </w:r>
          </w:p>
        </w:tc>
        <w:tc>
          <w:tcPr>
            <w:tcW w:w="993" w:type="dxa"/>
          </w:tcPr>
          <w:p w14:paraId="2180D00E" w14:textId="7BCDFAA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3"/>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3"/>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65BA6A92" w14:textId="55A26011"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2"/>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2"/>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3B9759CD" w14:textId="1A4C29B4"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1"/>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1"/>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385CE37E" w14:textId="525D4771"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0"/>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0"/>
                <w14:textFill>
                  <w14:solidFill>
                    <w14:srgbClr w14:val="000000">
                      <w14:alpha w14:val="100000"/>
                    </w14:srgbClr>
                  </w14:solidFill>
                </w14:textFill>
              </w:rPr>
              <w:t>|</w:t>
            </w:r>
            <w:r w:rsidR="00AF3F6D" w:rsidRPr="00E36DB9">
              <w:rPr>
                <w:rFonts w:ascii="Arial Narrow" w:hAnsi="Arial Narrow" w:cs="Times New Roman"/>
                <w:snapToGrid w:val="0"/>
                <w:sz w:val="20"/>
                <w:vertAlign w:val="superscript"/>
              </w:rPr>
              <w:t>1</w:t>
            </w:r>
          </w:p>
        </w:tc>
        <w:tc>
          <w:tcPr>
            <w:tcW w:w="993" w:type="dxa"/>
          </w:tcPr>
          <w:p w14:paraId="5E902054" w14:textId="07E6C3D0"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09"/>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09"/>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5A352243" w14:textId="4510AC28"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08"/>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08"/>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1" w:type="dxa"/>
          </w:tcPr>
          <w:p w14:paraId="437045D2" w14:textId="7674C7BE"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-5%</w:t>
            </w:r>
          </w:p>
        </w:tc>
      </w:tr>
      <w:tr w:rsidR="001A6405" w:rsidRPr="00C11145" w14:paraId="6093D83F" w14:textId="63E148CC" w:rsidTr="00EC50F1">
        <w:trPr>
          <w:trHeight w:val="113"/>
        </w:trPr>
        <w:tc>
          <w:tcPr>
            <w:tcW w:w="2263" w:type="dxa"/>
          </w:tcPr>
          <w:p w14:paraId="2419D2B1" w14:textId="0A6D962D" w:rsidR="001A6405" w:rsidRPr="006C524E" w:rsidRDefault="001A6405" w:rsidP="00EC50F1">
            <w:pPr>
              <w:keepNext/>
              <w:keepLines/>
              <w:widowControl w:val="0"/>
              <w:jc w:val="left"/>
              <w:rPr>
                <w:rFonts w:ascii="Arial Narrow" w:hAnsi="Arial Narrow" w:cs="Times New Roman"/>
                <w:snapToGrid w:val="0"/>
                <w:sz w:val="20"/>
              </w:rPr>
            </w:pPr>
            <w:r w:rsidRPr="006C524E">
              <w:rPr>
                <w:rFonts w:ascii="Arial Narrow" w:hAnsi="Arial Narrow" w:cs="Times New Roman"/>
                <w:snapToGrid w:val="0"/>
                <w:sz w:val="20"/>
              </w:rPr>
              <w:t>90% (EV+PEM), 70% (PBC)</w:t>
            </w:r>
          </w:p>
        </w:tc>
        <w:tc>
          <w:tcPr>
            <w:tcW w:w="993" w:type="dxa"/>
          </w:tcPr>
          <w:p w14:paraId="0DB4A067" w14:textId="091E6C8F" w:rsidR="001A6405"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24"/>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24"/>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657A498F" w14:textId="53ACBEBD" w:rsidR="001A6405"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23"/>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23"/>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1F64F15B" w14:textId="0D7D121F" w:rsidR="001A6405"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22"/>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22"/>
                <w14:textFill>
                  <w14:solidFill>
                    <w14:srgbClr w14:val="000000">
                      <w14:alpha w14:val="100000"/>
                    </w14:srgbClr>
                  </w14:solidFill>
                </w14:textFill>
              </w:rPr>
              <w:t>|</w:t>
            </w:r>
            <w:r w:rsidR="00D1454E" w:rsidRPr="00450C49">
              <w:rPr>
                <w:rFonts w:ascii="Arial Narrow" w:hAnsi="Arial Narrow" w:cs="Times New Roman"/>
                <w:b/>
                <w:bCs/>
                <w:snapToGrid w:val="0"/>
                <w:sz w:val="20"/>
                <w:vertAlign w:val="superscript"/>
              </w:rPr>
              <w:t>1</w:t>
            </w:r>
          </w:p>
        </w:tc>
        <w:tc>
          <w:tcPr>
            <w:tcW w:w="992" w:type="dxa"/>
          </w:tcPr>
          <w:p w14:paraId="7E8BF3F1" w14:textId="438A7226" w:rsidR="001A6405"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21"/>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21"/>
                <w14:textFill>
                  <w14:solidFill>
                    <w14:srgbClr w14:val="000000">
                      <w14:alpha w14:val="100000"/>
                    </w14:srgbClr>
                  </w14:solidFill>
                </w14:textFill>
              </w:rPr>
              <w:t>|</w:t>
            </w:r>
            <w:r w:rsidR="00DD1031" w:rsidRPr="00E36DB9">
              <w:rPr>
                <w:rFonts w:ascii="Arial Narrow" w:hAnsi="Arial Narrow" w:cs="Times New Roman"/>
                <w:snapToGrid w:val="0"/>
                <w:sz w:val="20"/>
                <w:vertAlign w:val="superscript"/>
              </w:rPr>
              <w:t>2</w:t>
            </w:r>
          </w:p>
        </w:tc>
        <w:tc>
          <w:tcPr>
            <w:tcW w:w="993" w:type="dxa"/>
          </w:tcPr>
          <w:p w14:paraId="5A1A541E" w14:textId="6D49DFAF" w:rsidR="001A6405"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20"/>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20"/>
                <w14:textFill>
                  <w14:solidFill>
                    <w14:srgbClr w14:val="000000">
                      <w14:alpha w14:val="100000"/>
                    </w14:srgbClr>
                  </w14:solidFill>
                </w14:textFill>
              </w:rPr>
              <w:t>|</w:t>
            </w:r>
            <w:r w:rsidR="00DD1031" w:rsidRPr="00450C49">
              <w:rPr>
                <w:rFonts w:ascii="Arial Narrow" w:hAnsi="Arial Narrow" w:cs="Times New Roman"/>
                <w:snapToGrid w:val="0"/>
                <w:sz w:val="20"/>
                <w:vertAlign w:val="superscript"/>
              </w:rPr>
              <w:t>2</w:t>
            </w:r>
          </w:p>
        </w:tc>
        <w:tc>
          <w:tcPr>
            <w:tcW w:w="992" w:type="dxa"/>
          </w:tcPr>
          <w:p w14:paraId="3F19EE92" w14:textId="46DED2EB" w:rsidR="001A6405"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619"/>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619"/>
                <w14:textFill>
                  <w14:solidFill>
                    <w14:srgbClr w14:val="000000">
                      <w14:alpha w14:val="100000"/>
                    </w14:srgbClr>
                  </w14:solidFill>
                </w14:textFill>
              </w:rPr>
              <w:t>|</w:t>
            </w:r>
            <w:r w:rsidR="00DD1031" w:rsidRPr="00450C49">
              <w:rPr>
                <w:rFonts w:ascii="Arial Narrow" w:hAnsi="Arial Narrow" w:cs="Times New Roman"/>
                <w:snapToGrid w:val="0"/>
                <w:sz w:val="20"/>
                <w:vertAlign w:val="superscript"/>
              </w:rPr>
              <w:t>2</w:t>
            </w:r>
          </w:p>
        </w:tc>
        <w:tc>
          <w:tcPr>
            <w:tcW w:w="991" w:type="dxa"/>
          </w:tcPr>
          <w:p w14:paraId="60E2318D" w14:textId="25E88273" w:rsidR="001A6405" w:rsidRPr="006C524E" w:rsidRDefault="001A6405" w:rsidP="00EC50F1">
            <w:pPr>
              <w:keepNext/>
              <w:keepLines/>
              <w:widowControl w:val="0"/>
              <w:jc w:val="left"/>
              <w:rPr>
                <w:rFonts w:ascii="Arial Narrow" w:hAnsi="Arial Narrow" w:cs="Times New Roman"/>
                <w:snapToGrid w:val="0"/>
                <w:sz w:val="20"/>
              </w:rPr>
            </w:pPr>
            <w:r w:rsidRPr="006C524E">
              <w:rPr>
                <w:rFonts w:ascii="Arial Narrow" w:hAnsi="Arial Narrow" w:cs="Times New Roman"/>
                <w:snapToGrid w:val="0"/>
                <w:sz w:val="20"/>
              </w:rPr>
              <w:t>9%</w:t>
            </w:r>
          </w:p>
        </w:tc>
      </w:tr>
      <w:tr w:rsidR="008D40C6" w:rsidRPr="00C11145" w14:paraId="5239717C" w14:textId="2AE0B73C" w:rsidTr="00EC50F1">
        <w:trPr>
          <w:trHeight w:val="113"/>
        </w:trPr>
        <w:tc>
          <w:tcPr>
            <w:tcW w:w="9208" w:type="dxa"/>
            <w:gridSpan w:val="8"/>
          </w:tcPr>
          <w:p w14:paraId="163A3615" w14:textId="635E11E0" w:rsidR="008D40C6" w:rsidRPr="00C11145" w:rsidRDefault="008D40C6" w:rsidP="00EC50F1">
            <w:pPr>
              <w:keepNext/>
              <w:keepLines/>
              <w:widowControl w:val="0"/>
              <w:jc w:val="left"/>
              <w:rPr>
                <w:rFonts w:ascii="Arial Narrow" w:hAnsi="Arial Narrow" w:cs="Times New Roman"/>
                <w:b/>
                <w:bCs/>
                <w:snapToGrid w:val="0"/>
                <w:sz w:val="20"/>
              </w:rPr>
            </w:pPr>
            <w:r w:rsidRPr="00C11145">
              <w:rPr>
                <w:rFonts w:ascii="Arial Narrow" w:hAnsi="Arial Narrow" w:cs="Times New Roman"/>
                <w:b/>
                <w:bCs/>
                <w:snapToGrid w:val="0"/>
                <w:sz w:val="20"/>
              </w:rPr>
              <w:t>Progression post-BCG of CIS bladder cancer (base case: 35.15%)</w:t>
            </w:r>
          </w:p>
        </w:tc>
      </w:tr>
      <w:tr w:rsidR="008D40C6" w:rsidRPr="00C11145" w14:paraId="2C0799E4" w14:textId="7ED71E7C" w:rsidTr="00EC50F1">
        <w:trPr>
          <w:trHeight w:val="113"/>
        </w:trPr>
        <w:tc>
          <w:tcPr>
            <w:tcW w:w="2263" w:type="dxa"/>
          </w:tcPr>
          <w:p w14:paraId="00C3822F" w14:textId="4A74E9CB"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 xml:space="preserve">9.8% </w:t>
            </w:r>
          </w:p>
        </w:tc>
        <w:tc>
          <w:tcPr>
            <w:tcW w:w="993" w:type="dxa"/>
          </w:tcPr>
          <w:p w14:paraId="6765FA45" w14:textId="3850DE66"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8"/>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8"/>
                <w14:textFill>
                  <w14:solidFill>
                    <w14:srgbClr w14:val="000000">
                      <w14:alpha w14:val="100000"/>
                    </w14:srgbClr>
                  </w14:solidFill>
                </w14:textFill>
              </w:rPr>
              <w:t>|</w:t>
            </w:r>
            <w:r w:rsidR="00AF057B" w:rsidRPr="00450C49">
              <w:rPr>
                <w:rFonts w:ascii="Arial Narrow" w:hAnsi="Arial Narrow" w:cs="Times New Roman"/>
                <w:snapToGrid w:val="0"/>
                <w:sz w:val="20"/>
                <w:vertAlign w:val="superscript"/>
              </w:rPr>
              <w:t>3</w:t>
            </w:r>
          </w:p>
        </w:tc>
        <w:tc>
          <w:tcPr>
            <w:tcW w:w="992" w:type="dxa"/>
          </w:tcPr>
          <w:p w14:paraId="4E3F27EC" w14:textId="5FE3D1E6"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7"/>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7"/>
                <w14:textFill>
                  <w14:solidFill>
                    <w14:srgbClr w14:val="000000">
                      <w14:alpha w14:val="100000"/>
                    </w14:srgbClr>
                  </w14:solidFill>
                </w14:textFill>
              </w:rPr>
              <w:t>|</w:t>
            </w:r>
            <w:r w:rsidR="00AF057B" w:rsidRPr="00450C49">
              <w:rPr>
                <w:rFonts w:ascii="Arial Narrow" w:hAnsi="Arial Narrow" w:cs="Times New Roman"/>
                <w:snapToGrid w:val="0"/>
                <w:sz w:val="20"/>
                <w:vertAlign w:val="superscript"/>
              </w:rPr>
              <w:t>3</w:t>
            </w:r>
          </w:p>
        </w:tc>
        <w:tc>
          <w:tcPr>
            <w:tcW w:w="992" w:type="dxa"/>
          </w:tcPr>
          <w:p w14:paraId="67EB5B87" w14:textId="2C7C08C7"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6"/>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6"/>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4B233F3B" w14:textId="16B6DB9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4"/>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4"/>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3" w:type="dxa"/>
          </w:tcPr>
          <w:p w14:paraId="223D9792" w14:textId="20F43285"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3"/>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3"/>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2FEC8D6A" w14:textId="27E4B34D"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2"/>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2"/>
                <w14:textFill>
                  <w14:solidFill>
                    <w14:srgbClr w14:val="000000">
                      <w14:alpha w14:val="100000"/>
                    </w14:srgbClr>
                  </w14:solidFill>
                </w14:textFill>
              </w:rPr>
              <w:t>|</w:t>
            </w:r>
            <w:r w:rsidR="00681B7E" w:rsidRPr="00E36DB9">
              <w:rPr>
                <w:rFonts w:ascii="Arial Narrow" w:hAnsi="Arial Narrow" w:cs="Times New Roman"/>
                <w:snapToGrid w:val="0"/>
                <w:sz w:val="20"/>
                <w:vertAlign w:val="superscript"/>
              </w:rPr>
              <w:t>1</w:t>
            </w:r>
          </w:p>
        </w:tc>
        <w:tc>
          <w:tcPr>
            <w:tcW w:w="991" w:type="dxa"/>
          </w:tcPr>
          <w:p w14:paraId="20F9D907" w14:textId="09884BAD"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-30%</w:t>
            </w:r>
          </w:p>
        </w:tc>
      </w:tr>
      <w:tr w:rsidR="008D40C6" w:rsidRPr="00C11145" w14:paraId="1112FB06" w14:textId="70D0408D" w:rsidTr="00EC50F1">
        <w:trPr>
          <w:trHeight w:val="113"/>
        </w:trPr>
        <w:tc>
          <w:tcPr>
            <w:tcW w:w="2263" w:type="dxa"/>
          </w:tcPr>
          <w:p w14:paraId="3AA78A15" w14:textId="7091AE5F"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13.9%</w:t>
            </w:r>
          </w:p>
        </w:tc>
        <w:tc>
          <w:tcPr>
            <w:tcW w:w="993" w:type="dxa"/>
          </w:tcPr>
          <w:p w14:paraId="486921B1" w14:textId="504B898F"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1"/>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1"/>
                <w14:textFill>
                  <w14:solidFill>
                    <w14:srgbClr w14:val="000000">
                      <w14:alpha w14:val="100000"/>
                    </w14:srgbClr>
                  </w14:solidFill>
                </w14:textFill>
              </w:rPr>
              <w:t>|</w:t>
            </w:r>
            <w:r w:rsidR="00AF057B" w:rsidRPr="00E36DB9">
              <w:rPr>
                <w:rFonts w:ascii="Arial Narrow" w:hAnsi="Arial Narrow" w:cs="Times New Roman"/>
                <w:snapToGrid w:val="0"/>
                <w:sz w:val="20"/>
                <w:vertAlign w:val="superscript"/>
              </w:rPr>
              <w:t>3</w:t>
            </w:r>
          </w:p>
        </w:tc>
        <w:tc>
          <w:tcPr>
            <w:tcW w:w="992" w:type="dxa"/>
          </w:tcPr>
          <w:p w14:paraId="043E69E2" w14:textId="749FC835"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0"/>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0"/>
                <w14:textFill>
                  <w14:solidFill>
                    <w14:srgbClr w14:val="000000">
                      <w14:alpha w14:val="100000"/>
                    </w14:srgbClr>
                  </w14:solidFill>
                </w14:textFill>
              </w:rPr>
              <w:t>|</w:t>
            </w:r>
            <w:r w:rsidR="00AF057B" w:rsidRPr="00450C49">
              <w:rPr>
                <w:rFonts w:ascii="Arial Narrow" w:hAnsi="Arial Narrow" w:cs="Times New Roman"/>
                <w:snapToGrid w:val="0"/>
                <w:sz w:val="20"/>
                <w:vertAlign w:val="superscript"/>
              </w:rPr>
              <w:t>3</w:t>
            </w:r>
          </w:p>
        </w:tc>
        <w:tc>
          <w:tcPr>
            <w:tcW w:w="992" w:type="dxa"/>
          </w:tcPr>
          <w:p w14:paraId="6970A9C3" w14:textId="3F8E957E"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9"/>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9"/>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222D938E" w14:textId="56DE5B60"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8"/>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8"/>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3" w:type="dxa"/>
          </w:tcPr>
          <w:p w14:paraId="49826FC6" w14:textId="519BA7C5"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7"/>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7"/>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2C06D9D2" w14:textId="6390486E"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6"/>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6"/>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1" w:type="dxa"/>
          </w:tcPr>
          <w:p w14:paraId="1DDF0D6E" w14:textId="0181EF91"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-24%</w:t>
            </w:r>
          </w:p>
        </w:tc>
      </w:tr>
      <w:tr w:rsidR="008D40C6" w:rsidRPr="00C11145" w14:paraId="230E51B3" w14:textId="2BA223D4" w:rsidTr="00EC50F1">
        <w:trPr>
          <w:trHeight w:val="113"/>
        </w:trPr>
        <w:tc>
          <w:tcPr>
            <w:tcW w:w="9208" w:type="dxa"/>
            <w:gridSpan w:val="8"/>
          </w:tcPr>
          <w:p w14:paraId="2034C24A" w14:textId="16573BE9" w:rsidR="008D40C6" w:rsidRPr="00C11145" w:rsidRDefault="008D40C6" w:rsidP="00EC50F1">
            <w:pPr>
              <w:keepNext/>
              <w:keepLines/>
              <w:widowControl w:val="0"/>
              <w:jc w:val="left"/>
              <w:rPr>
                <w:rFonts w:ascii="Arial Narrow" w:hAnsi="Arial Narrow" w:cs="Times New Roman"/>
                <w:b/>
                <w:bCs/>
                <w:snapToGrid w:val="0"/>
                <w:sz w:val="20"/>
              </w:rPr>
            </w:pPr>
            <w:r w:rsidRPr="00C11145">
              <w:rPr>
                <w:rFonts w:ascii="Arial Narrow" w:hAnsi="Arial Narrow" w:cs="Times New Roman"/>
                <w:b/>
                <w:bCs/>
                <w:snapToGrid w:val="0"/>
                <w:sz w:val="20"/>
              </w:rPr>
              <w:t xml:space="preserve">Distant recurrence of localised bladder cancer post cystectomy (base case: 35%) </w:t>
            </w:r>
          </w:p>
        </w:tc>
      </w:tr>
      <w:tr w:rsidR="008D40C6" w:rsidRPr="00C11145" w14:paraId="62D59293" w14:textId="009219AD" w:rsidTr="00EC50F1">
        <w:trPr>
          <w:trHeight w:val="113"/>
        </w:trPr>
        <w:tc>
          <w:tcPr>
            <w:tcW w:w="2263" w:type="dxa"/>
          </w:tcPr>
          <w:p w14:paraId="7760F812" w14:textId="2860414F"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 xml:space="preserve">22% </w:t>
            </w:r>
          </w:p>
        </w:tc>
        <w:tc>
          <w:tcPr>
            <w:tcW w:w="993" w:type="dxa"/>
          </w:tcPr>
          <w:p w14:paraId="5E19C5A5" w14:textId="79D1652F"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5"/>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5"/>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1DC03591" w14:textId="51575623"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4"/>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4"/>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71D3C15B" w14:textId="46AE445E"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3"/>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3"/>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63ADBD69" w14:textId="1F42670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2"/>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2"/>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3" w:type="dxa"/>
          </w:tcPr>
          <w:p w14:paraId="1B486101" w14:textId="77556314"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8"/>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8"/>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42BE2081" w14:textId="7DA89154"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7"/>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7"/>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1" w:type="dxa"/>
          </w:tcPr>
          <w:p w14:paraId="12F1D719" w14:textId="64F405DF"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-9%</w:t>
            </w:r>
          </w:p>
        </w:tc>
      </w:tr>
      <w:tr w:rsidR="008D40C6" w:rsidRPr="00C11145" w14:paraId="365CDF5A" w14:textId="3E343445" w:rsidTr="00EC50F1">
        <w:trPr>
          <w:trHeight w:val="113"/>
        </w:trPr>
        <w:tc>
          <w:tcPr>
            <w:tcW w:w="2263" w:type="dxa"/>
          </w:tcPr>
          <w:p w14:paraId="36650FF5" w14:textId="2A56BF77"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45%</w:t>
            </w:r>
          </w:p>
        </w:tc>
        <w:tc>
          <w:tcPr>
            <w:tcW w:w="993" w:type="dxa"/>
          </w:tcPr>
          <w:p w14:paraId="5E21FBD3" w14:textId="7EA78442"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6"/>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6"/>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58C6B4FA" w14:textId="0C275799"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5"/>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5"/>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5A19C72A" w14:textId="2D6E57F7"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4"/>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4"/>
                <w14:textFill>
                  <w14:solidFill>
                    <w14:srgbClr w14:val="000000">
                      <w14:alpha w14:val="100000"/>
                    </w14:srgbClr>
                  </w14:solidFill>
                </w14:textFill>
              </w:rPr>
              <w:t>|</w:t>
            </w:r>
            <w:r w:rsidR="00AF3F6D" w:rsidRPr="00E36DB9">
              <w:rPr>
                <w:rFonts w:ascii="Arial Narrow" w:hAnsi="Arial Narrow" w:cs="Times New Roman"/>
                <w:snapToGrid w:val="0"/>
                <w:sz w:val="20"/>
                <w:vertAlign w:val="superscript"/>
              </w:rPr>
              <w:t>1</w:t>
            </w:r>
          </w:p>
        </w:tc>
        <w:tc>
          <w:tcPr>
            <w:tcW w:w="992" w:type="dxa"/>
          </w:tcPr>
          <w:p w14:paraId="29FA8920" w14:textId="62F5A8A9"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3"/>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3"/>
                <w14:textFill>
                  <w14:solidFill>
                    <w14:srgbClr w14:val="000000">
                      <w14:alpha w14:val="100000"/>
                    </w14:srgbClr>
                  </w14:solidFill>
                </w14:textFill>
              </w:rPr>
              <w:t>|</w:t>
            </w:r>
            <w:r w:rsidR="00AF3F6D" w:rsidRPr="00450C49">
              <w:rPr>
                <w:rFonts w:ascii="Arial Narrow" w:hAnsi="Arial Narrow" w:cs="Times New Roman"/>
                <w:b/>
                <w:bCs/>
                <w:snapToGrid w:val="0"/>
                <w:sz w:val="20"/>
                <w:vertAlign w:val="superscript"/>
              </w:rPr>
              <w:t>2</w:t>
            </w:r>
          </w:p>
        </w:tc>
        <w:tc>
          <w:tcPr>
            <w:tcW w:w="993" w:type="dxa"/>
          </w:tcPr>
          <w:p w14:paraId="0B6B5590" w14:textId="7B4C845D"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2"/>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2"/>
                <w14:textFill>
                  <w14:solidFill>
                    <w14:srgbClr w14:val="000000">
                      <w14:alpha w14:val="100000"/>
                    </w14:srgbClr>
                  </w14:solidFill>
                </w14:textFill>
              </w:rPr>
              <w:t>|</w:t>
            </w:r>
            <w:r w:rsidR="00AF3F6D" w:rsidRPr="00450C49">
              <w:rPr>
                <w:rFonts w:ascii="Arial Narrow" w:hAnsi="Arial Narrow" w:cs="Times New Roman"/>
                <w:b/>
                <w:bCs/>
                <w:snapToGrid w:val="0"/>
                <w:sz w:val="20"/>
                <w:vertAlign w:val="superscript"/>
              </w:rPr>
              <w:t>2</w:t>
            </w:r>
          </w:p>
        </w:tc>
        <w:tc>
          <w:tcPr>
            <w:tcW w:w="992" w:type="dxa"/>
          </w:tcPr>
          <w:p w14:paraId="2FBE2CFC" w14:textId="7BFB1BA5"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1"/>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1"/>
                <w14:textFill>
                  <w14:solidFill>
                    <w14:srgbClr w14:val="000000">
                      <w14:alpha w14:val="100000"/>
                    </w14:srgbClr>
                  </w14:solidFill>
                </w14:textFill>
              </w:rPr>
              <w:t>|</w:t>
            </w:r>
            <w:r w:rsidR="00AF3F6D" w:rsidRPr="00450C49">
              <w:rPr>
                <w:rFonts w:ascii="Arial Narrow" w:hAnsi="Arial Narrow" w:cs="Times New Roman"/>
                <w:b/>
                <w:bCs/>
                <w:snapToGrid w:val="0"/>
                <w:sz w:val="20"/>
                <w:vertAlign w:val="superscript"/>
              </w:rPr>
              <w:t>2</w:t>
            </w:r>
          </w:p>
        </w:tc>
        <w:tc>
          <w:tcPr>
            <w:tcW w:w="991" w:type="dxa"/>
          </w:tcPr>
          <w:p w14:paraId="2DD097D0" w14:textId="6B5BDCD8"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6%</w:t>
            </w:r>
          </w:p>
        </w:tc>
      </w:tr>
      <w:tr w:rsidR="008D40C6" w:rsidRPr="00C11145" w14:paraId="60C20688" w14:textId="69EB1825" w:rsidTr="00EC50F1">
        <w:trPr>
          <w:trHeight w:val="113"/>
        </w:trPr>
        <w:tc>
          <w:tcPr>
            <w:tcW w:w="2263" w:type="dxa"/>
          </w:tcPr>
          <w:p w14:paraId="23F162E7" w14:textId="0E1A7C9E"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 xml:space="preserve">54% </w:t>
            </w:r>
          </w:p>
        </w:tc>
        <w:tc>
          <w:tcPr>
            <w:tcW w:w="993" w:type="dxa"/>
          </w:tcPr>
          <w:p w14:paraId="7E6BFE46" w14:textId="46D3FB56"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0"/>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0"/>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1006B2C7" w14:textId="5F44F0D0"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9"/>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9"/>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6C052CC5" w14:textId="483B5863"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8"/>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8"/>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1D936F6A" w14:textId="694F7461"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7"/>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7"/>
                <w14:textFill>
                  <w14:solidFill>
                    <w14:srgbClr w14:val="000000">
                      <w14:alpha w14:val="100000"/>
                    </w14:srgbClr>
                  </w14:solidFill>
                </w14:textFill>
              </w:rPr>
              <w:t>|</w:t>
            </w:r>
            <w:r w:rsidR="00CA3810" w:rsidRPr="00450C49">
              <w:rPr>
                <w:rFonts w:ascii="Arial Narrow" w:hAnsi="Arial Narrow" w:cs="Times New Roman"/>
                <w:b/>
                <w:bCs/>
                <w:snapToGrid w:val="0"/>
                <w:sz w:val="20"/>
                <w:vertAlign w:val="superscript"/>
              </w:rPr>
              <w:t>2</w:t>
            </w:r>
          </w:p>
        </w:tc>
        <w:tc>
          <w:tcPr>
            <w:tcW w:w="993" w:type="dxa"/>
          </w:tcPr>
          <w:p w14:paraId="3C25F413" w14:textId="3F6CC98A"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6"/>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6"/>
                <w14:textFill>
                  <w14:solidFill>
                    <w14:srgbClr w14:val="000000">
                      <w14:alpha w14:val="100000"/>
                    </w14:srgbClr>
                  </w14:solidFill>
                </w14:textFill>
              </w:rPr>
              <w:t>|</w:t>
            </w:r>
            <w:r w:rsidR="00CA3810" w:rsidRPr="00450C49">
              <w:rPr>
                <w:rFonts w:ascii="Arial Narrow" w:hAnsi="Arial Narrow" w:cs="Times New Roman"/>
                <w:b/>
                <w:bCs/>
                <w:snapToGrid w:val="0"/>
                <w:sz w:val="20"/>
                <w:vertAlign w:val="superscript"/>
              </w:rPr>
              <w:t>2</w:t>
            </w:r>
          </w:p>
        </w:tc>
        <w:tc>
          <w:tcPr>
            <w:tcW w:w="992" w:type="dxa"/>
          </w:tcPr>
          <w:p w14:paraId="17114A15" w14:textId="171213B4"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5"/>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5"/>
                <w14:textFill>
                  <w14:solidFill>
                    <w14:srgbClr w14:val="000000">
                      <w14:alpha w14:val="100000"/>
                    </w14:srgbClr>
                  </w14:solidFill>
                </w14:textFill>
              </w:rPr>
              <w:t>|</w:t>
            </w:r>
            <w:r w:rsidR="00CA3810" w:rsidRPr="00450C49">
              <w:rPr>
                <w:rFonts w:ascii="Arial Narrow" w:hAnsi="Arial Narrow" w:cs="Times New Roman"/>
                <w:b/>
                <w:bCs/>
                <w:snapToGrid w:val="0"/>
                <w:sz w:val="20"/>
                <w:vertAlign w:val="superscript"/>
              </w:rPr>
              <w:t>2</w:t>
            </w:r>
          </w:p>
        </w:tc>
        <w:tc>
          <w:tcPr>
            <w:tcW w:w="991" w:type="dxa"/>
          </w:tcPr>
          <w:p w14:paraId="0D53BE8E" w14:textId="2D567C4B"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11%</w:t>
            </w:r>
          </w:p>
        </w:tc>
      </w:tr>
      <w:tr w:rsidR="008D40C6" w:rsidRPr="00C11145" w14:paraId="15F46475" w14:textId="2CCA5D81" w:rsidTr="00EC50F1">
        <w:trPr>
          <w:trHeight w:val="113"/>
        </w:trPr>
        <w:tc>
          <w:tcPr>
            <w:tcW w:w="9208" w:type="dxa"/>
            <w:gridSpan w:val="8"/>
          </w:tcPr>
          <w:p w14:paraId="0E816B0C" w14:textId="4F9BF31C" w:rsidR="008D40C6" w:rsidRPr="00C11145" w:rsidRDefault="008D40C6" w:rsidP="00EC50F1">
            <w:pPr>
              <w:keepNext/>
              <w:keepLines/>
              <w:widowControl w:val="0"/>
              <w:jc w:val="left"/>
              <w:rPr>
                <w:rFonts w:ascii="Arial Narrow" w:hAnsi="Arial Narrow" w:cs="Times New Roman"/>
                <w:b/>
                <w:bCs/>
                <w:snapToGrid w:val="0"/>
                <w:sz w:val="20"/>
              </w:rPr>
            </w:pPr>
            <w:r w:rsidRPr="00C11145">
              <w:rPr>
                <w:rFonts w:ascii="Arial Narrow" w:hAnsi="Arial Narrow" w:cs="Times New Roman"/>
                <w:b/>
                <w:bCs/>
                <w:snapToGrid w:val="0"/>
                <w:sz w:val="20"/>
              </w:rPr>
              <w:t xml:space="preserve">Distant metastasis post-RNU in patients with localised renal pelvis, ureteral and urethral cancers (base case: 16.64%) </w:t>
            </w:r>
          </w:p>
        </w:tc>
      </w:tr>
      <w:tr w:rsidR="008D40C6" w:rsidRPr="00C11145" w14:paraId="59D69AD3" w14:textId="665CCF6C" w:rsidTr="00EC50F1">
        <w:trPr>
          <w:trHeight w:val="113"/>
        </w:trPr>
        <w:tc>
          <w:tcPr>
            <w:tcW w:w="2263" w:type="dxa"/>
          </w:tcPr>
          <w:p w14:paraId="5BBE9FB7" w14:textId="2CB7D9EC"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10%</w:t>
            </w:r>
          </w:p>
        </w:tc>
        <w:tc>
          <w:tcPr>
            <w:tcW w:w="993" w:type="dxa"/>
          </w:tcPr>
          <w:p w14:paraId="3B0206B3" w14:textId="166B114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4"/>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4"/>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57C7C4FC" w14:textId="05A757E5"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3"/>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3"/>
                <w14:textFill>
                  <w14:solidFill>
                    <w14:srgbClr w14:val="000000">
                      <w14:alpha w14:val="100000"/>
                    </w14:srgbClr>
                  </w14:solidFill>
                </w14:textFill>
              </w:rPr>
              <w:t>|</w:t>
            </w:r>
            <w:r w:rsidR="008221A2" w:rsidRPr="00450C49">
              <w:rPr>
                <w:rFonts w:ascii="Arial Narrow" w:hAnsi="Arial Narrow" w:cs="Times New Roman"/>
                <w:b/>
                <w:bCs/>
                <w:snapToGrid w:val="0"/>
                <w:sz w:val="20"/>
                <w:vertAlign w:val="superscript"/>
              </w:rPr>
              <w:t>1</w:t>
            </w:r>
          </w:p>
        </w:tc>
        <w:tc>
          <w:tcPr>
            <w:tcW w:w="992" w:type="dxa"/>
          </w:tcPr>
          <w:p w14:paraId="25DCEE16" w14:textId="3CE18F36"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52"/>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52"/>
                <w14:textFill>
                  <w14:solidFill>
                    <w14:srgbClr w14:val="000000">
                      <w14:alpha w14:val="100000"/>
                    </w14:srgbClr>
                  </w14:solidFill>
                </w14:textFill>
              </w:rPr>
              <w:t>|</w:t>
            </w:r>
            <w:r w:rsidR="00745E9F" w:rsidRPr="00450C49">
              <w:rPr>
                <w:rFonts w:ascii="Arial Narrow" w:hAnsi="Arial Narrow" w:cs="Times New Roman"/>
                <w:b/>
                <w:bCs/>
                <w:snapToGrid w:val="0"/>
                <w:sz w:val="20"/>
                <w:vertAlign w:val="superscript"/>
              </w:rPr>
              <w:t>1</w:t>
            </w:r>
            <w:r w:rsidR="008221A2" w:rsidRPr="00450C49">
              <w:rPr>
                <w:rFonts w:ascii="Arial Narrow" w:hAnsi="Arial Narrow" w:cs="Times New Roman"/>
                <w:b/>
                <w:bCs/>
                <w:snapToGrid w:val="0"/>
                <w:sz w:val="20"/>
                <w:vertAlign w:val="superscript"/>
              </w:rPr>
              <w:t>1</w:t>
            </w:r>
          </w:p>
        </w:tc>
        <w:tc>
          <w:tcPr>
            <w:tcW w:w="992" w:type="dxa"/>
          </w:tcPr>
          <w:p w14:paraId="27A6831B" w14:textId="06513DFB"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8"/>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8"/>
                <w14:textFill>
                  <w14:solidFill>
                    <w14:srgbClr w14:val="000000">
                      <w14:alpha w14:val="100000"/>
                    </w14:srgbClr>
                  </w14:solidFill>
                </w14:textFill>
              </w:rPr>
              <w:t>|</w:t>
            </w:r>
            <w:r w:rsidR="00745E9F" w:rsidRPr="00450C49">
              <w:rPr>
                <w:rFonts w:ascii="Arial Narrow" w:hAnsi="Arial Narrow" w:cs="Times New Roman"/>
                <w:b/>
                <w:bCs/>
                <w:snapToGrid w:val="0"/>
                <w:sz w:val="20"/>
                <w:vertAlign w:val="superscript"/>
              </w:rPr>
              <w:t>1</w:t>
            </w:r>
          </w:p>
        </w:tc>
        <w:tc>
          <w:tcPr>
            <w:tcW w:w="993" w:type="dxa"/>
          </w:tcPr>
          <w:p w14:paraId="3A0076BB" w14:textId="59147583"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7"/>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7"/>
                <w14:textFill>
                  <w14:solidFill>
                    <w14:srgbClr w14:val="000000">
                      <w14:alpha w14:val="100000"/>
                    </w14:srgbClr>
                  </w14:solidFill>
                </w14:textFill>
              </w:rPr>
              <w:t>|</w:t>
            </w:r>
            <w:r w:rsidR="00CA3810" w:rsidRPr="00450C49">
              <w:rPr>
                <w:rFonts w:ascii="Arial Narrow" w:hAnsi="Arial Narrow" w:cs="Times New Roman"/>
                <w:b/>
                <w:bCs/>
                <w:snapToGrid w:val="0"/>
                <w:sz w:val="20"/>
                <w:vertAlign w:val="superscript"/>
              </w:rPr>
              <w:t>2</w:t>
            </w:r>
          </w:p>
        </w:tc>
        <w:tc>
          <w:tcPr>
            <w:tcW w:w="992" w:type="dxa"/>
          </w:tcPr>
          <w:p w14:paraId="3ED7A832" w14:textId="6A273EC8"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6"/>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6"/>
                <w14:textFill>
                  <w14:solidFill>
                    <w14:srgbClr w14:val="000000">
                      <w14:alpha w14:val="100000"/>
                    </w14:srgbClr>
                  </w14:solidFill>
                </w14:textFill>
              </w:rPr>
              <w:t>|</w:t>
            </w:r>
            <w:r w:rsidR="00CA3810" w:rsidRPr="00450C49">
              <w:rPr>
                <w:rFonts w:ascii="Arial Narrow" w:hAnsi="Arial Narrow" w:cs="Times New Roman"/>
                <w:b/>
                <w:bCs/>
                <w:snapToGrid w:val="0"/>
                <w:sz w:val="20"/>
                <w:vertAlign w:val="superscript"/>
              </w:rPr>
              <w:t>2</w:t>
            </w:r>
          </w:p>
        </w:tc>
        <w:tc>
          <w:tcPr>
            <w:tcW w:w="991" w:type="dxa"/>
          </w:tcPr>
          <w:p w14:paraId="725C4BD8" w14:textId="65D2E309"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-1%</w:t>
            </w:r>
          </w:p>
        </w:tc>
      </w:tr>
      <w:tr w:rsidR="008D40C6" w:rsidRPr="00C11145" w14:paraId="5B0E404C" w14:textId="74007467" w:rsidTr="00EC50F1">
        <w:trPr>
          <w:trHeight w:val="113"/>
        </w:trPr>
        <w:tc>
          <w:tcPr>
            <w:tcW w:w="2263" w:type="dxa"/>
          </w:tcPr>
          <w:p w14:paraId="18FE6626" w14:textId="1A0AC669"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 xml:space="preserve">20% </w:t>
            </w:r>
          </w:p>
        </w:tc>
        <w:tc>
          <w:tcPr>
            <w:tcW w:w="993" w:type="dxa"/>
          </w:tcPr>
          <w:p w14:paraId="72A17CF2" w14:textId="43242EA8"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5"/>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5"/>
                <w14:textFill>
                  <w14:solidFill>
                    <w14:srgbClr w14:val="000000">
                      <w14:alpha w14:val="100000"/>
                    </w14:srgbClr>
                  </w14:solidFill>
                </w14:textFill>
              </w:rPr>
              <w:t>|</w:t>
            </w:r>
            <w:r w:rsidR="00CA3810" w:rsidRPr="00E36DB9">
              <w:rPr>
                <w:rFonts w:ascii="Arial Narrow" w:hAnsi="Arial Narrow" w:cs="Times New Roman"/>
                <w:snapToGrid w:val="0"/>
                <w:sz w:val="20"/>
                <w:vertAlign w:val="superscript"/>
              </w:rPr>
              <w:t>1</w:t>
            </w:r>
          </w:p>
        </w:tc>
        <w:tc>
          <w:tcPr>
            <w:tcW w:w="992" w:type="dxa"/>
          </w:tcPr>
          <w:p w14:paraId="38433225" w14:textId="1732FFA3"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4"/>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4"/>
                <w14:textFill>
                  <w14:solidFill>
                    <w14:srgbClr w14:val="000000">
                      <w14:alpha w14:val="100000"/>
                    </w14:srgbClr>
                  </w14:solidFill>
                </w14:textFill>
              </w:rPr>
              <w:t>|</w:t>
            </w:r>
            <w:r w:rsidR="00CA3810" w:rsidRPr="00450C49">
              <w:rPr>
                <w:rFonts w:ascii="Arial Narrow" w:hAnsi="Arial Narrow" w:cs="Times New Roman"/>
                <w:snapToGrid w:val="0"/>
                <w:sz w:val="20"/>
                <w:vertAlign w:val="superscript"/>
              </w:rPr>
              <w:t>1</w:t>
            </w:r>
          </w:p>
        </w:tc>
        <w:tc>
          <w:tcPr>
            <w:tcW w:w="992" w:type="dxa"/>
          </w:tcPr>
          <w:p w14:paraId="04E79461" w14:textId="0E29A173"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3"/>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3"/>
                <w14:textFill>
                  <w14:solidFill>
                    <w14:srgbClr w14:val="000000">
                      <w14:alpha w14:val="100000"/>
                    </w14:srgbClr>
                  </w14:solidFill>
                </w14:textFill>
              </w:rPr>
              <w:t>|</w:t>
            </w:r>
            <w:r w:rsidR="00CA3810" w:rsidRPr="00450C49">
              <w:rPr>
                <w:rFonts w:ascii="Arial Narrow" w:hAnsi="Arial Narrow" w:cs="Times New Roman"/>
                <w:snapToGrid w:val="0"/>
                <w:sz w:val="20"/>
                <w:vertAlign w:val="superscript"/>
              </w:rPr>
              <w:t>1</w:t>
            </w:r>
          </w:p>
        </w:tc>
        <w:tc>
          <w:tcPr>
            <w:tcW w:w="992" w:type="dxa"/>
          </w:tcPr>
          <w:p w14:paraId="43340609" w14:textId="29AAF15C"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2"/>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2"/>
                <w14:textFill>
                  <w14:solidFill>
                    <w14:srgbClr w14:val="000000">
                      <w14:alpha w14:val="100000"/>
                    </w14:srgbClr>
                  </w14:solidFill>
                </w14:textFill>
              </w:rPr>
              <w:t>|</w:t>
            </w:r>
            <w:r w:rsidR="00CA3810" w:rsidRPr="00450C49">
              <w:rPr>
                <w:rFonts w:ascii="Arial Narrow" w:hAnsi="Arial Narrow" w:cs="Times New Roman"/>
                <w:snapToGrid w:val="0"/>
                <w:sz w:val="20"/>
                <w:vertAlign w:val="superscript"/>
              </w:rPr>
              <w:t>1</w:t>
            </w:r>
          </w:p>
        </w:tc>
        <w:tc>
          <w:tcPr>
            <w:tcW w:w="993" w:type="dxa"/>
          </w:tcPr>
          <w:p w14:paraId="3DD854F8" w14:textId="375EB23E"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1"/>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1"/>
                <w14:textFill>
                  <w14:solidFill>
                    <w14:srgbClr w14:val="000000">
                      <w14:alpha w14:val="100000"/>
                    </w14:srgbClr>
                  </w14:solidFill>
                </w14:textFill>
              </w:rPr>
              <w:t>|</w:t>
            </w:r>
            <w:r w:rsidR="00CA3810" w:rsidRPr="00450C49">
              <w:rPr>
                <w:rFonts w:ascii="Arial Narrow" w:hAnsi="Arial Narrow" w:cs="Times New Roman"/>
                <w:b/>
                <w:bCs/>
                <w:snapToGrid w:val="0"/>
                <w:sz w:val="20"/>
                <w:vertAlign w:val="superscript"/>
              </w:rPr>
              <w:t>2</w:t>
            </w:r>
          </w:p>
        </w:tc>
        <w:tc>
          <w:tcPr>
            <w:tcW w:w="992" w:type="dxa"/>
          </w:tcPr>
          <w:p w14:paraId="2F4095CC" w14:textId="20DAC820" w:rsidR="008D40C6" w:rsidRPr="00E36DB9" w:rsidRDefault="001F54E0" w:rsidP="00EC50F1">
            <w:pPr>
              <w:keepNext/>
              <w:keepLines/>
              <w:widowControl w:val="0"/>
              <w:jc w:val="left"/>
              <w:rPr>
                <w:rFonts w:ascii="Arial Narrow" w:hAnsi="Arial Narrow" w:cs="Times New Roman"/>
                <w:snapToGrid w:val="0"/>
                <w:sz w:val="20"/>
                <w:highlight w:val="darkGray"/>
              </w:rPr>
            </w:pPr>
            <w:r w:rsidRPr="001F54E0">
              <w:rPr>
                <w:rFonts w:ascii="Arial Narrow" w:hAnsi="Arial Narrow" w:cs="Times New Roman"/>
                <w:snapToGrid w:val="0"/>
                <w:color w:val="000000"/>
                <w:spacing w:val="56"/>
                <w:sz w:val="20"/>
                <w:shd w:val="solid" w:color="000000" w:fill="000000"/>
                <w:fitText w:val="340" w:id="-761018360"/>
                <w14:textFill>
                  <w14:solidFill>
                    <w14:srgbClr w14:val="000000">
                      <w14:alpha w14:val="100000"/>
                    </w14:srgbClr>
                  </w14:solidFill>
                </w14:textFill>
              </w:rPr>
              <w:t>|||</w:t>
            </w:r>
            <w:r w:rsidRPr="001F54E0">
              <w:rPr>
                <w:rFonts w:ascii="Arial Narrow" w:hAnsi="Arial Narrow" w:cs="Times New Roman"/>
                <w:snapToGrid w:val="0"/>
                <w:color w:val="000000"/>
                <w:spacing w:val="2"/>
                <w:sz w:val="20"/>
                <w:shd w:val="solid" w:color="000000" w:fill="000000"/>
                <w:fitText w:val="340" w:id="-761018360"/>
                <w14:textFill>
                  <w14:solidFill>
                    <w14:srgbClr w14:val="000000">
                      <w14:alpha w14:val="100000"/>
                    </w14:srgbClr>
                  </w14:solidFill>
                </w14:textFill>
              </w:rPr>
              <w:t>|</w:t>
            </w:r>
            <w:r w:rsidR="00CA3810" w:rsidRPr="00450C49">
              <w:rPr>
                <w:rFonts w:ascii="Arial Narrow" w:hAnsi="Arial Narrow" w:cs="Times New Roman"/>
                <w:b/>
                <w:bCs/>
                <w:snapToGrid w:val="0"/>
                <w:sz w:val="20"/>
                <w:vertAlign w:val="superscript"/>
              </w:rPr>
              <w:t>2</w:t>
            </w:r>
          </w:p>
        </w:tc>
        <w:tc>
          <w:tcPr>
            <w:tcW w:w="991" w:type="dxa"/>
          </w:tcPr>
          <w:p w14:paraId="5BBF7592" w14:textId="29BDDE28" w:rsidR="008D40C6" w:rsidRPr="00C11145" w:rsidRDefault="008D40C6" w:rsidP="00EC50F1">
            <w:pPr>
              <w:keepNext/>
              <w:keepLines/>
              <w:widowControl w:val="0"/>
              <w:jc w:val="left"/>
              <w:rPr>
                <w:rFonts w:ascii="Arial Narrow" w:hAnsi="Arial Narrow" w:cs="Times New Roman"/>
                <w:snapToGrid w:val="0"/>
                <w:sz w:val="20"/>
              </w:rPr>
            </w:pPr>
            <w:r w:rsidRPr="00C11145">
              <w:rPr>
                <w:rFonts w:ascii="Arial Narrow" w:hAnsi="Arial Narrow" w:cs="Times New Roman"/>
                <w:snapToGrid w:val="0"/>
                <w:sz w:val="20"/>
              </w:rPr>
              <w:t>-</w:t>
            </w:r>
          </w:p>
        </w:tc>
      </w:tr>
    </w:tbl>
    <w:p w14:paraId="4CC590C8" w14:textId="20CFE515" w:rsidR="008D40C6" w:rsidRPr="00E273AF" w:rsidRDefault="008D40C6" w:rsidP="00EC50F1">
      <w:pPr>
        <w:keepNext/>
        <w:keepLines/>
        <w:spacing w:after="120"/>
        <w:contextualSpacing/>
        <w:rPr>
          <w:rFonts w:ascii="Arial Narrow" w:hAnsi="Arial Narrow"/>
          <w:snapToGrid w:val="0"/>
          <w:sz w:val="18"/>
          <w:szCs w:val="22"/>
        </w:rPr>
      </w:pPr>
      <w:r w:rsidRPr="00E273AF">
        <w:rPr>
          <w:rFonts w:ascii="Arial Narrow" w:hAnsi="Arial Narrow"/>
          <w:snapToGrid w:val="0"/>
          <w:sz w:val="18"/>
          <w:szCs w:val="22"/>
        </w:rPr>
        <w:t>Source: tabulated during the evaluation, from Table 4-19, p128 of the submission and from the “Attachment 4.1 EV and PEM budget impact model” workbook included in the submission.</w:t>
      </w:r>
    </w:p>
    <w:p w14:paraId="74BA4329" w14:textId="77777777" w:rsidR="007B06B1" w:rsidRDefault="008D40C6" w:rsidP="00EC50F1">
      <w:pPr>
        <w:keepNext/>
        <w:keepLines/>
        <w:spacing w:after="120"/>
        <w:contextualSpacing/>
        <w:rPr>
          <w:rFonts w:ascii="Arial Narrow" w:hAnsi="Arial Narrow"/>
          <w:snapToGrid w:val="0"/>
          <w:sz w:val="18"/>
          <w:szCs w:val="22"/>
        </w:rPr>
      </w:pPr>
      <w:r w:rsidRPr="00E273AF">
        <w:rPr>
          <w:rFonts w:ascii="Arial Narrow" w:hAnsi="Arial Narrow"/>
          <w:snapToGrid w:val="0"/>
          <w:sz w:val="18"/>
          <w:szCs w:val="22"/>
        </w:rPr>
        <w:t>3L = Third line; CI = Confidence interval; CIS = Carcinoma in situ; EV = Enfortumab vedotin; PBC = platinum-based chemotherapy; PBS = Pharmaceutical Benefits Scheme; PEM = Pembrolizumab; RPBS = Repatriation Schedule of Pharmaceutical Benefits; SEER = Surveillance, Epidemiology, and End Results; la/mUC = Locally advanced or metastatic urothelial cancer</w:t>
      </w:r>
      <w:r w:rsidR="001D64F1">
        <w:rPr>
          <w:rFonts w:ascii="Arial Narrow" w:hAnsi="Arial Narrow"/>
          <w:snapToGrid w:val="0"/>
          <w:sz w:val="18"/>
          <w:szCs w:val="22"/>
        </w:rPr>
        <w:br/>
      </w:r>
      <w:r w:rsidR="001D64F1">
        <w:rPr>
          <w:rFonts w:ascii="Arial Narrow" w:hAnsi="Arial Narrow"/>
          <w:snapToGrid w:val="0"/>
          <w:sz w:val="18"/>
          <w:szCs w:val="22"/>
          <w:vertAlign w:val="superscript"/>
        </w:rPr>
        <w:t xml:space="preserve">a </w:t>
      </w:r>
      <w:r w:rsidR="001D64F1">
        <w:rPr>
          <w:rFonts w:ascii="Arial Narrow" w:hAnsi="Arial Narrow"/>
          <w:snapToGrid w:val="0"/>
          <w:sz w:val="18"/>
          <w:szCs w:val="22"/>
        </w:rPr>
        <w:t xml:space="preserve">Calculated during the preparation of the ESC </w:t>
      </w:r>
      <w:r w:rsidR="002416C4">
        <w:rPr>
          <w:rFonts w:ascii="Arial Narrow" w:hAnsi="Arial Narrow"/>
          <w:snapToGrid w:val="0"/>
          <w:sz w:val="18"/>
          <w:szCs w:val="22"/>
        </w:rPr>
        <w:t>advice</w:t>
      </w:r>
      <w:r w:rsidR="007B06B1">
        <w:rPr>
          <w:rFonts w:ascii="Arial Narrow" w:hAnsi="Arial Narrow"/>
          <w:snapToGrid w:val="0"/>
          <w:sz w:val="18"/>
          <w:szCs w:val="22"/>
        </w:rPr>
        <w:t xml:space="preserve"> </w:t>
      </w:r>
    </w:p>
    <w:p w14:paraId="10C6095E" w14:textId="19E15659" w:rsidR="007B06B1" w:rsidRPr="00836BF4" w:rsidRDefault="007B06B1" w:rsidP="00EC50F1">
      <w:pPr>
        <w:keepNext/>
        <w:keepLines/>
        <w:spacing w:after="120"/>
        <w:contextualSpacing/>
        <w:rPr>
          <w:rFonts w:ascii="Arial Narrow" w:hAnsi="Arial Narrow"/>
          <w:i/>
          <w:iCs/>
          <w:snapToGrid w:val="0"/>
          <w:sz w:val="18"/>
          <w:szCs w:val="22"/>
        </w:rPr>
      </w:pPr>
      <w:r w:rsidRPr="00836BF4">
        <w:rPr>
          <w:rFonts w:ascii="Arial Narrow" w:hAnsi="Arial Narrow"/>
          <w:i/>
          <w:iCs/>
          <w:snapToGrid w:val="0"/>
          <w:sz w:val="18"/>
          <w:szCs w:val="22"/>
        </w:rPr>
        <w:t>The redacted values correspond to the following ranges:</w:t>
      </w:r>
    </w:p>
    <w:p w14:paraId="7FD7AB50" w14:textId="5621B93A" w:rsidR="007B06B1" w:rsidRPr="00836BF4" w:rsidRDefault="007B06B1" w:rsidP="007B06B1">
      <w:pPr>
        <w:keepLines/>
        <w:spacing w:after="120"/>
        <w:contextualSpacing/>
        <w:jc w:val="left"/>
        <w:rPr>
          <w:rFonts w:ascii="Arial Narrow" w:hAnsi="Arial Narrow"/>
          <w:i/>
          <w:iCs/>
          <w:snapToGrid w:val="0"/>
          <w:sz w:val="18"/>
          <w:szCs w:val="22"/>
        </w:rPr>
      </w:pPr>
      <w:r w:rsidRPr="00836BF4">
        <w:rPr>
          <w:rFonts w:ascii="Arial Narrow" w:hAnsi="Arial Narrow"/>
          <w:i/>
          <w:iCs/>
          <w:snapToGrid w:val="0"/>
          <w:sz w:val="18"/>
          <w:szCs w:val="22"/>
        </w:rPr>
        <w:t>1 $200 million to &lt; $300 million</w:t>
      </w:r>
    </w:p>
    <w:p w14:paraId="0FD40D48" w14:textId="4DB3FE49" w:rsidR="007B06B1" w:rsidRPr="00836BF4" w:rsidRDefault="007B06B1" w:rsidP="00836BF4">
      <w:pPr>
        <w:keepLines/>
        <w:contextualSpacing/>
        <w:jc w:val="left"/>
        <w:rPr>
          <w:rFonts w:ascii="Arial Narrow" w:hAnsi="Arial Narrow"/>
          <w:i/>
          <w:iCs/>
          <w:snapToGrid w:val="0"/>
          <w:sz w:val="18"/>
          <w:szCs w:val="22"/>
        </w:rPr>
      </w:pPr>
      <w:r w:rsidRPr="00836BF4">
        <w:rPr>
          <w:rFonts w:ascii="Arial Narrow" w:hAnsi="Arial Narrow"/>
          <w:i/>
          <w:iCs/>
          <w:snapToGrid w:val="0"/>
          <w:sz w:val="18"/>
          <w:szCs w:val="22"/>
        </w:rPr>
        <w:t>2 $300 million to &lt; $400 million</w:t>
      </w:r>
    </w:p>
    <w:p w14:paraId="28096EAE" w14:textId="372399B7" w:rsidR="00836BF4" w:rsidRPr="00836BF4" w:rsidRDefault="002463A1" w:rsidP="00836BF4">
      <w:pPr>
        <w:pStyle w:val="3-BodyText"/>
        <w:numPr>
          <w:ilvl w:val="0"/>
          <w:numId w:val="0"/>
        </w:numPr>
        <w:spacing w:before="0"/>
        <w:ind w:left="720" w:hanging="720"/>
        <w:rPr>
          <w:i/>
          <w:iCs/>
          <w:snapToGrid w:val="0"/>
        </w:rPr>
      </w:pPr>
      <w:r w:rsidRPr="00836BF4">
        <w:rPr>
          <w:rFonts w:ascii="Arial Narrow" w:hAnsi="Arial Narrow"/>
          <w:i/>
          <w:iCs/>
          <w:snapToGrid w:val="0"/>
          <w:sz w:val="18"/>
        </w:rPr>
        <w:t>3 $100 million to &lt; $200 million</w:t>
      </w:r>
    </w:p>
    <w:p w14:paraId="6386BDF0" w14:textId="422BDEA6" w:rsidR="00FD42A9" w:rsidRPr="001A6405" w:rsidRDefault="008D40C6" w:rsidP="008D40C6">
      <w:pPr>
        <w:pStyle w:val="3-BodyText"/>
        <w:rPr>
          <w:i/>
          <w:iCs/>
          <w:snapToGrid w:val="0"/>
        </w:rPr>
      </w:pPr>
      <w:r w:rsidRPr="00C11145">
        <w:rPr>
          <w:snapToGrid w:val="0"/>
        </w:rPr>
        <w:t xml:space="preserve">The </w:t>
      </w:r>
      <w:r w:rsidR="001A6405" w:rsidRPr="005D3209">
        <w:rPr>
          <w:snapToGrid w:val="0"/>
        </w:rPr>
        <w:t xml:space="preserve">evaluation noted that the </w:t>
      </w:r>
      <w:r w:rsidRPr="005D3209">
        <w:rPr>
          <w:snapToGrid w:val="0"/>
        </w:rPr>
        <w:t xml:space="preserve">number of treated patients is sensitive to the rates of progression to distant metastases in carcinoma in situs and localised bladder cancer. </w:t>
      </w:r>
      <w:r w:rsidR="00FD42A9" w:rsidRPr="005D3209">
        <w:t>The PSCR acknowledged the challenges associated with accurately calculating the number of la/mUC patients in Australia and argued that with the paucity of data to support more definitive values the progression rates were reasonable.</w:t>
      </w:r>
    </w:p>
    <w:p w14:paraId="6545AAF5" w14:textId="23C9E371" w:rsidR="008D40C6" w:rsidRDefault="004D15CC" w:rsidP="008259E2">
      <w:pPr>
        <w:pStyle w:val="3-BodyText"/>
        <w:rPr>
          <w:i/>
          <w:iCs/>
        </w:rPr>
      </w:pPr>
      <w:r w:rsidRPr="006C524E">
        <w:rPr>
          <w:snapToGrid w:val="0"/>
        </w:rPr>
        <w:t>The evaluation also noted the</w:t>
      </w:r>
      <w:r w:rsidR="008D40C6" w:rsidRPr="00C11145">
        <w:rPr>
          <w:snapToGrid w:val="0"/>
        </w:rPr>
        <w:t xml:space="preserve"> net cost to the PBS/RPBS is moderately sensitive to the duration of subsequent treatment with </w:t>
      </w:r>
      <w:r w:rsidR="00CB4811">
        <w:rPr>
          <w:snapToGrid w:val="0"/>
        </w:rPr>
        <w:t>third-line</w:t>
      </w:r>
      <w:r w:rsidR="008D40C6" w:rsidRPr="00C11145">
        <w:rPr>
          <w:snapToGrid w:val="0"/>
        </w:rPr>
        <w:t xml:space="preserve"> EV and highly sensitive to the duration of treatment of avelumab maintenance therapy.</w:t>
      </w:r>
      <w:r w:rsidR="008D40C6">
        <w:rPr>
          <w:i/>
          <w:iCs/>
          <w:snapToGrid w:val="0"/>
        </w:rPr>
        <w:t xml:space="preserve"> </w:t>
      </w:r>
      <w:r w:rsidR="002F722E" w:rsidRPr="005D3209">
        <w:t xml:space="preserve">The PSCR noted that EV-301 data was used to support the duration of subsequent treatment with EV monotherapy in the third line setting and argued that this was reasonable in light of the small proportion of patients who had progressed to third-line in the EV-302 trial. In addition, </w:t>
      </w:r>
      <w:r w:rsidR="002F722E" w:rsidRPr="005D3209">
        <w:lastRenderedPageBreak/>
        <w:t xml:space="preserve">the PSCR noted the duration of subsequent avelumab treatment is based on trial data from EV-302 and argued that this more representative of use in this population than using an external source of data. </w:t>
      </w:r>
      <w:r w:rsidR="002B5BE8" w:rsidRPr="005D3209">
        <w:t>The ESC considered the duration of treatment for third-line EV may be overestimated but noted it was consistent with the duration used in the economic model.</w:t>
      </w:r>
      <w:r w:rsidR="00055421">
        <w:t xml:space="preserve"> </w:t>
      </w:r>
      <w:r w:rsidR="00055421" w:rsidRPr="00784A26">
        <w:t xml:space="preserve">The pre-PBAC </w:t>
      </w:r>
      <w:r w:rsidR="00784A26" w:rsidRPr="00784A26">
        <w:t>response proposed</w:t>
      </w:r>
      <w:r w:rsidR="005018B2" w:rsidRPr="00784A26">
        <w:t xml:space="preserve"> that the duration of treatment for avelumab and for third-line EV should be consistent with the economic model</w:t>
      </w:r>
      <w:r w:rsidR="005018B2">
        <w:t>.</w:t>
      </w:r>
    </w:p>
    <w:p w14:paraId="0A1D077F" w14:textId="728BEAB1" w:rsidR="002B5BE8" w:rsidRPr="005D3209" w:rsidRDefault="002B5BE8" w:rsidP="008259E2">
      <w:pPr>
        <w:pStyle w:val="3-BodyText"/>
      </w:pPr>
      <w:bookmarkStart w:id="73" w:name="_Ref180163354"/>
      <w:bookmarkStart w:id="74" w:name="_Ref180131956"/>
      <w:r w:rsidRPr="005D3209">
        <w:t xml:space="preserve">The ESC noted the average duration of avelumab treatment was calculated using the Weibull extrapolation of the time on treatment curve as applied in the economic model. However, it did not account for capping by the PFS curve (as described in paragraph </w:t>
      </w:r>
      <w:r w:rsidRPr="005D3209">
        <w:fldChar w:fldCharType="begin" w:fldLock="1"/>
      </w:r>
      <w:r w:rsidRPr="005D3209">
        <w:instrText xml:space="preserve"> REF _Ref180007633 \r \h  \* MERGEFORMAT </w:instrText>
      </w:r>
      <w:r w:rsidRPr="005D3209">
        <w:fldChar w:fldCharType="separate"/>
      </w:r>
      <w:r w:rsidR="00FE0BD6">
        <w:t>6.43</w:t>
      </w:r>
      <w:r w:rsidRPr="005D3209">
        <w:fldChar w:fldCharType="end"/>
      </w:r>
      <w:r w:rsidRPr="005D3209">
        <w:t>).  The ESC considered it would be more appropriate to use an average treatment duration of 12.98 months, consistent with the economic model.</w:t>
      </w:r>
      <w:bookmarkEnd w:id="73"/>
      <w:r w:rsidRPr="005D3209">
        <w:t xml:space="preserve"> </w:t>
      </w:r>
      <w:bookmarkEnd w:id="74"/>
    </w:p>
    <w:p w14:paraId="0540FEC7" w14:textId="3CCE7AFF" w:rsidR="00BC1C41" w:rsidRPr="00BC1C41" w:rsidRDefault="00BC1C41" w:rsidP="008259E2">
      <w:pPr>
        <w:pStyle w:val="3-BodyText"/>
        <w:rPr>
          <w:i/>
          <w:iCs/>
        </w:rPr>
      </w:pPr>
      <w:bookmarkStart w:id="75" w:name="_Hlk180146283"/>
      <w:r w:rsidRPr="005D3209">
        <w:t xml:space="preserve">The ESC noted the number of patients treated with </w:t>
      </w:r>
      <w:r w:rsidR="00AA5CF6">
        <w:t>avelumab</w:t>
      </w:r>
      <w:r w:rsidRPr="005D3209">
        <w:t>, PEM and EV was provided by the DUSC Secretariat (</w:t>
      </w:r>
      <w:r w:rsidRPr="005D3209">
        <w:fldChar w:fldCharType="begin" w:fldLock="1"/>
      </w:r>
      <w:r w:rsidRPr="005D3209">
        <w:instrText xml:space="preserve"> REF _Ref179909877 \h </w:instrText>
      </w:r>
      <w:r w:rsidR="002B5BE8" w:rsidRPr="005D3209">
        <w:instrText xml:space="preserve"> \* MERGEFORMAT </w:instrText>
      </w:r>
      <w:r w:rsidRPr="005D3209">
        <w:fldChar w:fldCharType="separate"/>
      </w:r>
      <w:r w:rsidR="00FE0BD6" w:rsidRPr="006C524E">
        <w:t xml:space="preserve">Table </w:t>
      </w:r>
      <w:r w:rsidR="00FE0BD6">
        <w:t>19</w:t>
      </w:r>
      <w:r w:rsidRPr="005D3209">
        <w:fldChar w:fldCharType="end"/>
      </w:r>
      <w:r w:rsidRPr="005D3209">
        <w:t xml:space="preserve">). </w:t>
      </w:r>
      <w:r w:rsidR="002B5BE8" w:rsidRPr="005D3209">
        <w:t>Data was extracted to 31 August for PBS item codes 11632F, 11646Y, 13122P, 13123Q, 13126W, 13132E, 13634N and 13648H based on the date of supply.</w:t>
      </w:r>
    </w:p>
    <w:p w14:paraId="658F1B74" w14:textId="1BC03BBA" w:rsidR="00BC1C41" w:rsidRPr="006C524E" w:rsidRDefault="00BC1C41" w:rsidP="00BC1C41">
      <w:pPr>
        <w:pStyle w:val="Caption"/>
      </w:pPr>
      <w:bookmarkStart w:id="76" w:name="_Ref179909877"/>
      <w:r w:rsidRPr="006C524E">
        <w:t xml:space="preserve">Table </w:t>
      </w:r>
      <w:r>
        <w:fldChar w:fldCharType="begin" w:fldLock="1"/>
      </w:r>
      <w:r>
        <w:instrText xml:space="preserve"> SEQ Table \* ARABIC </w:instrText>
      </w:r>
      <w:r>
        <w:fldChar w:fldCharType="separate"/>
      </w:r>
      <w:r w:rsidR="00FE0BD6">
        <w:rPr>
          <w:noProof/>
        </w:rPr>
        <w:t>19</w:t>
      </w:r>
      <w:r>
        <w:rPr>
          <w:noProof/>
        </w:rPr>
        <w:fldChar w:fldCharType="end"/>
      </w:r>
      <w:bookmarkEnd w:id="76"/>
      <w:r w:rsidRPr="006C524E">
        <w:t xml:space="preserve">: </w:t>
      </w:r>
      <w:r w:rsidRPr="006C524E">
        <w:rPr>
          <w:szCs w:val="20"/>
        </w:rPr>
        <w:t>Number of incident patients treated (as per data provided by DUSC Secretariat)</w:t>
      </w:r>
    </w:p>
    <w:tbl>
      <w:tblPr>
        <w:tblStyle w:val="TableGrid2"/>
        <w:tblW w:w="5000" w:type="pct"/>
        <w:tblInd w:w="0" w:type="dxa"/>
        <w:tblLook w:val="04A0" w:firstRow="1" w:lastRow="0" w:firstColumn="1" w:lastColumn="0" w:noHBand="0" w:noVBand="1"/>
      </w:tblPr>
      <w:tblGrid>
        <w:gridCol w:w="2406"/>
        <w:gridCol w:w="2552"/>
        <w:gridCol w:w="2126"/>
        <w:gridCol w:w="1933"/>
      </w:tblGrid>
      <w:tr w:rsidR="0095388A" w:rsidRPr="006C524E" w14:paraId="544F4242" w14:textId="77777777" w:rsidTr="00BC1C41">
        <w:trPr>
          <w:trHeight w:val="163"/>
          <w:tblHeader/>
        </w:trPr>
        <w:tc>
          <w:tcPr>
            <w:tcW w:w="1334" w:type="pct"/>
            <w:tcBorders>
              <w:top w:val="single" w:sz="4" w:space="0" w:color="auto"/>
              <w:left w:val="single" w:sz="4" w:space="0" w:color="auto"/>
              <w:bottom w:val="single" w:sz="4" w:space="0" w:color="auto"/>
              <w:right w:val="single" w:sz="4" w:space="0" w:color="auto"/>
            </w:tcBorders>
          </w:tcPr>
          <w:p w14:paraId="5B6511B6" w14:textId="77777777" w:rsidR="00BC1C41" w:rsidRPr="006C524E" w:rsidRDefault="00BC1C41" w:rsidP="00BC1C41">
            <w:pPr>
              <w:jc w:val="center"/>
              <w:rPr>
                <w:rFonts w:ascii="Arial Narrow" w:hAnsi="Arial Narrow" w:cs="Times New Roman"/>
                <w:b/>
                <w:bCs/>
                <w:sz w:val="20"/>
                <w:szCs w:val="20"/>
              </w:rPr>
            </w:pPr>
          </w:p>
        </w:tc>
        <w:tc>
          <w:tcPr>
            <w:tcW w:w="1415" w:type="pct"/>
            <w:tcBorders>
              <w:top w:val="single" w:sz="4" w:space="0" w:color="auto"/>
              <w:left w:val="single" w:sz="4" w:space="0" w:color="auto"/>
              <w:right w:val="single" w:sz="4" w:space="0" w:color="auto"/>
            </w:tcBorders>
          </w:tcPr>
          <w:p w14:paraId="4DE50120" w14:textId="18384A77" w:rsidR="00BC1C41" w:rsidRPr="006C524E" w:rsidRDefault="00BC1C41" w:rsidP="00BC1C41">
            <w:pPr>
              <w:jc w:val="center"/>
              <w:rPr>
                <w:rFonts w:ascii="Arial Narrow" w:hAnsi="Arial Narrow"/>
                <w:b/>
                <w:bCs/>
                <w:sz w:val="20"/>
                <w:szCs w:val="20"/>
              </w:rPr>
            </w:pPr>
            <w:r w:rsidRPr="006C524E">
              <w:rPr>
                <w:rFonts w:ascii="Arial Narrow" w:hAnsi="Arial Narrow"/>
                <w:b/>
                <w:bCs/>
                <w:sz w:val="20"/>
                <w:szCs w:val="20"/>
              </w:rPr>
              <w:t>Pembrolizumab</w:t>
            </w:r>
          </w:p>
        </w:tc>
        <w:tc>
          <w:tcPr>
            <w:tcW w:w="1179" w:type="pct"/>
            <w:tcBorders>
              <w:top w:val="single" w:sz="4" w:space="0" w:color="auto"/>
              <w:left w:val="single" w:sz="4" w:space="0" w:color="auto"/>
              <w:right w:val="single" w:sz="4" w:space="0" w:color="auto"/>
            </w:tcBorders>
          </w:tcPr>
          <w:p w14:paraId="6568F55A" w14:textId="11EF92C2" w:rsidR="00BC1C41" w:rsidRPr="006C524E" w:rsidRDefault="00BC1C41" w:rsidP="00BC1C41">
            <w:pPr>
              <w:jc w:val="center"/>
              <w:rPr>
                <w:rFonts w:ascii="Arial Narrow" w:hAnsi="Arial Narrow"/>
                <w:b/>
                <w:bCs/>
                <w:sz w:val="20"/>
                <w:szCs w:val="20"/>
              </w:rPr>
            </w:pPr>
            <w:r w:rsidRPr="006C524E">
              <w:rPr>
                <w:rFonts w:ascii="Arial Narrow" w:hAnsi="Arial Narrow"/>
                <w:b/>
                <w:bCs/>
                <w:sz w:val="20"/>
                <w:szCs w:val="20"/>
              </w:rPr>
              <w:t>Avelumab</w:t>
            </w:r>
          </w:p>
        </w:tc>
        <w:tc>
          <w:tcPr>
            <w:tcW w:w="1072" w:type="pct"/>
            <w:tcBorders>
              <w:top w:val="single" w:sz="4" w:space="0" w:color="auto"/>
              <w:left w:val="single" w:sz="4" w:space="0" w:color="auto"/>
              <w:right w:val="single" w:sz="4" w:space="0" w:color="auto"/>
            </w:tcBorders>
          </w:tcPr>
          <w:p w14:paraId="4F6551D3" w14:textId="3A386FD6" w:rsidR="00BC1C41" w:rsidRPr="006C524E" w:rsidRDefault="00BC1C41" w:rsidP="00BC1C41">
            <w:pPr>
              <w:jc w:val="center"/>
              <w:rPr>
                <w:rFonts w:ascii="Arial Narrow" w:hAnsi="Arial Narrow"/>
                <w:b/>
                <w:bCs/>
                <w:sz w:val="20"/>
                <w:szCs w:val="20"/>
              </w:rPr>
            </w:pPr>
            <w:r w:rsidRPr="006C524E">
              <w:rPr>
                <w:rFonts w:ascii="Arial Narrow" w:hAnsi="Arial Narrow"/>
                <w:b/>
                <w:bCs/>
                <w:sz w:val="20"/>
                <w:szCs w:val="20"/>
              </w:rPr>
              <w:t>Enfortumab vedotin</w:t>
            </w:r>
          </w:p>
        </w:tc>
      </w:tr>
    </w:tbl>
    <w:tbl>
      <w:tblPr>
        <w:tblStyle w:val="TableGrid"/>
        <w:tblW w:w="5000" w:type="pct"/>
        <w:tblLook w:val="04A0" w:firstRow="1" w:lastRow="0" w:firstColumn="1" w:lastColumn="0" w:noHBand="0" w:noVBand="1"/>
      </w:tblPr>
      <w:tblGrid>
        <w:gridCol w:w="2408"/>
        <w:gridCol w:w="2550"/>
        <w:gridCol w:w="2126"/>
        <w:gridCol w:w="1933"/>
      </w:tblGrid>
      <w:tr w:rsidR="00BC1C41" w:rsidRPr="006C524E" w14:paraId="235E5995" w14:textId="77777777" w:rsidTr="00BC1C41">
        <w:tc>
          <w:tcPr>
            <w:tcW w:w="1335" w:type="pct"/>
            <w:tcBorders>
              <w:top w:val="single" w:sz="4" w:space="0" w:color="auto"/>
              <w:left w:val="single" w:sz="4" w:space="0" w:color="auto"/>
              <w:bottom w:val="single" w:sz="4" w:space="0" w:color="auto"/>
              <w:right w:val="single" w:sz="4" w:space="0" w:color="auto"/>
            </w:tcBorders>
            <w:hideMark/>
          </w:tcPr>
          <w:p w14:paraId="1EED4E48" w14:textId="2CC9B305" w:rsidR="00BC1C41" w:rsidRPr="006C524E" w:rsidRDefault="00BC1C41" w:rsidP="00BC1C41">
            <w:pPr>
              <w:jc w:val="left"/>
              <w:rPr>
                <w:rFonts w:ascii="Arial Narrow" w:hAnsi="Arial Narrow" w:cs="Times New Roman"/>
                <w:sz w:val="20"/>
                <w:szCs w:val="20"/>
              </w:rPr>
            </w:pPr>
            <w:r w:rsidRPr="006C524E">
              <w:rPr>
                <w:rFonts w:ascii="Arial Narrow" w:hAnsi="Arial Narrow"/>
                <w:sz w:val="20"/>
                <w:szCs w:val="20"/>
              </w:rPr>
              <w:t>First PBS listed</w:t>
            </w:r>
          </w:p>
        </w:tc>
        <w:tc>
          <w:tcPr>
            <w:tcW w:w="1414" w:type="pct"/>
            <w:tcBorders>
              <w:top w:val="single" w:sz="4" w:space="0" w:color="auto"/>
              <w:left w:val="single" w:sz="4" w:space="0" w:color="auto"/>
              <w:bottom w:val="single" w:sz="4" w:space="0" w:color="auto"/>
              <w:right w:val="single" w:sz="4" w:space="0" w:color="auto"/>
            </w:tcBorders>
            <w:hideMark/>
          </w:tcPr>
          <w:p w14:paraId="10E0E9BD" w14:textId="77777777" w:rsidR="00BC1C41" w:rsidRPr="006C524E" w:rsidRDefault="00BC1C41" w:rsidP="00BC1C41">
            <w:pPr>
              <w:jc w:val="center"/>
              <w:rPr>
                <w:rFonts w:ascii="Arial Narrow" w:hAnsi="Arial Narrow"/>
                <w:sz w:val="20"/>
                <w:szCs w:val="20"/>
              </w:rPr>
            </w:pPr>
            <w:r w:rsidRPr="006C524E">
              <w:rPr>
                <w:rFonts w:ascii="Arial Narrow" w:hAnsi="Arial Narrow"/>
                <w:sz w:val="20"/>
                <w:szCs w:val="20"/>
              </w:rPr>
              <w:t>1 March 2019</w:t>
            </w:r>
          </w:p>
        </w:tc>
        <w:tc>
          <w:tcPr>
            <w:tcW w:w="1179" w:type="pct"/>
            <w:tcBorders>
              <w:top w:val="single" w:sz="4" w:space="0" w:color="auto"/>
              <w:left w:val="single" w:sz="4" w:space="0" w:color="auto"/>
              <w:bottom w:val="single" w:sz="4" w:space="0" w:color="auto"/>
              <w:right w:val="single" w:sz="4" w:space="0" w:color="auto"/>
            </w:tcBorders>
            <w:hideMark/>
          </w:tcPr>
          <w:p w14:paraId="1F73B960" w14:textId="77777777" w:rsidR="00BC1C41" w:rsidRPr="006C524E" w:rsidRDefault="00BC1C41" w:rsidP="00BC1C41">
            <w:pPr>
              <w:jc w:val="center"/>
              <w:rPr>
                <w:rFonts w:ascii="Arial Narrow" w:hAnsi="Arial Narrow"/>
                <w:sz w:val="20"/>
                <w:szCs w:val="20"/>
              </w:rPr>
            </w:pPr>
            <w:r w:rsidRPr="006C524E">
              <w:rPr>
                <w:rFonts w:ascii="Arial Narrow" w:hAnsi="Arial Narrow"/>
                <w:sz w:val="20"/>
                <w:szCs w:val="20"/>
              </w:rPr>
              <w:t>1 October 2022</w:t>
            </w:r>
          </w:p>
        </w:tc>
        <w:tc>
          <w:tcPr>
            <w:tcW w:w="1072" w:type="pct"/>
            <w:tcBorders>
              <w:top w:val="single" w:sz="4" w:space="0" w:color="auto"/>
              <w:left w:val="single" w:sz="4" w:space="0" w:color="auto"/>
              <w:bottom w:val="single" w:sz="4" w:space="0" w:color="auto"/>
              <w:right w:val="single" w:sz="4" w:space="0" w:color="auto"/>
            </w:tcBorders>
            <w:hideMark/>
          </w:tcPr>
          <w:p w14:paraId="359B56D1" w14:textId="77777777" w:rsidR="00BC1C41" w:rsidRPr="006C524E" w:rsidRDefault="00BC1C41" w:rsidP="00BC1C41">
            <w:pPr>
              <w:jc w:val="center"/>
              <w:rPr>
                <w:rFonts w:ascii="Arial Narrow" w:hAnsi="Arial Narrow"/>
                <w:sz w:val="20"/>
                <w:szCs w:val="20"/>
              </w:rPr>
            </w:pPr>
            <w:r w:rsidRPr="006C524E">
              <w:rPr>
                <w:rFonts w:ascii="Arial Narrow" w:hAnsi="Arial Narrow"/>
                <w:sz w:val="20"/>
                <w:szCs w:val="20"/>
              </w:rPr>
              <w:t>1 October 2023</w:t>
            </w:r>
          </w:p>
        </w:tc>
      </w:tr>
      <w:tr w:rsidR="00BC1C41" w:rsidRPr="006C524E" w14:paraId="33514E23" w14:textId="77777777" w:rsidTr="00BC1C41">
        <w:tc>
          <w:tcPr>
            <w:tcW w:w="1335" w:type="pct"/>
            <w:tcBorders>
              <w:top w:val="single" w:sz="4" w:space="0" w:color="auto"/>
              <w:left w:val="single" w:sz="4" w:space="0" w:color="auto"/>
              <w:bottom w:val="single" w:sz="4" w:space="0" w:color="auto"/>
              <w:right w:val="single" w:sz="4" w:space="0" w:color="auto"/>
            </w:tcBorders>
          </w:tcPr>
          <w:p w14:paraId="3BE26C24" w14:textId="75A28D8D" w:rsidR="00BC1C41" w:rsidRPr="006C524E" w:rsidRDefault="00BC1C41" w:rsidP="00BC1C41">
            <w:pPr>
              <w:jc w:val="left"/>
              <w:rPr>
                <w:rFonts w:ascii="Arial Narrow" w:hAnsi="Arial Narrow"/>
                <w:sz w:val="20"/>
                <w:szCs w:val="20"/>
              </w:rPr>
            </w:pPr>
            <w:r w:rsidRPr="006C524E">
              <w:rPr>
                <w:rFonts w:ascii="Arial Narrow" w:hAnsi="Arial Narrow"/>
                <w:sz w:val="20"/>
                <w:szCs w:val="20"/>
              </w:rPr>
              <w:t>2019</w:t>
            </w:r>
          </w:p>
        </w:tc>
        <w:tc>
          <w:tcPr>
            <w:tcW w:w="1414" w:type="pct"/>
            <w:tcBorders>
              <w:top w:val="single" w:sz="4" w:space="0" w:color="auto"/>
              <w:left w:val="single" w:sz="4" w:space="0" w:color="auto"/>
              <w:bottom w:val="single" w:sz="4" w:space="0" w:color="auto"/>
              <w:right w:val="single" w:sz="4" w:space="0" w:color="auto"/>
            </w:tcBorders>
          </w:tcPr>
          <w:p w14:paraId="785B6ABB" w14:textId="6E5DCA0D" w:rsidR="00BC1C41" w:rsidRPr="006C524E" w:rsidRDefault="00BC1C41" w:rsidP="00BC1C41">
            <w:pPr>
              <w:jc w:val="center"/>
              <w:rPr>
                <w:rFonts w:ascii="Arial Narrow" w:hAnsi="Arial Narrow"/>
                <w:sz w:val="20"/>
                <w:szCs w:val="20"/>
              </w:rPr>
            </w:pPr>
            <w:r w:rsidRPr="006C524E">
              <w:rPr>
                <w:rFonts w:ascii="Arial Narrow" w:hAnsi="Arial Narrow"/>
                <w:sz w:val="20"/>
                <w:szCs w:val="20"/>
              </w:rPr>
              <w:t>485</w:t>
            </w:r>
          </w:p>
        </w:tc>
        <w:tc>
          <w:tcPr>
            <w:tcW w:w="1179" w:type="pct"/>
            <w:tcBorders>
              <w:top w:val="single" w:sz="4" w:space="0" w:color="auto"/>
              <w:left w:val="single" w:sz="4" w:space="0" w:color="auto"/>
              <w:bottom w:val="single" w:sz="4" w:space="0" w:color="auto"/>
              <w:right w:val="single" w:sz="4" w:space="0" w:color="auto"/>
            </w:tcBorders>
          </w:tcPr>
          <w:p w14:paraId="661A76FA" w14:textId="7CC25BCC" w:rsidR="00BC1C41" w:rsidRPr="006C524E" w:rsidRDefault="00BC1C41" w:rsidP="00BC1C41">
            <w:pPr>
              <w:jc w:val="center"/>
              <w:rPr>
                <w:rFonts w:ascii="Arial Narrow" w:hAnsi="Arial Narrow"/>
                <w:sz w:val="20"/>
                <w:szCs w:val="20"/>
              </w:rPr>
            </w:pPr>
            <w:r w:rsidRPr="006C524E">
              <w:rPr>
                <w:rFonts w:ascii="Arial Narrow" w:hAnsi="Arial Narrow"/>
                <w:sz w:val="20"/>
                <w:szCs w:val="20"/>
              </w:rPr>
              <w:t>-</w:t>
            </w:r>
          </w:p>
        </w:tc>
        <w:tc>
          <w:tcPr>
            <w:tcW w:w="1072" w:type="pct"/>
            <w:tcBorders>
              <w:top w:val="single" w:sz="4" w:space="0" w:color="auto"/>
              <w:left w:val="single" w:sz="4" w:space="0" w:color="auto"/>
              <w:bottom w:val="single" w:sz="4" w:space="0" w:color="auto"/>
              <w:right w:val="single" w:sz="4" w:space="0" w:color="auto"/>
            </w:tcBorders>
          </w:tcPr>
          <w:p w14:paraId="20533628" w14:textId="2C1D9909" w:rsidR="00BC1C41" w:rsidRPr="006C524E" w:rsidRDefault="00BC1C41" w:rsidP="00BC1C41">
            <w:pPr>
              <w:jc w:val="center"/>
              <w:rPr>
                <w:rFonts w:ascii="Arial Narrow" w:hAnsi="Arial Narrow"/>
                <w:sz w:val="20"/>
                <w:szCs w:val="20"/>
              </w:rPr>
            </w:pPr>
            <w:r w:rsidRPr="006C524E">
              <w:rPr>
                <w:rFonts w:ascii="Arial Narrow" w:hAnsi="Arial Narrow"/>
                <w:sz w:val="20"/>
                <w:szCs w:val="20"/>
              </w:rPr>
              <w:t>-</w:t>
            </w:r>
          </w:p>
        </w:tc>
      </w:tr>
      <w:tr w:rsidR="00BC1C41" w:rsidRPr="006C524E" w14:paraId="06161F07" w14:textId="77777777" w:rsidTr="00BC1C41">
        <w:tc>
          <w:tcPr>
            <w:tcW w:w="1335" w:type="pct"/>
            <w:tcBorders>
              <w:top w:val="single" w:sz="4" w:space="0" w:color="auto"/>
              <w:left w:val="single" w:sz="4" w:space="0" w:color="auto"/>
              <w:bottom w:val="single" w:sz="4" w:space="0" w:color="auto"/>
              <w:right w:val="single" w:sz="4" w:space="0" w:color="auto"/>
            </w:tcBorders>
          </w:tcPr>
          <w:p w14:paraId="5054437A" w14:textId="406E30A5" w:rsidR="00BC1C41" w:rsidRPr="006C524E" w:rsidRDefault="00BC1C41" w:rsidP="00BC1C41">
            <w:pPr>
              <w:jc w:val="left"/>
              <w:rPr>
                <w:rFonts w:ascii="Arial Narrow" w:hAnsi="Arial Narrow"/>
                <w:sz w:val="20"/>
                <w:szCs w:val="20"/>
              </w:rPr>
            </w:pPr>
            <w:r w:rsidRPr="006C524E">
              <w:rPr>
                <w:rFonts w:ascii="Arial Narrow" w:hAnsi="Arial Narrow"/>
                <w:sz w:val="20"/>
                <w:szCs w:val="20"/>
              </w:rPr>
              <w:t>2020</w:t>
            </w:r>
          </w:p>
        </w:tc>
        <w:tc>
          <w:tcPr>
            <w:tcW w:w="1414" w:type="pct"/>
            <w:tcBorders>
              <w:top w:val="single" w:sz="4" w:space="0" w:color="auto"/>
              <w:left w:val="single" w:sz="4" w:space="0" w:color="auto"/>
              <w:bottom w:val="single" w:sz="4" w:space="0" w:color="auto"/>
              <w:right w:val="single" w:sz="4" w:space="0" w:color="auto"/>
            </w:tcBorders>
          </w:tcPr>
          <w:p w14:paraId="4BAD8A05" w14:textId="3F7EC1A9" w:rsidR="00BC1C41" w:rsidRPr="006C524E" w:rsidRDefault="00BC1C41" w:rsidP="00BC1C41">
            <w:pPr>
              <w:jc w:val="center"/>
              <w:rPr>
                <w:rFonts w:ascii="Arial Narrow" w:hAnsi="Arial Narrow"/>
                <w:sz w:val="20"/>
                <w:szCs w:val="20"/>
              </w:rPr>
            </w:pPr>
            <w:r w:rsidRPr="006C524E">
              <w:rPr>
                <w:rFonts w:ascii="Arial Narrow" w:hAnsi="Arial Narrow"/>
                <w:sz w:val="20"/>
                <w:szCs w:val="20"/>
              </w:rPr>
              <w:t>467</w:t>
            </w:r>
          </w:p>
        </w:tc>
        <w:tc>
          <w:tcPr>
            <w:tcW w:w="1179" w:type="pct"/>
            <w:tcBorders>
              <w:top w:val="single" w:sz="4" w:space="0" w:color="auto"/>
              <w:left w:val="single" w:sz="4" w:space="0" w:color="auto"/>
              <w:bottom w:val="single" w:sz="4" w:space="0" w:color="auto"/>
              <w:right w:val="single" w:sz="4" w:space="0" w:color="auto"/>
            </w:tcBorders>
          </w:tcPr>
          <w:p w14:paraId="5B94AE77" w14:textId="5BC191DE" w:rsidR="00BC1C41" w:rsidRPr="006C524E" w:rsidRDefault="00BC1C41" w:rsidP="00BC1C41">
            <w:pPr>
              <w:jc w:val="center"/>
              <w:rPr>
                <w:rFonts w:ascii="Arial Narrow" w:hAnsi="Arial Narrow"/>
                <w:sz w:val="20"/>
                <w:szCs w:val="20"/>
              </w:rPr>
            </w:pPr>
            <w:r w:rsidRPr="006C524E">
              <w:rPr>
                <w:rFonts w:ascii="Arial Narrow" w:hAnsi="Arial Narrow"/>
                <w:sz w:val="20"/>
                <w:szCs w:val="20"/>
              </w:rPr>
              <w:t>-</w:t>
            </w:r>
          </w:p>
        </w:tc>
        <w:tc>
          <w:tcPr>
            <w:tcW w:w="1072" w:type="pct"/>
            <w:tcBorders>
              <w:top w:val="single" w:sz="4" w:space="0" w:color="auto"/>
              <w:left w:val="single" w:sz="4" w:space="0" w:color="auto"/>
              <w:bottom w:val="single" w:sz="4" w:space="0" w:color="auto"/>
              <w:right w:val="single" w:sz="4" w:space="0" w:color="auto"/>
            </w:tcBorders>
          </w:tcPr>
          <w:p w14:paraId="71F60476" w14:textId="013DADE5" w:rsidR="00BC1C41" w:rsidRPr="006C524E" w:rsidRDefault="00BC1C41" w:rsidP="00BC1C41">
            <w:pPr>
              <w:jc w:val="center"/>
              <w:rPr>
                <w:rFonts w:ascii="Arial Narrow" w:hAnsi="Arial Narrow"/>
                <w:sz w:val="20"/>
                <w:szCs w:val="20"/>
              </w:rPr>
            </w:pPr>
            <w:r w:rsidRPr="006C524E">
              <w:rPr>
                <w:rFonts w:ascii="Arial Narrow" w:hAnsi="Arial Narrow"/>
                <w:sz w:val="20"/>
                <w:szCs w:val="20"/>
              </w:rPr>
              <w:t>-</w:t>
            </w:r>
          </w:p>
        </w:tc>
      </w:tr>
      <w:tr w:rsidR="00BC1C41" w:rsidRPr="006C524E" w14:paraId="2AE0A3B3" w14:textId="77777777" w:rsidTr="00BC1C41">
        <w:tc>
          <w:tcPr>
            <w:tcW w:w="1335" w:type="pct"/>
            <w:tcBorders>
              <w:top w:val="single" w:sz="4" w:space="0" w:color="auto"/>
              <w:left w:val="single" w:sz="4" w:space="0" w:color="auto"/>
              <w:bottom w:val="single" w:sz="4" w:space="0" w:color="auto"/>
              <w:right w:val="single" w:sz="4" w:space="0" w:color="auto"/>
            </w:tcBorders>
          </w:tcPr>
          <w:p w14:paraId="56C01E10" w14:textId="23A29142" w:rsidR="00BC1C41" w:rsidRPr="006C524E" w:rsidRDefault="00BC1C41" w:rsidP="00BC1C41">
            <w:pPr>
              <w:jc w:val="left"/>
              <w:rPr>
                <w:rFonts w:ascii="Arial Narrow" w:hAnsi="Arial Narrow"/>
                <w:sz w:val="20"/>
                <w:szCs w:val="20"/>
              </w:rPr>
            </w:pPr>
            <w:r w:rsidRPr="006C524E">
              <w:rPr>
                <w:rFonts w:ascii="Arial Narrow" w:hAnsi="Arial Narrow"/>
                <w:sz w:val="20"/>
                <w:szCs w:val="20"/>
              </w:rPr>
              <w:t>2021</w:t>
            </w:r>
          </w:p>
        </w:tc>
        <w:tc>
          <w:tcPr>
            <w:tcW w:w="1414" w:type="pct"/>
            <w:tcBorders>
              <w:top w:val="single" w:sz="4" w:space="0" w:color="auto"/>
              <w:left w:val="single" w:sz="4" w:space="0" w:color="auto"/>
              <w:bottom w:val="single" w:sz="4" w:space="0" w:color="auto"/>
              <w:right w:val="single" w:sz="4" w:space="0" w:color="auto"/>
            </w:tcBorders>
          </w:tcPr>
          <w:p w14:paraId="234E2128" w14:textId="6D6002E3" w:rsidR="00BC1C41" w:rsidRPr="006C524E" w:rsidRDefault="00BC1C41" w:rsidP="00BC1C41">
            <w:pPr>
              <w:jc w:val="center"/>
              <w:rPr>
                <w:rFonts w:ascii="Arial Narrow" w:hAnsi="Arial Narrow"/>
                <w:sz w:val="20"/>
                <w:szCs w:val="20"/>
              </w:rPr>
            </w:pPr>
            <w:r w:rsidRPr="006C524E">
              <w:rPr>
                <w:rFonts w:ascii="Arial Narrow" w:hAnsi="Arial Narrow"/>
                <w:sz w:val="20"/>
                <w:szCs w:val="20"/>
              </w:rPr>
              <w:t>438</w:t>
            </w:r>
          </w:p>
        </w:tc>
        <w:tc>
          <w:tcPr>
            <w:tcW w:w="1179" w:type="pct"/>
            <w:tcBorders>
              <w:top w:val="single" w:sz="4" w:space="0" w:color="auto"/>
              <w:left w:val="single" w:sz="4" w:space="0" w:color="auto"/>
              <w:bottom w:val="single" w:sz="4" w:space="0" w:color="auto"/>
              <w:right w:val="single" w:sz="4" w:space="0" w:color="auto"/>
            </w:tcBorders>
          </w:tcPr>
          <w:p w14:paraId="075AD11A" w14:textId="46C22FBE" w:rsidR="00BC1C41" w:rsidRPr="006C524E" w:rsidRDefault="00BC1C41" w:rsidP="00BC1C41">
            <w:pPr>
              <w:jc w:val="center"/>
              <w:rPr>
                <w:rFonts w:ascii="Arial Narrow" w:hAnsi="Arial Narrow"/>
                <w:sz w:val="20"/>
                <w:szCs w:val="20"/>
              </w:rPr>
            </w:pPr>
            <w:r w:rsidRPr="006C524E">
              <w:rPr>
                <w:rFonts w:ascii="Arial Narrow" w:hAnsi="Arial Narrow"/>
                <w:sz w:val="20"/>
                <w:szCs w:val="20"/>
              </w:rPr>
              <w:t>-</w:t>
            </w:r>
          </w:p>
        </w:tc>
        <w:tc>
          <w:tcPr>
            <w:tcW w:w="1072" w:type="pct"/>
            <w:tcBorders>
              <w:top w:val="single" w:sz="4" w:space="0" w:color="auto"/>
              <w:left w:val="single" w:sz="4" w:space="0" w:color="auto"/>
              <w:bottom w:val="single" w:sz="4" w:space="0" w:color="auto"/>
              <w:right w:val="single" w:sz="4" w:space="0" w:color="auto"/>
            </w:tcBorders>
          </w:tcPr>
          <w:p w14:paraId="4214968E" w14:textId="22D62A21" w:rsidR="00BC1C41" w:rsidRPr="006C524E" w:rsidRDefault="00BC1C41" w:rsidP="00BC1C41">
            <w:pPr>
              <w:jc w:val="center"/>
              <w:rPr>
                <w:rFonts w:ascii="Arial Narrow" w:hAnsi="Arial Narrow"/>
                <w:sz w:val="20"/>
                <w:szCs w:val="20"/>
              </w:rPr>
            </w:pPr>
            <w:r w:rsidRPr="006C524E">
              <w:rPr>
                <w:rFonts w:ascii="Arial Narrow" w:hAnsi="Arial Narrow"/>
                <w:sz w:val="20"/>
                <w:szCs w:val="20"/>
              </w:rPr>
              <w:t>-</w:t>
            </w:r>
          </w:p>
        </w:tc>
      </w:tr>
      <w:tr w:rsidR="00BC1C41" w:rsidRPr="006C524E" w14:paraId="23A2E22A" w14:textId="77777777" w:rsidTr="00BC1C41">
        <w:tc>
          <w:tcPr>
            <w:tcW w:w="1335" w:type="pct"/>
            <w:tcBorders>
              <w:top w:val="single" w:sz="4" w:space="0" w:color="auto"/>
              <w:left w:val="single" w:sz="4" w:space="0" w:color="auto"/>
              <w:bottom w:val="single" w:sz="4" w:space="0" w:color="auto"/>
              <w:right w:val="single" w:sz="4" w:space="0" w:color="auto"/>
            </w:tcBorders>
          </w:tcPr>
          <w:p w14:paraId="39729F52" w14:textId="5539048F" w:rsidR="00BC1C41" w:rsidRPr="006C524E" w:rsidRDefault="00BC1C41" w:rsidP="00BC1C41">
            <w:pPr>
              <w:jc w:val="left"/>
              <w:rPr>
                <w:rFonts w:ascii="Arial Narrow" w:hAnsi="Arial Narrow"/>
                <w:sz w:val="20"/>
                <w:szCs w:val="20"/>
              </w:rPr>
            </w:pPr>
            <w:r w:rsidRPr="006C524E">
              <w:rPr>
                <w:rFonts w:ascii="Arial Narrow" w:hAnsi="Arial Narrow"/>
                <w:sz w:val="20"/>
                <w:szCs w:val="20"/>
              </w:rPr>
              <w:t>2022</w:t>
            </w:r>
          </w:p>
        </w:tc>
        <w:tc>
          <w:tcPr>
            <w:tcW w:w="1414" w:type="pct"/>
            <w:tcBorders>
              <w:top w:val="single" w:sz="4" w:space="0" w:color="auto"/>
              <w:left w:val="single" w:sz="4" w:space="0" w:color="auto"/>
              <w:bottom w:val="single" w:sz="4" w:space="0" w:color="auto"/>
              <w:right w:val="single" w:sz="4" w:space="0" w:color="auto"/>
            </w:tcBorders>
          </w:tcPr>
          <w:p w14:paraId="7D56DFCE" w14:textId="21D17852" w:rsidR="00BC1C41" w:rsidRPr="006C524E" w:rsidRDefault="00BC1C41" w:rsidP="00BC1C41">
            <w:pPr>
              <w:jc w:val="center"/>
              <w:rPr>
                <w:rFonts w:ascii="Arial Narrow" w:hAnsi="Arial Narrow"/>
                <w:sz w:val="20"/>
                <w:szCs w:val="20"/>
              </w:rPr>
            </w:pPr>
            <w:r w:rsidRPr="006C524E">
              <w:rPr>
                <w:rFonts w:ascii="Arial Narrow" w:hAnsi="Arial Narrow"/>
                <w:sz w:val="20"/>
                <w:szCs w:val="20"/>
              </w:rPr>
              <w:t>363</w:t>
            </w:r>
          </w:p>
        </w:tc>
        <w:tc>
          <w:tcPr>
            <w:tcW w:w="1179" w:type="pct"/>
            <w:tcBorders>
              <w:top w:val="single" w:sz="4" w:space="0" w:color="auto"/>
              <w:left w:val="single" w:sz="4" w:space="0" w:color="auto"/>
              <w:bottom w:val="single" w:sz="4" w:space="0" w:color="auto"/>
              <w:right w:val="single" w:sz="4" w:space="0" w:color="auto"/>
            </w:tcBorders>
          </w:tcPr>
          <w:p w14:paraId="08D4EBEF" w14:textId="7C7BA257" w:rsidR="00BC1C41" w:rsidRPr="006C524E" w:rsidRDefault="00BC1C41" w:rsidP="00BC1C41">
            <w:pPr>
              <w:jc w:val="center"/>
              <w:rPr>
                <w:rFonts w:ascii="Arial Narrow" w:hAnsi="Arial Narrow"/>
                <w:sz w:val="20"/>
                <w:szCs w:val="20"/>
              </w:rPr>
            </w:pPr>
            <w:r w:rsidRPr="006C524E">
              <w:rPr>
                <w:rFonts w:ascii="Arial Narrow" w:hAnsi="Arial Narrow"/>
                <w:sz w:val="20"/>
                <w:szCs w:val="20"/>
              </w:rPr>
              <w:t>176</w:t>
            </w:r>
          </w:p>
        </w:tc>
        <w:tc>
          <w:tcPr>
            <w:tcW w:w="1072" w:type="pct"/>
            <w:tcBorders>
              <w:top w:val="single" w:sz="4" w:space="0" w:color="auto"/>
              <w:left w:val="single" w:sz="4" w:space="0" w:color="auto"/>
              <w:bottom w:val="single" w:sz="4" w:space="0" w:color="auto"/>
              <w:right w:val="single" w:sz="4" w:space="0" w:color="auto"/>
            </w:tcBorders>
          </w:tcPr>
          <w:p w14:paraId="6B6BDA4E" w14:textId="658B7A75" w:rsidR="00BC1C41" w:rsidRPr="006C524E" w:rsidRDefault="00BC1C41" w:rsidP="00BC1C41">
            <w:pPr>
              <w:jc w:val="center"/>
              <w:rPr>
                <w:rFonts w:ascii="Arial Narrow" w:hAnsi="Arial Narrow"/>
                <w:sz w:val="20"/>
                <w:szCs w:val="20"/>
              </w:rPr>
            </w:pPr>
            <w:r w:rsidRPr="006C524E">
              <w:rPr>
                <w:rFonts w:ascii="Arial Narrow" w:hAnsi="Arial Narrow"/>
                <w:sz w:val="20"/>
                <w:szCs w:val="20"/>
              </w:rPr>
              <w:t>-</w:t>
            </w:r>
          </w:p>
        </w:tc>
      </w:tr>
      <w:tr w:rsidR="00BC1C41" w:rsidRPr="006C524E" w14:paraId="2E932EDF" w14:textId="77777777" w:rsidTr="00BC1C41">
        <w:tc>
          <w:tcPr>
            <w:tcW w:w="1335" w:type="pct"/>
            <w:tcBorders>
              <w:top w:val="single" w:sz="4" w:space="0" w:color="auto"/>
              <w:left w:val="single" w:sz="4" w:space="0" w:color="auto"/>
              <w:bottom w:val="single" w:sz="4" w:space="0" w:color="auto"/>
              <w:right w:val="single" w:sz="4" w:space="0" w:color="auto"/>
            </w:tcBorders>
          </w:tcPr>
          <w:p w14:paraId="73DB62B2" w14:textId="4F2E230A" w:rsidR="00BC1C41" w:rsidRPr="006C524E" w:rsidRDefault="00BC1C41" w:rsidP="00BC1C41">
            <w:pPr>
              <w:jc w:val="left"/>
              <w:rPr>
                <w:rFonts w:ascii="Arial Narrow" w:hAnsi="Arial Narrow"/>
                <w:sz w:val="20"/>
                <w:szCs w:val="20"/>
              </w:rPr>
            </w:pPr>
            <w:r w:rsidRPr="006C524E">
              <w:rPr>
                <w:rFonts w:ascii="Arial Narrow" w:hAnsi="Arial Narrow"/>
                <w:sz w:val="20"/>
                <w:szCs w:val="20"/>
              </w:rPr>
              <w:t>2023</w:t>
            </w:r>
          </w:p>
        </w:tc>
        <w:tc>
          <w:tcPr>
            <w:tcW w:w="1414" w:type="pct"/>
            <w:tcBorders>
              <w:top w:val="single" w:sz="4" w:space="0" w:color="auto"/>
              <w:left w:val="single" w:sz="4" w:space="0" w:color="auto"/>
              <w:bottom w:val="single" w:sz="4" w:space="0" w:color="auto"/>
              <w:right w:val="single" w:sz="4" w:space="0" w:color="auto"/>
            </w:tcBorders>
          </w:tcPr>
          <w:p w14:paraId="426637BB" w14:textId="4C5D9ABB" w:rsidR="00BC1C41" w:rsidRPr="006C524E" w:rsidRDefault="00BC1C41" w:rsidP="00BC1C41">
            <w:pPr>
              <w:jc w:val="center"/>
              <w:rPr>
                <w:rFonts w:ascii="Arial Narrow" w:hAnsi="Arial Narrow"/>
                <w:sz w:val="20"/>
                <w:szCs w:val="20"/>
              </w:rPr>
            </w:pPr>
            <w:r w:rsidRPr="006C524E">
              <w:rPr>
                <w:rFonts w:ascii="Arial Narrow" w:hAnsi="Arial Narrow"/>
                <w:sz w:val="20"/>
                <w:szCs w:val="20"/>
              </w:rPr>
              <w:t>312</w:t>
            </w:r>
          </w:p>
        </w:tc>
        <w:tc>
          <w:tcPr>
            <w:tcW w:w="1179" w:type="pct"/>
            <w:tcBorders>
              <w:top w:val="single" w:sz="4" w:space="0" w:color="auto"/>
              <w:left w:val="single" w:sz="4" w:space="0" w:color="auto"/>
              <w:bottom w:val="single" w:sz="4" w:space="0" w:color="auto"/>
              <w:right w:val="single" w:sz="4" w:space="0" w:color="auto"/>
            </w:tcBorders>
          </w:tcPr>
          <w:p w14:paraId="6674DE84" w14:textId="39646C07" w:rsidR="00BC1C41" w:rsidRPr="006C524E" w:rsidRDefault="00BC1C41" w:rsidP="00BC1C41">
            <w:pPr>
              <w:jc w:val="center"/>
              <w:rPr>
                <w:rFonts w:ascii="Arial Narrow" w:hAnsi="Arial Narrow"/>
                <w:sz w:val="20"/>
                <w:szCs w:val="20"/>
              </w:rPr>
            </w:pPr>
            <w:r w:rsidRPr="006C524E">
              <w:rPr>
                <w:rFonts w:ascii="Arial Narrow" w:hAnsi="Arial Narrow"/>
                <w:sz w:val="20"/>
                <w:szCs w:val="20"/>
              </w:rPr>
              <w:t>273</w:t>
            </w:r>
          </w:p>
        </w:tc>
        <w:tc>
          <w:tcPr>
            <w:tcW w:w="1072" w:type="pct"/>
            <w:tcBorders>
              <w:top w:val="single" w:sz="4" w:space="0" w:color="auto"/>
              <w:left w:val="single" w:sz="4" w:space="0" w:color="auto"/>
              <w:bottom w:val="single" w:sz="4" w:space="0" w:color="auto"/>
              <w:right w:val="single" w:sz="4" w:space="0" w:color="auto"/>
            </w:tcBorders>
          </w:tcPr>
          <w:p w14:paraId="2C896923" w14:textId="2D1F00A0" w:rsidR="00BC1C41" w:rsidRPr="006C524E" w:rsidRDefault="00BC1C41" w:rsidP="00BC1C41">
            <w:pPr>
              <w:jc w:val="center"/>
              <w:rPr>
                <w:rFonts w:ascii="Arial Narrow" w:hAnsi="Arial Narrow"/>
                <w:sz w:val="20"/>
                <w:szCs w:val="20"/>
              </w:rPr>
            </w:pPr>
            <w:r w:rsidRPr="006C524E">
              <w:rPr>
                <w:rFonts w:ascii="Arial Narrow" w:hAnsi="Arial Narrow"/>
                <w:sz w:val="20"/>
                <w:szCs w:val="20"/>
              </w:rPr>
              <w:t>-</w:t>
            </w:r>
          </w:p>
        </w:tc>
      </w:tr>
      <w:tr w:rsidR="00BC1C41" w:rsidRPr="006C524E" w14:paraId="45A18669" w14:textId="77777777" w:rsidTr="00BC1C41">
        <w:tc>
          <w:tcPr>
            <w:tcW w:w="1335" w:type="pct"/>
            <w:tcBorders>
              <w:top w:val="single" w:sz="4" w:space="0" w:color="auto"/>
              <w:left w:val="single" w:sz="4" w:space="0" w:color="auto"/>
              <w:bottom w:val="single" w:sz="4" w:space="0" w:color="auto"/>
              <w:right w:val="single" w:sz="4" w:space="0" w:color="auto"/>
            </w:tcBorders>
          </w:tcPr>
          <w:p w14:paraId="61999536" w14:textId="72EF581E" w:rsidR="00BC1C41" w:rsidRPr="006C524E" w:rsidRDefault="00BC1C41" w:rsidP="00BC1C41">
            <w:pPr>
              <w:jc w:val="left"/>
              <w:rPr>
                <w:rFonts w:ascii="Arial Narrow" w:hAnsi="Arial Narrow"/>
                <w:sz w:val="20"/>
                <w:szCs w:val="20"/>
              </w:rPr>
            </w:pPr>
            <w:r w:rsidRPr="006C524E">
              <w:rPr>
                <w:rFonts w:ascii="Arial Narrow" w:hAnsi="Arial Narrow"/>
                <w:sz w:val="20"/>
                <w:szCs w:val="20"/>
              </w:rPr>
              <w:t>2024</w:t>
            </w:r>
          </w:p>
        </w:tc>
        <w:tc>
          <w:tcPr>
            <w:tcW w:w="1414" w:type="pct"/>
            <w:tcBorders>
              <w:top w:val="single" w:sz="4" w:space="0" w:color="auto"/>
              <w:left w:val="single" w:sz="4" w:space="0" w:color="auto"/>
              <w:bottom w:val="single" w:sz="4" w:space="0" w:color="auto"/>
              <w:right w:val="single" w:sz="4" w:space="0" w:color="auto"/>
            </w:tcBorders>
          </w:tcPr>
          <w:p w14:paraId="5BFE20B1" w14:textId="2CDD7105" w:rsidR="00BC1C41" w:rsidRPr="006C524E" w:rsidRDefault="00BC1C41" w:rsidP="00BC1C41">
            <w:pPr>
              <w:jc w:val="center"/>
              <w:rPr>
                <w:rFonts w:ascii="Arial Narrow" w:hAnsi="Arial Narrow"/>
                <w:sz w:val="20"/>
                <w:szCs w:val="20"/>
                <w:vertAlign w:val="superscript"/>
              </w:rPr>
            </w:pPr>
            <w:r w:rsidRPr="006C524E">
              <w:rPr>
                <w:rFonts w:ascii="Arial Narrow" w:hAnsi="Arial Narrow"/>
                <w:sz w:val="20"/>
                <w:szCs w:val="20"/>
              </w:rPr>
              <w:t>222</w:t>
            </w:r>
            <w:r w:rsidR="006C524E" w:rsidRPr="006C524E">
              <w:rPr>
                <w:rFonts w:ascii="Arial Narrow" w:hAnsi="Arial Narrow"/>
                <w:sz w:val="20"/>
                <w:szCs w:val="20"/>
              </w:rPr>
              <w:t xml:space="preserve"> </w:t>
            </w:r>
            <w:r w:rsidR="006C524E" w:rsidRPr="006C524E">
              <w:rPr>
                <w:rFonts w:ascii="Arial Narrow" w:hAnsi="Arial Narrow"/>
                <w:sz w:val="20"/>
                <w:szCs w:val="20"/>
                <w:vertAlign w:val="superscript"/>
              </w:rPr>
              <w:t>a</w:t>
            </w:r>
          </w:p>
        </w:tc>
        <w:tc>
          <w:tcPr>
            <w:tcW w:w="1179" w:type="pct"/>
            <w:tcBorders>
              <w:top w:val="single" w:sz="4" w:space="0" w:color="auto"/>
              <w:left w:val="single" w:sz="4" w:space="0" w:color="auto"/>
              <w:bottom w:val="single" w:sz="4" w:space="0" w:color="auto"/>
              <w:right w:val="single" w:sz="4" w:space="0" w:color="auto"/>
            </w:tcBorders>
          </w:tcPr>
          <w:p w14:paraId="3F390B9B" w14:textId="768FFE6A" w:rsidR="00BC1C41" w:rsidRPr="006C524E" w:rsidRDefault="00BC1C41" w:rsidP="00BC1C41">
            <w:pPr>
              <w:jc w:val="center"/>
              <w:rPr>
                <w:rFonts w:ascii="Arial Narrow" w:hAnsi="Arial Narrow"/>
                <w:sz w:val="20"/>
                <w:szCs w:val="20"/>
                <w:vertAlign w:val="superscript"/>
              </w:rPr>
            </w:pPr>
            <w:r w:rsidRPr="006C524E">
              <w:rPr>
                <w:rFonts w:ascii="Arial Narrow" w:hAnsi="Arial Narrow"/>
                <w:sz w:val="20"/>
                <w:szCs w:val="20"/>
              </w:rPr>
              <w:t>225</w:t>
            </w:r>
            <w:r w:rsidR="006C524E" w:rsidRPr="006C524E">
              <w:rPr>
                <w:rFonts w:ascii="Arial Narrow" w:hAnsi="Arial Narrow"/>
                <w:sz w:val="20"/>
                <w:szCs w:val="20"/>
              </w:rPr>
              <w:t xml:space="preserve"> </w:t>
            </w:r>
            <w:r w:rsidR="006C524E" w:rsidRPr="006C524E">
              <w:rPr>
                <w:rFonts w:ascii="Arial Narrow" w:hAnsi="Arial Narrow"/>
                <w:sz w:val="20"/>
                <w:szCs w:val="20"/>
                <w:vertAlign w:val="superscript"/>
              </w:rPr>
              <w:t>a</w:t>
            </w:r>
          </w:p>
        </w:tc>
        <w:tc>
          <w:tcPr>
            <w:tcW w:w="1072" w:type="pct"/>
            <w:tcBorders>
              <w:top w:val="single" w:sz="4" w:space="0" w:color="auto"/>
              <w:left w:val="single" w:sz="4" w:space="0" w:color="auto"/>
              <w:bottom w:val="single" w:sz="4" w:space="0" w:color="auto"/>
              <w:right w:val="single" w:sz="4" w:space="0" w:color="auto"/>
            </w:tcBorders>
          </w:tcPr>
          <w:p w14:paraId="0A7F02F7" w14:textId="3E9382DB" w:rsidR="00BC1C41" w:rsidRPr="006C524E" w:rsidRDefault="00BC1C41" w:rsidP="00BC1C41">
            <w:pPr>
              <w:jc w:val="center"/>
              <w:rPr>
                <w:rFonts w:ascii="Arial Narrow" w:hAnsi="Arial Narrow"/>
                <w:sz w:val="20"/>
                <w:szCs w:val="20"/>
                <w:vertAlign w:val="superscript"/>
              </w:rPr>
            </w:pPr>
            <w:r w:rsidRPr="006C524E">
              <w:rPr>
                <w:rFonts w:ascii="Arial Narrow" w:hAnsi="Arial Narrow"/>
                <w:sz w:val="20"/>
                <w:szCs w:val="20"/>
              </w:rPr>
              <w:t>293</w:t>
            </w:r>
            <w:r w:rsidR="006C524E" w:rsidRPr="006C524E">
              <w:rPr>
                <w:rFonts w:ascii="Arial Narrow" w:hAnsi="Arial Narrow"/>
                <w:sz w:val="20"/>
                <w:szCs w:val="20"/>
              </w:rPr>
              <w:t xml:space="preserve"> </w:t>
            </w:r>
            <w:r w:rsidR="006C524E" w:rsidRPr="006C524E">
              <w:rPr>
                <w:rFonts w:ascii="Arial Narrow" w:hAnsi="Arial Narrow"/>
                <w:sz w:val="20"/>
                <w:szCs w:val="20"/>
                <w:vertAlign w:val="superscript"/>
              </w:rPr>
              <w:t>b</w:t>
            </w:r>
          </w:p>
        </w:tc>
      </w:tr>
    </w:tbl>
    <w:p w14:paraId="74576368" w14:textId="035FBE06" w:rsidR="006C524E" w:rsidRPr="006C524E" w:rsidRDefault="006C524E" w:rsidP="006C524E">
      <w:pPr>
        <w:spacing w:after="160" w:line="256" w:lineRule="auto"/>
        <w:contextualSpacing/>
        <w:rPr>
          <w:rFonts w:ascii="Arial Narrow" w:hAnsi="Arial Narrow"/>
          <w:sz w:val="18"/>
          <w:szCs w:val="18"/>
        </w:rPr>
      </w:pPr>
      <w:r>
        <w:rPr>
          <w:rFonts w:ascii="Arial Narrow" w:hAnsi="Arial Narrow"/>
          <w:sz w:val="18"/>
          <w:szCs w:val="18"/>
        </w:rPr>
        <w:t xml:space="preserve">Source: Complied during the preparation of the ESC </w:t>
      </w:r>
      <w:r w:rsidR="002416C4">
        <w:rPr>
          <w:rFonts w:ascii="Arial Narrow" w:hAnsi="Arial Narrow"/>
          <w:sz w:val="18"/>
          <w:szCs w:val="18"/>
        </w:rPr>
        <w:t>advice</w:t>
      </w:r>
    </w:p>
    <w:p w14:paraId="4DC34F6E" w14:textId="464586F6" w:rsidR="006C524E" w:rsidRPr="006C524E" w:rsidRDefault="006C524E" w:rsidP="006C524E">
      <w:pPr>
        <w:spacing w:after="160" w:line="256" w:lineRule="auto"/>
        <w:contextualSpacing/>
        <w:rPr>
          <w:rFonts w:ascii="Arial Narrow" w:hAnsi="Arial Narrow"/>
          <w:sz w:val="18"/>
          <w:szCs w:val="18"/>
        </w:rPr>
      </w:pPr>
      <w:r w:rsidRPr="006C524E">
        <w:rPr>
          <w:rFonts w:ascii="Arial Narrow" w:hAnsi="Arial Narrow"/>
          <w:sz w:val="18"/>
          <w:szCs w:val="18"/>
          <w:vertAlign w:val="superscript"/>
        </w:rPr>
        <w:t xml:space="preserve">a </w:t>
      </w:r>
      <w:r w:rsidRPr="006C524E">
        <w:rPr>
          <w:rFonts w:ascii="Arial Narrow" w:hAnsi="Arial Narrow"/>
          <w:sz w:val="18"/>
          <w:szCs w:val="18"/>
        </w:rPr>
        <w:t xml:space="preserve">To 31 August 2024 </w:t>
      </w:r>
    </w:p>
    <w:p w14:paraId="4FD9C14F" w14:textId="2BBA400F" w:rsidR="006C524E" w:rsidRPr="006C524E" w:rsidRDefault="006C524E" w:rsidP="00B20C10">
      <w:pPr>
        <w:spacing w:after="120" w:line="256" w:lineRule="auto"/>
        <w:contextualSpacing/>
        <w:rPr>
          <w:rFonts w:ascii="Arial Narrow" w:hAnsi="Arial Narrow"/>
          <w:sz w:val="18"/>
          <w:szCs w:val="18"/>
        </w:rPr>
      </w:pPr>
      <w:r w:rsidRPr="006C524E">
        <w:rPr>
          <w:rFonts w:ascii="Arial Narrow" w:hAnsi="Arial Narrow"/>
          <w:sz w:val="18"/>
          <w:szCs w:val="18"/>
          <w:vertAlign w:val="superscript"/>
        </w:rPr>
        <w:t>b</w:t>
      </w:r>
      <w:r w:rsidRPr="006C524E">
        <w:rPr>
          <w:rFonts w:ascii="Arial Narrow" w:hAnsi="Arial Narrow"/>
          <w:sz w:val="18"/>
          <w:szCs w:val="18"/>
        </w:rPr>
        <w:t xml:space="preserve"> 1 October 2023 to 21 August 2024</w:t>
      </w:r>
    </w:p>
    <w:bookmarkEnd w:id="75"/>
    <w:p w14:paraId="6B10AFD2" w14:textId="1FA9B423" w:rsidR="00BC1C41" w:rsidRPr="005D3209" w:rsidRDefault="00BC1C41" w:rsidP="00BC1C41">
      <w:pPr>
        <w:pStyle w:val="3-BodyText"/>
        <w:rPr>
          <w:snapToGrid w:val="0"/>
        </w:rPr>
      </w:pPr>
      <w:r w:rsidRPr="005D3209">
        <w:rPr>
          <w:snapToGrid w:val="0"/>
        </w:rPr>
        <w:t xml:space="preserve">The ESC noted that the cost offsets in the financial estimates in Year 1 accounted for 407 patients who would have received </w:t>
      </w:r>
      <w:r w:rsidR="00AA5CF6">
        <w:rPr>
          <w:snapToGrid w:val="0"/>
        </w:rPr>
        <w:t>avelumab</w:t>
      </w:r>
      <w:r w:rsidRPr="005D3209">
        <w:rPr>
          <w:snapToGrid w:val="0"/>
        </w:rPr>
        <w:t xml:space="preserve"> (33.6% x 1,211), 352 patients who would have received PEM (29.1% x 1,211) and 155 </w:t>
      </w:r>
      <w:r w:rsidR="0079168E" w:rsidRPr="005D3209">
        <w:rPr>
          <w:snapToGrid w:val="0"/>
        </w:rPr>
        <w:t xml:space="preserve">who </w:t>
      </w:r>
      <w:r w:rsidRPr="005D3209">
        <w:rPr>
          <w:snapToGrid w:val="0"/>
        </w:rPr>
        <w:t xml:space="preserve">would have received EV (12.8% x 1,211).  The ESC noted the estimates for </w:t>
      </w:r>
      <w:r w:rsidR="00AA5CF6">
        <w:rPr>
          <w:snapToGrid w:val="0"/>
        </w:rPr>
        <w:t>avelumab</w:t>
      </w:r>
      <w:r w:rsidRPr="005D3209">
        <w:rPr>
          <w:snapToGrid w:val="0"/>
        </w:rPr>
        <w:t xml:space="preserve"> and PEM were significantly higher than the </w:t>
      </w:r>
      <w:r w:rsidR="0079168E" w:rsidRPr="005D3209">
        <w:rPr>
          <w:snapToGrid w:val="0"/>
        </w:rPr>
        <w:t xml:space="preserve">total </w:t>
      </w:r>
      <w:r w:rsidRPr="005D3209">
        <w:rPr>
          <w:snapToGrid w:val="0"/>
        </w:rPr>
        <w:t xml:space="preserve">number of patients treated in 2023.  </w:t>
      </w:r>
    </w:p>
    <w:p w14:paraId="01F1B9E9" w14:textId="325859D8" w:rsidR="00BC1C41" w:rsidRDefault="00BC1C41" w:rsidP="00BC1C41">
      <w:pPr>
        <w:pStyle w:val="3-BodyText"/>
        <w:rPr>
          <w:snapToGrid w:val="0"/>
        </w:rPr>
      </w:pPr>
      <w:bookmarkStart w:id="77" w:name="_Ref180163209"/>
      <w:bookmarkStart w:id="78" w:name="_Ref182399461"/>
      <w:bookmarkStart w:id="79" w:name="_Ref182400055"/>
      <w:bookmarkStart w:id="80" w:name="_Hlk180146538"/>
      <w:r w:rsidRPr="005D3209">
        <w:rPr>
          <w:snapToGrid w:val="0"/>
        </w:rPr>
        <w:t xml:space="preserve">The ESC noted using the total number of treated patients for </w:t>
      </w:r>
      <w:r w:rsidR="00AA5CF6">
        <w:rPr>
          <w:snapToGrid w:val="0"/>
        </w:rPr>
        <w:t>avelumab</w:t>
      </w:r>
      <w:r w:rsidRPr="005D3209">
        <w:rPr>
          <w:snapToGrid w:val="0"/>
        </w:rPr>
        <w:t xml:space="preserve"> and PEM in 2023 </w:t>
      </w:r>
      <w:r w:rsidR="0079168E" w:rsidRPr="005D3209">
        <w:rPr>
          <w:snapToGrid w:val="0"/>
        </w:rPr>
        <w:t xml:space="preserve">was 585 </w:t>
      </w:r>
      <w:r w:rsidRPr="005D3209">
        <w:rPr>
          <w:snapToGrid w:val="0"/>
        </w:rPr>
        <w:t>(312 + 273) and assuming this represented 62.7% (33.6% + 29.1%) of the population that would be treated with EV + PEM, resulted in an estimated number of patients of 933 (585/62.7%). The ESC noted this was significantly lower than estimated in the submission (</w:t>
      </w:r>
      <w:r w:rsidR="00DB397C" w:rsidRPr="00DB397C">
        <w:rPr>
          <w:snapToGrid w:val="0"/>
        </w:rPr>
        <w:t xml:space="preserve">500 to &lt; 5,000 </w:t>
      </w:r>
      <w:r w:rsidRPr="005D3209">
        <w:rPr>
          <w:snapToGrid w:val="0"/>
        </w:rPr>
        <w:t>)</w:t>
      </w:r>
      <w:r w:rsidR="008C227F" w:rsidRPr="005D3209">
        <w:rPr>
          <w:snapToGrid w:val="0"/>
        </w:rPr>
        <w:t xml:space="preserve"> which </w:t>
      </w:r>
      <w:r w:rsidR="00613F7F" w:rsidRPr="005D3209">
        <w:rPr>
          <w:snapToGrid w:val="0"/>
        </w:rPr>
        <w:t>suggests</w:t>
      </w:r>
      <w:r w:rsidR="008C227F" w:rsidRPr="005D3209">
        <w:rPr>
          <w:snapToGrid w:val="0"/>
        </w:rPr>
        <w:t xml:space="preserve"> that the patient numbers were substantially overestimated</w:t>
      </w:r>
      <w:r w:rsidRPr="005D3209">
        <w:rPr>
          <w:snapToGrid w:val="0"/>
        </w:rPr>
        <w:t>.</w:t>
      </w:r>
      <w:bookmarkEnd w:id="77"/>
      <w:r w:rsidR="00842596">
        <w:rPr>
          <w:snapToGrid w:val="0"/>
        </w:rPr>
        <w:t xml:space="preserve"> The pre-PBAC response </w:t>
      </w:r>
      <w:r w:rsidR="00104C0D">
        <w:rPr>
          <w:snapToGrid w:val="0"/>
        </w:rPr>
        <w:t xml:space="preserve">argued that a retrospective cohort study from the United States reported the uptake of second-line therapy to be </w:t>
      </w:r>
      <w:r w:rsidR="00104C0D">
        <w:rPr>
          <w:snapToGrid w:val="0"/>
        </w:rPr>
        <w:lastRenderedPageBreak/>
        <w:t>low, with only 37.7% of patients receiving such therapy between 2016 and 2023.</w:t>
      </w:r>
      <w:r w:rsidR="00104C0D">
        <w:rPr>
          <w:rStyle w:val="FootnoteReference"/>
          <w:snapToGrid w:val="0"/>
        </w:rPr>
        <w:footnoteReference w:id="35"/>
      </w:r>
      <w:r w:rsidR="00104C0D">
        <w:rPr>
          <w:snapToGrid w:val="0"/>
        </w:rPr>
        <w:t xml:space="preserve"> The pre-PBAC response went on to argue that if the use of pembrolizumab between 2019 and 2021 represents 37.7% of the first line population the submission assumptions </w:t>
      </w:r>
      <w:r w:rsidR="002D4F26">
        <w:rPr>
          <w:snapToGrid w:val="0"/>
        </w:rPr>
        <w:t>regarding the number of incident treated patients were reasonable.</w:t>
      </w:r>
      <w:bookmarkEnd w:id="78"/>
      <w:r w:rsidR="002D4F26">
        <w:rPr>
          <w:snapToGrid w:val="0"/>
        </w:rPr>
        <w:t xml:space="preserve"> </w:t>
      </w:r>
      <w:r w:rsidR="00502134">
        <w:rPr>
          <w:snapToGrid w:val="0"/>
        </w:rPr>
        <w:t>The PBAC did not agree with the</w:t>
      </w:r>
      <w:r w:rsidR="00B23C61">
        <w:rPr>
          <w:snapToGrid w:val="0"/>
        </w:rPr>
        <w:t xml:space="preserve"> argument proposed in the pre-PBAC response and instead considered that, based on triangulation of data provided by the DUSC Secretariat, the number of incident treated patients was substantially overestimated.</w:t>
      </w:r>
      <w:bookmarkEnd w:id="79"/>
      <w:r w:rsidR="00B23C61">
        <w:rPr>
          <w:snapToGrid w:val="0"/>
        </w:rPr>
        <w:t xml:space="preserve"> </w:t>
      </w:r>
    </w:p>
    <w:p w14:paraId="07E62DEF" w14:textId="454FFEC6" w:rsidR="00784A26" w:rsidRPr="005D3209" w:rsidRDefault="00784A26" w:rsidP="00BC1C41">
      <w:pPr>
        <w:pStyle w:val="3-BodyText"/>
        <w:rPr>
          <w:snapToGrid w:val="0"/>
        </w:rPr>
      </w:pPr>
      <w:r>
        <w:rPr>
          <w:snapToGrid w:val="0"/>
        </w:rPr>
        <w:t xml:space="preserve">The pre-PBAC response provided revised financial estimates (see </w:t>
      </w:r>
      <w:r>
        <w:rPr>
          <w:snapToGrid w:val="0"/>
        </w:rPr>
        <w:fldChar w:fldCharType="begin" w:fldLock="1"/>
      </w:r>
      <w:r>
        <w:rPr>
          <w:snapToGrid w:val="0"/>
        </w:rPr>
        <w:instrText xml:space="preserve"> REF _Ref182398432 \h </w:instrText>
      </w:r>
      <w:r>
        <w:rPr>
          <w:snapToGrid w:val="0"/>
        </w:rPr>
      </w:r>
      <w:r>
        <w:rPr>
          <w:snapToGrid w:val="0"/>
        </w:rPr>
        <w:fldChar w:fldCharType="separate"/>
      </w:r>
      <w:r w:rsidR="00FE0BD6" w:rsidRPr="00E273AF">
        <w:t xml:space="preserve">Table </w:t>
      </w:r>
      <w:r w:rsidR="00FE0BD6">
        <w:rPr>
          <w:noProof/>
        </w:rPr>
        <w:t>17</w:t>
      </w:r>
      <w:r>
        <w:rPr>
          <w:snapToGrid w:val="0"/>
        </w:rPr>
        <w:fldChar w:fldCharType="end"/>
      </w:r>
      <w:r>
        <w:rPr>
          <w:snapToGrid w:val="0"/>
        </w:rPr>
        <w:t xml:space="preserve">). The pre-PBAC response </w:t>
      </w:r>
      <w:r w:rsidR="00AA5CF6">
        <w:rPr>
          <w:snapToGrid w:val="0"/>
        </w:rPr>
        <w:t>indicated</w:t>
      </w:r>
      <w:r>
        <w:rPr>
          <w:snapToGrid w:val="0"/>
        </w:rPr>
        <w:t xml:space="preserve"> the revised estimates included no changes to the number of incident treated patients, updated cost offsets based on 70% of the first line population being eligible for </w:t>
      </w:r>
      <w:proofErr w:type="spellStart"/>
      <w:r>
        <w:rPr>
          <w:snapToGrid w:val="0"/>
        </w:rPr>
        <w:t>Plat+Gem</w:t>
      </w:r>
      <w:proofErr w:type="spellEnd"/>
      <w:r>
        <w:rPr>
          <w:snapToGrid w:val="0"/>
        </w:rPr>
        <w:t xml:space="preserve"> compared to 90% being eligible for EV+PEM and </w:t>
      </w:r>
      <w:r w:rsidR="00AA5CF6">
        <w:rPr>
          <w:snapToGrid w:val="0"/>
        </w:rPr>
        <w:t>assumed treatment durations of subsequent avelumab and third-line EV were consistent with the economic model.</w:t>
      </w:r>
    </w:p>
    <w:p w14:paraId="3CBC5B29" w14:textId="77777777" w:rsidR="008D40C6" w:rsidRPr="0098262F" w:rsidRDefault="008D40C6" w:rsidP="008D40C6">
      <w:pPr>
        <w:pStyle w:val="4-SubsectionHeading"/>
      </w:pPr>
      <w:bookmarkStart w:id="81" w:name="_Toc177481913"/>
      <w:bookmarkEnd w:id="80"/>
      <w:r w:rsidRPr="0098262F">
        <w:t>Quality Use of Medicines</w:t>
      </w:r>
      <w:bookmarkEnd w:id="62"/>
      <w:bookmarkEnd w:id="81"/>
    </w:p>
    <w:p w14:paraId="21020BCA" w14:textId="335F1E8D" w:rsidR="008D40C6" w:rsidRPr="00A0471B" w:rsidRDefault="008D40C6" w:rsidP="008D40C6">
      <w:pPr>
        <w:pStyle w:val="3-BodyText"/>
      </w:pPr>
      <w:r w:rsidRPr="00F0515D">
        <w:t xml:space="preserve">The sponsor </w:t>
      </w:r>
      <w:r>
        <w:t xml:space="preserve">stated </w:t>
      </w:r>
      <w:r w:rsidRPr="00F0515D">
        <w:t>that they are actively engaged in education activities that support the safe use of EV+PEM in Australian clinical practice</w:t>
      </w:r>
      <w:r>
        <w:t xml:space="preserve"> with routine pharmacovigilance activities being conducted. </w:t>
      </w:r>
      <w:r w:rsidRPr="00C11145">
        <w:t>The sponsor did not identify any QUM issues and no QUM issues were identified during the evaluation.</w:t>
      </w:r>
      <w:r>
        <w:rPr>
          <w:i/>
          <w:iCs/>
        </w:rPr>
        <w:t xml:space="preserve">  </w:t>
      </w:r>
    </w:p>
    <w:p w14:paraId="668AFA54" w14:textId="77777777" w:rsidR="008D40C6" w:rsidRDefault="008D40C6" w:rsidP="008D40C6">
      <w:pPr>
        <w:pStyle w:val="4-SubsectionHeading"/>
      </w:pPr>
      <w:bookmarkStart w:id="82" w:name="_Toc177481914"/>
      <w:r>
        <w:t>Risk sharing arrangements</w:t>
      </w:r>
      <w:bookmarkEnd w:id="82"/>
    </w:p>
    <w:p w14:paraId="7CB26053" w14:textId="26EE49B8" w:rsidR="008D40C6" w:rsidRDefault="008D40C6" w:rsidP="008D40C6">
      <w:pPr>
        <w:pStyle w:val="3-BodyText"/>
        <w:rPr>
          <w:lang w:eastAsia="en-US"/>
        </w:rPr>
      </w:pPr>
      <w:r w:rsidRPr="00C11145">
        <w:rPr>
          <w:lang w:eastAsia="en-US"/>
        </w:rPr>
        <w:t xml:space="preserve">The submission did not propose a risk sharing arrangement (RSA) for EV+PEM. </w:t>
      </w:r>
      <w:r w:rsidR="00BB3A70">
        <w:rPr>
          <w:lang w:eastAsia="en-US"/>
        </w:rPr>
        <w:t xml:space="preserve">The PBAC noted there </w:t>
      </w:r>
      <w:r w:rsidR="00681391">
        <w:rPr>
          <w:lang w:eastAsia="en-US"/>
        </w:rPr>
        <w:t xml:space="preserve">are </w:t>
      </w:r>
      <w:r w:rsidRPr="00C11145">
        <w:rPr>
          <w:lang w:eastAsia="en-US"/>
        </w:rPr>
        <w:t xml:space="preserve">RSAs in place for </w:t>
      </w:r>
      <w:r w:rsidR="00EF6A85">
        <w:rPr>
          <w:lang w:eastAsia="en-US"/>
        </w:rPr>
        <w:t xml:space="preserve">PEM, </w:t>
      </w:r>
      <w:r w:rsidR="00BB3A70">
        <w:rPr>
          <w:lang w:eastAsia="en-US"/>
        </w:rPr>
        <w:t>EV</w:t>
      </w:r>
      <w:r w:rsidR="00EF6A85">
        <w:rPr>
          <w:lang w:eastAsia="en-US"/>
        </w:rPr>
        <w:t xml:space="preserve"> </w:t>
      </w:r>
      <w:r w:rsidR="00BB3A70">
        <w:rPr>
          <w:lang w:eastAsia="en-US"/>
        </w:rPr>
        <w:t xml:space="preserve">and AVEL in </w:t>
      </w:r>
      <w:r w:rsidRPr="00C11145">
        <w:rPr>
          <w:lang w:eastAsia="en-US"/>
        </w:rPr>
        <w:t xml:space="preserve">this </w:t>
      </w:r>
      <w:r w:rsidR="00EF6A85">
        <w:rPr>
          <w:lang w:eastAsia="en-US"/>
        </w:rPr>
        <w:t xml:space="preserve">indication, with the RSAs for EV and AVEL </w:t>
      </w:r>
      <w:r w:rsidR="00681391">
        <w:rPr>
          <w:lang w:eastAsia="en-US"/>
        </w:rPr>
        <w:t>designed to achieve cost-effective prices</w:t>
      </w:r>
      <w:r w:rsidR="00EF6A85">
        <w:rPr>
          <w:lang w:eastAsia="en-US"/>
        </w:rPr>
        <w:t>.</w:t>
      </w:r>
      <w:r w:rsidR="00681391">
        <w:rPr>
          <w:lang w:eastAsia="en-US"/>
        </w:rPr>
        <w:t xml:space="preserve"> </w:t>
      </w:r>
    </w:p>
    <w:p w14:paraId="180E0C6E" w14:textId="24A2792E" w:rsidR="00696BC0" w:rsidRDefault="00696BC0" w:rsidP="00696BC0">
      <w:pPr>
        <w:pStyle w:val="3-BodyText"/>
        <w:numPr>
          <w:ilvl w:val="0"/>
          <w:numId w:val="0"/>
        </w:numPr>
        <w:ind w:left="720"/>
        <w:rPr>
          <w:i/>
        </w:rPr>
      </w:pPr>
      <w:r w:rsidRPr="00C33D30">
        <w:rPr>
          <w:i/>
        </w:rPr>
        <w:t>For more detail on PBAC’s view, see section 7 PBAC outcome.</w:t>
      </w:r>
    </w:p>
    <w:p w14:paraId="137C8EF0" w14:textId="77777777" w:rsidR="00763E59" w:rsidRPr="00763E59" w:rsidRDefault="00763E59" w:rsidP="00763E59">
      <w:pPr>
        <w:keepNext/>
        <w:numPr>
          <w:ilvl w:val="0"/>
          <w:numId w:val="1"/>
        </w:numPr>
        <w:spacing w:before="240" w:after="120"/>
        <w:jc w:val="left"/>
        <w:outlineLvl w:val="0"/>
        <w:rPr>
          <w:rFonts w:asciiTheme="minorHAnsi" w:hAnsiTheme="minorHAnsi"/>
          <w:b/>
          <w:snapToGrid w:val="0"/>
          <w:sz w:val="32"/>
          <w:szCs w:val="32"/>
        </w:rPr>
      </w:pPr>
      <w:bookmarkStart w:id="83" w:name="_Hlk76381249"/>
      <w:bookmarkStart w:id="84" w:name="_Hlk76377955"/>
      <w:r w:rsidRPr="00763E59">
        <w:rPr>
          <w:rFonts w:asciiTheme="minorHAnsi" w:hAnsiTheme="minorHAnsi"/>
          <w:b/>
          <w:snapToGrid w:val="0"/>
          <w:sz w:val="32"/>
          <w:szCs w:val="32"/>
        </w:rPr>
        <w:t>PBAC Outcome</w:t>
      </w:r>
    </w:p>
    <w:p w14:paraId="0ABC9579" w14:textId="41674C8E" w:rsidR="00D0362B" w:rsidRDefault="00D0362B" w:rsidP="00D0362B">
      <w:pPr>
        <w:widowControl w:val="0"/>
        <w:numPr>
          <w:ilvl w:val="1"/>
          <w:numId w:val="1"/>
        </w:numPr>
        <w:spacing w:after="120"/>
        <w:rPr>
          <w:rFonts w:asciiTheme="minorHAnsi" w:hAnsiTheme="minorHAnsi"/>
          <w:snapToGrid w:val="0"/>
          <w:lang w:val="en-GB" w:eastAsia="en-US"/>
        </w:rPr>
      </w:pPr>
      <w:bookmarkStart w:id="85" w:name="_Hlk111543188"/>
      <w:r w:rsidRPr="00D0362B">
        <w:rPr>
          <w:rFonts w:asciiTheme="minorHAnsi" w:hAnsiTheme="minorHAnsi"/>
          <w:snapToGrid w:val="0"/>
          <w:lang w:val="en-GB" w:eastAsia="en-US"/>
        </w:rPr>
        <w:t xml:space="preserve">The PBAC recommended </w:t>
      </w:r>
      <w:r>
        <w:rPr>
          <w:rFonts w:asciiTheme="minorHAnsi" w:hAnsiTheme="minorHAnsi"/>
          <w:snapToGrid w:val="0"/>
          <w:lang w:val="en-GB" w:eastAsia="en-US"/>
        </w:rPr>
        <w:t xml:space="preserve">the </w:t>
      </w:r>
      <w:r w:rsidR="00C86928" w:rsidRPr="00D14308">
        <w:t xml:space="preserve">Section 100 (Efficient Funding of Chemotherapy) </w:t>
      </w:r>
      <w:r>
        <w:rPr>
          <w:rFonts w:asciiTheme="minorHAnsi" w:hAnsiTheme="minorHAnsi"/>
          <w:snapToGrid w:val="0"/>
          <w:lang w:val="en-GB" w:eastAsia="en-US"/>
        </w:rPr>
        <w:t xml:space="preserve">Authority Required (STREAMLINED) listing of </w:t>
      </w:r>
      <w:r w:rsidRPr="00D0362B">
        <w:rPr>
          <w:rFonts w:asciiTheme="minorHAnsi" w:hAnsiTheme="minorHAnsi"/>
          <w:snapToGrid w:val="0"/>
          <w:lang w:val="en-GB" w:eastAsia="en-US"/>
        </w:rPr>
        <w:t>enfortumab vedotin</w:t>
      </w:r>
      <w:r>
        <w:rPr>
          <w:rFonts w:asciiTheme="minorHAnsi" w:hAnsiTheme="minorHAnsi"/>
          <w:snapToGrid w:val="0"/>
          <w:lang w:val="en-GB" w:eastAsia="en-US"/>
        </w:rPr>
        <w:t xml:space="preserve"> </w:t>
      </w:r>
      <w:r w:rsidRPr="00D0362B">
        <w:rPr>
          <w:rFonts w:asciiTheme="minorHAnsi" w:hAnsiTheme="minorHAnsi"/>
          <w:snapToGrid w:val="0"/>
          <w:lang w:val="en-GB" w:eastAsia="en-US"/>
        </w:rPr>
        <w:t xml:space="preserve">in combination with pembrolizumab (EV+PEM) for the first line treatment of locally advanced (Stage III) or metastatic (Stage IV) urothelial cancer (la/mUC). </w:t>
      </w:r>
      <w:r w:rsidR="00C86928">
        <w:rPr>
          <w:rFonts w:asciiTheme="minorHAnsi" w:hAnsiTheme="minorHAnsi"/>
          <w:snapToGrid w:val="0"/>
          <w:lang w:val="en-GB" w:eastAsia="en-US"/>
        </w:rPr>
        <w:t xml:space="preserve">The PBAC is satisfied that EV+PEM provides, for some patients, a significant improvement in efficacy over </w:t>
      </w:r>
      <w:proofErr w:type="gramStart"/>
      <w:r w:rsidR="00C86928">
        <w:t>platinum based</w:t>
      </w:r>
      <w:proofErr w:type="gramEnd"/>
      <w:r w:rsidR="00C86928">
        <w:t xml:space="preserve"> chemotherapy with gemcitabine (</w:t>
      </w:r>
      <w:proofErr w:type="spellStart"/>
      <w:r w:rsidR="00C86928">
        <w:t>Plat+Gem</w:t>
      </w:r>
      <w:proofErr w:type="spellEnd"/>
      <w:r w:rsidR="00C86928">
        <w:t xml:space="preserve">). </w:t>
      </w:r>
      <w:r w:rsidR="001B785E">
        <w:t xml:space="preserve">The PBAC’s recommendation for listing was based on, among other matters, its assessment that the cost-effectiveness of EV+PEM would be acceptable at the </w:t>
      </w:r>
      <w:r w:rsidR="00053D13">
        <w:t>combined EV+PEM cost</w:t>
      </w:r>
      <w:r w:rsidR="001B785E">
        <w:t xml:space="preserve"> required to achieve </w:t>
      </w:r>
      <w:r w:rsidR="00364045">
        <w:t xml:space="preserve">an </w:t>
      </w:r>
      <w:r w:rsidR="001B785E">
        <w:t>incremental cost-effectiveness ratio (ICER)</w:t>
      </w:r>
      <w:r w:rsidR="00A52CE9">
        <w:t xml:space="preserve"> of around </w:t>
      </w:r>
      <w:r w:rsidR="003569A1" w:rsidRPr="003569A1">
        <w:t xml:space="preserve">$55,000 to &lt; $75,000 </w:t>
      </w:r>
      <w:r w:rsidR="001B785E">
        <w:t xml:space="preserve">per QALY gained and </w:t>
      </w:r>
      <w:r w:rsidR="0029139E">
        <w:t xml:space="preserve">with </w:t>
      </w:r>
      <w:r w:rsidR="001B785E">
        <w:t xml:space="preserve">a risk sharing </w:t>
      </w:r>
      <w:r w:rsidR="001B785E" w:rsidRPr="00D0362B">
        <w:rPr>
          <w:rFonts w:asciiTheme="minorHAnsi" w:hAnsiTheme="minorHAnsi"/>
          <w:snapToGrid w:val="0"/>
          <w:lang w:val="en-GB" w:eastAsia="en-US"/>
        </w:rPr>
        <w:t xml:space="preserve">arrangement </w:t>
      </w:r>
      <w:r w:rsidR="0029139E">
        <w:rPr>
          <w:rFonts w:asciiTheme="minorHAnsi" w:hAnsiTheme="minorHAnsi"/>
          <w:snapToGrid w:val="0"/>
          <w:lang w:val="en-GB" w:eastAsia="en-US"/>
        </w:rPr>
        <w:t xml:space="preserve">that </w:t>
      </w:r>
      <w:r w:rsidR="001B785E" w:rsidRPr="00D0362B">
        <w:rPr>
          <w:rFonts w:asciiTheme="minorHAnsi" w:hAnsiTheme="minorHAnsi"/>
          <w:snapToGrid w:val="0"/>
          <w:lang w:val="en-GB" w:eastAsia="en-US"/>
        </w:rPr>
        <w:t>account</w:t>
      </w:r>
      <w:r w:rsidR="0029139E">
        <w:rPr>
          <w:rFonts w:asciiTheme="minorHAnsi" w:hAnsiTheme="minorHAnsi"/>
          <w:snapToGrid w:val="0"/>
          <w:lang w:val="en-GB" w:eastAsia="en-US"/>
        </w:rPr>
        <w:t>s</w:t>
      </w:r>
      <w:r w:rsidR="001B785E" w:rsidRPr="00D0362B">
        <w:rPr>
          <w:rFonts w:asciiTheme="minorHAnsi" w:hAnsiTheme="minorHAnsi"/>
          <w:snapToGrid w:val="0"/>
          <w:lang w:val="en-GB" w:eastAsia="en-US"/>
        </w:rPr>
        <w:t xml:space="preserve"> for expenditure on </w:t>
      </w:r>
      <w:r w:rsidR="00EF6A85">
        <w:rPr>
          <w:rFonts w:asciiTheme="minorHAnsi" w:hAnsiTheme="minorHAnsi"/>
          <w:snapToGrid w:val="0"/>
          <w:lang w:val="en-GB" w:eastAsia="en-US"/>
        </w:rPr>
        <w:t xml:space="preserve">the use </w:t>
      </w:r>
      <w:r w:rsidR="00EF6A85">
        <w:rPr>
          <w:rFonts w:asciiTheme="minorHAnsi" w:hAnsiTheme="minorHAnsi"/>
          <w:snapToGrid w:val="0"/>
          <w:lang w:val="en-GB" w:eastAsia="en-US"/>
        </w:rPr>
        <w:lastRenderedPageBreak/>
        <w:t xml:space="preserve">of </w:t>
      </w:r>
      <w:r w:rsidR="001B785E" w:rsidRPr="00D0362B">
        <w:rPr>
          <w:rFonts w:asciiTheme="minorHAnsi" w:hAnsiTheme="minorHAnsi"/>
          <w:snapToGrid w:val="0"/>
          <w:lang w:val="en-GB" w:eastAsia="en-US"/>
        </w:rPr>
        <w:t xml:space="preserve">first line and subsequent line </w:t>
      </w:r>
      <w:r w:rsidR="00EF6A85">
        <w:rPr>
          <w:rFonts w:asciiTheme="minorHAnsi" w:hAnsiTheme="minorHAnsi"/>
          <w:snapToGrid w:val="0"/>
          <w:lang w:val="en-GB" w:eastAsia="en-US"/>
        </w:rPr>
        <w:t xml:space="preserve">therapies. </w:t>
      </w:r>
    </w:p>
    <w:p w14:paraId="632B715E" w14:textId="321126DA" w:rsidR="0029139E" w:rsidRDefault="0029139E" w:rsidP="0029139E">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noted the input from individuals, health care professions and organisations that highlighted </w:t>
      </w:r>
      <w:r w:rsidR="0060047F">
        <w:rPr>
          <w:rFonts w:asciiTheme="minorHAnsi" w:hAnsiTheme="minorHAnsi"/>
          <w:snapToGrid w:val="0"/>
          <w:lang w:val="en-GB" w:eastAsia="en-US"/>
        </w:rPr>
        <w:t xml:space="preserve">the benefits of EV+PEM in terms of overall survival and </w:t>
      </w:r>
      <w:r w:rsidR="006C1C70">
        <w:rPr>
          <w:rFonts w:asciiTheme="minorHAnsi" w:hAnsiTheme="minorHAnsi"/>
          <w:snapToGrid w:val="0"/>
          <w:lang w:val="en-GB" w:eastAsia="en-US"/>
        </w:rPr>
        <w:t>response rates</w:t>
      </w:r>
      <w:r w:rsidR="0060047F">
        <w:rPr>
          <w:rFonts w:asciiTheme="minorHAnsi" w:hAnsiTheme="minorHAnsi"/>
          <w:snapToGrid w:val="0"/>
          <w:lang w:val="en-GB" w:eastAsia="en-US"/>
        </w:rPr>
        <w:t xml:space="preserve"> in this poor prognosis cancer. The PBAC also noted the support for EV+PEM for this indication from the Medical Oncology Group of Australia (MOGA). The PBAC acknowledged </w:t>
      </w:r>
      <w:r>
        <w:rPr>
          <w:rFonts w:asciiTheme="minorHAnsi" w:hAnsiTheme="minorHAnsi"/>
          <w:snapToGrid w:val="0"/>
          <w:lang w:val="en-GB" w:eastAsia="en-US"/>
        </w:rPr>
        <w:t xml:space="preserve">the </w:t>
      </w:r>
      <w:r w:rsidR="00364045">
        <w:rPr>
          <w:rFonts w:asciiTheme="minorHAnsi" w:hAnsiTheme="minorHAnsi"/>
          <w:snapToGrid w:val="0"/>
          <w:lang w:val="en-GB" w:eastAsia="en-US"/>
        </w:rPr>
        <w:t xml:space="preserve">high </w:t>
      </w:r>
      <w:r w:rsidR="009609B4">
        <w:rPr>
          <w:rFonts w:asciiTheme="minorHAnsi" w:hAnsiTheme="minorHAnsi"/>
          <w:snapToGrid w:val="0"/>
          <w:lang w:val="en-GB" w:eastAsia="en-US"/>
        </w:rPr>
        <w:t>c</w:t>
      </w:r>
      <w:r w:rsidR="00D0362B" w:rsidRPr="0029139E">
        <w:rPr>
          <w:rFonts w:asciiTheme="minorHAnsi" w:hAnsiTheme="minorHAnsi"/>
          <w:snapToGrid w:val="0"/>
          <w:lang w:val="en-GB" w:eastAsia="en-US"/>
        </w:rPr>
        <w:t>linical need for more effective therapies for la/mUC</w:t>
      </w:r>
      <w:r w:rsidR="007C18C9">
        <w:rPr>
          <w:rFonts w:asciiTheme="minorHAnsi" w:hAnsiTheme="minorHAnsi"/>
          <w:snapToGrid w:val="0"/>
          <w:lang w:val="en-GB" w:eastAsia="en-US"/>
        </w:rPr>
        <w:t xml:space="preserve">, noting that </w:t>
      </w:r>
      <w:proofErr w:type="gramStart"/>
      <w:r w:rsidR="007C18C9">
        <w:rPr>
          <w:rFonts w:asciiTheme="minorHAnsi" w:hAnsiTheme="minorHAnsi"/>
          <w:snapToGrid w:val="0"/>
          <w:lang w:val="en-GB" w:eastAsia="en-US"/>
        </w:rPr>
        <w:t>overall</w:t>
      </w:r>
      <w:proofErr w:type="gramEnd"/>
      <w:r w:rsidR="007C18C9">
        <w:rPr>
          <w:rFonts w:asciiTheme="minorHAnsi" w:hAnsiTheme="minorHAnsi"/>
          <w:snapToGrid w:val="0"/>
          <w:lang w:val="en-GB" w:eastAsia="en-US"/>
        </w:rPr>
        <w:t xml:space="preserve"> the current PBS-listed therapies are moderately effective</w:t>
      </w:r>
      <w:r w:rsidR="00D0362B" w:rsidRPr="0029139E">
        <w:rPr>
          <w:rFonts w:asciiTheme="minorHAnsi" w:hAnsiTheme="minorHAnsi"/>
          <w:snapToGrid w:val="0"/>
          <w:lang w:val="en-GB" w:eastAsia="en-US"/>
        </w:rPr>
        <w:t xml:space="preserve">. </w:t>
      </w:r>
    </w:p>
    <w:p w14:paraId="234D2D5B" w14:textId="136AF2DF" w:rsidR="00AC7378" w:rsidRPr="0060047F" w:rsidRDefault="00AC7378" w:rsidP="0060047F">
      <w:pPr>
        <w:widowControl w:val="0"/>
        <w:numPr>
          <w:ilvl w:val="1"/>
          <w:numId w:val="1"/>
        </w:numPr>
        <w:spacing w:after="120"/>
        <w:jc w:val="left"/>
        <w:rPr>
          <w:rFonts w:asciiTheme="minorHAnsi" w:hAnsiTheme="minorHAnsi"/>
          <w:snapToGrid w:val="0"/>
          <w:lang w:val="en-GB" w:eastAsia="en-US"/>
        </w:rPr>
      </w:pPr>
      <w:proofErr w:type="gramStart"/>
      <w:r w:rsidRPr="0060047F">
        <w:rPr>
          <w:rFonts w:asciiTheme="minorHAnsi" w:hAnsiTheme="minorHAnsi"/>
          <w:snapToGrid w:val="0"/>
          <w:lang w:val="en-GB" w:eastAsia="en-US"/>
        </w:rPr>
        <w:t>With regard to</w:t>
      </w:r>
      <w:proofErr w:type="gramEnd"/>
      <w:r w:rsidRPr="0060047F">
        <w:rPr>
          <w:rFonts w:asciiTheme="minorHAnsi" w:hAnsiTheme="minorHAnsi"/>
          <w:snapToGrid w:val="0"/>
          <w:lang w:val="en-GB" w:eastAsia="en-US"/>
        </w:rPr>
        <w:t xml:space="preserve"> the requested listing and restriction, the PBAC advised that:</w:t>
      </w:r>
    </w:p>
    <w:p w14:paraId="7B2DE4E4" w14:textId="6736D9E9" w:rsidR="00AC7378" w:rsidRPr="00AC7378" w:rsidRDefault="00AC7378" w:rsidP="00EC50F1">
      <w:pPr>
        <w:pStyle w:val="COMexecsummbulletlist"/>
        <w:numPr>
          <w:ilvl w:val="1"/>
          <w:numId w:val="28"/>
        </w:numPr>
        <w:rPr>
          <w:lang w:val="en-GB"/>
        </w:rPr>
      </w:pPr>
      <w:r w:rsidRPr="00C11145">
        <w:rPr>
          <w:rFonts w:ascii="Calibri" w:eastAsia="Calibri" w:hAnsi="Calibri" w:cs="Calibri"/>
        </w:rPr>
        <w:t>An Authority Required (STREAMLINED) listing</w:t>
      </w:r>
      <w:r w:rsidR="006E0CBF">
        <w:rPr>
          <w:rFonts w:ascii="Calibri" w:eastAsia="Calibri" w:hAnsi="Calibri" w:cs="Calibri"/>
        </w:rPr>
        <w:t xml:space="preserve"> was appropriate</w:t>
      </w:r>
      <w:r w:rsidR="00A957F4">
        <w:rPr>
          <w:rFonts w:ascii="Calibri" w:eastAsia="Calibri" w:hAnsi="Calibri" w:cs="Calibri"/>
        </w:rPr>
        <w:t>.</w:t>
      </w:r>
    </w:p>
    <w:p w14:paraId="2C844250" w14:textId="63109A15" w:rsidR="00763E59" w:rsidRDefault="00A957F4" w:rsidP="00EC50F1">
      <w:pPr>
        <w:pStyle w:val="COMexecsummbulletlist"/>
        <w:numPr>
          <w:ilvl w:val="1"/>
          <w:numId w:val="28"/>
        </w:numPr>
        <w:rPr>
          <w:lang w:val="en-GB"/>
        </w:rPr>
      </w:pPr>
      <w:r>
        <w:rPr>
          <w:rFonts w:ascii="Calibri" w:eastAsia="Calibri" w:hAnsi="Calibri" w:cs="Calibri"/>
        </w:rPr>
        <w:t>T</w:t>
      </w:r>
      <w:r w:rsidR="00AC7378" w:rsidRPr="00C11145">
        <w:rPr>
          <w:rFonts w:ascii="Calibri" w:eastAsia="Calibri" w:hAnsi="Calibri" w:cs="Calibri"/>
        </w:rPr>
        <w:t>he clinical criteria referring to neoadjuvant/adjuvant chemotherapy</w:t>
      </w:r>
      <w:r>
        <w:rPr>
          <w:rFonts w:ascii="Calibri" w:eastAsia="Calibri" w:hAnsi="Calibri" w:cs="Calibri"/>
        </w:rPr>
        <w:t xml:space="preserve"> </w:t>
      </w:r>
      <w:r w:rsidR="006E0CBF">
        <w:rPr>
          <w:rFonts w:ascii="Calibri" w:eastAsia="Calibri" w:hAnsi="Calibri" w:cs="Calibri"/>
        </w:rPr>
        <w:t xml:space="preserve">did not require </w:t>
      </w:r>
      <w:r w:rsidR="00AC7378" w:rsidRPr="00C11145">
        <w:rPr>
          <w:rFonts w:ascii="Calibri" w:eastAsia="Calibri" w:hAnsi="Calibri" w:cs="Calibri"/>
        </w:rPr>
        <w:t>specif</w:t>
      </w:r>
      <w:r>
        <w:rPr>
          <w:rFonts w:ascii="Calibri" w:eastAsia="Calibri" w:hAnsi="Calibri" w:cs="Calibri"/>
        </w:rPr>
        <w:t>ication of</w:t>
      </w:r>
      <w:r w:rsidR="00AC7378" w:rsidRPr="00C11145">
        <w:rPr>
          <w:rFonts w:ascii="Calibri" w:eastAsia="Calibri" w:hAnsi="Calibri" w:cs="Calibri"/>
        </w:rPr>
        <w:t xml:space="preserve"> </w:t>
      </w:r>
      <w:r>
        <w:rPr>
          <w:rFonts w:ascii="Calibri" w:eastAsia="Calibri" w:hAnsi="Calibri" w:cs="Calibri"/>
        </w:rPr>
        <w:t xml:space="preserve">a time frame for </w:t>
      </w:r>
      <w:r w:rsidR="00AC7378" w:rsidRPr="00C11145">
        <w:rPr>
          <w:rFonts w:ascii="Calibri" w:eastAsia="Calibri" w:hAnsi="Calibri" w:cs="Calibri"/>
        </w:rPr>
        <w:t>recurrence from completion of therapy</w:t>
      </w:r>
      <w:r>
        <w:rPr>
          <w:rFonts w:ascii="Calibri" w:eastAsia="Calibri" w:hAnsi="Calibri" w:cs="Calibri"/>
        </w:rPr>
        <w:t xml:space="preserve"> (see paragraph </w:t>
      </w:r>
      <w:r>
        <w:rPr>
          <w:rFonts w:ascii="Calibri" w:eastAsia="Calibri" w:hAnsi="Calibri" w:cs="Calibri"/>
        </w:rPr>
        <w:fldChar w:fldCharType="begin" w:fldLock="1"/>
      </w:r>
      <w:r>
        <w:rPr>
          <w:rFonts w:ascii="Calibri" w:eastAsia="Calibri" w:hAnsi="Calibri" w:cs="Calibri"/>
        </w:rPr>
        <w:instrText xml:space="preserve"> REF _Ref182298462 \r \h </w:instrText>
      </w:r>
      <w:r>
        <w:rPr>
          <w:rFonts w:ascii="Calibri" w:eastAsia="Calibri" w:hAnsi="Calibri" w:cs="Calibri"/>
        </w:rPr>
      </w:r>
      <w:r>
        <w:rPr>
          <w:rFonts w:ascii="Calibri" w:eastAsia="Calibri" w:hAnsi="Calibri" w:cs="Calibri"/>
        </w:rPr>
        <w:fldChar w:fldCharType="separate"/>
      </w:r>
      <w:r w:rsidR="00FE0BD6">
        <w:rPr>
          <w:rFonts w:ascii="Calibri" w:eastAsia="Calibri" w:hAnsi="Calibri" w:cs="Calibri"/>
        </w:rPr>
        <w:t>3.3</w:t>
      </w:r>
      <w:r>
        <w:rPr>
          <w:rFonts w:ascii="Calibri" w:eastAsia="Calibri" w:hAnsi="Calibri" w:cs="Calibri"/>
        </w:rPr>
        <w:fldChar w:fldCharType="end"/>
      </w:r>
      <w:r>
        <w:rPr>
          <w:rFonts w:ascii="Calibri" w:eastAsia="Calibri" w:hAnsi="Calibri" w:cs="Calibri"/>
        </w:rPr>
        <w:t>)</w:t>
      </w:r>
      <w:r w:rsidR="00763E59" w:rsidRPr="00763E59">
        <w:rPr>
          <w:lang w:val="en-GB"/>
        </w:rPr>
        <w:t xml:space="preserve">. </w:t>
      </w:r>
    </w:p>
    <w:p w14:paraId="3CA16913" w14:textId="1002734D" w:rsidR="006E0CBF" w:rsidRDefault="000473DF" w:rsidP="00EC50F1">
      <w:pPr>
        <w:pStyle w:val="COMexecsummbulletlist"/>
        <w:numPr>
          <w:ilvl w:val="1"/>
          <w:numId w:val="28"/>
        </w:numPr>
        <w:rPr>
          <w:lang w:val="en-GB"/>
        </w:rPr>
      </w:pPr>
      <w:r>
        <w:rPr>
          <w:lang w:val="en-GB"/>
        </w:rPr>
        <w:t xml:space="preserve">The Secretariat addition of administrative advice regarding </w:t>
      </w:r>
      <w:proofErr w:type="spellStart"/>
      <w:r>
        <w:rPr>
          <w:lang w:val="en-GB"/>
        </w:rPr>
        <w:t>pseudoprogression</w:t>
      </w:r>
      <w:proofErr w:type="spellEnd"/>
      <w:r>
        <w:rPr>
          <w:lang w:val="en-GB"/>
        </w:rPr>
        <w:t xml:space="preserve"> in the pembrolizumab restriction was not required</w:t>
      </w:r>
      <w:r w:rsidRPr="00311F03">
        <w:rPr>
          <w:lang w:val="en-GB"/>
        </w:rPr>
        <w:t>.</w:t>
      </w:r>
    </w:p>
    <w:p w14:paraId="6811A6A5" w14:textId="756FBB95" w:rsidR="00F053B5" w:rsidRPr="00F053B5" w:rsidRDefault="006E0CBF" w:rsidP="00EC50F1">
      <w:pPr>
        <w:pStyle w:val="ListParagraph"/>
        <w:numPr>
          <w:ilvl w:val="1"/>
          <w:numId w:val="28"/>
        </w:numPr>
        <w:jc w:val="both"/>
        <w:rPr>
          <w:rFonts w:ascii="Calibri" w:eastAsia="Calibri" w:hAnsi="Calibri" w:cs="Calibri"/>
        </w:rPr>
      </w:pPr>
      <w:r w:rsidRPr="00F053B5">
        <w:rPr>
          <w:rFonts w:ascii="Calibri" w:eastAsia="Calibri" w:hAnsi="Calibri" w:cs="Calibri"/>
        </w:rPr>
        <w:t xml:space="preserve">Flow on changes </w:t>
      </w:r>
      <w:r w:rsidR="000473DF" w:rsidRPr="00F053B5">
        <w:rPr>
          <w:rFonts w:ascii="Calibri" w:eastAsia="Calibri" w:hAnsi="Calibri" w:cs="Calibri"/>
        </w:rPr>
        <w:t xml:space="preserve">were required </w:t>
      </w:r>
      <w:r w:rsidRPr="00F053B5">
        <w:rPr>
          <w:rFonts w:ascii="Calibri" w:eastAsia="Calibri" w:hAnsi="Calibri" w:cs="Calibri"/>
        </w:rPr>
        <w:t>to prevent retreatment with enfortumab vedotin in the third-line setting</w:t>
      </w:r>
      <w:r w:rsidR="00311F03" w:rsidRPr="00F053B5">
        <w:rPr>
          <w:rFonts w:ascii="Calibri" w:eastAsia="Calibri" w:hAnsi="Calibri" w:cs="Calibri"/>
        </w:rPr>
        <w:t>.</w:t>
      </w:r>
      <w:r w:rsidR="00F053B5" w:rsidRPr="00F053B5">
        <w:t xml:space="preserve"> </w:t>
      </w:r>
      <w:r w:rsidR="00F053B5">
        <w:t xml:space="preserve">The PBAC noted the current restrictions for avelumab and pembrolizumab already </w:t>
      </w:r>
      <w:r w:rsidR="00F053B5" w:rsidRPr="00F053B5">
        <w:rPr>
          <w:rFonts w:ascii="Calibri" w:eastAsia="Calibri" w:hAnsi="Calibri" w:cs="Calibri"/>
        </w:rPr>
        <w:t xml:space="preserve">include </w:t>
      </w:r>
      <w:r w:rsidR="00F053B5">
        <w:rPr>
          <w:rFonts w:ascii="Calibri" w:eastAsia="Calibri" w:hAnsi="Calibri" w:cs="Calibri"/>
        </w:rPr>
        <w:t>criterion that precludes retreatment.</w:t>
      </w:r>
      <w:r w:rsidR="00F053B5" w:rsidRPr="00F053B5">
        <w:rPr>
          <w:rFonts w:ascii="Calibri" w:eastAsia="Calibri" w:hAnsi="Calibri" w:cs="Calibri"/>
        </w:rPr>
        <w:t xml:space="preserve"> </w:t>
      </w:r>
    </w:p>
    <w:p w14:paraId="2B3AAF24" w14:textId="61253F48" w:rsidR="0060047F" w:rsidRDefault="0060047F" w:rsidP="0060047F">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considered the proposed comparator of </w:t>
      </w:r>
      <w:proofErr w:type="spellStart"/>
      <w:r>
        <w:rPr>
          <w:rFonts w:asciiTheme="minorHAnsi" w:hAnsiTheme="minorHAnsi"/>
          <w:snapToGrid w:val="0"/>
          <w:lang w:val="en-GB" w:eastAsia="en-US"/>
        </w:rPr>
        <w:t>Plat+Gem</w:t>
      </w:r>
      <w:proofErr w:type="spellEnd"/>
      <w:r>
        <w:rPr>
          <w:rFonts w:asciiTheme="minorHAnsi" w:hAnsiTheme="minorHAnsi"/>
          <w:snapToGrid w:val="0"/>
          <w:lang w:val="en-GB" w:eastAsia="en-US"/>
        </w:rPr>
        <w:t xml:space="preserve"> was appropriate. </w:t>
      </w:r>
    </w:p>
    <w:p w14:paraId="403EB468" w14:textId="67CBC26C" w:rsidR="002F30DA" w:rsidRDefault="0060047F" w:rsidP="002F30DA">
      <w:pPr>
        <w:pStyle w:val="3-BodyText"/>
      </w:pPr>
      <w:r>
        <w:rPr>
          <w:snapToGrid w:val="0"/>
          <w:lang w:val="en-GB" w:eastAsia="en-US"/>
        </w:rPr>
        <w:t xml:space="preserve">The primary clinical evidence supporting the clinical claim was </w:t>
      </w:r>
      <w:r w:rsidR="00C0509B">
        <w:rPr>
          <w:snapToGrid w:val="0"/>
          <w:lang w:val="en-GB" w:eastAsia="en-US"/>
        </w:rPr>
        <w:t xml:space="preserve">the EV-302 trial comparing EV+PEM versus </w:t>
      </w:r>
      <w:proofErr w:type="spellStart"/>
      <w:r w:rsidR="00C0509B">
        <w:t>Plat+Gem</w:t>
      </w:r>
      <w:proofErr w:type="spellEnd"/>
      <w:r w:rsidR="00C0509B" w:rsidRPr="0098262F">
        <w:t xml:space="preserve"> </w:t>
      </w:r>
      <w:r w:rsidR="00C0509B">
        <w:t>in previously untreated la/mUC patients.</w:t>
      </w:r>
      <w:r w:rsidR="003E6549">
        <w:t xml:space="preserve"> The PBAC noted that in the </w:t>
      </w:r>
      <w:proofErr w:type="spellStart"/>
      <w:r w:rsidR="003E6549">
        <w:t>Plat+Gem</w:t>
      </w:r>
      <w:proofErr w:type="spellEnd"/>
      <w:r w:rsidR="003E6549">
        <w:t xml:space="preserve"> arm, 30.4% of patients received avelumab maintenance therapy and agreed with the ESC this is likely to be less than what is observed in the Australian clinical setting. In addition, the PBAC noted the average age of patients in the EV-302 trial was younger than the average of bladder cancer patients in the Australian setting (67.9 years versus 75.3 years respectively). In terms of the results of the EV-302 trial, t</w:t>
      </w:r>
      <w:r w:rsidR="00D13B84">
        <w:t xml:space="preserve">he PBAC noted that </w:t>
      </w:r>
      <w:r w:rsidR="00D13B84" w:rsidRPr="00C40690">
        <w:t xml:space="preserve">EV+PEM demonstrated a </w:t>
      </w:r>
      <w:r w:rsidR="003E6549">
        <w:t>substantial</w:t>
      </w:r>
      <w:r w:rsidR="00D13B84" w:rsidRPr="00C40690">
        <w:t xml:space="preserve"> improvement in </w:t>
      </w:r>
      <w:r w:rsidR="00D13B84">
        <w:t>progression free survival (</w:t>
      </w:r>
      <w:r w:rsidR="00D13B84" w:rsidRPr="00C40690">
        <w:t>PFS</w:t>
      </w:r>
      <w:r w:rsidR="00D13B84">
        <w:t>)</w:t>
      </w:r>
      <w:r w:rsidR="00D13B84" w:rsidRPr="00C40690">
        <w:t xml:space="preserve"> </w:t>
      </w:r>
      <w:r w:rsidR="00D13B84">
        <w:t xml:space="preserve">by blinded independent central review (BICR) </w:t>
      </w:r>
      <w:r w:rsidR="00D13B84" w:rsidRPr="00C40690">
        <w:t xml:space="preserve">in the ITT population compared to </w:t>
      </w:r>
      <w:proofErr w:type="spellStart"/>
      <w:r w:rsidR="00D13B84" w:rsidRPr="00C40690">
        <w:t>Plat+Gem</w:t>
      </w:r>
      <w:proofErr w:type="spellEnd"/>
      <w:r w:rsidR="00D13B84" w:rsidRPr="00C40690">
        <w:t xml:space="preserve"> (HR=0.45; 95% CI: 0.3</w:t>
      </w:r>
      <w:r w:rsidR="00D13B84">
        <w:t>8</w:t>
      </w:r>
      <w:r w:rsidR="00D13B84" w:rsidRPr="00C40690">
        <w:t>, 0.5</w:t>
      </w:r>
      <w:r w:rsidR="00C22F93">
        <w:t>4</w:t>
      </w:r>
      <w:r w:rsidR="00D13B84" w:rsidRPr="00C40690">
        <w:t>)</w:t>
      </w:r>
      <w:r w:rsidR="00D13B84">
        <w:t xml:space="preserve"> with an incremental gain in m</w:t>
      </w:r>
      <w:r w:rsidR="00D13B84" w:rsidRPr="00C40690">
        <w:t xml:space="preserve">edian PFS </w:t>
      </w:r>
      <w:r w:rsidR="00D13B84">
        <w:t xml:space="preserve">of 6.2 months. </w:t>
      </w:r>
      <w:r w:rsidR="00C22F93">
        <w:t>The PBAC also considered the improvement in overall survival (OS) was substantial</w:t>
      </w:r>
      <w:r w:rsidR="00D13B84" w:rsidRPr="00C40690">
        <w:t xml:space="preserve"> </w:t>
      </w:r>
      <w:r w:rsidR="00D13B84">
        <w:t xml:space="preserve">with EV+PEM </w:t>
      </w:r>
      <w:r w:rsidR="00D13B84" w:rsidRPr="00C40690">
        <w:t>(HR=0.4</w:t>
      </w:r>
      <w:r w:rsidR="00D13B84">
        <w:t>7</w:t>
      </w:r>
      <w:r w:rsidR="00D13B84" w:rsidRPr="00C40690">
        <w:t>; 95% CI: 0.3</w:t>
      </w:r>
      <w:r w:rsidR="00D13B84">
        <w:t>8</w:t>
      </w:r>
      <w:r w:rsidR="00D13B84" w:rsidRPr="00C40690">
        <w:t>, 0.58)</w:t>
      </w:r>
      <w:r w:rsidR="00D13B84">
        <w:t xml:space="preserve"> with an incremental gain in</w:t>
      </w:r>
      <w:r w:rsidR="00D13B84" w:rsidRPr="00C40690">
        <w:t xml:space="preserve"> median OS </w:t>
      </w:r>
      <w:r w:rsidR="00D13B84">
        <w:t>of 15.4 months.</w:t>
      </w:r>
      <w:r w:rsidR="003E6549">
        <w:t xml:space="preserve"> The PBAC noted the benefit in PFS and OS was demonstrated </w:t>
      </w:r>
      <w:r w:rsidR="00A138A8">
        <w:t xml:space="preserve">in </w:t>
      </w:r>
      <w:r w:rsidR="003E6549">
        <w:t xml:space="preserve">almost all prespecified subgroups including age (&lt;65 and </w:t>
      </w:r>
      <w:r w:rsidR="003E6549" w:rsidRPr="00EF1FB7">
        <w:rPr>
          <w:rFonts w:cstheme="minorHAnsi"/>
        </w:rPr>
        <w:t>≥</w:t>
      </w:r>
      <w:r w:rsidR="003E6549">
        <w:t xml:space="preserve"> 65), but a </w:t>
      </w:r>
      <w:r w:rsidR="003E6549" w:rsidRPr="00DD0956">
        <w:t xml:space="preserve">subgroup analysis on the impact of maintenance </w:t>
      </w:r>
      <w:r w:rsidR="003E6549">
        <w:t xml:space="preserve">therapy with </w:t>
      </w:r>
      <w:r w:rsidR="003E6549" w:rsidRPr="00DD0956">
        <w:t>avelumab was not included.</w:t>
      </w:r>
      <w:r w:rsidR="003E6549">
        <w:t xml:space="preserve"> The PBAC considered the </w:t>
      </w:r>
      <w:r w:rsidR="002F30DA" w:rsidRPr="005D3209">
        <w:t xml:space="preserve">claim of </w:t>
      </w:r>
      <w:r w:rsidR="002F30DA" w:rsidRPr="00CE42B4">
        <w:rPr>
          <w:snapToGrid w:val="0"/>
        </w:rPr>
        <w:t xml:space="preserve">superior comparative effectiveness </w:t>
      </w:r>
      <w:r w:rsidR="002F30DA">
        <w:t>wa</w:t>
      </w:r>
      <w:r w:rsidR="002F30DA" w:rsidRPr="005D3209">
        <w:t xml:space="preserve">s supported by the evidence presented. However, the </w:t>
      </w:r>
      <w:r w:rsidR="00EF6A85">
        <w:t xml:space="preserve">PBAC considered the magnitude of benefit observed in the EV-302 trial may not be realised in the proposed PBS population due to differences in age, performance status and the use of subsequent therapies (including maintenance avelumab).  </w:t>
      </w:r>
    </w:p>
    <w:p w14:paraId="7A1F1F0C" w14:textId="7F710C96" w:rsidR="003C3D54" w:rsidRPr="00763E59" w:rsidRDefault="002F30DA" w:rsidP="003C3D54">
      <w:pPr>
        <w:pStyle w:val="3-BodyText"/>
        <w:rPr>
          <w:snapToGrid w:val="0"/>
        </w:rPr>
      </w:pPr>
      <w:r>
        <w:lastRenderedPageBreak/>
        <w:t xml:space="preserve">The </w:t>
      </w:r>
      <w:r w:rsidR="00633AF4">
        <w:t xml:space="preserve">PBAC noted the claim of superior safety made in the submission based on exposure adjusted adverse event rates. The PBAC agreed with the evaluation and the ESC </w:t>
      </w:r>
      <w:r w:rsidR="00633AF4" w:rsidRPr="005D3209">
        <w:t xml:space="preserve">that use of the unadjusted </w:t>
      </w:r>
      <w:r w:rsidR="00633AF4">
        <w:t xml:space="preserve">rather than adjusted </w:t>
      </w:r>
      <w:r w:rsidR="00633AF4" w:rsidRPr="005D3209">
        <w:t>adverse events was appropriate in considering the comparative harms</w:t>
      </w:r>
      <w:r w:rsidR="00633AF4">
        <w:t xml:space="preserve">. The PBAC noted that </w:t>
      </w:r>
      <w:r w:rsidR="00633AF4" w:rsidRPr="00633AF4">
        <w:t xml:space="preserve">EV+PEM had nearly double the rate of </w:t>
      </w:r>
      <w:r w:rsidR="00633AF4">
        <w:t>treatment emergent adverse events</w:t>
      </w:r>
      <w:r w:rsidR="00633AF4" w:rsidRPr="00633AF4">
        <w:t xml:space="preserve"> </w:t>
      </w:r>
      <w:r w:rsidR="00633AF4">
        <w:t>(</w:t>
      </w:r>
      <w:r w:rsidR="00633AF4" w:rsidRPr="00633AF4">
        <w:t>TEAEs</w:t>
      </w:r>
      <w:r w:rsidR="00633AF4">
        <w:t>)</w:t>
      </w:r>
      <w:r w:rsidR="00633AF4" w:rsidRPr="00633AF4">
        <w:t xml:space="preserve"> leading to discontinuation (39.8% vs. 21.5%)</w:t>
      </w:r>
      <w:r w:rsidR="003C3D54">
        <w:t xml:space="preserve"> </w:t>
      </w:r>
      <w:r w:rsidR="00633AF4" w:rsidRPr="00633AF4">
        <w:t xml:space="preserve">and a higher rate of serious TEAEs (50.0% vs. 39.0%) compared to </w:t>
      </w:r>
      <w:proofErr w:type="spellStart"/>
      <w:r w:rsidR="00633AF4" w:rsidRPr="00633AF4">
        <w:t>Plat+Gem</w:t>
      </w:r>
      <w:proofErr w:type="spellEnd"/>
      <w:r w:rsidR="00633AF4" w:rsidRPr="00633AF4">
        <w:t>.</w:t>
      </w:r>
      <w:r w:rsidR="003C3D54">
        <w:t xml:space="preserve"> </w:t>
      </w:r>
      <w:r w:rsidR="003C3D54" w:rsidRPr="00CE42B4">
        <w:rPr>
          <w:snapToGrid w:val="0"/>
        </w:rPr>
        <w:t>The PBAC considered that the claim of superior comparative safety was not adequately supported by the data</w:t>
      </w:r>
      <w:r w:rsidR="003C3D54">
        <w:rPr>
          <w:snapToGrid w:val="0"/>
        </w:rPr>
        <w:t xml:space="preserve">. Instead the PBAC agreed with the ESC that a claim of inferior but </w:t>
      </w:r>
      <w:r w:rsidR="003C3D54" w:rsidRPr="005D3209">
        <w:t xml:space="preserve">manageable safety profile </w:t>
      </w:r>
      <w:r w:rsidR="003C3D54">
        <w:t>was</w:t>
      </w:r>
      <w:r w:rsidR="003C3D54" w:rsidRPr="005D3209">
        <w:t xml:space="preserve"> appropriate</w:t>
      </w:r>
      <w:r w:rsidR="003C3D54">
        <w:t xml:space="preserve">. </w:t>
      </w:r>
    </w:p>
    <w:p w14:paraId="1EE5023C" w14:textId="0CDF2FF4" w:rsidR="00C469F2" w:rsidRPr="003E6549" w:rsidRDefault="000C4305" w:rsidP="003E6549">
      <w:pPr>
        <w:pStyle w:val="3-BodyText"/>
      </w:pPr>
      <w:bookmarkStart w:id="86" w:name="_Ref182392169"/>
      <w:r>
        <w:t xml:space="preserve">The submission presented a cost-utility analysis to determine the cost-effectiveness of EV+PEM with </w:t>
      </w:r>
      <w:r w:rsidR="00B85DEB">
        <w:t xml:space="preserve">the base case </w:t>
      </w:r>
      <w:r w:rsidR="00982BCD">
        <w:t xml:space="preserve">reporting </w:t>
      </w:r>
      <w:r>
        <w:t xml:space="preserve">an ICER of </w:t>
      </w:r>
      <w:r w:rsidR="003D0069" w:rsidRPr="003D0069">
        <w:t>$155,000 to &lt; $255,000</w:t>
      </w:r>
      <w:r w:rsidR="00EC50F1">
        <w:t xml:space="preserve"> </w:t>
      </w:r>
      <w:r>
        <w:t xml:space="preserve">per QALY gained. The PBAC noted the economic model did not include proposed prices for EV+PEM, but instead back-calculated the combined treatment cost to achieve an ICER of </w:t>
      </w:r>
      <w:r w:rsidR="00184A3E" w:rsidRPr="00184A3E">
        <w:t>$75,000 to &lt; $95,000</w:t>
      </w:r>
      <w:r w:rsidR="00EC50F1">
        <w:t xml:space="preserve"> </w:t>
      </w:r>
      <w:r>
        <w:t xml:space="preserve">per QALY. </w:t>
      </w:r>
      <w:r w:rsidR="00ED12D8" w:rsidRPr="00ED12D8">
        <w:t xml:space="preserve">The </w:t>
      </w:r>
      <w:r w:rsidR="00ED12D8">
        <w:t xml:space="preserve">PBAC noted the </w:t>
      </w:r>
      <w:r w:rsidR="00ED12D8" w:rsidRPr="00ED12D8">
        <w:t xml:space="preserve">ESC </w:t>
      </w:r>
      <w:r w:rsidR="00ED12D8">
        <w:t>proposed</w:t>
      </w:r>
      <w:r w:rsidR="00ED12D8" w:rsidRPr="00ED12D8">
        <w:t xml:space="preserve"> a </w:t>
      </w:r>
      <w:r w:rsidR="00ED12D8">
        <w:t>respecified base case</w:t>
      </w:r>
      <w:r w:rsidR="00ED12D8" w:rsidRPr="00ED12D8">
        <w:t xml:space="preserve"> based on a time horizon of 10 years, </w:t>
      </w:r>
      <w:r w:rsidR="00ED12D8">
        <w:t xml:space="preserve">that </w:t>
      </w:r>
      <w:r w:rsidR="00ED12D8" w:rsidRPr="00ED12D8">
        <w:t xml:space="preserve">incorporated background mortality, increased the age in the model to 72 years, increased the use of observed KM data (applying the </w:t>
      </w:r>
      <w:proofErr w:type="spellStart"/>
      <w:r w:rsidR="00ED12D8" w:rsidRPr="00ED12D8">
        <w:t>Gebski</w:t>
      </w:r>
      <w:proofErr w:type="spellEnd"/>
      <w:r w:rsidR="00ED12D8" w:rsidRPr="00ED12D8">
        <w:t xml:space="preserve"> method to determine truncation point for OS and PFS), removed terminal care costs and applied the log-logistic function to extrapolate EV time on treatment. The </w:t>
      </w:r>
      <w:r w:rsidR="00ED12D8">
        <w:t xml:space="preserve">PBAC noted the ESC respecified base case increased the </w:t>
      </w:r>
      <w:r w:rsidR="00ED12D8" w:rsidRPr="00ED12D8">
        <w:t xml:space="preserve">ICER to </w:t>
      </w:r>
      <w:r w:rsidR="00C979C5" w:rsidRPr="00C979C5">
        <w:t>$255,000 to &lt; $355,000</w:t>
      </w:r>
      <w:r w:rsidR="00EC50F1">
        <w:t xml:space="preserve"> </w:t>
      </w:r>
      <w:r w:rsidR="00ED12D8" w:rsidRPr="00ED12D8">
        <w:t>per QALY gained, and</w:t>
      </w:r>
      <w:r w:rsidR="00ED12D8">
        <w:t xml:space="preserve"> that</w:t>
      </w:r>
      <w:r w:rsidR="00ED12D8" w:rsidRPr="00ED12D8">
        <w:t xml:space="preserve"> the combined cost of EV+PEM required to achieve an ICER of </w:t>
      </w:r>
      <w:r w:rsidR="00184A3E" w:rsidRPr="00184A3E">
        <w:t>$75,000 to &lt; $95,000</w:t>
      </w:r>
      <w:r w:rsidR="00EC50F1">
        <w:t xml:space="preserve"> </w:t>
      </w:r>
      <w:r w:rsidR="00ED12D8" w:rsidRPr="00ED12D8">
        <w:t xml:space="preserve">reduced from </w:t>
      </w:r>
      <w:r w:rsidR="00F318EF" w:rsidRPr="00F318EF">
        <w:t>$95,000</w:t>
      </w:r>
      <w:r w:rsidR="00EC50F1">
        <w:t> </w:t>
      </w:r>
      <w:r w:rsidR="00F318EF" w:rsidRPr="00F318EF">
        <w:t>to</w:t>
      </w:r>
      <w:r w:rsidR="00EC50F1">
        <w:t> </w:t>
      </w:r>
      <w:r w:rsidR="00F318EF" w:rsidRPr="00F318EF">
        <w:t>&lt;</w:t>
      </w:r>
      <w:r w:rsidR="00EC50F1">
        <w:t> </w:t>
      </w:r>
      <w:r w:rsidR="00F318EF" w:rsidRPr="00F318EF">
        <w:t>$115,000</w:t>
      </w:r>
      <w:r w:rsidR="00ED12D8" w:rsidRPr="00ED12D8">
        <w:t xml:space="preserve"> to </w:t>
      </w:r>
      <w:r w:rsidR="00703613" w:rsidRPr="00703613">
        <w:t>$95,000 to &lt; $115,000</w:t>
      </w:r>
      <w:r w:rsidR="00ED12D8">
        <w:t xml:space="preserve">. The PBAC noted that the pre-PBAC response accepted the changes to the base case proposed by the ESC with the exception of the removal of terminal care costs and the application of the log-logistic function to extrapolate EV time on treatment. </w:t>
      </w:r>
      <w:r w:rsidR="003D0233">
        <w:t>The PBAC considered the removal of terminal care costs as proposed by the ESC remained appropriate as there is no indication that EV+PEM results in a cure</w:t>
      </w:r>
      <w:r w:rsidR="009609B4">
        <w:t xml:space="preserve"> and there was a difference in the proportion of patients alive at the end of the modelled time horizon</w:t>
      </w:r>
      <w:r w:rsidR="003D0233">
        <w:t xml:space="preserve">. The PBAC also accepted the ESC argument that the log-logistic function </w:t>
      </w:r>
      <w:r w:rsidR="00B85DEB">
        <w:t xml:space="preserve">was the best statistical fit and appeared to fit the </w:t>
      </w:r>
      <w:r w:rsidR="00034318">
        <w:t xml:space="preserve">EV time on treatment </w:t>
      </w:r>
      <w:r w:rsidR="00B85DEB">
        <w:t xml:space="preserve">data reasonably well. The PBAC therefore considered the respecified base case proposed by the ESC appropriate to determine the cost-effectiveness of EV+PEM. </w:t>
      </w:r>
      <w:r w:rsidR="00984902">
        <w:t>T</w:t>
      </w:r>
      <w:r w:rsidR="00B85DEB">
        <w:t xml:space="preserve">he PBAC </w:t>
      </w:r>
      <w:r w:rsidR="00984902">
        <w:t xml:space="preserve">also </w:t>
      </w:r>
      <w:r w:rsidR="00B85DEB">
        <w:t xml:space="preserve">considered the proposed target ICER was </w:t>
      </w:r>
      <w:r w:rsidR="00545771">
        <w:t xml:space="preserve">too </w:t>
      </w:r>
      <w:r w:rsidR="00B85DEB">
        <w:t>high</w:t>
      </w:r>
      <w:r w:rsidR="00545771">
        <w:t xml:space="preserve"> and that</w:t>
      </w:r>
      <w:r w:rsidR="00761CAB">
        <w:t xml:space="preserve"> an ICER of around </w:t>
      </w:r>
      <w:r w:rsidR="00D934B3" w:rsidRPr="00D934B3">
        <w:t xml:space="preserve">$55,000 to &lt; $75,000 </w:t>
      </w:r>
      <w:r w:rsidR="00761CAB">
        <w:t xml:space="preserve">per QALY gained </w:t>
      </w:r>
      <w:r w:rsidR="00BB3A70">
        <w:t xml:space="preserve">(using the effective prices of AVEL and PEM 2L) </w:t>
      </w:r>
      <w:r w:rsidR="00761CAB">
        <w:t xml:space="preserve">was appropriate and </w:t>
      </w:r>
      <w:r w:rsidR="00034318">
        <w:t>consistent</w:t>
      </w:r>
      <w:r w:rsidR="00761CAB">
        <w:t xml:space="preserve"> with </w:t>
      </w:r>
      <w:r w:rsidR="00034318">
        <w:t xml:space="preserve">relevant </w:t>
      </w:r>
      <w:r w:rsidR="00761CAB">
        <w:t xml:space="preserve">previous considerations. </w:t>
      </w:r>
      <w:r w:rsidR="00053D13">
        <w:t>T</w:t>
      </w:r>
      <w:r w:rsidR="00761CAB">
        <w:t xml:space="preserve">he PBAC noted that </w:t>
      </w:r>
      <w:r w:rsidR="00053D13">
        <w:t>a</w:t>
      </w:r>
      <w:r w:rsidR="00761CAB">
        <w:t xml:space="preserve"> reduction </w:t>
      </w:r>
      <w:r w:rsidR="00053D13">
        <w:t xml:space="preserve">in the combined cost of EV+PEM </w:t>
      </w:r>
      <w:r w:rsidR="00761CAB">
        <w:t>would be required to achieve</w:t>
      </w:r>
      <w:r w:rsidR="00053D13">
        <w:t xml:space="preserve"> the ICER proposed by the Committee.</w:t>
      </w:r>
      <w:bookmarkEnd w:id="86"/>
      <w:r w:rsidR="00053D13">
        <w:t xml:space="preserve"> </w:t>
      </w:r>
      <w:r w:rsidR="00761CAB">
        <w:t xml:space="preserve"> </w:t>
      </w:r>
    </w:p>
    <w:p w14:paraId="0AA3FD84" w14:textId="2A151DD1" w:rsidR="00784A26" w:rsidRPr="006158B9" w:rsidRDefault="0060047F" w:rsidP="0060047F">
      <w:pPr>
        <w:widowControl w:val="0"/>
        <w:numPr>
          <w:ilvl w:val="1"/>
          <w:numId w:val="1"/>
        </w:numPr>
        <w:spacing w:after="120"/>
        <w:rPr>
          <w:rFonts w:asciiTheme="minorHAnsi" w:hAnsiTheme="minorHAnsi"/>
          <w:snapToGrid w:val="0"/>
          <w:lang w:val="en-GB" w:eastAsia="en-US"/>
        </w:rPr>
      </w:pPr>
      <w:r w:rsidRPr="0029139E">
        <w:rPr>
          <w:rFonts w:asciiTheme="minorHAnsi" w:hAnsiTheme="minorHAnsi"/>
          <w:snapToGrid w:val="0"/>
          <w:lang w:val="en-GB" w:eastAsia="en-US"/>
        </w:rPr>
        <w:t xml:space="preserve">The PBAC noted the </w:t>
      </w:r>
      <w:r w:rsidRPr="00364045">
        <w:rPr>
          <w:rFonts w:asciiTheme="minorHAnsi" w:hAnsiTheme="minorHAnsi"/>
          <w:snapToGrid w:val="0"/>
          <w:lang w:val="en-GB" w:eastAsia="en-US"/>
        </w:rPr>
        <w:t>revised financial</w:t>
      </w:r>
      <w:r w:rsidRPr="0029139E">
        <w:rPr>
          <w:rFonts w:asciiTheme="minorHAnsi" w:hAnsiTheme="minorHAnsi"/>
          <w:snapToGrid w:val="0"/>
          <w:lang w:val="en-GB" w:eastAsia="en-US"/>
        </w:rPr>
        <w:t xml:space="preserve"> estimates presented in the pre-PBAC response and advised that </w:t>
      </w:r>
      <w:r w:rsidR="006158B9">
        <w:rPr>
          <w:rFonts w:asciiTheme="minorHAnsi" w:hAnsiTheme="minorHAnsi"/>
          <w:snapToGrid w:val="0"/>
          <w:lang w:val="en-GB" w:eastAsia="en-US"/>
        </w:rPr>
        <w:t xml:space="preserve">they were </w:t>
      </w:r>
      <w:r w:rsidR="00545771">
        <w:rPr>
          <w:rFonts w:asciiTheme="minorHAnsi" w:hAnsiTheme="minorHAnsi"/>
          <w:snapToGrid w:val="0"/>
          <w:lang w:val="en-GB" w:eastAsia="en-US"/>
        </w:rPr>
        <w:t>overestimated</w:t>
      </w:r>
      <w:r w:rsidR="006158B9">
        <w:rPr>
          <w:rFonts w:asciiTheme="minorHAnsi" w:hAnsiTheme="minorHAnsi"/>
          <w:snapToGrid w:val="0"/>
          <w:lang w:val="en-GB" w:eastAsia="en-US"/>
        </w:rPr>
        <w:t xml:space="preserve"> with </w:t>
      </w:r>
      <w:r w:rsidRPr="0029139E">
        <w:rPr>
          <w:rFonts w:asciiTheme="minorHAnsi" w:hAnsiTheme="minorHAnsi"/>
          <w:snapToGrid w:val="0"/>
          <w:lang w:val="en-GB" w:eastAsia="en-US"/>
        </w:rPr>
        <w:t xml:space="preserve">further amendments necessary to reflect the likely use in clinical practice. </w:t>
      </w:r>
      <w:r w:rsidR="00AA5CF6">
        <w:rPr>
          <w:rFonts w:asciiTheme="minorHAnsi" w:hAnsiTheme="minorHAnsi"/>
          <w:snapToGrid w:val="0"/>
          <w:lang w:val="en-GB" w:eastAsia="en-US"/>
        </w:rPr>
        <w:t xml:space="preserve">Specifically, </w:t>
      </w:r>
      <w:r w:rsidR="00502134">
        <w:rPr>
          <w:rFonts w:asciiTheme="minorHAnsi" w:hAnsiTheme="minorHAnsi"/>
          <w:snapToGrid w:val="0"/>
          <w:lang w:val="en-GB" w:eastAsia="en-US"/>
        </w:rPr>
        <w:t xml:space="preserve">the PBAC agreed with the ESC that triangulation of the number of patients treated with </w:t>
      </w:r>
      <w:proofErr w:type="gramStart"/>
      <w:r w:rsidR="00502134">
        <w:rPr>
          <w:rFonts w:asciiTheme="minorHAnsi" w:hAnsiTheme="minorHAnsi"/>
          <w:snapToGrid w:val="0"/>
          <w:lang w:val="en-GB" w:eastAsia="en-US"/>
        </w:rPr>
        <w:t>avelumab</w:t>
      </w:r>
      <w:proofErr w:type="gramEnd"/>
      <w:r w:rsidR="00502134">
        <w:rPr>
          <w:rFonts w:asciiTheme="minorHAnsi" w:hAnsiTheme="minorHAnsi"/>
          <w:snapToGrid w:val="0"/>
          <w:lang w:val="en-GB" w:eastAsia="en-US"/>
        </w:rPr>
        <w:t xml:space="preserve"> and later line PEM indicated that the </w:t>
      </w:r>
      <w:r w:rsidR="00AA5CF6">
        <w:rPr>
          <w:rFonts w:asciiTheme="minorHAnsi" w:hAnsiTheme="minorHAnsi"/>
          <w:snapToGrid w:val="0"/>
          <w:lang w:val="en-GB" w:eastAsia="en-US"/>
        </w:rPr>
        <w:t>estimated number of patients likely to be treated with EV+PEM was substantially overestimated</w:t>
      </w:r>
      <w:r w:rsidR="00502134">
        <w:rPr>
          <w:rFonts w:asciiTheme="minorHAnsi" w:hAnsiTheme="minorHAnsi"/>
          <w:snapToGrid w:val="0"/>
          <w:lang w:val="en-GB" w:eastAsia="en-US"/>
        </w:rPr>
        <w:t xml:space="preserve">. The PBAC </w:t>
      </w:r>
      <w:r w:rsidR="00540D65">
        <w:rPr>
          <w:rFonts w:asciiTheme="minorHAnsi" w:hAnsiTheme="minorHAnsi"/>
          <w:snapToGrid w:val="0"/>
          <w:lang w:val="en-GB" w:eastAsia="en-US"/>
        </w:rPr>
        <w:t>recommended</w:t>
      </w:r>
      <w:r w:rsidR="00502134">
        <w:rPr>
          <w:rFonts w:asciiTheme="minorHAnsi" w:hAnsiTheme="minorHAnsi"/>
          <w:snapToGrid w:val="0"/>
          <w:lang w:val="en-GB" w:eastAsia="en-US"/>
        </w:rPr>
        <w:t xml:space="preserve"> that the number of incident </w:t>
      </w:r>
      <w:r w:rsidR="00502134">
        <w:rPr>
          <w:rFonts w:asciiTheme="minorHAnsi" w:hAnsiTheme="minorHAnsi"/>
          <w:snapToGrid w:val="0"/>
          <w:lang w:val="en-GB" w:eastAsia="en-US"/>
        </w:rPr>
        <w:lastRenderedPageBreak/>
        <w:t xml:space="preserve">treated patients </w:t>
      </w:r>
      <w:r w:rsidR="00B23C61">
        <w:rPr>
          <w:rFonts w:asciiTheme="minorHAnsi" w:hAnsiTheme="minorHAnsi"/>
          <w:snapToGrid w:val="0"/>
          <w:lang w:val="en-GB" w:eastAsia="en-US"/>
        </w:rPr>
        <w:t xml:space="preserve">in </w:t>
      </w:r>
      <w:r w:rsidR="00B23C61">
        <w:rPr>
          <w:rFonts w:asciiTheme="minorHAnsi" w:hAnsiTheme="minorHAnsi"/>
          <w:snapToGrid w:val="0"/>
          <w:lang w:val="en-GB" w:eastAsia="en-US"/>
        </w:rPr>
        <w:fldChar w:fldCharType="begin" w:fldLock="1"/>
      </w:r>
      <w:r w:rsidR="00B23C61">
        <w:rPr>
          <w:rFonts w:asciiTheme="minorHAnsi" w:hAnsiTheme="minorHAnsi"/>
          <w:snapToGrid w:val="0"/>
          <w:lang w:val="en-GB" w:eastAsia="en-US"/>
        </w:rPr>
        <w:instrText xml:space="preserve"> REF _Ref176949701 \h </w:instrText>
      </w:r>
      <w:r w:rsidR="00B23C61">
        <w:rPr>
          <w:rFonts w:asciiTheme="minorHAnsi" w:hAnsiTheme="minorHAnsi"/>
          <w:snapToGrid w:val="0"/>
          <w:lang w:val="en-GB" w:eastAsia="en-US"/>
        </w:rPr>
      </w:r>
      <w:r w:rsidR="00B23C61">
        <w:rPr>
          <w:rFonts w:asciiTheme="minorHAnsi" w:hAnsiTheme="minorHAnsi"/>
          <w:snapToGrid w:val="0"/>
          <w:lang w:val="en-GB" w:eastAsia="en-US"/>
        </w:rPr>
        <w:fldChar w:fldCharType="separate"/>
      </w:r>
      <w:r w:rsidR="00FE0BD6">
        <w:t xml:space="preserve">Table </w:t>
      </w:r>
      <w:r w:rsidR="00FE0BD6">
        <w:rPr>
          <w:noProof/>
        </w:rPr>
        <w:t>16</w:t>
      </w:r>
      <w:r w:rsidR="00B23C61">
        <w:rPr>
          <w:rFonts w:asciiTheme="minorHAnsi" w:hAnsiTheme="minorHAnsi"/>
          <w:snapToGrid w:val="0"/>
          <w:lang w:val="en-GB" w:eastAsia="en-US"/>
        </w:rPr>
        <w:fldChar w:fldCharType="end"/>
      </w:r>
      <w:r w:rsidR="00502134">
        <w:rPr>
          <w:rFonts w:asciiTheme="minorHAnsi" w:hAnsiTheme="minorHAnsi"/>
          <w:snapToGrid w:val="0"/>
          <w:lang w:val="en-GB" w:eastAsia="en-US"/>
        </w:rPr>
        <w:t xml:space="preserve"> </w:t>
      </w:r>
      <w:r w:rsidR="00B23C61">
        <w:rPr>
          <w:rFonts w:asciiTheme="minorHAnsi" w:hAnsiTheme="minorHAnsi"/>
          <w:snapToGrid w:val="0"/>
          <w:lang w:val="en-GB" w:eastAsia="en-US"/>
        </w:rPr>
        <w:t xml:space="preserve">be adjusted using the approach specified by the ESC in paragraph </w:t>
      </w:r>
      <w:r w:rsidR="00B23C61">
        <w:rPr>
          <w:rFonts w:asciiTheme="minorHAnsi" w:hAnsiTheme="minorHAnsi"/>
          <w:snapToGrid w:val="0"/>
          <w:lang w:val="en-GB" w:eastAsia="en-US"/>
        </w:rPr>
        <w:fldChar w:fldCharType="begin" w:fldLock="1"/>
      </w:r>
      <w:r w:rsidR="00B23C61">
        <w:rPr>
          <w:rFonts w:asciiTheme="minorHAnsi" w:hAnsiTheme="minorHAnsi"/>
          <w:snapToGrid w:val="0"/>
          <w:lang w:val="en-GB" w:eastAsia="en-US"/>
        </w:rPr>
        <w:instrText xml:space="preserve"> REF _Ref182400055 \r \h </w:instrText>
      </w:r>
      <w:r w:rsidR="00B23C61">
        <w:rPr>
          <w:rFonts w:asciiTheme="minorHAnsi" w:hAnsiTheme="minorHAnsi"/>
          <w:snapToGrid w:val="0"/>
          <w:lang w:val="en-GB" w:eastAsia="en-US"/>
        </w:rPr>
      </w:r>
      <w:r w:rsidR="00B23C61">
        <w:rPr>
          <w:rFonts w:asciiTheme="minorHAnsi" w:hAnsiTheme="minorHAnsi"/>
          <w:snapToGrid w:val="0"/>
          <w:lang w:val="en-GB" w:eastAsia="en-US"/>
        </w:rPr>
        <w:fldChar w:fldCharType="separate"/>
      </w:r>
      <w:r w:rsidR="00FE0BD6">
        <w:rPr>
          <w:rFonts w:asciiTheme="minorHAnsi" w:hAnsiTheme="minorHAnsi"/>
          <w:snapToGrid w:val="0"/>
          <w:lang w:val="en-GB" w:eastAsia="en-US"/>
        </w:rPr>
        <w:t>6.76</w:t>
      </w:r>
      <w:r w:rsidR="00B23C61">
        <w:rPr>
          <w:rFonts w:asciiTheme="minorHAnsi" w:hAnsiTheme="minorHAnsi"/>
          <w:snapToGrid w:val="0"/>
          <w:lang w:val="en-GB" w:eastAsia="en-US"/>
        </w:rPr>
        <w:fldChar w:fldCharType="end"/>
      </w:r>
      <w:r w:rsidR="00B23C61">
        <w:rPr>
          <w:rFonts w:asciiTheme="minorHAnsi" w:hAnsiTheme="minorHAnsi"/>
          <w:snapToGrid w:val="0"/>
          <w:lang w:val="en-GB" w:eastAsia="en-US"/>
        </w:rPr>
        <w:t xml:space="preserve">. </w:t>
      </w:r>
      <w:r w:rsidR="006158B9">
        <w:rPr>
          <w:rFonts w:asciiTheme="minorHAnsi" w:hAnsiTheme="minorHAnsi"/>
          <w:snapToGrid w:val="0"/>
          <w:lang w:val="en-GB" w:eastAsia="en-US"/>
        </w:rPr>
        <w:t>The PBAC considered the inclusion of gran</w:t>
      </w:r>
      <w:r w:rsidR="00BA6DA9">
        <w:rPr>
          <w:rFonts w:asciiTheme="minorHAnsi" w:hAnsiTheme="minorHAnsi"/>
          <w:snapToGrid w:val="0"/>
          <w:lang w:val="en-GB" w:eastAsia="en-US"/>
        </w:rPr>
        <w:t xml:space="preserve">dfathered patients as stated in the submission remained appropriate. </w:t>
      </w:r>
      <w:r w:rsidR="00B23C61">
        <w:rPr>
          <w:rFonts w:asciiTheme="minorHAnsi" w:hAnsiTheme="minorHAnsi"/>
          <w:snapToGrid w:val="0"/>
          <w:lang w:val="en-GB" w:eastAsia="en-US"/>
        </w:rPr>
        <w:t xml:space="preserve">The PBAC considered that updating the </w:t>
      </w:r>
      <w:r w:rsidR="00B23C61">
        <w:rPr>
          <w:snapToGrid w:val="0"/>
        </w:rPr>
        <w:t xml:space="preserve">cost offsets based on 70% of the first line population being eligible for </w:t>
      </w:r>
      <w:proofErr w:type="spellStart"/>
      <w:r w:rsidR="00B23C61">
        <w:rPr>
          <w:snapToGrid w:val="0"/>
        </w:rPr>
        <w:t>Plat+Gem</w:t>
      </w:r>
      <w:proofErr w:type="spellEnd"/>
      <w:r w:rsidR="00B23C61">
        <w:rPr>
          <w:snapToGrid w:val="0"/>
        </w:rPr>
        <w:t xml:space="preserve"> compared to 90% being eligible for EV+PEM was appropriate. The PBAC also considered it was appropriate to assume treatment durations of subsequent avelumab</w:t>
      </w:r>
      <w:r w:rsidR="007877B8">
        <w:rPr>
          <w:snapToGrid w:val="0"/>
        </w:rPr>
        <w:t xml:space="preserve"> (</w:t>
      </w:r>
      <w:r w:rsidR="00AC129E">
        <w:rPr>
          <w:snapToGrid w:val="0"/>
        </w:rPr>
        <w:t>14.93</w:t>
      </w:r>
      <w:r w:rsidR="007877B8">
        <w:rPr>
          <w:snapToGrid w:val="0"/>
        </w:rPr>
        <w:t xml:space="preserve"> months)</w:t>
      </w:r>
      <w:r w:rsidR="00B23C61">
        <w:rPr>
          <w:snapToGrid w:val="0"/>
        </w:rPr>
        <w:t xml:space="preserve"> and third-line EV </w:t>
      </w:r>
      <w:r w:rsidR="007877B8">
        <w:rPr>
          <w:snapToGrid w:val="0"/>
        </w:rPr>
        <w:t xml:space="preserve">(6.46 months) </w:t>
      </w:r>
      <w:r w:rsidR="00B23C61">
        <w:rPr>
          <w:snapToGrid w:val="0"/>
        </w:rPr>
        <w:t xml:space="preserve">were consistent with the </w:t>
      </w:r>
      <w:r w:rsidR="00AC129E">
        <w:rPr>
          <w:snapToGrid w:val="0"/>
        </w:rPr>
        <w:t xml:space="preserve">respecified </w:t>
      </w:r>
      <w:r w:rsidR="00B23C61">
        <w:rPr>
          <w:snapToGrid w:val="0"/>
        </w:rPr>
        <w:t>economic model</w:t>
      </w:r>
      <w:r w:rsidR="00EB544D">
        <w:rPr>
          <w:snapToGrid w:val="0"/>
        </w:rPr>
        <w:t>.</w:t>
      </w:r>
      <w:r w:rsidR="00540D65">
        <w:rPr>
          <w:snapToGrid w:val="0"/>
        </w:rPr>
        <w:t xml:space="preserve"> The PBAC noted that the financial estimates would also need to be updated for the outcome from the recommendations made by the Committee in paragraph </w:t>
      </w:r>
      <w:r w:rsidR="00540D65">
        <w:rPr>
          <w:snapToGrid w:val="0"/>
        </w:rPr>
        <w:fldChar w:fldCharType="begin" w:fldLock="1"/>
      </w:r>
      <w:r w:rsidR="00540D65">
        <w:rPr>
          <w:snapToGrid w:val="0"/>
        </w:rPr>
        <w:instrText xml:space="preserve"> REF _Ref182392169 \r \h </w:instrText>
      </w:r>
      <w:r w:rsidR="00540D65">
        <w:rPr>
          <w:snapToGrid w:val="0"/>
        </w:rPr>
      </w:r>
      <w:r w:rsidR="00540D65">
        <w:rPr>
          <w:snapToGrid w:val="0"/>
        </w:rPr>
        <w:fldChar w:fldCharType="separate"/>
      </w:r>
      <w:r w:rsidR="00FE0BD6">
        <w:rPr>
          <w:snapToGrid w:val="0"/>
        </w:rPr>
        <w:t>7.7</w:t>
      </w:r>
      <w:r w:rsidR="00540D65">
        <w:rPr>
          <w:snapToGrid w:val="0"/>
        </w:rPr>
        <w:fldChar w:fldCharType="end"/>
      </w:r>
      <w:r w:rsidR="006158B9">
        <w:rPr>
          <w:snapToGrid w:val="0"/>
        </w:rPr>
        <w:t xml:space="preserve">. The PBAC considered the resulting financial estimates would be appropriate to form the basis of a risk sharing arrangement. </w:t>
      </w:r>
    </w:p>
    <w:p w14:paraId="6178913D" w14:textId="68D270BB" w:rsidR="006E0CBF" w:rsidRPr="00BA6DA9" w:rsidRDefault="006158B9" w:rsidP="00BA6DA9">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noted that a risk sharing arrangement was not proposed in the submission but considered </w:t>
      </w:r>
      <w:r w:rsidR="00BA6DA9">
        <w:rPr>
          <w:rFonts w:asciiTheme="minorHAnsi" w:hAnsiTheme="minorHAnsi"/>
          <w:snapToGrid w:val="0"/>
          <w:lang w:val="en-GB" w:eastAsia="en-US"/>
        </w:rPr>
        <w:t>such an arrangement was appropriate</w:t>
      </w:r>
      <w:r w:rsidR="007304D4">
        <w:rPr>
          <w:rFonts w:asciiTheme="minorHAnsi" w:hAnsiTheme="minorHAnsi"/>
          <w:snapToGrid w:val="0"/>
          <w:lang w:val="en-GB" w:eastAsia="en-US"/>
        </w:rPr>
        <w:t xml:space="preserve"> given the very high and significant cost to the Commonwealth</w:t>
      </w:r>
      <w:r w:rsidR="00BB3A70">
        <w:rPr>
          <w:rFonts w:asciiTheme="minorHAnsi" w:hAnsiTheme="minorHAnsi"/>
          <w:snapToGrid w:val="0"/>
          <w:lang w:val="en-GB" w:eastAsia="en-US"/>
        </w:rPr>
        <w:t>, noting</w:t>
      </w:r>
      <w:r w:rsidR="007304D4">
        <w:rPr>
          <w:rFonts w:asciiTheme="minorHAnsi" w:hAnsiTheme="minorHAnsi"/>
          <w:snapToGrid w:val="0"/>
          <w:lang w:val="en-GB" w:eastAsia="en-US"/>
        </w:rPr>
        <w:t xml:space="preserve"> also that</w:t>
      </w:r>
      <w:r w:rsidR="00BB3A70">
        <w:rPr>
          <w:rFonts w:asciiTheme="minorHAnsi" w:hAnsiTheme="minorHAnsi"/>
          <w:snapToGrid w:val="0"/>
          <w:lang w:val="en-GB" w:eastAsia="en-US"/>
        </w:rPr>
        <w:t xml:space="preserve"> the cost effectiveness of EV+PEM relies on cost offsets in the later line setting.</w:t>
      </w:r>
      <w:r>
        <w:rPr>
          <w:rFonts w:asciiTheme="minorHAnsi" w:hAnsiTheme="minorHAnsi"/>
          <w:snapToGrid w:val="0"/>
          <w:lang w:val="en-GB" w:eastAsia="en-US"/>
        </w:rPr>
        <w:t xml:space="preserve"> </w:t>
      </w:r>
      <w:r w:rsidR="00BB3A70">
        <w:rPr>
          <w:rFonts w:asciiTheme="minorHAnsi" w:hAnsiTheme="minorHAnsi"/>
          <w:snapToGrid w:val="0"/>
          <w:lang w:val="en-GB" w:eastAsia="en-US"/>
        </w:rPr>
        <w:t>T</w:t>
      </w:r>
      <w:r w:rsidR="0060047F" w:rsidRPr="00BA6DA9">
        <w:rPr>
          <w:rFonts w:asciiTheme="minorHAnsi" w:hAnsiTheme="minorHAnsi"/>
          <w:snapToGrid w:val="0"/>
          <w:lang w:val="en-GB" w:eastAsia="en-US"/>
        </w:rPr>
        <w:t xml:space="preserve">he PBAC considered a combined risk sharing arrangement accounting for expenditure on first line and subsequent line use </w:t>
      </w:r>
      <w:r w:rsidR="007304D4">
        <w:rPr>
          <w:rFonts w:asciiTheme="minorHAnsi" w:hAnsiTheme="minorHAnsi"/>
          <w:snapToGrid w:val="0"/>
          <w:lang w:val="en-GB" w:eastAsia="en-US"/>
        </w:rPr>
        <w:t xml:space="preserve">across </w:t>
      </w:r>
      <w:r w:rsidR="0060047F" w:rsidRPr="00BA6DA9">
        <w:rPr>
          <w:rFonts w:asciiTheme="minorHAnsi" w:hAnsiTheme="minorHAnsi"/>
          <w:snapToGrid w:val="0"/>
          <w:lang w:val="en-GB" w:eastAsia="en-US"/>
        </w:rPr>
        <w:t>EV</w:t>
      </w:r>
      <w:r w:rsidR="007304D4">
        <w:rPr>
          <w:rFonts w:asciiTheme="minorHAnsi" w:hAnsiTheme="minorHAnsi"/>
          <w:snapToGrid w:val="0"/>
          <w:lang w:val="en-GB" w:eastAsia="en-US"/>
        </w:rPr>
        <w:t xml:space="preserve"> and</w:t>
      </w:r>
      <w:r w:rsidR="0060047F" w:rsidRPr="00BA6DA9">
        <w:rPr>
          <w:rFonts w:asciiTheme="minorHAnsi" w:hAnsiTheme="minorHAnsi"/>
          <w:snapToGrid w:val="0"/>
          <w:lang w:val="en-GB" w:eastAsia="en-US"/>
        </w:rPr>
        <w:t xml:space="preserve"> PEM</w:t>
      </w:r>
      <w:r w:rsidR="007304D4">
        <w:rPr>
          <w:rFonts w:asciiTheme="minorHAnsi" w:hAnsiTheme="minorHAnsi"/>
          <w:snapToGrid w:val="0"/>
          <w:lang w:val="en-GB" w:eastAsia="en-US"/>
        </w:rPr>
        <w:t xml:space="preserve"> </w:t>
      </w:r>
      <w:r w:rsidR="0060047F" w:rsidRPr="00BA6DA9">
        <w:rPr>
          <w:rFonts w:asciiTheme="minorHAnsi" w:hAnsiTheme="minorHAnsi"/>
          <w:snapToGrid w:val="0"/>
          <w:lang w:val="en-GB" w:eastAsia="en-US"/>
        </w:rPr>
        <w:t>would be appropriate</w:t>
      </w:r>
      <w:r w:rsidR="007304D4">
        <w:rPr>
          <w:rFonts w:asciiTheme="minorHAnsi" w:hAnsiTheme="minorHAnsi"/>
          <w:snapToGrid w:val="0"/>
          <w:lang w:val="en-GB" w:eastAsia="en-US"/>
        </w:rPr>
        <w:t>. The PBAC also noted that as there would be expected offsets for AVEL, it would be preferred if AVEL was also captured in a shared risk sharing arrangement.</w:t>
      </w:r>
    </w:p>
    <w:p w14:paraId="3AC43CD1" w14:textId="3C2D5006" w:rsidR="00BA6DA9" w:rsidRPr="00BA6DA9" w:rsidRDefault="00BA6DA9" w:rsidP="00BA6DA9">
      <w:pPr>
        <w:widowControl w:val="0"/>
        <w:numPr>
          <w:ilvl w:val="1"/>
          <w:numId w:val="1"/>
        </w:numPr>
        <w:spacing w:after="120"/>
        <w:rPr>
          <w:rFonts w:asciiTheme="minorHAnsi" w:hAnsiTheme="minorHAnsi"/>
          <w:snapToGrid w:val="0"/>
        </w:rPr>
      </w:pPr>
      <w:r w:rsidRPr="00BA6DA9">
        <w:rPr>
          <w:rFonts w:asciiTheme="minorHAnsi" w:hAnsiTheme="minorHAnsi" w:cstheme="minorHAnsi"/>
        </w:rPr>
        <w:t xml:space="preserve">The PBAC found that the criteria prescribed by the </w:t>
      </w:r>
      <w:r w:rsidRPr="00BA6DA9">
        <w:rPr>
          <w:rFonts w:asciiTheme="minorHAnsi" w:hAnsiTheme="minorHAnsi" w:cstheme="minorHAnsi"/>
          <w:i/>
        </w:rPr>
        <w:t>National Health (Pharmaceuticals and Vaccines – Cost Recovery) Regulations 2022</w:t>
      </w:r>
      <w:r w:rsidRPr="00BA6DA9">
        <w:rPr>
          <w:rFonts w:asciiTheme="minorHAnsi" w:hAnsiTheme="minorHAnsi" w:cstheme="minorHAnsi"/>
        </w:rPr>
        <w:t xml:space="preserve"> for Pricing Pathway A were met. Specifically, the PBAC found that in the circumstances of its recommendation for </w:t>
      </w:r>
      <w:r>
        <w:rPr>
          <w:rFonts w:asciiTheme="minorHAnsi" w:hAnsiTheme="minorHAnsi" w:cstheme="minorHAnsi"/>
        </w:rPr>
        <w:t>EV+PEM</w:t>
      </w:r>
      <w:r w:rsidRPr="00BA6DA9">
        <w:rPr>
          <w:rFonts w:asciiTheme="minorHAnsi" w:hAnsiTheme="minorHAnsi" w:cstheme="minorHAnsi"/>
        </w:rPr>
        <w:t xml:space="preserve"> that:</w:t>
      </w:r>
    </w:p>
    <w:p w14:paraId="155DF0A6" w14:textId="3CE26F6D" w:rsidR="00BA6DA9" w:rsidRPr="00BA6DA9" w:rsidRDefault="00BA6DA9" w:rsidP="00BA6DA9">
      <w:pPr>
        <w:widowControl w:val="0"/>
        <w:numPr>
          <w:ilvl w:val="1"/>
          <w:numId w:val="26"/>
        </w:numPr>
        <w:spacing w:after="120"/>
        <w:ind w:left="1080"/>
        <w:rPr>
          <w:rFonts w:asciiTheme="minorHAnsi" w:hAnsiTheme="minorHAnsi" w:cstheme="minorHAnsi"/>
        </w:rPr>
      </w:pPr>
      <w:r>
        <w:rPr>
          <w:rFonts w:asciiTheme="minorHAnsi" w:hAnsiTheme="minorHAnsi" w:cstheme="minorHAnsi"/>
        </w:rPr>
        <w:t>EV+PEM</w:t>
      </w:r>
      <w:r w:rsidRPr="00BA6DA9">
        <w:rPr>
          <w:rFonts w:asciiTheme="minorHAnsi" w:hAnsiTheme="minorHAnsi" w:cstheme="minorHAnsi"/>
        </w:rPr>
        <w:t xml:space="preserve"> is expected to provide a substantial and clinically relevant improvement in efficacy over </w:t>
      </w:r>
      <w:proofErr w:type="spellStart"/>
      <w:r>
        <w:rPr>
          <w:rFonts w:asciiTheme="minorHAnsi" w:hAnsiTheme="minorHAnsi" w:cstheme="minorHAnsi"/>
        </w:rPr>
        <w:t>Plat+Gem</w:t>
      </w:r>
      <w:proofErr w:type="spellEnd"/>
      <w:r w:rsidRPr="00BA6DA9">
        <w:rPr>
          <w:rFonts w:asciiTheme="minorHAnsi" w:hAnsiTheme="minorHAnsi" w:cstheme="minorHAnsi"/>
        </w:rPr>
        <w:t>;</w:t>
      </w:r>
    </w:p>
    <w:p w14:paraId="4FE5D829" w14:textId="3D7F7143" w:rsidR="00BA6DA9" w:rsidRPr="00BA6DA9" w:rsidRDefault="00BA6DA9" w:rsidP="00BA6DA9">
      <w:pPr>
        <w:widowControl w:val="0"/>
        <w:numPr>
          <w:ilvl w:val="1"/>
          <w:numId w:val="26"/>
        </w:numPr>
        <w:spacing w:after="120"/>
        <w:ind w:left="1080"/>
        <w:rPr>
          <w:rFonts w:asciiTheme="minorHAnsi" w:hAnsiTheme="minorHAnsi" w:cstheme="minorHAnsi"/>
        </w:rPr>
      </w:pPr>
      <w:r>
        <w:rPr>
          <w:rFonts w:asciiTheme="minorHAnsi" w:hAnsiTheme="minorHAnsi" w:cstheme="minorHAnsi"/>
        </w:rPr>
        <w:t>EV+PEM</w:t>
      </w:r>
      <w:r w:rsidRPr="00BA6DA9">
        <w:rPr>
          <w:rFonts w:asciiTheme="minorHAnsi" w:hAnsiTheme="minorHAnsi" w:cstheme="minorHAnsi"/>
        </w:rPr>
        <w:t xml:space="preserve"> is expected to address a high and urgent unmet clinical need</w:t>
      </w:r>
      <w:r w:rsidR="002D60B6">
        <w:rPr>
          <w:rFonts w:asciiTheme="minorHAnsi" w:hAnsiTheme="minorHAnsi" w:cstheme="minorHAnsi"/>
        </w:rPr>
        <w:t>;</w:t>
      </w:r>
    </w:p>
    <w:p w14:paraId="3FA27E27" w14:textId="77777777" w:rsidR="00BA6DA9" w:rsidRPr="00BA6DA9" w:rsidRDefault="00BA6DA9" w:rsidP="00BA6DA9">
      <w:pPr>
        <w:widowControl w:val="0"/>
        <w:numPr>
          <w:ilvl w:val="1"/>
          <w:numId w:val="26"/>
        </w:numPr>
        <w:spacing w:after="120"/>
        <w:ind w:left="1080"/>
        <w:rPr>
          <w:rFonts w:asciiTheme="minorHAnsi" w:hAnsiTheme="minorHAnsi" w:cstheme="minorHAnsi"/>
        </w:rPr>
      </w:pPr>
      <w:r w:rsidRPr="00BA6DA9">
        <w:rPr>
          <w:rFonts w:asciiTheme="minorHAnsi" w:hAnsiTheme="minorHAnsi" w:cstheme="minorHAnsi"/>
        </w:rPr>
        <w:t xml:space="preserve">It would be in the public interest for the subsequent pricing application to be progressed under Pricing Pathway </w:t>
      </w:r>
      <w:proofErr w:type="gramStart"/>
      <w:r w:rsidRPr="00BA6DA9">
        <w:rPr>
          <w:rFonts w:asciiTheme="minorHAnsi" w:hAnsiTheme="minorHAnsi" w:cstheme="minorHAnsi"/>
        </w:rPr>
        <w:t>A on the basis of</w:t>
      </w:r>
      <w:proofErr w:type="gramEnd"/>
      <w:r w:rsidRPr="00BA6DA9">
        <w:rPr>
          <w:rFonts w:asciiTheme="minorHAnsi" w:hAnsiTheme="minorHAnsi" w:cstheme="minorHAnsi"/>
        </w:rPr>
        <w:t xml:space="preserve"> the preceding findings. </w:t>
      </w:r>
    </w:p>
    <w:p w14:paraId="57CE6F2A" w14:textId="77777777" w:rsidR="00BA6DA9" w:rsidRPr="00BA6DA9" w:rsidRDefault="00BA6DA9" w:rsidP="00BA6DA9">
      <w:pPr>
        <w:widowControl w:val="0"/>
        <w:numPr>
          <w:ilvl w:val="1"/>
          <w:numId w:val="1"/>
        </w:numPr>
        <w:spacing w:after="120"/>
        <w:rPr>
          <w:rFonts w:asciiTheme="minorHAnsi" w:hAnsiTheme="minorHAnsi"/>
          <w:snapToGrid w:val="0"/>
        </w:rPr>
      </w:pPr>
      <w:r w:rsidRPr="00BA6DA9">
        <w:rPr>
          <w:rFonts w:asciiTheme="minorHAnsi" w:hAnsiTheme="minorHAnsi"/>
          <w:snapToGrid w:val="0"/>
        </w:rPr>
        <w:t>The PBAC advised that this submission would not meet the criteria for an Independent Review as received a positive PBAC recommendation.</w:t>
      </w:r>
    </w:p>
    <w:bookmarkEnd w:id="85"/>
    <w:p w14:paraId="09BE3927" w14:textId="77777777" w:rsidR="00763E59" w:rsidRPr="00763E59" w:rsidRDefault="00763E59" w:rsidP="00763E59">
      <w:pPr>
        <w:spacing w:before="240"/>
        <w:rPr>
          <w:rFonts w:asciiTheme="minorHAnsi" w:hAnsiTheme="minorHAnsi"/>
          <w:b/>
          <w:bCs/>
          <w:snapToGrid w:val="0"/>
          <w:lang w:val="en-GB" w:eastAsia="en-US"/>
        </w:rPr>
      </w:pPr>
      <w:r w:rsidRPr="00763E59">
        <w:rPr>
          <w:rFonts w:asciiTheme="minorHAnsi" w:hAnsiTheme="minorHAnsi"/>
          <w:b/>
          <w:bCs/>
          <w:snapToGrid w:val="0"/>
          <w:lang w:val="en-GB" w:eastAsia="en-US"/>
        </w:rPr>
        <w:t>Outcome:</w:t>
      </w:r>
    </w:p>
    <w:p w14:paraId="4F2D4907" w14:textId="14EC6DE1" w:rsidR="00763E59" w:rsidRPr="007C18C9" w:rsidRDefault="00763E59" w:rsidP="007C18C9">
      <w:pPr>
        <w:spacing w:after="120"/>
        <w:rPr>
          <w:rFonts w:asciiTheme="minorHAnsi" w:hAnsiTheme="minorHAnsi"/>
          <w:bCs/>
          <w:snapToGrid w:val="0"/>
          <w:lang w:val="en-GB" w:eastAsia="en-US"/>
        </w:rPr>
      </w:pPr>
      <w:r w:rsidRPr="00763E59">
        <w:rPr>
          <w:rFonts w:asciiTheme="minorHAnsi" w:hAnsiTheme="minorHAnsi"/>
          <w:bCs/>
          <w:snapToGrid w:val="0"/>
          <w:lang w:val="en-GB" w:eastAsia="en-US"/>
        </w:rPr>
        <w:t xml:space="preserve">Recommended </w:t>
      </w:r>
    </w:p>
    <w:bookmarkEnd w:id="83"/>
    <w:p w14:paraId="39F60C4B" w14:textId="77777777" w:rsidR="00763E59" w:rsidRPr="00763E59" w:rsidRDefault="00763E59" w:rsidP="00763E59">
      <w:pPr>
        <w:keepNext/>
        <w:numPr>
          <w:ilvl w:val="0"/>
          <w:numId w:val="1"/>
        </w:numPr>
        <w:spacing w:before="240" w:after="120"/>
        <w:jc w:val="left"/>
        <w:outlineLvl w:val="0"/>
        <w:rPr>
          <w:rFonts w:asciiTheme="minorHAnsi" w:hAnsiTheme="minorHAnsi"/>
          <w:b/>
          <w:snapToGrid w:val="0"/>
          <w:sz w:val="32"/>
          <w:szCs w:val="32"/>
        </w:rPr>
      </w:pPr>
      <w:r w:rsidRPr="00763E59">
        <w:rPr>
          <w:rFonts w:asciiTheme="minorHAnsi" w:hAnsiTheme="minorHAnsi"/>
          <w:b/>
          <w:snapToGrid w:val="0"/>
          <w:sz w:val="32"/>
          <w:szCs w:val="32"/>
        </w:rPr>
        <w:t>Recommended listing</w:t>
      </w:r>
    </w:p>
    <w:p w14:paraId="7B85BF4D" w14:textId="77777777" w:rsidR="000473DF" w:rsidRPr="00311F03" w:rsidRDefault="000473DF" w:rsidP="00763E59">
      <w:pPr>
        <w:widowControl w:val="0"/>
        <w:numPr>
          <w:ilvl w:val="1"/>
          <w:numId w:val="1"/>
        </w:numPr>
        <w:spacing w:after="120"/>
        <w:contextualSpacing/>
        <w:jc w:val="left"/>
        <w:rPr>
          <w:rFonts w:asciiTheme="minorHAnsi" w:hAnsiTheme="minorHAnsi"/>
          <w:b/>
          <w:bCs/>
          <w:snapToGrid w:val="0"/>
          <w:lang w:eastAsia="en-US"/>
        </w:rPr>
      </w:pPr>
      <w:r>
        <w:rPr>
          <w:rFonts w:asciiTheme="minorHAnsi" w:hAnsiTheme="minorHAnsi"/>
          <w:bCs/>
          <w:snapToGrid w:val="0"/>
          <w:lang w:eastAsia="en-US"/>
        </w:rPr>
        <w:t>Amend existing listings as follows:</w:t>
      </w:r>
    </w:p>
    <w:p w14:paraId="2896F869" w14:textId="4AD36583" w:rsidR="000473DF" w:rsidRDefault="00311F03" w:rsidP="00EC50F1">
      <w:pPr>
        <w:pStyle w:val="3-BodyText"/>
        <w:keepNext/>
        <w:keepLines/>
        <w:numPr>
          <w:ilvl w:val="0"/>
          <w:numId w:val="0"/>
        </w:numPr>
        <w:rPr>
          <w:bCs/>
          <w:snapToGrid w:val="0"/>
          <w:lang w:val="en-GB" w:eastAsia="en-US"/>
        </w:rPr>
      </w:pPr>
      <w:r w:rsidRPr="00324F9E">
        <w:rPr>
          <w:b/>
          <w:bCs/>
        </w:rPr>
        <w:lastRenderedPageBreak/>
        <w:t>Enfortumab vedotin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1823"/>
        <w:gridCol w:w="1973"/>
        <w:gridCol w:w="1973"/>
        <w:gridCol w:w="1977"/>
      </w:tblGrid>
      <w:tr w:rsidR="00311F03" w:rsidRPr="00CB2322" w14:paraId="235388BE" w14:textId="77777777" w:rsidTr="005E4D14">
        <w:trPr>
          <w:cantSplit/>
          <w:trHeight w:val="20"/>
        </w:trPr>
        <w:tc>
          <w:tcPr>
            <w:tcW w:w="1716" w:type="pct"/>
            <w:gridSpan w:val="3"/>
            <w:vAlign w:val="center"/>
          </w:tcPr>
          <w:p w14:paraId="6E9CA10F" w14:textId="77777777" w:rsidR="00311F03" w:rsidRPr="00311F03" w:rsidRDefault="00311F03" w:rsidP="005E4D14">
            <w:pPr>
              <w:keepNext/>
              <w:rPr>
                <w:rFonts w:ascii="Arial Narrow" w:hAnsi="Arial Narrow"/>
                <w:b/>
                <w:bCs/>
                <w:sz w:val="20"/>
                <w:szCs w:val="20"/>
              </w:rPr>
            </w:pPr>
            <w:r w:rsidRPr="00311F03">
              <w:rPr>
                <w:rFonts w:ascii="Arial Narrow" w:hAnsi="Arial Narrow"/>
                <w:b/>
                <w:bCs/>
                <w:sz w:val="20"/>
                <w:szCs w:val="20"/>
              </w:rPr>
              <w:t>MEDICINAL PRODUCT</w:t>
            </w:r>
          </w:p>
          <w:p w14:paraId="09DBA281" w14:textId="77777777" w:rsidR="00311F03" w:rsidRPr="00311F03" w:rsidRDefault="00311F03" w:rsidP="005E4D14">
            <w:pPr>
              <w:keepNext/>
              <w:rPr>
                <w:rFonts w:ascii="Arial Narrow" w:hAnsi="Arial Narrow"/>
                <w:b/>
                <w:sz w:val="20"/>
                <w:szCs w:val="20"/>
              </w:rPr>
            </w:pPr>
            <w:r w:rsidRPr="00311F03">
              <w:rPr>
                <w:rFonts w:ascii="Arial Narrow" w:hAnsi="Arial Narrow"/>
                <w:b/>
                <w:sz w:val="20"/>
                <w:szCs w:val="20"/>
              </w:rPr>
              <w:t>Form</w:t>
            </w:r>
          </w:p>
        </w:tc>
        <w:tc>
          <w:tcPr>
            <w:tcW w:w="1094" w:type="pct"/>
            <w:vAlign w:val="center"/>
          </w:tcPr>
          <w:p w14:paraId="49F5F1A0" w14:textId="77777777" w:rsidR="00311F03" w:rsidRPr="00311F03" w:rsidRDefault="00311F03" w:rsidP="005E4D14">
            <w:pPr>
              <w:keepNext/>
              <w:jc w:val="center"/>
              <w:rPr>
                <w:rFonts w:ascii="Arial Narrow" w:hAnsi="Arial Narrow"/>
                <w:b/>
                <w:sz w:val="20"/>
                <w:szCs w:val="20"/>
              </w:rPr>
            </w:pPr>
            <w:r w:rsidRPr="00311F03">
              <w:rPr>
                <w:rFonts w:ascii="Arial Narrow" w:hAnsi="Arial Narrow"/>
                <w:b/>
                <w:sz w:val="20"/>
                <w:szCs w:val="20"/>
              </w:rPr>
              <w:t>PBS item code</w:t>
            </w:r>
          </w:p>
        </w:tc>
        <w:tc>
          <w:tcPr>
            <w:tcW w:w="1094" w:type="pct"/>
            <w:vAlign w:val="center"/>
          </w:tcPr>
          <w:p w14:paraId="7B435AE4" w14:textId="77777777" w:rsidR="00311F03" w:rsidRPr="00311F03" w:rsidRDefault="00311F03" w:rsidP="005E4D14">
            <w:pPr>
              <w:keepNext/>
              <w:jc w:val="center"/>
              <w:rPr>
                <w:rFonts w:ascii="Arial Narrow" w:hAnsi="Arial Narrow"/>
                <w:b/>
                <w:sz w:val="20"/>
                <w:szCs w:val="20"/>
              </w:rPr>
            </w:pPr>
            <w:r w:rsidRPr="00311F03">
              <w:rPr>
                <w:rFonts w:ascii="Arial Narrow" w:hAnsi="Arial Narrow"/>
                <w:b/>
                <w:sz w:val="20"/>
                <w:szCs w:val="20"/>
              </w:rPr>
              <w:t>Max. Amount</w:t>
            </w:r>
          </w:p>
        </w:tc>
        <w:tc>
          <w:tcPr>
            <w:tcW w:w="1096" w:type="pct"/>
            <w:vAlign w:val="center"/>
          </w:tcPr>
          <w:p w14:paraId="6202DFE0" w14:textId="77777777" w:rsidR="00311F03" w:rsidRPr="00311F03" w:rsidRDefault="00311F03" w:rsidP="005E4D14">
            <w:pPr>
              <w:keepNext/>
              <w:jc w:val="center"/>
              <w:rPr>
                <w:rFonts w:ascii="Arial Narrow" w:hAnsi="Arial Narrow"/>
                <w:b/>
                <w:sz w:val="20"/>
                <w:szCs w:val="20"/>
              </w:rPr>
            </w:pPr>
            <w:r w:rsidRPr="00311F03">
              <w:rPr>
                <w:rFonts w:ascii="Arial Narrow" w:hAnsi="Arial Narrow"/>
                <w:b/>
                <w:sz w:val="20"/>
                <w:szCs w:val="20"/>
              </w:rPr>
              <w:t>№.of Rpts</w:t>
            </w:r>
          </w:p>
        </w:tc>
      </w:tr>
      <w:tr w:rsidR="00311F03" w:rsidRPr="00CB2322" w14:paraId="0E570614" w14:textId="77777777" w:rsidTr="005E4D14">
        <w:trPr>
          <w:cantSplit/>
          <w:trHeight w:val="20"/>
        </w:trPr>
        <w:tc>
          <w:tcPr>
            <w:tcW w:w="1716" w:type="pct"/>
            <w:gridSpan w:val="3"/>
            <w:vAlign w:val="center"/>
          </w:tcPr>
          <w:p w14:paraId="56B197DF"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ENFORTUMAB VEDOTIN</w:t>
            </w:r>
          </w:p>
          <w:p w14:paraId="761C1E59"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Injection</w:t>
            </w:r>
          </w:p>
        </w:tc>
        <w:tc>
          <w:tcPr>
            <w:tcW w:w="1094" w:type="pct"/>
            <w:vAlign w:val="center"/>
          </w:tcPr>
          <w:p w14:paraId="2FC54274" w14:textId="77777777" w:rsidR="00311F03" w:rsidRPr="00311F03" w:rsidRDefault="00311F03" w:rsidP="005E4D14">
            <w:pPr>
              <w:keepNext/>
              <w:jc w:val="center"/>
              <w:rPr>
                <w:rFonts w:ascii="Arial Narrow" w:hAnsi="Arial Narrow"/>
                <w:sz w:val="20"/>
                <w:szCs w:val="20"/>
              </w:rPr>
            </w:pPr>
            <w:r w:rsidRPr="00311F03">
              <w:rPr>
                <w:rFonts w:ascii="Arial Narrow" w:hAnsi="Arial Narrow"/>
                <w:sz w:val="20"/>
                <w:szCs w:val="20"/>
              </w:rPr>
              <w:t>NEW (Public)</w:t>
            </w:r>
            <w:r w:rsidRPr="00311F03">
              <w:rPr>
                <w:rFonts w:ascii="Arial Narrow" w:hAnsi="Arial Narrow"/>
                <w:sz w:val="20"/>
                <w:szCs w:val="20"/>
              </w:rPr>
              <w:br/>
              <w:t>NEW (Private)</w:t>
            </w:r>
          </w:p>
        </w:tc>
        <w:tc>
          <w:tcPr>
            <w:tcW w:w="1094" w:type="pct"/>
            <w:vAlign w:val="center"/>
          </w:tcPr>
          <w:p w14:paraId="3D933B60" w14:textId="77777777" w:rsidR="00311F03" w:rsidRPr="00311F03" w:rsidRDefault="00311F03" w:rsidP="005E4D14">
            <w:pPr>
              <w:keepNext/>
              <w:jc w:val="center"/>
              <w:rPr>
                <w:rFonts w:ascii="Arial Narrow" w:hAnsi="Arial Narrow"/>
                <w:sz w:val="20"/>
                <w:szCs w:val="20"/>
              </w:rPr>
            </w:pPr>
            <w:r w:rsidRPr="00311F03">
              <w:rPr>
                <w:rFonts w:ascii="Arial Narrow" w:hAnsi="Arial Narrow"/>
                <w:sz w:val="20"/>
                <w:szCs w:val="20"/>
              </w:rPr>
              <w:t>125mg</w:t>
            </w:r>
          </w:p>
        </w:tc>
        <w:tc>
          <w:tcPr>
            <w:tcW w:w="1096" w:type="pct"/>
            <w:vAlign w:val="center"/>
          </w:tcPr>
          <w:p w14:paraId="5459A68B" w14:textId="77777777" w:rsidR="00311F03" w:rsidRPr="00311F03" w:rsidRDefault="00311F03" w:rsidP="005E4D14">
            <w:pPr>
              <w:keepNext/>
              <w:jc w:val="center"/>
              <w:rPr>
                <w:rFonts w:ascii="Arial Narrow" w:hAnsi="Arial Narrow"/>
                <w:sz w:val="20"/>
                <w:szCs w:val="20"/>
              </w:rPr>
            </w:pPr>
            <w:r w:rsidRPr="00311F03">
              <w:rPr>
                <w:rFonts w:ascii="Arial Narrow" w:hAnsi="Arial Narrow"/>
                <w:sz w:val="20"/>
                <w:szCs w:val="20"/>
              </w:rPr>
              <w:t>7</w:t>
            </w:r>
          </w:p>
        </w:tc>
      </w:tr>
      <w:tr w:rsidR="00311F03" w:rsidRPr="00CB2322" w14:paraId="4257F02F" w14:textId="77777777" w:rsidTr="005E4D14">
        <w:trPr>
          <w:cantSplit/>
          <w:trHeight w:val="20"/>
        </w:trPr>
        <w:tc>
          <w:tcPr>
            <w:tcW w:w="5000" w:type="pct"/>
            <w:gridSpan w:val="6"/>
            <w:vAlign w:val="center"/>
          </w:tcPr>
          <w:p w14:paraId="3B90F01A" w14:textId="77777777" w:rsidR="00311F03" w:rsidRPr="00311F03" w:rsidRDefault="00311F03" w:rsidP="005E4D14">
            <w:pPr>
              <w:keepNext/>
              <w:rPr>
                <w:rFonts w:ascii="Arial Narrow" w:hAnsi="Arial Narrow"/>
                <w:b/>
                <w:sz w:val="20"/>
                <w:szCs w:val="20"/>
              </w:rPr>
            </w:pPr>
            <w:r w:rsidRPr="00311F03">
              <w:rPr>
                <w:rFonts w:ascii="Arial Narrow" w:hAnsi="Arial Narrow"/>
                <w:b/>
                <w:sz w:val="20"/>
                <w:szCs w:val="20"/>
              </w:rPr>
              <w:t xml:space="preserve">Available brands </w:t>
            </w:r>
          </w:p>
        </w:tc>
      </w:tr>
      <w:tr w:rsidR="00311F03" w:rsidRPr="00CB2322" w14:paraId="2194B276" w14:textId="77777777" w:rsidTr="005E4D14">
        <w:trPr>
          <w:cantSplit/>
          <w:trHeight w:val="20"/>
        </w:trPr>
        <w:tc>
          <w:tcPr>
            <w:tcW w:w="5000" w:type="pct"/>
            <w:gridSpan w:val="6"/>
            <w:vAlign w:val="center"/>
          </w:tcPr>
          <w:p w14:paraId="42A613A4"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Padcev</w:t>
            </w:r>
          </w:p>
          <w:p w14:paraId="784C48E0"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(enfortumab vedotin 30 mg injection, 1 vial)</w:t>
            </w:r>
          </w:p>
        </w:tc>
      </w:tr>
      <w:tr w:rsidR="00311F03" w:rsidRPr="00CB2322" w14:paraId="5ABAB83A" w14:textId="77777777" w:rsidTr="005E4D14">
        <w:trPr>
          <w:cantSplit/>
          <w:trHeight w:val="20"/>
        </w:trPr>
        <w:tc>
          <w:tcPr>
            <w:tcW w:w="5000" w:type="pct"/>
            <w:gridSpan w:val="6"/>
            <w:vAlign w:val="center"/>
          </w:tcPr>
          <w:p w14:paraId="608F20B9"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Padcev</w:t>
            </w:r>
          </w:p>
          <w:p w14:paraId="6DE73A76"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(enfortumab vedotin 20 mg injection, 1 vial)</w:t>
            </w:r>
          </w:p>
        </w:tc>
      </w:tr>
      <w:tr w:rsidR="00311F03" w:rsidRPr="00CB2322" w14:paraId="04FC7EC8" w14:textId="77777777" w:rsidTr="005E4D14">
        <w:trPr>
          <w:cantSplit/>
          <w:trHeight w:val="20"/>
        </w:trPr>
        <w:tc>
          <w:tcPr>
            <w:tcW w:w="5000" w:type="pct"/>
            <w:gridSpan w:val="6"/>
            <w:vAlign w:val="center"/>
          </w:tcPr>
          <w:p w14:paraId="483A708C" w14:textId="77777777" w:rsidR="00311F03" w:rsidRPr="00311F03" w:rsidRDefault="00311F03" w:rsidP="005E4D14">
            <w:pPr>
              <w:rPr>
                <w:rFonts w:ascii="Arial Narrow" w:hAnsi="Arial Narrow"/>
                <w:color w:val="FF0000"/>
                <w:sz w:val="20"/>
                <w:szCs w:val="20"/>
              </w:rPr>
            </w:pPr>
          </w:p>
        </w:tc>
      </w:tr>
      <w:tr w:rsidR="00311F03" w:rsidRPr="00CB2322" w14:paraId="26E3370E" w14:textId="77777777" w:rsidTr="005E4D14">
        <w:trPr>
          <w:cantSplit/>
          <w:trHeight w:val="20"/>
        </w:trPr>
        <w:tc>
          <w:tcPr>
            <w:tcW w:w="5000" w:type="pct"/>
            <w:gridSpan w:val="6"/>
            <w:vAlign w:val="center"/>
          </w:tcPr>
          <w:p w14:paraId="659882EA" w14:textId="77777777" w:rsidR="00311F03" w:rsidRPr="00311F03" w:rsidRDefault="00311F03" w:rsidP="005E4D14">
            <w:pPr>
              <w:keepNext/>
              <w:rPr>
                <w:rFonts w:ascii="Arial Narrow" w:hAnsi="Arial Narrow"/>
                <w:color w:val="FF0000"/>
                <w:sz w:val="20"/>
                <w:szCs w:val="20"/>
              </w:rPr>
            </w:pPr>
            <w:r w:rsidRPr="00311F03">
              <w:rPr>
                <w:rFonts w:ascii="Arial Narrow" w:hAnsi="Arial Narrow"/>
                <w:b/>
                <w:sz w:val="20"/>
                <w:szCs w:val="20"/>
              </w:rPr>
              <w:t>Restriction Summary [new]</w:t>
            </w:r>
            <w:r w:rsidRPr="00311F03">
              <w:rPr>
                <w:rFonts w:ascii="Arial Narrow" w:hAnsi="Arial Narrow"/>
                <w:b/>
                <w:color w:val="FF0000"/>
                <w:sz w:val="20"/>
                <w:szCs w:val="20"/>
              </w:rPr>
              <w:t xml:space="preserve"> </w:t>
            </w:r>
            <w:r w:rsidRPr="00311F03">
              <w:rPr>
                <w:rFonts w:ascii="Arial Narrow" w:hAnsi="Arial Narrow"/>
                <w:b/>
                <w:sz w:val="20"/>
                <w:szCs w:val="20"/>
              </w:rPr>
              <w:t>/ Treatment of Concept: [new]</w:t>
            </w:r>
          </w:p>
        </w:tc>
      </w:tr>
      <w:tr w:rsidR="00311F03" w:rsidRPr="00CB2322" w14:paraId="39B19D1D"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75C3EB13" w14:textId="561102D0" w:rsidR="00311F03" w:rsidRPr="00311F03" w:rsidRDefault="00311F03" w:rsidP="005E4D14">
            <w:pPr>
              <w:keepNext/>
              <w:jc w:val="center"/>
              <w:rPr>
                <w:rFonts w:ascii="Arial Narrow" w:hAnsi="Arial Narrow"/>
                <w:b/>
                <w:sz w:val="20"/>
                <w:szCs w:val="20"/>
              </w:rPr>
            </w:pPr>
          </w:p>
        </w:tc>
        <w:tc>
          <w:tcPr>
            <w:tcW w:w="4295" w:type="pct"/>
            <w:gridSpan w:val="4"/>
          </w:tcPr>
          <w:p w14:paraId="781E33AE" w14:textId="77777777" w:rsidR="00311F03" w:rsidRPr="00311F03" w:rsidRDefault="00311F03" w:rsidP="005E4D14">
            <w:pPr>
              <w:keepNext/>
              <w:rPr>
                <w:rFonts w:ascii="Arial Narrow" w:hAnsi="Arial Narrow"/>
                <w:sz w:val="20"/>
                <w:szCs w:val="20"/>
              </w:rPr>
            </w:pPr>
            <w:r w:rsidRPr="00311F03">
              <w:rPr>
                <w:rFonts w:ascii="Arial Narrow" w:hAnsi="Arial Narrow"/>
                <w:b/>
                <w:sz w:val="20"/>
                <w:szCs w:val="20"/>
              </w:rPr>
              <w:t xml:space="preserve">Category / Program: </w:t>
            </w:r>
            <w:r w:rsidRPr="00311F03">
              <w:rPr>
                <w:rFonts w:ascii="Arial Narrow" w:hAnsi="Arial Narrow"/>
                <w:sz w:val="20"/>
                <w:szCs w:val="20"/>
              </w:rPr>
              <w:t>Section 100 – Efficient Funding of Chemotherapy Public/Private hospitals</w:t>
            </w:r>
          </w:p>
        </w:tc>
      </w:tr>
      <w:tr w:rsidR="00311F03" w:rsidRPr="00CB2322" w14:paraId="59A7C10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6DE52199" w14:textId="77777777" w:rsidR="00311F03" w:rsidRPr="00311F03" w:rsidRDefault="00311F03" w:rsidP="005E4D14">
            <w:pPr>
              <w:keepNext/>
              <w:rPr>
                <w:rFonts w:ascii="Arial Narrow" w:hAnsi="Arial Narrow"/>
                <w:sz w:val="20"/>
                <w:szCs w:val="20"/>
              </w:rPr>
            </w:pPr>
          </w:p>
        </w:tc>
        <w:tc>
          <w:tcPr>
            <w:tcW w:w="4295" w:type="pct"/>
            <w:gridSpan w:val="4"/>
          </w:tcPr>
          <w:p w14:paraId="0A46D00A" w14:textId="77777777" w:rsidR="00311F03" w:rsidRPr="00311F03" w:rsidRDefault="00311F03" w:rsidP="005E4D14">
            <w:pPr>
              <w:keepNext/>
              <w:rPr>
                <w:rFonts w:ascii="Arial Narrow" w:hAnsi="Arial Narrow"/>
                <w:b/>
                <w:sz w:val="20"/>
                <w:szCs w:val="20"/>
              </w:rPr>
            </w:pPr>
            <w:r w:rsidRPr="00311F03">
              <w:rPr>
                <w:rFonts w:ascii="Arial Narrow" w:hAnsi="Arial Narrow"/>
                <w:b/>
                <w:sz w:val="20"/>
                <w:szCs w:val="20"/>
              </w:rPr>
              <w:t>Prescriber type:</w:t>
            </w:r>
            <w:r w:rsidRPr="00311F03">
              <w:rPr>
                <w:rFonts w:ascii="Arial Narrow" w:hAnsi="Arial Narrow"/>
                <w:sz w:val="20"/>
                <w:szCs w:val="20"/>
              </w:rPr>
              <w:t xml:space="preserve"> </w:t>
            </w:r>
            <w:r w:rsidRPr="00311F03">
              <w:rPr>
                <w:rFonts w:ascii="Arial Narrow" w:hAnsi="Arial Narrow"/>
                <w:sz w:val="20"/>
                <w:szCs w:val="20"/>
              </w:rPr>
              <w:fldChar w:fldCharType="begin" w:fldLock="1">
                <w:ffData>
                  <w:name w:val=""/>
                  <w:enabled/>
                  <w:calcOnExit w:val="0"/>
                  <w:checkBox>
                    <w:sizeAuto/>
                    <w:default w:val="1"/>
                  </w:checkBox>
                </w:ffData>
              </w:fldChar>
            </w:r>
            <w:r w:rsidRPr="00311F03">
              <w:rPr>
                <w:rFonts w:ascii="Arial Narrow" w:hAnsi="Arial Narrow"/>
                <w:sz w:val="20"/>
                <w:szCs w:val="20"/>
              </w:rPr>
              <w:instrText xml:space="preserve"> FORMCHECKBOX </w:instrText>
            </w:r>
            <w:r w:rsidRPr="00311F03">
              <w:rPr>
                <w:rFonts w:ascii="Arial Narrow" w:hAnsi="Arial Narrow"/>
                <w:sz w:val="20"/>
                <w:szCs w:val="20"/>
              </w:rPr>
            </w:r>
            <w:r w:rsidRPr="00311F03">
              <w:rPr>
                <w:rFonts w:ascii="Arial Narrow" w:hAnsi="Arial Narrow"/>
                <w:sz w:val="20"/>
                <w:szCs w:val="20"/>
              </w:rPr>
              <w:fldChar w:fldCharType="separate"/>
            </w:r>
            <w:r w:rsidRPr="00311F03">
              <w:rPr>
                <w:rFonts w:ascii="Arial Narrow" w:hAnsi="Arial Narrow"/>
                <w:sz w:val="20"/>
                <w:szCs w:val="20"/>
              </w:rPr>
              <w:fldChar w:fldCharType="end"/>
            </w:r>
            <w:r w:rsidRPr="00311F03">
              <w:rPr>
                <w:rFonts w:ascii="Arial Narrow" w:hAnsi="Arial Narrow"/>
                <w:sz w:val="20"/>
                <w:szCs w:val="20"/>
              </w:rPr>
              <w:t xml:space="preserve">Medical Practitioners </w:t>
            </w:r>
          </w:p>
        </w:tc>
      </w:tr>
      <w:tr w:rsidR="00311F03" w:rsidRPr="00CB2322" w14:paraId="6A9D257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13A45E78" w14:textId="77777777" w:rsidR="00311F03" w:rsidRPr="00311F03" w:rsidRDefault="00311F03" w:rsidP="005E4D14">
            <w:pPr>
              <w:rPr>
                <w:rFonts w:ascii="Arial Narrow" w:hAnsi="Arial Narrow"/>
                <w:sz w:val="20"/>
                <w:szCs w:val="20"/>
              </w:rPr>
            </w:pPr>
          </w:p>
        </w:tc>
        <w:tc>
          <w:tcPr>
            <w:tcW w:w="4295" w:type="pct"/>
            <w:gridSpan w:val="4"/>
          </w:tcPr>
          <w:p w14:paraId="23C8D4EC" w14:textId="6CF87EDA" w:rsidR="00311F03" w:rsidRPr="00311F03" w:rsidRDefault="00311F03" w:rsidP="00311F03">
            <w:pPr>
              <w:jc w:val="left"/>
              <w:rPr>
                <w:rFonts w:ascii="Arial Narrow" w:eastAsia="Calibri" w:hAnsi="Arial Narrow"/>
                <w:sz w:val="20"/>
                <w:szCs w:val="20"/>
              </w:rPr>
            </w:pPr>
            <w:r w:rsidRPr="00311F03">
              <w:rPr>
                <w:rFonts w:ascii="Arial Narrow" w:hAnsi="Arial Narrow"/>
                <w:b/>
                <w:sz w:val="20"/>
                <w:szCs w:val="20"/>
              </w:rPr>
              <w:t xml:space="preserve">Restriction type: </w:t>
            </w:r>
            <w:r w:rsidRPr="00311F03">
              <w:rPr>
                <w:rFonts w:ascii="Arial Narrow" w:eastAsia="Calibri" w:hAnsi="Arial Narrow"/>
                <w:sz w:val="20"/>
                <w:szCs w:val="20"/>
              </w:rPr>
              <w:fldChar w:fldCharType="begin" w:fldLock="1">
                <w:ffData>
                  <w:name w:val=""/>
                  <w:enabled/>
                  <w:calcOnExit w:val="0"/>
                  <w:checkBox>
                    <w:sizeAuto/>
                    <w:default w:val="1"/>
                  </w:checkBox>
                </w:ffData>
              </w:fldChar>
            </w:r>
            <w:r w:rsidRPr="00311F03">
              <w:rPr>
                <w:rFonts w:ascii="Arial Narrow" w:eastAsia="Calibri" w:hAnsi="Arial Narrow"/>
                <w:sz w:val="20"/>
                <w:szCs w:val="20"/>
              </w:rPr>
              <w:instrText xml:space="preserve"> FORMCHECKBOX </w:instrText>
            </w:r>
            <w:r w:rsidRPr="00311F03">
              <w:rPr>
                <w:rFonts w:ascii="Arial Narrow" w:eastAsia="Calibri" w:hAnsi="Arial Narrow"/>
                <w:sz w:val="20"/>
                <w:szCs w:val="20"/>
              </w:rPr>
            </w:r>
            <w:r w:rsidRPr="00311F03">
              <w:rPr>
                <w:rFonts w:ascii="Arial Narrow" w:eastAsia="Calibri" w:hAnsi="Arial Narrow"/>
                <w:sz w:val="20"/>
                <w:szCs w:val="20"/>
              </w:rPr>
              <w:fldChar w:fldCharType="separate"/>
            </w:r>
            <w:r w:rsidRPr="00311F03">
              <w:rPr>
                <w:rFonts w:ascii="Arial Narrow" w:eastAsia="Calibri" w:hAnsi="Arial Narrow"/>
                <w:sz w:val="20"/>
                <w:szCs w:val="20"/>
              </w:rPr>
              <w:fldChar w:fldCharType="end"/>
            </w:r>
            <w:r w:rsidRPr="00311F03">
              <w:rPr>
                <w:rFonts w:ascii="Arial Narrow" w:eastAsia="Calibri" w:hAnsi="Arial Narrow"/>
                <w:sz w:val="20"/>
                <w:szCs w:val="20"/>
              </w:rPr>
              <w:t>Authority Required (STREAMLINED) [new]</w:t>
            </w:r>
          </w:p>
        </w:tc>
      </w:tr>
      <w:tr w:rsidR="00311F03" w:rsidRPr="00CB2322" w14:paraId="4E31E8DB" w14:textId="77777777" w:rsidTr="005E4D14">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29B34E3A" w14:textId="65A5CA30" w:rsidR="00311F03" w:rsidRPr="00311F03" w:rsidRDefault="00311F03" w:rsidP="005E4D14">
            <w:pPr>
              <w:keepLines/>
              <w:ind w:right="113"/>
              <w:jc w:val="center"/>
              <w:rPr>
                <w:rFonts w:ascii="Arial Narrow" w:hAnsi="Arial Narrow"/>
                <w:color w:val="333333"/>
                <w:sz w:val="20"/>
                <w:szCs w:val="20"/>
              </w:rPr>
            </w:pPr>
          </w:p>
        </w:tc>
        <w:tc>
          <w:tcPr>
            <w:tcW w:w="393" w:type="pct"/>
            <w:vAlign w:val="center"/>
          </w:tcPr>
          <w:p w14:paraId="5ECCD48B" w14:textId="3A6E0374" w:rsidR="00311F03" w:rsidRPr="00311F03" w:rsidRDefault="00311F03" w:rsidP="005E4D14">
            <w:pPr>
              <w:keepLines/>
              <w:ind w:hanging="35"/>
              <w:jc w:val="center"/>
              <w:rPr>
                <w:rFonts w:ascii="Arial Narrow" w:hAnsi="Arial Narrow"/>
                <w:color w:val="333333"/>
                <w:sz w:val="20"/>
                <w:szCs w:val="20"/>
              </w:rPr>
            </w:pPr>
          </w:p>
        </w:tc>
        <w:tc>
          <w:tcPr>
            <w:tcW w:w="4295" w:type="pct"/>
            <w:gridSpan w:val="4"/>
          </w:tcPr>
          <w:p w14:paraId="7302D1A7" w14:textId="77777777" w:rsidR="00311F03" w:rsidRPr="00311F03" w:rsidRDefault="00311F03" w:rsidP="005E4D14">
            <w:pPr>
              <w:keepLines/>
              <w:rPr>
                <w:rFonts w:ascii="Arial Narrow" w:hAnsi="Arial Narrow"/>
                <w:color w:val="333333"/>
                <w:sz w:val="20"/>
                <w:szCs w:val="20"/>
              </w:rPr>
            </w:pPr>
            <w:r w:rsidRPr="00311F03">
              <w:rPr>
                <w:rFonts w:ascii="Arial Narrow" w:hAnsi="Arial Narrow"/>
                <w:b/>
                <w:bCs/>
                <w:sz w:val="20"/>
                <w:szCs w:val="20"/>
              </w:rPr>
              <w:t>Administrative Advice:</w:t>
            </w:r>
            <w:r w:rsidRPr="00311F03">
              <w:rPr>
                <w:rFonts w:ascii="Arial Narrow" w:hAnsi="Arial Narrow"/>
                <w:sz w:val="20"/>
                <w:szCs w:val="20"/>
              </w:rPr>
              <w:t xml:space="preserve"> No increase in the maximum amount or number of units may be authorised.</w:t>
            </w:r>
          </w:p>
        </w:tc>
      </w:tr>
      <w:tr w:rsidR="00311F03" w:rsidRPr="00CB2322" w14:paraId="15453542" w14:textId="77777777" w:rsidTr="005E4D14">
        <w:tblPrEx>
          <w:tblCellMar>
            <w:top w:w="15" w:type="dxa"/>
            <w:bottom w:w="15" w:type="dxa"/>
          </w:tblCellMar>
          <w:tblLook w:val="04A0" w:firstRow="1" w:lastRow="0" w:firstColumn="1" w:lastColumn="0" w:noHBand="0" w:noVBand="1"/>
        </w:tblPrEx>
        <w:trPr>
          <w:trHeight w:val="20"/>
        </w:trPr>
        <w:tc>
          <w:tcPr>
            <w:tcW w:w="312" w:type="pct"/>
            <w:vMerge/>
            <w:vAlign w:val="center"/>
          </w:tcPr>
          <w:p w14:paraId="6BBEF6B1" w14:textId="77777777" w:rsidR="00311F03" w:rsidRPr="00311F03" w:rsidRDefault="00311F03" w:rsidP="005E4D14">
            <w:pPr>
              <w:keepLines/>
              <w:jc w:val="center"/>
              <w:rPr>
                <w:rFonts w:ascii="Arial Narrow" w:hAnsi="Arial Narrow"/>
                <w:color w:val="333333"/>
                <w:sz w:val="20"/>
                <w:szCs w:val="20"/>
              </w:rPr>
            </w:pPr>
          </w:p>
        </w:tc>
        <w:tc>
          <w:tcPr>
            <w:tcW w:w="393" w:type="pct"/>
            <w:vAlign w:val="center"/>
          </w:tcPr>
          <w:p w14:paraId="180ADC0A" w14:textId="29874831" w:rsidR="00311F03" w:rsidRPr="00311F03" w:rsidRDefault="00311F03" w:rsidP="005E4D14">
            <w:pPr>
              <w:keepLines/>
              <w:ind w:hanging="35"/>
              <w:jc w:val="center"/>
              <w:rPr>
                <w:rFonts w:ascii="Arial Narrow" w:hAnsi="Arial Narrow"/>
                <w:color w:val="333333"/>
                <w:sz w:val="20"/>
                <w:szCs w:val="20"/>
              </w:rPr>
            </w:pPr>
          </w:p>
        </w:tc>
        <w:tc>
          <w:tcPr>
            <w:tcW w:w="4295" w:type="pct"/>
            <w:gridSpan w:val="4"/>
          </w:tcPr>
          <w:p w14:paraId="73A8294C" w14:textId="77777777" w:rsidR="00311F03" w:rsidRPr="00311F03" w:rsidRDefault="00311F03" w:rsidP="005E4D14">
            <w:pPr>
              <w:keepLines/>
              <w:rPr>
                <w:rFonts w:ascii="Arial Narrow" w:hAnsi="Arial Narrow"/>
                <w:b/>
                <w:bCs/>
                <w:color w:val="333333"/>
                <w:sz w:val="20"/>
                <w:szCs w:val="20"/>
              </w:rPr>
            </w:pPr>
            <w:r w:rsidRPr="00311F03">
              <w:rPr>
                <w:rFonts w:ascii="Arial Narrow" w:hAnsi="Arial Narrow"/>
                <w:b/>
                <w:bCs/>
                <w:sz w:val="20"/>
                <w:szCs w:val="20"/>
              </w:rPr>
              <w:t>Administrative Advice:</w:t>
            </w:r>
            <w:r w:rsidRPr="00311F03">
              <w:rPr>
                <w:rFonts w:ascii="Arial Narrow" w:hAnsi="Arial Narrow"/>
                <w:sz w:val="20"/>
                <w:szCs w:val="20"/>
              </w:rPr>
              <w:t xml:space="preserve"> No increase in the maximum number of repeats may be authorised.</w:t>
            </w:r>
          </w:p>
        </w:tc>
      </w:tr>
      <w:tr w:rsidR="00311F03" w:rsidRPr="00CB2322" w14:paraId="24CD7D9C" w14:textId="77777777" w:rsidTr="005E4D14">
        <w:tblPrEx>
          <w:tblCellMar>
            <w:top w:w="15" w:type="dxa"/>
            <w:bottom w:w="15" w:type="dxa"/>
          </w:tblCellMar>
          <w:tblLook w:val="04A0" w:firstRow="1" w:lastRow="0" w:firstColumn="1" w:lastColumn="0" w:noHBand="0" w:noVBand="1"/>
        </w:tblPrEx>
        <w:trPr>
          <w:trHeight w:val="20"/>
        </w:trPr>
        <w:tc>
          <w:tcPr>
            <w:tcW w:w="312" w:type="pct"/>
            <w:vMerge/>
            <w:vAlign w:val="center"/>
          </w:tcPr>
          <w:p w14:paraId="1B18E724" w14:textId="77777777" w:rsidR="00311F03" w:rsidRPr="00311F03" w:rsidRDefault="00311F03" w:rsidP="005E4D14">
            <w:pPr>
              <w:keepLines/>
              <w:jc w:val="center"/>
              <w:rPr>
                <w:rFonts w:ascii="Arial Narrow" w:hAnsi="Arial Narrow"/>
                <w:color w:val="333333"/>
                <w:sz w:val="20"/>
                <w:szCs w:val="20"/>
              </w:rPr>
            </w:pPr>
          </w:p>
        </w:tc>
        <w:tc>
          <w:tcPr>
            <w:tcW w:w="393" w:type="pct"/>
            <w:vAlign w:val="center"/>
          </w:tcPr>
          <w:p w14:paraId="25681277" w14:textId="45E94B7A" w:rsidR="00311F03" w:rsidRPr="00311F03" w:rsidRDefault="00311F03" w:rsidP="005E4D14">
            <w:pPr>
              <w:keepLines/>
              <w:ind w:hanging="35"/>
              <w:jc w:val="center"/>
              <w:rPr>
                <w:rFonts w:ascii="Arial Narrow" w:hAnsi="Arial Narrow"/>
                <w:color w:val="333333"/>
                <w:sz w:val="20"/>
                <w:szCs w:val="20"/>
              </w:rPr>
            </w:pPr>
          </w:p>
        </w:tc>
        <w:tc>
          <w:tcPr>
            <w:tcW w:w="4295" w:type="pct"/>
            <w:gridSpan w:val="4"/>
            <w:vAlign w:val="center"/>
          </w:tcPr>
          <w:p w14:paraId="24993686" w14:textId="77777777" w:rsidR="00311F03" w:rsidRPr="00311F03" w:rsidRDefault="00311F03" w:rsidP="005E4D14">
            <w:pPr>
              <w:pStyle w:val="pf0"/>
              <w:rPr>
                <w:rFonts w:ascii="Arial" w:hAnsi="Arial" w:cs="Arial"/>
                <w:sz w:val="20"/>
                <w:szCs w:val="20"/>
              </w:rPr>
            </w:pPr>
            <w:r w:rsidRPr="00311F03">
              <w:rPr>
                <w:rFonts w:ascii="Arial Narrow" w:hAnsi="Arial Narrow"/>
                <w:b/>
                <w:bCs/>
                <w:color w:val="333333"/>
                <w:sz w:val="20"/>
                <w:szCs w:val="20"/>
              </w:rPr>
              <w:t xml:space="preserve">Administrative Advice: </w:t>
            </w:r>
            <w:r w:rsidRPr="00311F03">
              <w:rPr>
                <w:rFonts w:ascii="Arial Narrow" w:eastAsiaTheme="minorHAnsi" w:hAnsi="Arial Narrow"/>
                <w:sz w:val="20"/>
                <w:szCs w:val="20"/>
                <w:lang w:eastAsia="en-US"/>
              </w:rPr>
              <w:t>Special Pricing Arrangements apply.</w:t>
            </w:r>
          </w:p>
        </w:tc>
      </w:tr>
      <w:tr w:rsidR="00810177" w:rsidRPr="00CB2322" w14:paraId="295AC3C7" w14:textId="77777777" w:rsidTr="005E4D14">
        <w:tblPrEx>
          <w:tblCellMar>
            <w:top w:w="15" w:type="dxa"/>
            <w:bottom w:w="15" w:type="dxa"/>
          </w:tblCellMar>
        </w:tblPrEx>
        <w:trPr>
          <w:cantSplit/>
          <w:trHeight w:val="20"/>
        </w:trPr>
        <w:tc>
          <w:tcPr>
            <w:tcW w:w="5000" w:type="pct"/>
            <w:gridSpan w:val="6"/>
            <w:shd w:val="clear" w:color="auto" w:fill="auto"/>
          </w:tcPr>
          <w:p w14:paraId="37F411C7" w14:textId="2108209B" w:rsidR="00810177" w:rsidRPr="00311F03" w:rsidRDefault="00810177" w:rsidP="00810177">
            <w:pPr>
              <w:keepLines/>
              <w:rPr>
                <w:rFonts w:ascii="Arial Narrow" w:hAnsi="Arial Narrow"/>
                <w:b/>
                <w:bCs/>
                <w:sz w:val="20"/>
                <w:szCs w:val="20"/>
              </w:rPr>
            </w:pPr>
            <w:r w:rsidRPr="00AB18E2">
              <w:rPr>
                <w:rFonts w:ascii="Arial Narrow" w:eastAsia="Calibri" w:hAnsi="Arial Narrow" w:cs="Calibri"/>
                <w:b/>
                <w:sz w:val="20"/>
                <w:szCs w:val="20"/>
              </w:rPr>
              <w:t xml:space="preserve">Restriction Summary [new] / Treatment of Concept: [new] </w:t>
            </w:r>
          </w:p>
        </w:tc>
      </w:tr>
      <w:tr w:rsidR="00810177" w:rsidRPr="00CB2322" w14:paraId="21458A0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7A5895B9" w14:textId="77777777" w:rsidR="00810177" w:rsidRPr="00311F03" w:rsidRDefault="00810177" w:rsidP="00810177">
            <w:pPr>
              <w:keepLines/>
              <w:jc w:val="center"/>
              <w:rPr>
                <w:rFonts w:ascii="Arial Narrow" w:hAnsi="Arial Narrow"/>
                <w:color w:val="333333"/>
                <w:sz w:val="20"/>
                <w:szCs w:val="20"/>
              </w:rPr>
            </w:pPr>
          </w:p>
        </w:tc>
        <w:tc>
          <w:tcPr>
            <w:tcW w:w="4295" w:type="pct"/>
            <w:gridSpan w:val="4"/>
            <w:vAlign w:val="center"/>
          </w:tcPr>
          <w:p w14:paraId="3374C20F" w14:textId="77777777" w:rsidR="00810177" w:rsidRPr="00311F03" w:rsidRDefault="00810177" w:rsidP="00810177">
            <w:pPr>
              <w:keepLines/>
              <w:rPr>
                <w:rFonts w:ascii="Arial Narrow" w:hAnsi="Arial Narrow"/>
                <w:bCs/>
                <w:sz w:val="20"/>
                <w:szCs w:val="20"/>
              </w:rPr>
            </w:pPr>
            <w:r w:rsidRPr="005E4D14">
              <w:rPr>
                <w:rFonts w:ascii="Arial Narrow" w:hAnsi="Arial Narrow"/>
                <w:b/>
                <w:bCs/>
                <w:color w:val="A6A6A6" w:themeColor="background1" w:themeShade="A6"/>
                <w:sz w:val="20"/>
                <w:szCs w:val="20"/>
              </w:rPr>
              <w:t xml:space="preserve">Episodicity: </w:t>
            </w:r>
            <w:r w:rsidRPr="005E4D14">
              <w:rPr>
                <w:rFonts w:ascii="Arial Narrow" w:hAnsi="Arial Narrow"/>
                <w:bCs/>
                <w:color w:val="A6A6A6" w:themeColor="background1" w:themeShade="A6"/>
                <w:sz w:val="20"/>
                <w:szCs w:val="20"/>
              </w:rPr>
              <w:t>n/a</w:t>
            </w:r>
          </w:p>
        </w:tc>
      </w:tr>
      <w:tr w:rsidR="00810177" w:rsidRPr="00CB2322" w14:paraId="1CA212E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03CBDF98" w14:textId="77777777" w:rsidR="00810177" w:rsidRPr="00311F03" w:rsidRDefault="00810177" w:rsidP="00810177">
            <w:pPr>
              <w:keepLines/>
              <w:jc w:val="center"/>
              <w:rPr>
                <w:rFonts w:ascii="Arial Narrow" w:hAnsi="Arial Narrow"/>
                <w:color w:val="333333"/>
                <w:sz w:val="20"/>
                <w:szCs w:val="20"/>
              </w:rPr>
            </w:pPr>
          </w:p>
        </w:tc>
        <w:tc>
          <w:tcPr>
            <w:tcW w:w="4295" w:type="pct"/>
            <w:gridSpan w:val="4"/>
            <w:vAlign w:val="center"/>
          </w:tcPr>
          <w:p w14:paraId="3F4D8989" w14:textId="77777777" w:rsidR="00810177" w:rsidRPr="00311F03" w:rsidRDefault="00810177" w:rsidP="00810177">
            <w:pPr>
              <w:keepLines/>
              <w:rPr>
                <w:rFonts w:ascii="Arial Narrow" w:hAnsi="Arial Narrow"/>
                <w:b/>
                <w:bCs/>
                <w:sz w:val="20"/>
                <w:szCs w:val="20"/>
              </w:rPr>
            </w:pPr>
            <w:r w:rsidRPr="00311F03">
              <w:rPr>
                <w:rFonts w:ascii="Arial Narrow" w:hAnsi="Arial Narrow"/>
                <w:b/>
                <w:bCs/>
                <w:sz w:val="20"/>
                <w:szCs w:val="20"/>
              </w:rPr>
              <w:t xml:space="preserve">Severity: </w:t>
            </w:r>
            <w:r w:rsidRPr="00311F03">
              <w:rPr>
                <w:rFonts w:ascii="Arial Narrow" w:hAnsi="Arial Narrow"/>
                <w:bCs/>
                <w:sz w:val="20"/>
                <w:szCs w:val="20"/>
              </w:rPr>
              <w:t>Locally advanced (Stage III) or metastatic (Stage IV)</w:t>
            </w:r>
          </w:p>
        </w:tc>
      </w:tr>
      <w:tr w:rsidR="00810177" w:rsidRPr="00CB2322" w14:paraId="52AF775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10BC025C" w14:textId="77777777" w:rsidR="00810177" w:rsidRPr="00311F03" w:rsidRDefault="00810177" w:rsidP="00810177">
            <w:pPr>
              <w:keepLines/>
              <w:jc w:val="center"/>
              <w:rPr>
                <w:rFonts w:ascii="Arial Narrow" w:hAnsi="Arial Narrow"/>
                <w:color w:val="333333"/>
                <w:sz w:val="20"/>
                <w:szCs w:val="20"/>
              </w:rPr>
            </w:pPr>
          </w:p>
        </w:tc>
        <w:tc>
          <w:tcPr>
            <w:tcW w:w="4295" w:type="pct"/>
            <w:gridSpan w:val="4"/>
            <w:vAlign w:val="center"/>
          </w:tcPr>
          <w:p w14:paraId="17B3401E" w14:textId="77777777" w:rsidR="00810177" w:rsidRPr="00311F03" w:rsidRDefault="00810177" w:rsidP="00810177">
            <w:pPr>
              <w:keepLines/>
              <w:rPr>
                <w:rFonts w:ascii="Arial Narrow" w:hAnsi="Arial Narrow"/>
                <w:b/>
                <w:bCs/>
                <w:color w:val="333333"/>
                <w:sz w:val="20"/>
                <w:szCs w:val="20"/>
              </w:rPr>
            </w:pPr>
            <w:r w:rsidRPr="00311F03">
              <w:rPr>
                <w:rFonts w:ascii="Arial Narrow" w:hAnsi="Arial Narrow"/>
                <w:b/>
                <w:bCs/>
                <w:color w:val="333333"/>
                <w:sz w:val="20"/>
                <w:szCs w:val="20"/>
              </w:rPr>
              <w:t xml:space="preserve">Condition: </w:t>
            </w:r>
            <w:r w:rsidRPr="00311F03">
              <w:rPr>
                <w:rFonts w:ascii="Arial Narrow" w:hAnsi="Arial Narrow"/>
                <w:bCs/>
                <w:color w:val="333333"/>
                <w:sz w:val="20"/>
                <w:szCs w:val="20"/>
              </w:rPr>
              <w:t>Urothelial cancer</w:t>
            </w:r>
          </w:p>
        </w:tc>
      </w:tr>
      <w:tr w:rsidR="00810177" w:rsidRPr="00CB2322" w14:paraId="23C224DC" w14:textId="77777777" w:rsidTr="00E36DB9">
        <w:tblPrEx>
          <w:tblCellMar>
            <w:top w:w="15" w:type="dxa"/>
            <w:bottom w:w="15" w:type="dxa"/>
          </w:tblCellMar>
        </w:tblPrEx>
        <w:trPr>
          <w:cantSplit/>
          <w:trHeight w:val="20"/>
        </w:trPr>
        <w:tc>
          <w:tcPr>
            <w:tcW w:w="705" w:type="pct"/>
            <w:gridSpan w:val="2"/>
            <w:vAlign w:val="center"/>
          </w:tcPr>
          <w:p w14:paraId="30815603" w14:textId="220172B2" w:rsidR="00810177" w:rsidRPr="00311F03" w:rsidRDefault="00810177" w:rsidP="00810177">
            <w:pPr>
              <w:keepLines/>
              <w:jc w:val="center"/>
              <w:rPr>
                <w:rFonts w:ascii="Arial Narrow" w:hAnsi="Arial Narrow"/>
                <w:color w:val="333333"/>
                <w:sz w:val="20"/>
                <w:szCs w:val="20"/>
              </w:rPr>
            </w:pPr>
          </w:p>
        </w:tc>
        <w:tc>
          <w:tcPr>
            <w:tcW w:w="4295" w:type="pct"/>
            <w:gridSpan w:val="4"/>
            <w:vAlign w:val="center"/>
            <w:hideMark/>
          </w:tcPr>
          <w:p w14:paraId="6CCD8708" w14:textId="77777777" w:rsidR="00810177" w:rsidRPr="00311F03" w:rsidRDefault="00810177" w:rsidP="00810177">
            <w:pPr>
              <w:keepLines/>
              <w:rPr>
                <w:rFonts w:ascii="Arial Narrow" w:hAnsi="Arial Narrow"/>
                <w:color w:val="333333"/>
                <w:sz w:val="20"/>
                <w:szCs w:val="20"/>
              </w:rPr>
            </w:pPr>
            <w:r w:rsidRPr="00311F03">
              <w:rPr>
                <w:rFonts w:ascii="Arial Narrow" w:hAnsi="Arial Narrow"/>
                <w:b/>
                <w:bCs/>
                <w:color w:val="333333"/>
                <w:sz w:val="20"/>
                <w:szCs w:val="20"/>
              </w:rPr>
              <w:t>Indication:</w:t>
            </w:r>
            <w:r w:rsidRPr="00311F03">
              <w:rPr>
                <w:rFonts w:ascii="Arial Narrow" w:hAnsi="Arial Narrow"/>
                <w:color w:val="333333"/>
                <w:sz w:val="20"/>
                <w:szCs w:val="20"/>
              </w:rPr>
              <w:t xml:space="preserve"> Locally advanced (Stage III) or metastatic (Stage IV) urothelial cancer</w:t>
            </w:r>
          </w:p>
        </w:tc>
      </w:tr>
      <w:tr w:rsidR="00810177" w:rsidRPr="00CB2322" w14:paraId="03C18D36"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2E710BE" w14:textId="77777777" w:rsidR="00810177" w:rsidRPr="00311F03" w:rsidRDefault="00810177" w:rsidP="00810177">
            <w:pPr>
              <w:keepLines/>
              <w:jc w:val="center"/>
              <w:rPr>
                <w:rFonts w:ascii="Arial Narrow" w:hAnsi="Arial Narrow"/>
                <w:color w:val="333333"/>
                <w:sz w:val="20"/>
                <w:szCs w:val="20"/>
              </w:rPr>
            </w:pPr>
          </w:p>
        </w:tc>
        <w:tc>
          <w:tcPr>
            <w:tcW w:w="4295" w:type="pct"/>
            <w:gridSpan w:val="4"/>
            <w:vAlign w:val="center"/>
          </w:tcPr>
          <w:p w14:paraId="1579FBE7" w14:textId="77777777" w:rsidR="00810177" w:rsidRPr="00311F03" w:rsidRDefault="00810177" w:rsidP="00810177">
            <w:pPr>
              <w:keepLines/>
              <w:rPr>
                <w:rFonts w:ascii="Arial Narrow" w:hAnsi="Arial Narrow"/>
                <w:b/>
                <w:bCs/>
                <w:color w:val="333333"/>
                <w:sz w:val="20"/>
                <w:szCs w:val="20"/>
              </w:rPr>
            </w:pPr>
          </w:p>
        </w:tc>
      </w:tr>
      <w:tr w:rsidR="00810177" w:rsidRPr="00CB2322" w14:paraId="1B496ABE" w14:textId="77777777" w:rsidTr="00E36DB9">
        <w:tblPrEx>
          <w:tblCellMar>
            <w:top w:w="15" w:type="dxa"/>
            <w:bottom w:w="15" w:type="dxa"/>
          </w:tblCellMar>
        </w:tblPrEx>
        <w:trPr>
          <w:cantSplit/>
          <w:trHeight w:val="20"/>
        </w:trPr>
        <w:tc>
          <w:tcPr>
            <w:tcW w:w="705" w:type="pct"/>
            <w:gridSpan w:val="2"/>
            <w:vAlign w:val="center"/>
          </w:tcPr>
          <w:p w14:paraId="3743649D" w14:textId="2C99D54E"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2F77A032" w14:textId="77777777" w:rsidR="00810177" w:rsidRPr="00311F03" w:rsidRDefault="00810177" w:rsidP="00810177">
            <w:pPr>
              <w:rPr>
                <w:rFonts w:ascii="Arial Narrow" w:hAnsi="Arial Narrow"/>
                <w:color w:val="FF0000"/>
                <w:sz w:val="20"/>
                <w:szCs w:val="20"/>
              </w:rPr>
            </w:pPr>
            <w:r w:rsidRPr="00311F03">
              <w:rPr>
                <w:rFonts w:ascii="Arial Narrow" w:hAnsi="Arial Narrow"/>
                <w:b/>
                <w:bCs/>
                <w:sz w:val="20"/>
                <w:szCs w:val="20"/>
              </w:rPr>
              <w:t>Clinical criteria:</w:t>
            </w:r>
          </w:p>
        </w:tc>
      </w:tr>
      <w:tr w:rsidR="00810177" w:rsidRPr="00CB2322" w14:paraId="716CE7BA" w14:textId="77777777" w:rsidTr="00E36DB9">
        <w:tblPrEx>
          <w:tblCellMar>
            <w:top w:w="15" w:type="dxa"/>
            <w:bottom w:w="15" w:type="dxa"/>
          </w:tblCellMar>
        </w:tblPrEx>
        <w:trPr>
          <w:cantSplit/>
          <w:trHeight w:val="20"/>
        </w:trPr>
        <w:tc>
          <w:tcPr>
            <w:tcW w:w="705" w:type="pct"/>
            <w:gridSpan w:val="2"/>
            <w:vAlign w:val="center"/>
          </w:tcPr>
          <w:p w14:paraId="6A90C6EC" w14:textId="2498E57B"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4F2C4C03" w14:textId="01F57E34" w:rsidR="00810177" w:rsidRPr="00311F03" w:rsidRDefault="00810177" w:rsidP="00810177">
            <w:pPr>
              <w:rPr>
                <w:rFonts w:ascii="Arial Narrow" w:hAnsi="Arial Narrow"/>
                <w:color w:val="333333"/>
                <w:sz w:val="20"/>
                <w:szCs w:val="20"/>
              </w:rPr>
            </w:pPr>
            <w:r w:rsidRPr="00311F03">
              <w:rPr>
                <w:rFonts w:ascii="Arial Narrow" w:hAnsi="Arial Narrow"/>
                <w:sz w:val="20"/>
                <w:szCs w:val="20"/>
              </w:rPr>
              <w:t>Patient must not have received prior systemic therapy for this condition</w:t>
            </w:r>
            <w:r w:rsidR="005E4D14">
              <w:rPr>
                <w:rFonts w:ascii="Arial Narrow" w:hAnsi="Arial Narrow"/>
                <w:sz w:val="20"/>
                <w:szCs w:val="20"/>
              </w:rPr>
              <w:t xml:space="preserve"> at the initiation of treatment with this drug</w:t>
            </w:r>
            <w:r w:rsidRPr="00311F03">
              <w:rPr>
                <w:rFonts w:ascii="Arial Narrow" w:hAnsi="Arial Narrow"/>
                <w:sz w:val="20"/>
                <w:szCs w:val="20"/>
              </w:rPr>
              <w:t>, with the exception of neoadjuvant/adjuvant chemotherapy.</w:t>
            </w:r>
          </w:p>
        </w:tc>
      </w:tr>
      <w:tr w:rsidR="00810177" w:rsidRPr="00CB2322" w14:paraId="12B274D3"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A02C633" w14:textId="77777777"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577A87A4" w14:textId="77777777" w:rsidR="00810177" w:rsidRPr="00311F03" w:rsidRDefault="00810177" w:rsidP="00810177">
            <w:pPr>
              <w:rPr>
                <w:rFonts w:ascii="Arial Narrow" w:hAnsi="Arial Narrow"/>
                <w:b/>
                <w:bCs/>
                <w:sz w:val="20"/>
                <w:szCs w:val="20"/>
              </w:rPr>
            </w:pPr>
            <w:r w:rsidRPr="00311F03">
              <w:rPr>
                <w:rFonts w:ascii="Arial Narrow" w:hAnsi="Arial Narrow"/>
                <w:b/>
                <w:bCs/>
                <w:sz w:val="20"/>
                <w:szCs w:val="20"/>
              </w:rPr>
              <w:t>AND</w:t>
            </w:r>
          </w:p>
        </w:tc>
      </w:tr>
      <w:tr w:rsidR="00810177" w:rsidRPr="00CB2322" w14:paraId="479F23F5" w14:textId="77777777" w:rsidTr="00E36DB9">
        <w:tblPrEx>
          <w:tblCellMar>
            <w:top w:w="15" w:type="dxa"/>
            <w:bottom w:w="15" w:type="dxa"/>
          </w:tblCellMar>
        </w:tblPrEx>
        <w:trPr>
          <w:cantSplit/>
          <w:trHeight w:val="20"/>
        </w:trPr>
        <w:tc>
          <w:tcPr>
            <w:tcW w:w="705" w:type="pct"/>
            <w:gridSpan w:val="2"/>
            <w:vAlign w:val="center"/>
          </w:tcPr>
          <w:p w14:paraId="633878C0" w14:textId="18A878DA"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087D3D23" w14:textId="77777777" w:rsidR="00810177" w:rsidRPr="00311F03" w:rsidRDefault="00810177" w:rsidP="00810177">
            <w:pPr>
              <w:rPr>
                <w:rFonts w:ascii="Arial Narrow" w:hAnsi="Arial Narrow"/>
                <w:color w:val="333333"/>
                <w:sz w:val="20"/>
                <w:szCs w:val="20"/>
              </w:rPr>
            </w:pPr>
            <w:r w:rsidRPr="00311F03">
              <w:rPr>
                <w:rFonts w:ascii="Arial Narrow" w:hAnsi="Arial Narrow"/>
                <w:b/>
                <w:bCs/>
                <w:sz w:val="20"/>
                <w:szCs w:val="20"/>
              </w:rPr>
              <w:t>Clinical criteria:</w:t>
            </w:r>
          </w:p>
        </w:tc>
      </w:tr>
      <w:tr w:rsidR="00810177" w:rsidRPr="00CB2322" w14:paraId="40CAB34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F334958" w14:textId="1230FC85"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2D91788E" w14:textId="77777777" w:rsidR="00810177" w:rsidRPr="00311F03" w:rsidRDefault="00810177" w:rsidP="00810177">
            <w:pPr>
              <w:rPr>
                <w:rFonts w:ascii="Arial Narrow" w:hAnsi="Arial Narrow"/>
                <w:color w:val="333333"/>
                <w:sz w:val="20"/>
                <w:szCs w:val="20"/>
              </w:rPr>
            </w:pPr>
            <w:r w:rsidRPr="00311F03">
              <w:rPr>
                <w:rFonts w:ascii="Arial Narrow" w:hAnsi="Arial Narrow"/>
                <w:sz w:val="20"/>
                <w:szCs w:val="20"/>
              </w:rPr>
              <w:t>Patient must have/have had a WHO performance status score of no greater than 2 at treatment initiation with this drug.</w:t>
            </w:r>
          </w:p>
        </w:tc>
      </w:tr>
      <w:tr w:rsidR="00810177" w:rsidRPr="00CB2322" w14:paraId="30650C1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5ECFB16" w14:textId="77777777"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6F69295F" w14:textId="4109F7FE" w:rsidR="00810177" w:rsidRPr="005E4D14" w:rsidRDefault="00810177" w:rsidP="00810177">
            <w:pPr>
              <w:rPr>
                <w:rFonts w:ascii="Arial Narrow" w:hAnsi="Arial Narrow"/>
                <w:b/>
                <w:bCs/>
                <w:sz w:val="20"/>
                <w:szCs w:val="20"/>
              </w:rPr>
            </w:pPr>
            <w:r w:rsidRPr="005E4D14">
              <w:rPr>
                <w:rFonts w:ascii="Arial Narrow" w:hAnsi="Arial Narrow"/>
                <w:b/>
                <w:bCs/>
                <w:sz w:val="20"/>
                <w:szCs w:val="20"/>
              </w:rPr>
              <w:t>AND</w:t>
            </w:r>
          </w:p>
        </w:tc>
      </w:tr>
      <w:tr w:rsidR="00810177" w:rsidRPr="00CB2322" w14:paraId="5D65521A"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B4CA6E0" w14:textId="7C542C11"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06AAB16D" w14:textId="77777777" w:rsidR="00810177" w:rsidRPr="00311F03" w:rsidRDefault="00810177" w:rsidP="00810177">
            <w:pPr>
              <w:rPr>
                <w:rFonts w:ascii="Arial Narrow" w:hAnsi="Arial Narrow"/>
                <w:color w:val="FF0000"/>
                <w:sz w:val="20"/>
                <w:szCs w:val="20"/>
              </w:rPr>
            </w:pPr>
            <w:r w:rsidRPr="00311F03">
              <w:rPr>
                <w:rFonts w:ascii="Arial Narrow" w:hAnsi="Arial Narrow"/>
                <w:b/>
                <w:bCs/>
                <w:sz w:val="20"/>
                <w:szCs w:val="20"/>
              </w:rPr>
              <w:t>Treatment criteria</w:t>
            </w:r>
            <w:r w:rsidRPr="00311F03">
              <w:rPr>
                <w:rFonts w:ascii="Arial Narrow" w:hAnsi="Arial Narrow"/>
                <w:sz w:val="20"/>
                <w:szCs w:val="20"/>
              </w:rPr>
              <w:t>:</w:t>
            </w:r>
          </w:p>
        </w:tc>
      </w:tr>
      <w:tr w:rsidR="00810177" w:rsidRPr="00CB2322" w14:paraId="7B432739"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30B8F6E" w14:textId="442B7964"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3D8A3C96" w14:textId="77777777" w:rsidR="00810177" w:rsidRPr="00311F03" w:rsidRDefault="00810177" w:rsidP="00810177">
            <w:pPr>
              <w:pStyle w:val="Tabletext8pt"/>
              <w:rPr>
                <w:rFonts w:ascii="Arial Narrow" w:hAnsi="Arial Narrow"/>
                <w:sz w:val="20"/>
                <w:szCs w:val="20"/>
              </w:rPr>
            </w:pPr>
            <w:r w:rsidRPr="00311F03">
              <w:rPr>
                <w:rFonts w:ascii="Arial Narrow" w:hAnsi="Arial Narrow"/>
                <w:sz w:val="20"/>
                <w:szCs w:val="20"/>
              </w:rPr>
              <w:t>Patient must be undergoing combination therapy consisting of no more than 24 months of: (i) enfortumab vedotin, (ii) pembrolizumab; OR</w:t>
            </w:r>
          </w:p>
        </w:tc>
      </w:tr>
      <w:tr w:rsidR="00810177" w:rsidRPr="00CB2322" w14:paraId="0140D7A9"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A44A2A7" w14:textId="52DCDCD9"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1620BEB5" w14:textId="437A0D64" w:rsidR="00810177" w:rsidRPr="00311F03" w:rsidRDefault="00810177" w:rsidP="00810177">
            <w:pPr>
              <w:pStyle w:val="Tabletext8pt"/>
              <w:rPr>
                <w:rFonts w:ascii="Arial Narrow" w:hAnsi="Arial Narrow"/>
                <w:sz w:val="20"/>
                <w:szCs w:val="20"/>
              </w:rPr>
            </w:pPr>
            <w:r w:rsidRPr="00311F03">
              <w:rPr>
                <w:rFonts w:ascii="Arial Narrow" w:hAnsi="Arial Narrow"/>
                <w:sz w:val="20"/>
                <w:szCs w:val="20"/>
              </w:rPr>
              <w:t xml:space="preserve">Patient must be undergoing monotherapy with this drug after exceeding a </w:t>
            </w:r>
            <w:r w:rsidR="005E4D14">
              <w:rPr>
                <w:rFonts w:ascii="Arial Narrow" w:hAnsi="Arial Narrow"/>
                <w:sz w:val="20"/>
                <w:szCs w:val="20"/>
              </w:rPr>
              <w:t xml:space="preserve">lifetime </w:t>
            </w:r>
            <w:r w:rsidRPr="00311F03">
              <w:rPr>
                <w:rFonts w:ascii="Arial Narrow" w:hAnsi="Arial Narrow"/>
                <w:sz w:val="20"/>
                <w:szCs w:val="20"/>
              </w:rPr>
              <w:t>total of 24 cumulative months of combination therapy consisting of: (i) enfortumab vedotin, (ii) pembrolizumab, from the first administered dose; OR</w:t>
            </w:r>
          </w:p>
        </w:tc>
      </w:tr>
      <w:tr w:rsidR="00810177" w:rsidRPr="00CB2322" w14:paraId="1086090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F9E20D3" w14:textId="7E1163C5"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605DFB7E" w14:textId="77777777" w:rsidR="00810177" w:rsidRPr="00311F03" w:rsidRDefault="00810177" w:rsidP="00810177">
            <w:pPr>
              <w:pStyle w:val="Tabletext8pt"/>
              <w:rPr>
                <w:rFonts w:ascii="Arial Narrow" w:hAnsi="Arial Narrow"/>
                <w:sz w:val="20"/>
                <w:szCs w:val="20"/>
              </w:rPr>
            </w:pPr>
            <w:r w:rsidRPr="00311F03">
              <w:rPr>
                <w:rFonts w:ascii="Arial Narrow" w:hAnsi="Arial Narrow"/>
                <w:sz w:val="20"/>
                <w:szCs w:val="20"/>
              </w:rPr>
              <w:t>Patient must be undergoing monotherapy with this drug due to a contraindication/intolerance to pembrolizumab, requiring temporary/permanent discontinuation; document the details in the patient's medical records.</w:t>
            </w:r>
          </w:p>
        </w:tc>
      </w:tr>
      <w:tr w:rsidR="00810177" w:rsidRPr="00CB2322" w14:paraId="3400B7D6"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113F64F" w14:textId="77777777"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75DCD5BD" w14:textId="77777777" w:rsidR="00810177" w:rsidRPr="00311F03" w:rsidRDefault="00810177" w:rsidP="00810177">
            <w:pPr>
              <w:rPr>
                <w:rFonts w:ascii="Arial Narrow" w:hAnsi="Arial Narrow"/>
                <w:b/>
                <w:bCs/>
                <w:color w:val="333333"/>
                <w:sz w:val="20"/>
                <w:szCs w:val="20"/>
              </w:rPr>
            </w:pPr>
            <w:r w:rsidRPr="00311F03">
              <w:rPr>
                <w:rStyle w:val="CommentReference"/>
                <w:bCs/>
                <w:szCs w:val="20"/>
              </w:rPr>
              <w:t>AND</w:t>
            </w:r>
          </w:p>
        </w:tc>
      </w:tr>
      <w:tr w:rsidR="00810177" w:rsidRPr="00CB2322" w14:paraId="0704B4D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A995BA5" w14:textId="7C2D6ED4"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085D86B0" w14:textId="77777777" w:rsidR="00810177" w:rsidRPr="00311F03" w:rsidRDefault="00810177" w:rsidP="00810177">
            <w:pPr>
              <w:rPr>
                <w:rStyle w:val="CommentReference"/>
                <w:szCs w:val="20"/>
              </w:rPr>
            </w:pPr>
            <w:r w:rsidRPr="00311F03">
              <w:rPr>
                <w:rFonts w:ascii="Arial Narrow" w:hAnsi="Arial Narrow"/>
                <w:b/>
                <w:bCs/>
                <w:color w:val="333333"/>
                <w:sz w:val="20"/>
                <w:szCs w:val="20"/>
              </w:rPr>
              <w:t>Treatment criteria:</w:t>
            </w:r>
          </w:p>
        </w:tc>
      </w:tr>
      <w:tr w:rsidR="00810177" w:rsidRPr="00CB2322" w14:paraId="68A9309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A99E6E8" w14:textId="7601BB5D"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5D3C2D78" w14:textId="77777777" w:rsidR="00810177" w:rsidRPr="00311F03" w:rsidRDefault="00810177" w:rsidP="00810177">
            <w:pPr>
              <w:pStyle w:val="Tabletext8pt"/>
              <w:rPr>
                <w:rFonts w:ascii="Arial Narrow" w:hAnsi="Arial Narrow"/>
                <w:sz w:val="20"/>
                <w:szCs w:val="20"/>
              </w:rPr>
            </w:pPr>
            <w:r w:rsidRPr="00311F03">
              <w:rPr>
                <w:rFonts w:ascii="Arial Narrow" w:hAnsi="Arial Narrow"/>
                <w:sz w:val="20"/>
                <w:szCs w:val="20"/>
              </w:rPr>
              <w:t>Patient must be undergoing treatment with this drug for the first time; OR</w:t>
            </w:r>
          </w:p>
        </w:tc>
      </w:tr>
      <w:tr w:rsidR="00810177" w:rsidRPr="00CB2322" w14:paraId="66E3F1A5"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DBA863F" w14:textId="3B7DE4D5"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37BCF3DB" w14:textId="77777777" w:rsidR="00810177" w:rsidRPr="00311F03" w:rsidRDefault="00810177" w:rsidP="00810177">
            <w:pPr>
              <w:rPr>
                <w:rFonts w:ascii="Arial Narrow" w:hAnsi="Arial Narrow"/>
                <w:color w:val="333333"/>
                <w:sz w:val="20"/>
                <w:szCs w:val="20"/>
              </w:rPr>
            </w:pPr>
            <w:r w:rsidRPr="00311F03">
              <w:rPr>
                <w:rFonts w:ascii="Arial Narrow" w:hAnsi="Arial Narrow"/>
                <w:sz w:val="20"/>
                <w:szCs w:val="20"/>
              </w:rPr>
              <w:t>Patient must be undergoing continuing treatment with this drug, with each of the following being true: (i) all other PBS eligibility criteria in this restriction are met, (ii) disease progression is absent.</w:t>
            </w:r>
          </w:p>
        </w:tc>
      </w:tr>
      <w:tr w:rsidR="00810177" w:rsidRPr="00CB2322" w14:paraId="721D0A0D" w14:textId="77777777" w:rsidTr="005E4D14">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1BA4605" w14:textId="77777777" w:rsidR="00810177" w:rsidRPr="00311F03" w:rsidRDefault="00810177" w:rsidP="00810177">
            <w:pPr>
              <w:rPr>
                <w:rFonts w:ascii="Arial Narrow" w:hAnsi="Arial Narrow"/>
                <w:bCs/>
                <w:color w:val="FF0000"/>
                <w:sz w:val="20"/>
                <w:szCs w:val="20"/>
              </w:rPr>
            </w:pPr>
          </w:p>
        </w:tc>
      </w:tr>
      <w:tr w:rsidR="00810177" w:rsidRPr="00CB2322" w14:paraId="246BD46F" w14:textId="77777777" w:rsidTr="005E4D14">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F178590" w14:textId="77777777" w:rsidR="00810177" w:rsidRPr="00311F03" w:rsidRDefault="00810177" w:rsidP="00810177">
            <w:pPr>
              <w:keepLines/>
              <w:rPr>
                <w:rFonts w:ascii="Arial Narrow" w:hAnsi="Arial Narrow"/>
                <w:b/>
                <w:bCs/>
                <w:color w:val="333333"/>
                <w:sz w:val="20"/>
                <w:szCs w:val="20"/>
              </w:rPr>
            </w:pPr>
            <w:r w:rsidRPr="00311F03">
              <w:rPr>
                <w:rFonts w:ascii="Arial Narrow" w:hAnsi="Arial Narrow"/>
                <w:b/>
                <w:bCs/>
                <w:color w:val="333333"/>
                <w:sz w:val="20"/>
                <w:szCs w:val="20"/>
              </w:rPr>
              <w:t>Restriction Summary [new]</w:t>
            </w:r>
            <w:r w:rsidRPr="00311F03">
              <w:rPr>
                <w:rFonts w:ascii="Arial Narrow" w:hAnsi="Arial Narrow"/>
                <w:b/>
                <w:bCs/>
                <w:color w:val="FF0000"/>
                <w:sz w:val="20"/>
                <w:szCs w:val="20"/>
              </w:rPr>
              <w:t xml:space="preserve"> </w:t>
            </w:r>
            <w:r w:rsidRPr="00311F03">
              <w:rPr>
                <w:rFonts w:ascii="Arial Narrow" w:hAnsi="Arial Narrow"/>
                <w:b/>
                <w:bCs/>
                <w:color w:val="333333"/>
                <w:sz w:val="20"/>
                <w:szCs w:val="20"/>
              </w:rPr>
              <w:t xml:space="preserve">/ Treatment of Concept: [new] </w:t>
            </w:r>
          </w:p>
        </w:tc>
      </w:tr>
      <w:tr w:rsidR="00810177" w:rsidRPr="00CB2322" w14:paraId="460CDDE5"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4A260F13" w14:textId="77777777" w:rsidR="00810177" w:rsidRPr="00311F03" w:rsidRDefault="00810177" w:rsidP="00810177">
            <w:pPr>
              <w:jc w:val="center"/>
              <w:rPr>
                <w:rFonts w:ascii="Arial Narrow" w:hAnsi="Arial Narrow"/>
                <w:color w:val="333333"/>
                <w:sz w:val="20"/>
                <w:szCs w:val="20"/>
              </w:rPr>
            </w:pPr>
          </w:p>
        </w:tc>
        <w:tc>
          <w:tcPr>
            <w:tcW w:w="4295" w:type="pct"/>
            <w:gridSpan w:val="4"/>
            <w:vAlign w:val="center"/>
            <w:hideMark/>
          </w:tcPr>
          <w:p w14:paraId="311D2478" w14:textId="77777777" w:rsidR="00810177" w:rsidRPr="00311F03" w:rsidRDefault="00810177" w:rsidP="00810177">
            <w:pPr>
              <w:rPr>
                <w:rFonts w:ascii="Arial Narrow" w:hAnsi="Arial Narrow"/>
                <w:color w:val="FF0000"/>
                <w:sz w:val="20"/>
                <w:szCs w:val="20"/>
              </w:rPr>
            </w:pPr>
            <w:r w:rsidRPr="00311F03">
              <w:rPr>
                <w:rFonts w:ascii="Arial Narrow" w:hAnsi="Arial Narrow"/>
                <w:b/>
                <w:bCs/>
                <w:color w:val="333333"/>
                <w:sz w:val="20"/>
                <w:szCs w:val="20"/>
              </w:rPr>
              <w:t>Treatment Phase</w:t>
            </w:r>
            <w:r w:rsidRPr="00311F03">
              <w:rPr>
                <w:rFonts w:ascii="Arial Narrow" w:hAnsi="Arial Narrow"/>
                <w:b/>
                <w:bCs/>
                <w:sz w:val="20"/>
                <w:szCs w:val="20"/>
              </w:rPr>
              <w:t>:</w:t>
            </w:r>
            <w:r w:rsidRPr="00311F03">
              <w:rPr>
                <w:rFonts w:ascii="Arial Narrow" w:hAnsi="Arial Narrow"/>
                <w:sz w:val="20"/>
                <w:szCs w:val="20"/>
              </w:rPr>
              <w:t xml:space="preserve"> Transitioning from non-PBS to PBS subsided treatment – ‘Grandfather’ arrangement</w:t>
            </w:r>
          </w:p>
        </w:tc>
      </w:tr>
      <w:tr w:rsidR="00810177" w:rsidRPr="00CB2322" w14:paraId="6961439D"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6A96CE9" w14:textId="67C09791"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5CC414DD" w14:textId="77777777" w:rsidR="00810177" w:rsidRPr="00311F03" w:rsidRDefault="00810177" w:rsidP="00810177">
            <w:pPr>
              <w:rPr>
                <w:rFonts w:ascii="Arial Narrow" w:hAnsi="Arial Narrow"/>
                <w:b/>
                <w:bCs/>
                <w:color w:val="333333"/>
                <w:sz w:val="20"/>
                <w:szCs w:val="20"/>
              </w:rPr>
            </w:pPr>
            <w:r w:rsidRPr="00311F03">
              <w:rPr>
                <w:rFonts w:ascii="Arial Narrow" w:hAnsi="Arial Narrow"/>
                <w:b/>
                <w:bCs/>
                <w:sz w:val="20"/>
                <w:szCs w:val="20"/>
              </w:rPr>
              <w:t>Clinical criteria:</w:t>
            </w:r>
          </w:p>
        </w:tc>
      </w:tr>
      <w:tr w:rsidR="00810177" w:rsidRPr="00CB2322" w14:paraId="343BBC8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36BDC5D" w14:textId="6BE6183F"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6BF1BF10" w14:textId="77777777" w:rsidR="00810177" w:rsidRPr="00311F03" w:rsidRDefault="00810177" w:rsidP="00810177">
            <w:pPr>
              <w:rPr>
                <w:rFonts w:ascii="Arial Narrow" w:hAnsi="Arial Narrow"/>
                <w:b/>
                <w:bCs/>
                <w:sz w:val="20"/>
                <w:szCs w:val="20"/>
              </w:rPr>
            </w:pPr>
            <w:r w:rsidRPr="00311F03">
              <w:rPr>
                <w:rFonts w:ascii="Arial Narrow" w:hAnsi="Arial Narrow"/>
                <w:sz w:val="20"/>
                <w:szCs w:val="20"/>
              </w:rPr>
              <w:t>Patient must have received non-PBS-subsidised treatment with this drug for this indication prior to [date of PBS listing],</w:t>
            </w:r>
          </w:p>
        </w:tc>
      </w:tr>
      <w:tr w:rsidR="00810177" w:rsidRPr="00CB2322" w14:paraId="47E6F6F7"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2BB65B8" w14:textId="77777777"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1A3A4147" w14:textId="77777777" w:rsidR="00810177" w:rsidRPr="00311F03" w:rsidRDefault="00810177" w:rsidP="00810177">
            <w:pPr>
              <w:rPr>
                <w:rFonts w:ascii="Arial Narrow" w:hAnsi="Arial Narrow"/>
                <w:sz w:val="20"/>
                <w:szCs w:val="20"/>
              </w:rPr>
            </w:pPr>
            <w:r w:rsidRPr="00311F03">
              <w:rPr>
                <w:rFonts w:ascii="Arial Narrow" w:hAnsi="Arial Narrow"/>
                <w:b/>
                <w:bCs/>
                <w:sz w:val="20"/>
                <w:szCs w:val="20"/>
              </w:rPr>
              <w:t>AND</w:t>
            </w:r>
          </w:p>
        </w:tc>
      </w:tr>
      <w:tr w:rsidR="00810177" w:rsidRPr="00CB2322" w14:paraId="3420304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29D4816" w14:textId="753D153B"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66E32C1D" w14:textId="77777777" w:rsidR="00810177" w:rsidRPr="00311F03" w:rsidRDefault="00810177" w:rsidP="00810177">
            <w:pPr>
              <w:rPr>
                <w:rFonts w:ascii="Arial Narrow" w:hAnsi="Arial Narrow"/>
                <w:b/>
                <w:bCs/>
                <w:sz w:val="20"/>
                <w:szCs w:val="20"/>
              </w:rPr>
            </w:pPr>
            <w:r w:rsidRPr="00311F03">
              <w:rPr>
                <w:rFonts w:ascii="Arial Narrow" w:hAnsi="Arial Narrow"/>
                <w:b/>
                <w:bCs/>
                <w:sz w:val="20"/>
                <w:szCs w:val="20"/>
              </w:rPr>
              <w:t>Clinical criteria:</w:t>
            </w:r>
          </w:p>
        </w:tc>
      </w:tr>
      <w:tr w:rsidR="00810177" w:rsidRPr="00CB2322" w14:paraId="490DF4FA"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1E7DE51" w14:textId="7E7AEDB8"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4748A5D0" w14:textId="77777777" w:rsidR="00810177" w:rsidRPr="00311F03" w:rsidRDefault="00810177" w:rsidP="00810177">
            <w:pPr>
              <w:rPr>
                <w:rFonts w:ascii="Arial Narrow" w:hAnsi="Arial Narrow"/>
                <w:b/>
                <w:bCs/>
                <w:sz w:val="20"/>
                <w:szCs w:val="20"/>
              </w:rPr>
            </w:pPr>
            <w:r w:rsidRPr="00311F03">
              <w:rPr>
                <w:rFonts w:ascii="Arial Narrow" w:hAnsi="Arial Narrow"/>
                <w:sz w:val="20"/>
                <w:szCs w:val="20"/>
              </w:rPr>
              <w:t>Patient must have/have had a WHO performance status score of no greater than 2 prior to initiation of non-PBS-subsidised treatment with this drug for this condition,</w:t>
            </w:r>
          </w:p>
        </w:tc>
      </w:tr>
      <w:tr w:rsidR="00810177" w:rsidRPr="00CB2322" w14:paraId="582E8FC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77C018C" w14:textId="77777777"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2B5432D3" w14:textId="77777777" w:rsidR="00810177" w:rsidRPr="00311F03" w:rsidRDefault="00810177" w:rsidP="00810177">
            <w:pPr>
              <w:rPr>
                <w:rFonts w:ascii="Arial Narrow" w:hAnsi="Arial Narrow"/>
                <w:sz w:val="20"/>
                <w:szCs w:val="20"/>
              </w:rPr>
            </w:pPr>
            <w:r w:rsidRPr="00311F03">
              <w:rPr>
                <w:rFonts w:ascii="Arial Narrow" w:hAnsi="Arial Narrow"/>
                <w:b/>
                <w:bCs/>
                <w:sz w:val="20"/>
                <w:szCs w:val="20"/>
              </w:rPr>
              <w:t>AND</w:t>
            </w:r>
          </w:p>
        </w:tc>
      </w:tr>
      <w:tr w:rsidR="00810177" w:rsidRPr="00CB2322" w14:paraId="1B5C855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D4DEDC8" w14:textId="4CFEAEF8"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01A7BF24" w14:textId="77777777" w:rsidR="00810177" w:rsidRPr="00311F03" w:rsidRDefault="00810177" w:rsidP="00810177">
            <w:pPr>
              <w:rPr>
                <w:rFonts w:ascii="Arial Narrow" w:hAnsi="Arial Narrow"/>
                <w:sz w:val="20"/>
                <w:szCs w:val="20"/>
              </w:rPr>
            </w:pPr>
            <w:r w:rsidRPr="00311F03">
              <w:rPr>
                <w:rFonts w:ascii="Arial Narrow" w:hAnsi="Arial Narrow"/>
                <w:b/>
                <w:bCs/>
                <w:sz w:val="20"/>
                <w:szCs w:val="20"/>
              </w:rPr>
              <w:t>Clinical criteria:</w:t>
            </w:r>
          </w:p>
        </w:tc>
      </w:tr>
      <w:tr w:rsidR="00810177" w:rsidRPr="00CB2322" w14:paraId="4F52DC0C"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7755751" w14:textId="618B3523"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7BA3A08B" w14:textId="77777777" w:rsidR="00810177" w:rsidRPr="00311F03" w:rsidRDefault="00810177" w:rsidP="00810177">
            <w:pPr>
              <w:rPr>
                <w:rFonts w:ascii="Arial Narrow" w:hAnsi="Arial Narrow"/>
                <w:sz w:val="20"/>
                <w:szCs w:val="20"/>
              </w:rPr>
            </w:pPr>
            <w:r w:rsidRPr="00311F03">
              <w:rPr>
                <w:rFonts w:ascii="Arial Narrow" w:hAnsi="Arial Narrow"/>
                <w:sz w:val="20"/>
                <w:szCs w:val="20"/>
              </w:rPr>
              <w:t>Patient must not have developed disease progression while being treated with this drug for this condition.</w:t>
            </w:r>
          </w:p>
        </w:tc>
      </w:tr>
      <w:tr w:rsidR="00272284" w:rsidRPr="00CB2322" w14:paraId="29529CA3"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E6C62F4" w14:textId="77777777" w:rsidR="00272284" w:rsidRPr="00311F03" w:rsidRDefault="00272284" w:rsidP="00810177">
            <w:pPr>
              <w:jc w:val="center"/>
              <w:rPr>
                <w:rFonts w:ascii="Arial Narrow" w:hAnsi="Arial Narrow"/>
                <w:color w:val="333333"/>
                <w:sz w:val="20"/>
                <w:szCs w:val="20"/>
              </w:rPr>
            </w:pPr>
          </w:p>
        </w:tc>
        <w:tc>
          <w:tcPr>
            <w:tcW w:w="4295" w:type="pct"/>
            <w:gridSpan w:val="4"/>
            <w:vAlign w:val="center"/>
          </w:tcPr>
          <w:p w14:paraId="4F1D1244" w14:textId="74213D4F" w:rsidR="00272284" w:rsidRPr="00311F03" w:rsidRDefault="00272284" w:rsidP="00810177">
            <w:pPr>
              <w:rPr>
                <w:rFonts w:ascii="Arial Narrow" w:hAnsi="Arial Narrow"/>
                <w:b/>
                <w:bCs/>
                <w:sz w:val="20"/>
                <w:szCs w:val="20"/>
              </w:rPr>
            </w:pPr>
            <w:r w:rsidRPr="00311F03">
              <w:rPr>
                <w:rFonts w:ascii="Arial Narrow" w:hAnsi="Arial Narrow"/>
                <w:b/>
                <w:bCs/>
                <w:sz w:val="20"/>
                <w:szCs w:val="20"/>
              </w:rPr>
              <w:t>AND</w:t>
            </w:r>
          </w:p>
        </w:tc>
      </w:tr>
      <w:tr w:rsidR="00810177" w:rsidRPr="00CB2322" w14:paraId="64FA9C2A"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8D09366" w14:textId="34825FC6"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34B37E22" w14:textId="77777777" w:rsidR="00810177" w:rsidRPr="00311F03" w:rsidRDefault="00810177" w:rsidP="00810177">
            <w:pPr>
              <w:rPr>
                <w:rFonts w:ascii="Arial Narrow" w:hAnsi="Arial Narrow"/>
                <w:sz w:val="20"/>
                <w:szCs w:val="20"/>
              </w:rPr>
            </w:pPr>
            <w:r w:rsidRPr="00311F03">
              <w:rPr>
                <w:rFonts w:ascii="Arial Narrow" w:hAnsi="Arial Narrow"/>
                <w:b/>
                <w:bCs/>
                <w:sz w:val="20"/>
                <w:szCs w:val="20"/>
              </w:rPr>
              <w:t>Treatment criteria</w:t>
            </w:r>
            <w:r w:rsidRPr="00311F03">
              <w:rPr>
                <w:rFonts w:ascii="Arial Narrow" w:hAnsi="Arial Narrow"/>
                <w:sz w:val="20"/>
                <w:szCs w:val="20"/>
              </w:rPr>
              <w:t>:</w:t>
            </w:r>
          </w:p>
        </w:tc>
      </w:tr>
      <w:tr w:rsidR="00810177" w:rsidRPr="00CB2322" w14:paraId="79DEF0C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D45F1D6" w14:textId="2411084B"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7F5BA53C" w14:textId="77777777" w:rsidR="00810177" w:rsidRPr="00311F03" w:rsidRDefault="00810177" w:rsidP="00810177">
            <w:pPr>
              <w:rPr>
                <w:rFonts w:ascii="Arial Narrow" w:hAnsi="Arial Narrow"/>
                <w:b/>
                <w:bCs/>
                <w:sz w:val="20"/>
                <w:szCs w:val="20"/>
              </w:rPr>
            </w:pPr>
            <w:r w:rsidRPr="00311F03">
              <w:rPr>
                <w:rFonts w:ascii="Arial Narrow" w:hAnsi="Arial Narrow"/>
                <w:sz w:val="20"/>
                <w:szCs w:val="20"/>
              </w:rPr>
              <w:t>Patient must be undergoing combination therapy consisting of no more than 24 months of: (i) enfortumab vedotin, (ii) pembrolizumab; OR</w:t>
            </w:r>
          </w:p>
        </w:tc>
      </w:tr>
      <w:tr w:rsidR="00810177" w:rsidRPr="00CB2322" w14:paraId="1CB0B54E"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8C8A1A4" w14:textId="5FAD6141"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43EE0132" w14:textId="1DDF7C32" w:rsidR="00810177" w:rsidRPr="00311F03" w:rsidRDefault="00810177" w:rsidP="00810177">
            <w:pPr>
              <w:rPr>
                <w:rFonts w:ascii="Arial Narrow" w:hAnsi="Arial Narrow"/>
                <w:sz w:val="20"/>
                <w:szCs w:val="20"/>
              </w:rPr>
            </w:pPr>
            <w:r w:rsidRPr="00311F03">
              <w:rPr>
                <w:rFonts w:ascii="Arial Narrow" w:hAnsi="Arial Narrow"/>
                <w:sz w:val="20"/>
                <w:szCs w:val="20"/>
              </w:rPr>
              <w:t xml:space="preserve">Patient must be undergoing monotherapy with this drug after exceeding a </w:t>
            </w:r>
            <w:r w:rsidR="006C021F">
              <w:rPr>
                <w:rFonts w:ascii="Arial Narrow" w:hAnsi="Arial Narrow"/>
                <w:sz w:val="20"/>
                <w:szCs w:val="20"/>
              </w:rPr>
              <w:t xml:space="preserve">lifetime </w:t>
            </w:r>
            <w:r w:rsidRPr="00311F03">
              <w:rPr>
                <w:rFonts w:ascii="Arial Narrow" w:hAnsi="Arial Narrow"/>
                <w:sz w:val="20"/>
                <w:szCs w:val="20"/>
              </w:rPr>
              <w:t>total of 24 cumulative months of combination therapy consisting of: (i) enfortumab vedotin, (ii) pembrolizumab, from the first administered dose; OR</w:t>
            </w:r>
          </w:p>
        </w:tc>
      </w:tr>
      <w:tr w:rsidR="00810177" w:rsidRPr="00CB2322" w14:paraId="3C0DCD6E"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2283885" w14:textId="1978D6B4" w:rsidR="00810177" w:rsidRPr="00311F03" w:rsidRDefault="00810177" w:rsidP="00810177">
            <w:pPr>
              <w:jc w:val="center"/>
              <w:rPr>
                <w:rFonts w:ascii="Arial Narrow" w:hAnsi="Arial Narrow"/>
                <w:color w:val="333333"/>
                <w:sz w:val="20"/>
                <w:szCs w:val="20"/>
              </w:rPr>
            </w:pPr>
          </w:p>
        </w:tc>
        <w:tc>
          <w:tcPr>
            <w:tcW w:w="4295" w:type="pct"/>
            <w:gridSpan w:val="4"/>
            <w:vAlign w:val="center"/>
          </w:tcPr>
          <w:p w14:paraId="1C0D0F39" w14:textId="77777777" w:rsidR="00810177" w:rsidRPr="00311F03" w:rsidRDefault="00810177" w:rsidP="00810177">
            <w:pPr>
              <w:rPr>
                <w:rFonts w:ascii="Arial Narrow" w:hAnsi="Arial Narrow"/>
                <w:sz w:val="20"/>
                <w:szCs w:val="20"/>
              </w:rPr>
            </w:pPr>
            <w:r w:rsidRPr="00311F03">
              <w:rPr>
                <w:rFonts w:ascii="Arial Narrow" w:hAnsi="Arial Narrow"/>
                <w:sz w:val="20"/>
                <w:szCs w:val="20"/>
              </w:rPr>
              <w:t>Patient must be undergoing monotherapy with this drug due to a contraindication/intolerance to pembrolizumab, requiring temporary/permanent discontinuation; document the details in the patient's medical records;</w:t>
            </w:r>
          </w:p>
        </w:tc>
      </w:tr>
      <w:tr w:rsidR="00810177" w:rsidRPr="000D5965" w14:paraId="4DFD861C" w14:textId="77777777" w:rsidTr="005E4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20"/>
        </w:trPr>
        <w:tc>
          <w:tcPr>
            <w:tcW w:w="705" w:type="pct"/>
            <w:gridSpan w:val="2"/>
            <w:tcBorders>
              <w:top w:val="single" w:sz="4" w:space="0" w:color="auto"/>
              <w:left w:val="single" w:sz="4" w:space="0" w:color="auto"/>
              <w:bottom w:val="single" w:sz="4" w:space="0" w:color="auto"/>
              <w:right w:val="single" w:sz="4" w:space="0" w:color="auto"/>
            </w:tcBorders>
          </w:tcPr>
          <w:p w14:paraId="788ED8FD" w14:textId="3D5968AC" w:rsidR="00810177" w:rsidRPr="00311F03" w:rsidRDefault="00810177" w:rsidP="00810177">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Pr>
          <w:p w14:paraId="1B274E8F" w14:textId="6AF029C7" w:rsidR="00810177" w:rsidRPr="00311F03" w:rsidRDefault="00810177" w:rsidP="00810177">
            <w:pPr>
              <w:rPr>
                <w:rFonts w:ascii="Arial Narrow" w:hAnsi="Arial Narrow"/>
                <w:sz w:val="20"/>
                <w:szCs w:val="20"/>
              </w:rPr>
            </w:pPr>
            <w:r w:rsidRPr="00311F03">
              <w:rPr>
                <w:rFonts w:ascii="Arial Narrow" w:hAnsi="Arial Narrow"/>
                <w:b/>
                <w:bCs/>
                <w:sz w:val="20"/>
                <w:szCs w:val="20"/>
              </w:rPr>
              <w:t>Administrative Advice:</w:t>
            </w:r>
            <w:r w:rsidRPr="00311F03">
              <w:rPr>
                <w:rFonts w:ascii="Arial Narrow" w:hAnsi="Arial Narrow"/>
                <w:sz w:val="20"/>
                <w:szCs w:val="20"/>
              </w:rPr>
              <w:t xml:space="preserve"> Patients may qualify for PBS-subsidised treatment under this restriction once only.</w:t>
            </w:r>
          </w:p>
        </w:tc>
      </w:tr>
      <w:tr w:rsidR="00810177" w:rsidRPr="000D5965" w14:paraId="72B22078" w14:textId="77777777" w:rsidTr="005E4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bottom w:w="15" w:type="dxa"/>
          </w:tblCellMar>
          <w:tblLook w:val="04A0" w:firstRow="1" w:lastRow="0" w:firstColumn="1" w:lastColumn="0" w:noHBand="0" w:noVBand="1"/>
        </w:tblPrEx>
        <w:trPr>
          <w:trHeight w:val="20"/>
        </w:trPr>
        <w:tc>
          <w:tcPr>
            <w:tcW w:w="705" w:type="pct"/>
            <w:gridSpan w:val="2"/>
            <w:tcBorders>
              <w:top w:val="single" w:sz="4" w:space="0" w:color="auto"/>
              <w:left w:val="single" w:sz="4" w:space="0" w:color="auto"/>
              <w:bottom w:val="single" w:sz="4" w:space="0" w:color="auto"/>
              <w:right w:val="single" w:sz="4" w:space="0" w:color="auto"/>
            </w:tcBorders>
          </w:tcPr>
          <w:p w14:paraId="120EC8ED" w14:textId="2A1167F3" w:rsidR="00810177" w:rsidRPr="00311F03" w:rsidRDefault="00810177" w:rsidP="00810177">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tcPr>
          <w:p w14:paraId="5C3EDD06" w14:textId="77777777" w:rsidR="00810177" w:rsidRPr="00311F03" w:rsidRDefault="00810177" w:rsidP="00810177">
            <w:pPr>
              <w:rPr>
                <w:rFonts w:ascii="Arial Narrow" w:hAnsi="Arial Narrow"/>
                <w:sz w:val="20"/>
                <w:szCs w:val="20"/>
              </w:rPr>
            </w:pPr>
            <w:r w:rsidRPr="00311F03">
              <w:rPr>
                <w:rFonts w:ascii="Arial Narrow" w:hAnsi="Arial Narrow"/>
                <w:b/>
                <w:bCs/>
                <w:sz w:val="20"/>
                <w:szCs w:val="20"/>
              </w:rPr>
              <w:t>Administrative Advice:</w:t>
            </w:r>
            <w:r w:rsidRPr="00311F03">
              <w:rPr>
                <w:rFonts w:ascii="Arial Narrow" w:hAnsi="Arial Narrow"/>
                <w:sz w:val="20"/>
                <w:szCs w:val="20"/>
              </w:rPr>
              <w:t xml:space="preserve"> This grandfather restriction will cease to operate from 12 months after the date specified in the clinical criteria.</w:t>
            </w:r>
          </w:p>
        </w:tc>
      </w:tr>
    </w:tbl>
    <w:p w14:paraId="36948E03" w14:textId="77777777" w:rsidR="00311F03" w:rsidRDefault="00311F03" w:rsidP="00311F03">
      <w:pPr>
        <w:rPr>
          <w:rFonts w:asciiTheme="minorHAnsi" w:hAnsiTheme="minorHAnsi" w:cstheme="minorHAnsi"/>
          <w:b/>
        </w:rPr>
      </w:pPr>
    </w:p>
    <w:p w14:paraId="7C18CAA6" w14:textId="77777777" w:rsidR="00311F03" w:rsidRPr="000036F7" w:rsidRDefault="00311F03" w:rsidP="00311F03">
      <w:pPr>
        <w:rPr>
          <w:rFonts w:asciiTheme="minorHAnsi" w:hAnsiTheme="minorHAnsi" w:cstheme="minorHAnsi"/>
          <w:b/>
        </w:rPr>
      </w:pPr>
      <w:r w:rsidRPr="000036F7">
        <w:rPr>
          <w:rFonts w:asciiTheme="minorHAnsi" w:hAnsiTheme="minorHAnsi" w:cstheme="minorHAnsi"/>
          <w:b/>
        </w:rPr>
        <w:t>Pembrolizumab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1823"/>
        <w:gridCol w:w="1973"/>
        <w:gridCol w:w="1973"/>
        <w:gridCol w:w="1977"/>
      </w:tblGrid>
      <w:tr w:rsidR="00311F03" w:rsidRPr="001428E9" w14:paraId="57470E2E" w14:textId="77777777" w:rsidTr="005E4D14">
        <w:trPr>
          <w:cantSplit/>
          <w:trHeight w:val="20"/>
        </w:trPr>
        <w:tc>
          <w:tcPr>
            <w:tcW w:w="1716" w:type="pct"/>
            <w:gridSpan w:val="3"/>
            <w:vAlign w:val="center"/>
          </w:tcPr>
          <w:p w14:paraId="5E234008" w14:textId="77777777" w:rsidR="00311F03" w:rsidRPr="00311F03" w:rsidRDefault="00311F03" w:rsidP="005E4D14">
            <w:pPr>
              <w:keepNext/>
              <w:rPr>
                <w:rFonts w:ascii="Arial Narrow" w:hAnsi="Arial Narrow"/>
                <w:b/>
                <w:bCs/>
                <w:sz w:val="20"/>
                <w:szCs w:val="20"/>
              </w:rPr>
            </w:pPr>
            <w:r w:rsidRPr="00311F03">
              <w:rPr>
                <w:rFonts w:ascii="Arial Narrow" w:hAnsi="Arial Narrow"/>
                <w:b/>
                <w:bCs/>
                <w:sz w:val="20"/>
                <w:szCs w:val="20"/>
              </w:rPr>
              <w:t>MEDICINAL PRODUCT</w:t>
            </w:r>
          </w:p>
          <w:p w14:paraId="095C6B52" w14:textId="77777777" w:rsidR="00311F03" w:rsidRPr="00311F03" w:rsidRDefault="00311F03" w:rsidP="005E4D14">
            <w:pPr>
              <w:keepNext/>
              <w:rPr>
                <w:rFonts w:ascii="Arial Narrow" w:hAnsi="Arial Narrow"/>
                <w:b/>
                <w:sz w:val="20"/>
                <w:szCs w:val="20"/>
              </w:rPr>
            </w:pPr>
            <w:r w:rsidRPr="00311F03">
              <w:rPr>
                <w:rFonts w:ascii="Arial Narrow" w:hAnsi="Arial Narrow"/>
                <w:b/>
                <w:sz w:val="20"/>
                <w:szCs w:val="20"/>
              </w:rPr>
              <w:t>Form</w:t>
            </w:r>
          </w:p>
        </w:tc>
        <w:tc>
          <w:tcPr>
            <w:tcW w:w="1094" w:type="pct"/>
            <w:vAlign w:val="center"/>
          </w:tcPr>
          <w:p w14:paraId="398DD84B" w14:textId="77777777" w:rsidR="00311F03" w:rsidRPr="00311F03" w:rsidRDefault="00311F03" w:rsidP="005E4D14">
            <w:pPr>
              <w:keepNext/>
              <w:jc w:val="center"/>
              <w:rPr>
                <w:rFonts w:ascii="Arial Narrow" w:hAnsi="Arial Narrow"/>
                <w:b/>
                <w:sz w:val="20"/>
                <w:szCs w:val="20"/>
              </w:rPr>
            </w:pPr>
            <w:r w:rsidRPr="00311F03">
              <w:rPr>
                <w:rFonts w:ascii="Arial Narrow" w:hAnsi="Arial Narrow"/>
                <w:b/>
                <w:sz w:val="20"/>
                <w:szCs w:val="20"/>
              </w:rPr>
              <w:t>PBS item code</w:t>
            </w:r>
          </w:p>
        </w:tc>
        <w:tc>
          <w:tcPr>
            <w:tcW w:w="1094" w:type="pct"/>
            <w:vAlign w:val="center"/>
          </w:tcPr>
          <w:p w14:paraId="11AF953B" w14:textId="77777777" w:rsidR="00311F03" w:rsidRPr="00311F03" w:rsidRDefault="00311F03" w:rsidP="005E4D14">
            <w:pPr>
              <w:keepNext/>
              <w:jc w:val="center"/>
              <w:rPr>
                <w:rFonts w:ascii="Arial Narrow" w:hAnsi="Arial Narrow"/>
                <w:b/>
                <w:sz w:val="20"/>
                <w:szCs w:val="20"/>
              </w:rPr>
            </w:pPr>
            <w:r w:rsidRPr="00311F03">
              <w:rPr>
                <w:rFonts w:ascii="Arial Narrow" w:hAnsi="Arial Narrow"/>
                <w:b/>
                <w:sz w:val="20"/>
                <w:szCs w:val="20"/>
              </w:rPr>
              <w:t>Max. Amount</w:t>
            </w:r>
          </w:p>
        </w:tc>
        <w:tc>
          <w:tcPr>
            <w:tcW w:w="1096" w:type="pct"/>
            <w:vAlign w:val="center"/>
          </w:tcPr>
          <w:p w14:paraId="17FCC610" w14:textId="77777777" w:rsidR="00311F03" w:rsidRPr="00311F03" w:rsidRDefault="00311F03" w:rsidP="005E4D14">
            <w:pPr>
              <w:keepNext/>
              <w:jc w:val="center"/>
              <w:rPr>
                <w:rFonts w:ascii="Arial Narrow" w:hAnsi="Arial Narrow"/>
                <w:b/>
                <w:sz w:val="20"/>
                <w:szCs w:val="20"/>
              </w:rPr>
            </w:pPr>
            <w:r w:rsidRPr="00311F03">
              <w:rPr>
                <w:rFonts w:ascii="Arial Narrow" w:hAnsi="Arial Narrow"/>
                <w:b/>
                <w:sz w:val="20"/>
                <w:szCs w:val="20"/>
              </w:rPr>
              <w:t>№.of Rpts</w:t>
            </w:r>
          </w:p>
        </w:tc>
      </w:tr>
      <w:tr w:rsidR="00311F03" w:rsidRPr="001428E9" w14:paraId="6495ECAE" w14:textId="77777777" w:rsidTr="005E4D14">
        <w:trPr>
          <w:cantSplit/>
          <w:trHeight w:val="20"/>
        </w:trPr>
        <w:tc>
          <w:tcPr>
            <w:tcW w:w="1716" w:type="pct"/>
            <w:gridSpan w:val="3"/>
            <w:vAlign w:val="center"/>
          </w:tcPr>
          <w:p w14:paraId="5BF7E7A8"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PEMBROLIZUMAB</w:t>
            </w:r>
          </w:p>
          <w:p w14:paraId="507EF5EA"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Injection</w:t>
            </w:r>
          </w:p>
        </w:tc>
        <w:tc>
          <w:tcPr>
            <w:tcW w:w="1094" w:type="pct"/>
            <w:vAlign w:val="center"/>
          </w:tcPr>
          <w:p w14:paraId="31AD02B3" w14:textId="77777777" w:rsidR="00311F03" w:rsidRPr="00311F03" w:rsidRDefault="00311F03" w:rsidP="005E4D14">
            <w:pPr>
              <w:keepNext/>
              <w:jc w:val="center"/>
              <w:rPr>
                <w:rFonts w:ascii="Arial Narrow" w:hAnsi="Arial Narrow"/>
                <w:sz w:val="20"/>
                <w:szCs w:val="20"/>
              </w:rPr>
            </w:pPr>
            <w:r w:rsidRPr="00311F03">
              <w:rPr>
                <w:rFonts w:ascii="Arial Narrow" w:hAnsi="Arial Narrow"/>
                <w:sz w:val="20"/>
                <w:szCs w:val="20"/>
              </w:rPr>
              <w:t>NEW (Public)</w:t>
            </w:r>
            <w:r w:rsidRPr="00311F03">
              <w:rPr>
                <w:rFonts w:ascii="Arial Narrow" w:hAnsi="Arial Narrow"/>
                <w:sz w:val="20"/>
                <w:szCs w:val="20"/>
              </w:rPr>
              <w:br/>
              <w:t>NEW (Private)</w:t>
            </w:r>
          </w:p>
        </w:tc>
        <w:tc>
          <w:tcPr>
            <w:tcW w:w="1094" w:type="pct"/>
            <w:vAlign w:val="center"/>
          </w:tcPr>
          <w:p w14:paraId="554D6E0F" w14:textId="4D291AAB" w:rsidR="00311F03" w:rsidRPr="00311F03" w:rsidRDefault="00311F03" w:rsidP="005E4D14">
            <w:pPr>
              <w:keepNext/>
              <w:jc w:val="center"/>
              <w:rPr>
                <w:rFonts w:ascii="Arial Narrow" w:hAnsi="Arial Narrow"/>
                <w:sz w:val="20"/>
                <w:szCs w:val="20"/>
              </w:rPr>
            </w:pPr>
            <w:r w:rsidRPr="00311F03">
              <w:rPr>
                <w:rFonts w:ascii="Arial Narrow" w:hAnsi="Arial Narrow"/>
                <w:sz w:val="20"/>
                <w:szCs w:val="20"/>
              </w:rPr>
              <w:t>200 mg</w:t>
            </w:r>
          </w:p>
        </w:tc>
        <w:tc>
          <w:tcPr>
            <w:tcW w:w="1096" w:type="pct"/>
            <w:vAlign w:val="center"/>
          </w:tcPr>
          <w:p w14:paraId="168417E8" w14:textId="77777777" w:rsidR="00311F03" w:rsidRPr="00311F03" w:rsidRDefault="00311F03" w:rsidP="005E4D14">
            <w:pPr>
              <w:keepNext/>
              <w:jc w:val="center"/>
              <w:rPr>
                <w:rFonts w:ascii="Arial Narrow" w:hAnsi="Arial Narrow"/>
                <w:sz w:val="20"/>
                <w:szCs w:val="20"/>
              </w:rPr>
            </w:pPr>
            <w:r w:rsidRPr="00311F03">
              <w:rPr>
                <w:rFonts w:ascii="Arial Narrow" w:hAnsi="Arial Narrow"/>
                <w:sz w:val="20"/>
                <w:szCs w:val="20"/>
              </w:rPr>
              <w:t>3</w:t>
            </w:r>
          </w:p>
        </w:tc>
      </w:tr>
      <w:tr w:rsidR="00311F03" w:rsidRPr="001428E9" w14:paraId="7FF95F5C" w14:textId="77777777" w:rsidTr="005E4D14">
        <w:trPr>
          <w:cantSplit/>
          <w:trHeight w:val="20"/>
        </w:trPr>
        <w:tc>
          <w:tcPr>
            <w:tcW w:w="5000" w:type="pct"/>
            <w:gridSpan w:val="6"/>
            <w:vAlign w:val="center"/>
          </w:tcPr>
          <w:p w14:paraId="66A5C166" w14:textId="77777777" w:rsidR="00311F03" w:rsidRPr="00311F03" w:rsidRDefault="00311F03" w:rsidP="005E4D14">
            <w:pPr>
              <w:keepNext/>
              <w:rPr>
                <w:rFonts w:ascii="Arial Narrow" w:hAnsi="Arial Narrow"/>
                <w:b/>
                <w:sz w:val="20"/>
                <w:szCs w:val="20"/>
              </w:rPr>
            </w:pPr>
            <w:r w:rsidRPr="00311F03">
              <w:rPr>
                <w:rFonts w:ascii="Arial Narrow" w:hAnsi="Arial Narrow"/>
                <w:b/>
                <w:sz w:val="20"/>
                <w:szCs w:val="20"/>
              </w:rPr>
              <w:t xml:space="preserve">Available brands </w:t>
            </w:r>
          </w:p>
        </w:tc>
      </w:tr>
      <w:tr w:rsidR="00311F03" w:rsidRPr="001428E9" w14:paraId="5EEEB7F9" w14:textId="77777777" w:rsidTr="005E4D14">
        <w:trPr>
          <w:cantSplit/>
          <w:trHeight w:val="20"/>
        </w:trPr>
        <w:tc>
          <w:tcPr>
            <w:tcW w:w="5000" w:type="pct"/>
            <w:gridSpan w:val="6"/>
            <w:vAlign w:val="center"/>
          </w:tcPr>
          <w:p w14:paraId="1CCC4F8D"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Keytruda</w:t>
            </w:r>
          </w:p>
          <w:p w14:paraId="651482E7" w14:textId="77777777" w:rsidR="00311F03" w:rsidRPr="00311F03" w:rsidRDefault="00311F03" w:rsidP="005E4D14">
            <w:pPr>
              <w:keepNext/>
              <w:rPr>
                <w:rFonts w:ascii="Arial Narrow" w:hAnsi="Arial Narrow"/>
                <w:sz w:val="20"/>
                <w:szCs w:val="20"/>
              </w:rPr>
            </w:pPr>
            <w:r w:rsidRPr="00311F03">
              <w:rPr>
                <w:rFonts w:ascii="Arial Narrow" w:hAnsi="Arial Narrow"/>
                <w:sz w:val="20"/>
                <w:szCs w:val="20"/>
              </w:rPr>
              <w:t>(pembrolizumab 100 mg/4 mL injection, 4 mL vial)</w:t>
            </w:r>
          </w:p>
        </w:tc>
      </w:tr>
      <w:tr w:rsidR="00311F03" w:rsidRPr="001428E9" w14:paraId="430CAD1F" w14:textId="77777777" w:rsidTr="005E4D14">
        <w:trPr>
          <w:cantSplit/>
          <w:trHeight w:val="20"/>
        </w:trPr>
        <w:tc>
          <w:tcPr>
            <w:tcW w:w="5000" w:type="pct"/>
            <w:gridSpan w:val="6"/>
            <w:vAlign w:val="center"/>
          </w:tcPr>
          <w:p w14:paraId="0714C66B" w14:textId="77777777" w:rsidR="00311F03" w:rsidRPr="00311F03" w:rsidRDefault="00311F03" w:rsidP="005E4D14">
            <w:pPr>
              <w:rPr>
                <w:rFonts w:ascii="Arial Narrow" w:hAnsi="Arial Narrow"/>
                <w:color w:val="FF0000"/>
                <w:sz w:val="20"/>
                <w:szCs w:val="20"/>
              </w:rPr>
            </w:pPr>
          </w:p>
        </w:tc>
      </w:tr>
      <w:tr w:rsidR="00311F03" w:rsidRPr="001428E9" w14:paraId="1A1E4FB6" w14:textId="77777777" w:rsidTr="005E4D14">
        <w:trPr>
          <w:cantSplit/>
          <w:trHeight w:val="20"/>
        </w:trPr>
        <w:tc>
          <w:tcPr>
            <w:tcW w:w="5000" w:type="pct"/>
            <w:gridSpan w:val="6"/>
            <w:vAlign w:val="center"/>
          </w:tcPr>
          <w:p w14:paraId="585A4538" w14:textId="77777777" w:rsidR="00311F03" w:rsidRPr="00311F03" w:rsidRDefault="00311F03" w:rsidP="005E4D14">
            <w:pPr>
              <w:keepNext/>
              <w:rPr>
                <w:rFonts w:ascii="Arial Narrow" w:hAnsi="Arial Narrow"/>
                <w:color w:val="FF0000"/>
                <w:sz w:val="20"/>
                <w:szCs w:val="20"/>
              </w:rPr>
            </w:pPr>
            <w:r w:rsidRPr="00311F03">
              <w:rPr>
                <w:rFonts w:ascii="Arial Narrow" w:hAnsi="Arial Narrow"/>
                <w:b/>
                <w:sz w:val="20"/>
                <w:szCs w:val="20"/>
              </w:rPr>
              <w:t>Restriction Summary [new]</w:t>
            </w:r>
            <w:r w:rsidRPr="00311F03">
              <w:rPr>
                <w:rFonts w:ascii="Arial Narrow" w:hAnsi="Arial Narrow"/>
                <w:b/>
                <w:color w:val="FF0000"/>
                <w:sz w:val="20"/>
                <w:szCs w:val="20"/>
              </w:rPr>
              <w:t xml:space="preserve"> </w:t>
            </w:r>
            <w:r w:rsidRPr="00311F03">
              <w:rPr>
                <w:rFonts w:ascii="Arial Narrow" w:hAnsi="Arial Narrow"/>
                <w:b/>
                <w:sz w:val="20"/>
                <w:szCs w:val="20"/>
              </w:rPr>
              <w:t>/ Treatment of Concept: [new]</w:t>
            </w:r>
          </w:p>
        </w:tc>
      </w:tr>
      <w:tr w:rsidR="00311F03" w:rsidRPr="001428E9" w14:paraId="1574B0F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17E4AED8" w14:textId="244A9178" w:rsidR="00311F03" w:rsidRPr="00311F03" w:rsidRDefault="00311F03" w:rsidP="005E4D14">
            <w:pPr>
              <w:keepNext/>
              <w:jc w:val="center"/>
              <w:rPr>
                <w:rFonts w:ascii="Arial Narrow" w:hAnsi="Arial Narrow"/>
                <w:b/>
                <w:sz w:val="20"/>
                <w:szCs w:val="20"/>
              </w:rPr>
            </w:pPr>
          </w:p>
        </w:tc>
        <w:tc>
          <w:tcPr>
            <w:tcW w:w="4295" w:type="pct"/>
            <w:gridSpan w:val="4"/>
          </w:tcPr>
          <w:p w14:paraId="3B145103" w14:textId="77777777" w:rsidR="00311F03" w:rsidRPr="00311F03" w:rsidRDefault="00311F03" w:rsidP="005E4D14">
            <w:pPr>
              <w:keepNext/>
              <w:rPr>
                <w:rFonts w:ascii="Arial Narrow" w:hAnsi="Arial Narrow"/>
                <w:sz w:val="20"/>
                <w:szCs w:val="20"/>
              </w:rPr>
            </w:pPr>
            <w:r w:rsidRPr="00311F03">
              <w:rPr>
                <w:rFonts w:ascii="Arial Narrow" w:hAnsi="Arial Narrow"/>
                <w:b/>
                <w:sz w:val="20"/>
                <w:szCs w:val="20"/>
              </w:rPr>
              <w:t xml:space="preserve">Category / Program: </w:t>
            </w:r>
            <w:r w:rsidRPr="00311F03">
              <w:rPr>
                <w:rFonts w:ascii="Arial Narrow" w:hAnsi="Arial Narrow"/>
                <w:sz w:val="20"/>
                <w:szCs w:val="20"/>
              </w:rPr>
              <w:t>Section 100 – Efficient Funding of Chemotherapy Public/Private hospitals</w:t>
            </w:r>
          </w:p>
        </w:tc>
      </w:tr>
      <w:tr w:rsidR="00311F03" w:rsidRPr="001428E9" w14:paraId="4E1B34E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38B4C0A7" w14:textId="77777777" w:rsidR="00311F03" w:rsidRPr="00311F03" w:rsidRDefault="00311F03" w:rsidP="005E4D14">
            <w:pPr>
              <w:keepNext/>
              <w:rPr>
                <w:rFonts w:ascii="Arial Narrow" w:hAnsi="Arial Narrow"/>
                <w:sz w:val="20"/>
                <w:szCs w:val="20"/>
              </w:rPr>
            </w:pPr>
          </w:p>
        </w:tc>
        <w:tc>
          <w:tcPr>
            <w:tcW w:w="4295" w:type="pct"/>
            <w:gridSpan w:val="4"/>
          </w:tcPr>
          <w:p w14:paraId="094F9BDD" w14:textId="77777777" w:rsidR="00311F03" w:rsidRPr="00311F03" w:rsidRDefault="00311F03" w:rsidP="005E4D14">
            <w:pPr>
              <w:keepNext/>
              <w:rPr>
                <w:rFonts w:ascii="Arial Narrow" w:hAnsi="Arial Narrow"/>
                <w:b/>
                <w:sz w:val="20"/>
                <w:szCs w:val="20"/>
              </w:rPr>
            </w:pPr>
            <w:r w:rsidRPr="00311F03">
              <w:rPr>
                <w:rFonts w:ascii="Arial Narrow" w:hAnsi="Arial Narrow"/>
                <w:b/>
                <w:sz w:val="20"/>
                <w:szCs w:val="20"/>
              </w:rPr>
              <w:t>Prescriber type:</w:t>
            </w:r>
            <w:r w:rsidRPr="00311F03">
              <w:rPr>
                <w:rFonts w:ascii="Arial Narrow" w:hAnsi="Arial Narrow"/>
                <w:sz w:val="20"/>
                <w:szCs w:val="20"/>
              </w:rPr>
              <w:t xml:space="preserve"> </w:t>
            </w:r>
            <w:r w:rsidRPr="00311F03">
              <w:rPr>
                <w:rFonts w:ascii="Arial Narrow" w:hAnsi="Arial Narrow"/>
                <w:sz w:val="20"/>
                <w:szCs w:val="20"/>
              </w:rPr>
              <w:fldChar w:fldCharType="begin" w:fldLock="1">
                <w:ffData>
                  <w:name w:val=""/>
                  <w:enabled/>
                  <w:calcOnExit w:val="0"/>
                  <w:checkBox>
                    <w:sizeAuto/>
                    <w:default w:val="1"/>
                  </w:checkBox>
                </w:ffData>
              </w:fldChar>
            </w:r>
            <w:r w:rsidRPr="00311F03">
              <w:rPr>
                <w:rFonts w:ascii="Arial Narrow" w:hAnsi="Arial Narrow"/>
                <w:sz w:val="20"/>
                <w:szCs w:val="20"/>
              </w:rPr>
              <w:instrText xml:space="preserve"> FORMCHECKBOX </w:instrText>
            </w:r>
            <w:r w:rsidRPr="00311F03">
              <w:rPr>
                <w:rFonts w:ascii="Arial Narrow" w:hAnsi="Arial Narrow"/>
                <w:sz w:val="20"/>
                <w:szCs w:val="20"/>
              </w:rPr>
            </w:r>
            <w:r w:rsidRPr="00311F03">
              <w:rPr>
                <w:rFonts w:ascii="Arial Narrow" w:hAnsi="Arial Narrow"/>
                <w:sz w:val="20"/>
                <w:szCs w:val="20"/>
              </w:rPr>
              <w:fldChar w:fldCharType="separate"/>
            </w:r>
            <w:r w:rsidRPr="00311F03">
              <w:rPr>
                <w:rFonts w:ascii="Arial Narrow" w:hAnsi="Arial Narrow"/>
                <w:sz w:val="20"/>
                <w:szCs w:val="20"/>
              </w:rPr>
              <w:fldChar w:fldCharType="end"/>
            </w:r>
            <w:r w:rsidRPr="00311F03">
              <w:rPr>
                <w:rFonts w:ascii="Arial Narrow" w:hAnsi="Arial Narrow"/>
                <w:sz w:val="20"/>
                <w:szCs w:val="20"/>
              </w:rPr>
              <w:t xml:space="preserve">Medical Practitioners </w:t>
            </w:r>
          </w:p>
        </w:tc>
      </w:tr>
      <w:tr w:rsidR="00311F03" w:rsidRPr="001428E9" w14:paraId="2A367DF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04C9E7BA" w14:textId="77777777" w:rsidR="00311F03" w:rsidRPr="00311F03" w:rsidRDefault="00311F03" w:rsidP="005E4D14">
            <w:pPr>
              <w:rPr>
                <w:rFonts w:ascii="Arial Narrow" w:hAnsi="Arial Narrow"/>
                <w:sz w:val="20"/>
                <w:szCs w:val="20"/>
              </w:rPr>
            </w:pPr>
          </w:p>
        </w:tc>
        <w:tc>
          <w:tcPr>
            <w:tcW w:w="4295" w:type="pct"/>
            <w:gridSpan w:val="4"/>
          </w:tcPr>
          <w:p w14:paraId="50CB8191" w14:textId="1ADC934E" w:rsidR="00311F03" w:rsidRPr="00311F03" w:rsidRDefault="00311F03" w:rsidP="00311F03">
            <w:pPr>
              <w:jc w:val="left"/>
              <w:rPr>
                <w:rFonts w:ascii="Arial Narrow" w:eastAsia="Calibri" w:hAnsi="Arial Narrow"/>
                <w:sz w:val="20"/>
                <w:szCs w:val="20"/>
              </w:rPr>
            </w:pPr>
            <w:r w:rsidRPr="00311F03">
              <w:rPr>
                <w:rFonts w:ascii="Arial Narrow" w:hAnsi="Arial Narrow"/>
                <w:b/>
                <w:sz w:val="20"/>
                <w:szCs w:val="20"/>
              </w:rPr>
              <w:t xml:space="preserve">Restriction type: </w:t>
            </w:r>
            <w:r w:rsidRPr="00311F03">
              <w:rPr>
                <w:rFonts w:ascii="Arial Narrow" w:eastAsia="Calibri" w:hAnsi="Arial Narrow"/>
                <w:sz w:val="20"/>
                <w:szCs w:val="20"/>
              </w:rPr>
              <w:fldChar w:fldCharType="begin" w:fldLock="1">
                <w:ffData>
                  <w:name w:val=""/>
                  <w:enabled/>
                  <w:calcOnExit w:val="0"/>
                  <w:checkBox>
                    <w:sizeAuto/>
                    <w:default w:val="1"/>
                  </w:checkBox>
                </w:ffData>
              </w:fldChar>
            </w:r>
            <w:r w:rsidRPr="00311F03">
              <w:rPr>
                <w:rFonts w:ascii="Arial Narrow" w:eastAsia="Calibri" w:hAnsi="Arial Narrow"/>
                <w:sz w:val="20"/>
                <w:szCs w:val="20"/>
              </w:rPr>
              <w:instrText xml:space="preserve"> FORMCHECKBOX </w:instrText>
            </w:r>
            <w:r w:rsidRPr="00311F03">
              <w:rPr>
                <w:rFonts w:ascii="Arial Narrow" w:eastAsia="Calibri" w:hAnsi="Arial Narrow"/>
                <w:sz w:val="20"/>
                <w:szCs w:val="20"/>
              </w:rPr>
            </w:r>
            <w:r w:rsidRPr="00311F03">
              <w:rPr>
                <w:rFonts w:ascii="Arial Narrow" w:eastAsia="Calibri" w:hAnsi="Arial Narrow"/>
                <w:sz w:val="20"/>
                <w:szCs w:val="20"/>
              </w:rPr>
              <w:fldChar w:fldCharType="separate"/>
            </w:r>
            <w:r w:rsidRPr="00311F03">
              <w:rPr>
                <w:rFonts w:ascii="Arial Narrow" w:eastAsia="Calibri" w:hAnsi="Arial Narrow"/>
                <w:sz w:val="20"/>
                <w:szCs w:val="20"/>
              </w:rPr>
              <w:fldChar w:fldCharType="end"/>
            </w:r>
            <w:r w:rsidRPr="00311F03">
              <w:rPr>
                <w:rFonts w:ascii="Arial Narrow" w:eastAsia="Calibri" w:hAnsi="Arial Narrow"/>
                <w:sz w:val="20"/>
                <w:szCs w:val="20"/>
              </w:rPr>
              <w:t>Authority Required (STREAMLINED) [new]</w:t>
            </w:r>
          </w:p>
        </w:tc>
      </w:tr>
      <w:tr w:rsidR="00311F03" w:rsidRPr="001428E9" w14:paraId="1D3EBEDE" w14:textId="77777777" w:rsidTr="005E4D14">
        <w:tblPrEx>
          <w:tblCellMar>
            <w:top w:w="15" w:type="dxa"/>
            <w:bottom w:w="15" w:type="dxa"/>
          </w:tblCellMar>
          <w:tblLook w:val="04A0" w:firstRow="1" w:lastRow="0" w:firstColumn="1" w:lastColumn="0" w:noHBand="0" w:noVBand="1"/>
        </w:tblPrEx>
        <w:trPr>
          <w:trHeight w:val="20"/>
        </w:trPr>
        <w:tc>
          <w:tcPr>
            <w:tcW w:w="312" w:type="pct"/>
            <w:vMerge w:val="restart"/>
            <w:textDirection w:val="btLr"/>
            <w:vAlign w:val="center"/>
          </w:tcPr>
          <w:p w14:paraId="078AD129" w14:textId="5BBB7000" w:rsidR="00311F03" w:rsidRPr="00311F03" w:rsidRDefault="00311F03" w:rsidP="005E4D14">
            <w:pPr>
              <w:keepLines/>
              <w:ind w:right="113"/>
              <w:jc w:val="center"/>
              <w:rPr>
                <w:rFonts w:ascii="Arial Narrow" w:hAnsi="Arial Narrow"/>
                <w:color w:val="333333"/>
                <w:sz w:val="20"/>
                <w:szCs w:val="20"/>
              </w:rPr>
            </w:pPr>
          </w:p>
        </w:tc>
        <w:tc>
          <w:tcPr>
            <w:tcW w:w="393" w:type="pct"/>
            <w:vAlign w:val="center"/>
          </w:tcPr>
          <w:p w14:paraId="7386CB5D" w14:textId="78CDAA78" w:rsidR="00311F03" w:rsidRPr="00311F03" w:rsidRDefault="00311F03" w:rsidP="005E4D14">
            <w:pPr>
              <w:keepLines/>
              <w:ind w:hanging="35"/>
              <w:jc w:val="center"/>
              <w:rPr>
                <w:rFonts w:ascii="Arial Narrow" w:hAnsi="Arial Narrow"/>
                <w:color w:val="333333"/>
                <w:sz w:val="20"/>
                <w:szCs w:val="20"/>
              </w:rPr>
            </w:pPr>
          </w:p>
        </w:tc>
        <w:tc>
          <w:tcPr>
            <w:tcW w:w="4295" w:type="pct"/>
            <w:gridSpan w:val="4"/>
          </w:tcPr>
          <w:p w14:paraId="153494D7" w14:textId="77777777" w:rsidR="00311F03" w:rsidRPr="00311F03" w:rsidRDefault="00311F03" w:rsidP="005E4D14">
            <w:pPr>
              <w:keepLines/>
              <w:rPr>
                <w:rFonts w:ascii="Arial Narrow" w:hAnsi="Arial Narrow"/>
                <w:color w:val="333333"/>
                <w:sz w:val="20"/>
                <w:szCs w:val="20"/>
              </w:rPr>
            </w:pPr>
            <w:r w:rsidRPr="00311F03">
              <w:rPr>
                <w:rFonts w:ascii="Arial Narrow" w:hAnsi="Arial Narrow"/>
                <w:b/>
                <w:bCs/>
                <w:sz w:val="20"/>
                <w:szCs w:val="20"/>
              </w:rPr>
              <w:t>Administrative Advice:</w:t>
            </w:r>
            <w:r w:rsidRPr="00311F03">
              <w:rPr>
                <w:rFonts w:ascii="Arial Narrow" w:hAnsi="Arial Narrow"/>
                <w:sz w:val="20"/>
                <w:szCs w:val="20"/>
              </w:rPr>
              <w:t xml:space="preserve"> No increase in the maximum amount or number of units may be authorised.</w:t>
            </w:r>
          </w:p>
        </w:tc>
      </w:tr>
      <w:tr w:rsidR="00311F03" w:rsidRPr="001428E9" w14:paraId="3672399E" w14:textId="77777777" w:rsidTr="005E4D14">
        <w:tblPrEx>
          <w:tblCellMar>
            <w:top w:w="15" w:type="dxa"/>
            <w:bottom w:w="15" w:type="dxa"/>
          </w:tblCellMar>
          <w:tblLook w:val="04A0" w:firstRow="1" w:lastRow="0" w:firstColumn="1" w:lastColumn="0" w:noHBand="0" w:noVBand="1"/>
        </w:tblPrEx>
        <w:trPr>
          <w:trHeight w:val="20"/>
        </w:trPr>
        <w:tc>
          <w:tcPr>
            <w:tcW w:w="312" w:type="pct"/>
            <w:vMerge/>
            <w:vAlign w:val="center"/>
          </w:tcPr>
          <w:p w14:paraId="0B2D1E6C" w14:textId="77777777" w:rsidR="00311F03" w:rsidRPr="00311F03" w:rsidRDefault="00311F03" w:rsidP="005E4D14">
            <w:pPr>
              <w:keepLines/>
              <w:jc w:val="center"/>
              <w:rPr>
                <w:rFonts w:ascii="Arial Narrow" w:hAnsi="Arial Narrow"/>
                <w:color w:val="333333"/>
                <w:sz w:val="20"/>
                <w:szCs w:val="20"/>
              </w:rPr>
            </w:pPr>
          </w:p>
        </w:tc>
        <w:tc>
          <w:tcPr>
            <w:tcW w:w="393" w:type="pct"/>
            <w:vAlign w:val="center"/>
          </w:tcPr>
          <w:p w14:paraId="5CF4CB8E" w14:textId="0511AB98" w:rsidR="00311F03" w:rsidRPr="00311F03" w:rsidRDefault="00311F03" w:rsidP="005E4D14">
            <w:pPr>
              <w:keepLines/>
              <w:ind w:hanging="35"/>
              <w:jc w:val="center"/>
              <w:rPr>
                <w:rFonts w:ascii="Arial Narrow" w:hAnsi="Arial Narrow"/>
                <w:color w:val="333333"/>
                <w:sz w:val="20"/>
                <w:szCs w:val="20"/>
              </w:rPr>
            </w:pPr>
          </w:p>
        </w:tc>
        <w:tc>
          <w:tcPr>
            <w:tcW w:w="4295" w:type="pct"/>
            <w:gridSpan w:val="4"/>
          </w:tcPr>
          <w:p w14:paraId="3631FAE0" w14:textId="77777777" w:rsidR="00311F03" w:rsidRPr="00311F03" w:rsidRDefault="00311F03" w:rsidP="005E4D14">
            <w:pPr>
              <w:keepLines/>
              <w:rPr>
                <w:rFonts w:ascii="Arial Narrow" w:hAnsi="Arial Narrow"/>
                <w:b/>
                <w:bCs/>
                <w:color w:val="333333"/>
                <w:sz w:val="20"/>
                <w:szCs w:val="20"/>
              </w:rPr>
            </w:pPr>
            <w:r w:rsidRPr="00311F03">
              <w:rPr>
                <w:rFonts w:ascii="Arial Narrow" w:hAnsi="Arial Narrow"/>
                <w:b/>
                <w:bCs/>
                <w:sz w:val="20"/>
                <w:szCs w:val="20"/>
              </w:rPr>
              <w:t>Administrative Advice:</w:t>
            </w:r>
            <w:r w:rsidRPr="00311F03">
              <w:rPr>
                <w:rFonts w:ascii="Arial Narrow" w:hAnsi="Arial Narrow"/>
                <w:sz w:val="20"/>
                <w:szCs w:val="20"/>
              </w:rPr>
              <w:t xml:space="preserve"> No increase in the maximum number of repeats may be authorised.</w:t>
            </w:r>
          </w:p>
        </w:tc>
      </w:tr>
      <w:tr w:rsidR="00311F03" w:rsidRPr="001428E9" w14:paraId="367107E4" w14:textId="77777777" w:rsidTr="005E4D14">
        <w:tblPrEx>
          <w:tblCellMar>
            <w:top w:w="15" w:type="dxa"/>
            <w:bottom w:w="15" w:type="dxa"/>
          </w:tblCellMar>
          <w:tblLook w:val="04A0" w:firstRow="1" w:lastRow="0" w:firstColumn="1" w:lastColumn="0" w:noHBand="0" w:noVBand="1"/>
        </w:tblPrEx>
        <w:trPr>
          <w:trHeight w:val="20"/>
        </w:trPr>
        <w:tc>
          <w:tcPr>
            <w:tcW w:w="312" w:type="pct"/>
            <w:vMerge/>
            <w:vAlign w:val="center"/>
          </w:tcPr>
          <w:p w14:paraId="57193EDC" w14:textId="77777777" w:rsidR="00311F03" w:rsidRPr="00311F03" w:rsidRDefault="00311F03" w:rsidP="005E4D14">
            <w:pPr>
              <w:keepLines/>
              <w:jc w:val="center"/>
              <w:rPr>
                <w:rFonts w:ascii="Arial Narrow" w:hAnsi="Arial Narrow"/>
                <w:color w:val="333333"/>
                <w:sz w:val="20"/>
                <w:szCs w:val="20"/>
              </w:rPr>
            </w:pPr>
          </w:p>
        </w:tc>
        <w:tc>
          <w:tcPr>
            <w:tcW w:w="393" w:type="pct"/>
            <w:vAlign w:val="center"/>
          </w:tcPr>
          <w:p w14:paraId="7E8D5D4D" w14:textId="11F08C36" w:rsidR="00311F03" w:rsidRPr="00311F03" w:rsidRDefault="00311F03" w:rsidP="005E4D14">
            <w:pPr>
              <w:keepLines/>
              <w:ind w:hanging="35"/>
              <w:jc w:val="center"/>
              <w:rPr>
                <w:rFonts w:ascii="Arial Narrow" w:hAnsi="Arial Narrow"/>
                <w:color w:val="333333"/>
                <w:sz w:val="20"/>
                <w:szCs w:val="20"/>
              </w:rPr>
            </w:pPr>
          </w:p>
        </w:tc>
        <w:tc>
          <w:tcPr>
            <w:tcW w:w="4295" w:type="pct"/>
            <w:gridSpan w:val="4"/>
            <w:vAlign w:val="center"/>
          </w:tcPr>
          <w:p w14:paraId="10415BF2" w14:textId="77777777" w:rsidR="00311F03" w:rsidRPr="00311F03" w:rsidRDefault="00311F03" w:rsidP="005E4D14">
            <w:pPr>
              <w:keepLines/>
              <w:rPr>
                <w:rFonts w:ascii="Arial Narrow" w:hAnsi="Arial Narrow"/>
                <w:b/>
                <w:bCs/>
                <w:color w:val="333333"/>
                <w:sz w:val="20"/>
                <w:szCs w:val="20"/>
              </w:rPr>
            </w:pPr>
            <w:r w:rsidRPr="00311F03">
              <w:rPr>
                <w:rFonts w:ascii="Arial Narrow" w:hAnsi="Arial Narrow"/>
                <w:b/>
                <w:bCs/>
                <w:color w:val="333333"/>
                <w:sz w:val="20"/>
                <w:szCs w:val="20"/>
              </w:rPr>
              <w:t xml:space="preserve">Administrative Advice: </w:t>
            </w:r>
            <w:r w:rsidRPr="00311F03">
              <w:rPr>
                <w:rFonts w:ascii="Arial Narrow" w:hAnsi="Arial Narrow"/>
                <w:sz w:val="20"/>
                <w:szCs w:val="20"/>
              </w:rPr>
              <w:t>Special Pricing Arrangements apply.</w:t>
            </w:r>
          </w:p>
        </w:tc>
      </w:tr>
      <w:tr w:rsidR="00311F03" w:rsidRPr="001428E9" w14:paraId="456DD1D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28A589B7" w14:textId="77777777" w:rsidR="00311F03" w:rsidRPr="00311F03" w:rsidRDefault="00311F03" w:rsidP="005E4D14">
            <w:pPr>
              <w:keepLines/>
              <w:jc w:val="center"/>
              <w:rPr>
                <w:rFonts w:ascii="Arial Narrow" w:hAnsi="Arial Narrow"/>
                <w:color w:val="333333"/>
                <w:sz w:val="20"/>
                <w:szCs w:val="20"/>
              </w:rPr>
            </w:pPr>
          </w:p>
        </w:tc>
        <w:tc>
          <w:tcPr>
            <w:tcW w:w="4295" w:type="pct"/>
            <w:gridSpan w:val="4"/>
            <w:vAlign w:val="center"/>
          </w:tcPr>
          <w:p w14:paraId="71A0EB3F" w14:textId="77777777" w:rsidR="00311F03" w:rsidRPr="00311F03" w:rsidRDefault="00311F03" w:rsidP="005E4D14">
            <w:pPr>
              <w:keepLines/>
              <w:rPr>
                <w:rFonts w:ascii="Arial Narrow" w:hAnsi="Arial Narrow"/>
                <w:bCs/>
                <w:sz w:val="20"/>
                <w:szCs w:val="20"/>
              </w:rPr>
            </w:pPr>
            <w:r w:rsidRPr="006C021F">
              <w:rPr>
                <w:rFonts w:ascii="Arial Narrow" w:hAnsi="Arial Narrow"/>
                <w:b/>
                <w:bCs/>
                <w:color w:val="A6A6A6" w:themeColor="background1" w:themeShade="A6"/>
                <w:sz w:val="20"/>
                <w:szCs w:val="20"/>
              </w:rPr>
              <w:t xml:space="preserve">Episodicity: </w:t>
            </w:r>
            <w:r w:rsidRPr="006C021F">
              <w:rPr>
                <w:rFonts w:ascii="Arial Narrow" w:hAnsi="Arial Narrow"/>
                <w:bCs/>
                <w:color w:val="A6A6A6" w:themeColor="background1" w:themeShade="A6"/>
                <w:sz w:val="20"/>
                <w:szCs w:val="20"/>
              </w:rPr>
              <w:t>n/a</w:t>
            </w:r>
          </w:p>
        </w:tc>
      </w:tr>
      <w:tr w:rsidR="00311F03" w:rsidRPr="001428E9" w14:paraId="3B414C7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2116F134" w14:textId="77777777" w:rsidR="00311F03" w:rsidRPr="00311F03" w:rsidRDefault="00311F03" w:rsidP="005E4D14">
            <w:pPr>
              <w:keepLines/>
              <w:jc w:val="center"/>
              <w:rPr>
                <w:rFonts w:ascii="Arial Narrow" w:hAnsi="Arial Narrow"/>
                <w:color w:val="333333"/>
                <w:sz w:val="20"/>
                <w:szCs w:val="20"/>
              </w:rPr>
            </w:pPr>
          </w:p>
        </w:tc>
        <w:tc>
          <w:tcPr>
            <w:tcW w:w="4295" w:type="pct"/>
            <w:gridSpan w:val="4"/>
            <w:vAlign w:val="center"/>
          </w:tcPr>
          <w:p w14:paraId="08302D2A" w14:textId="77777777" w:rsidR="00311F03" w:rsidRPr="00311F03" w:rsidRDefault="00311F03" w:rsidP="005E4D14">
            <w:pPr>
              <w:keepLines/>
              <w:rPr>
                <w:rFonts w:ascii="Arial Narrow" w:hAnsi="Arial Narrow"/>
                <w:b/>
                <w:bCs/>
                <w:sz w:val="20"/>
                <w:szCs w:val="20"/>
              </w:rPr>
            </w:pPr>
            <w:r w:rsidRPr="00311F03">
              <w:rPr>
                <w:rFonts w:ascii="Arial Narrow" w:hAnsi="Arial Narrow"/>
                <w:b/>
                <w:bCs/>
                <w:sz w:val="20"/>
                <w:szCs w:val="20"/>
              </w:rPr>
              <w:t xml:space="preserve">Severity: </w:t>
            </w:r>
            <w:r w:rsidRPr="00311F03">
              <w:rPr>
                <w:rFonts w:ascii="Arial Narrow" w:hAnsi="Arial Narrow"/>
                <w:bCs/>
                <w:sz w:val="20"/>
                <w:szCs w:val="20"/>
              </w:rPr>
              <w:t>Locally advanced (Stage III) or metastatic (Stage IV)</w:t>
            </w:r>
          </w:p>
        </w:tc>
      </w:tr>
      <w:tr w:rsidR="00311F03" w:rsidRPr="001428E9" w14:paraId="3C3BD3DC"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53206C5E" w14:textId="77777777" w:rsidR="00311F03" w:rsidRPr="00311F03" w:rsidRDefault="00311F03" w:rsidP="005E4D14">
            <w:pPr>
              <w:keepLines/>
              <w:jc w:val="center"/>
              <w:rPr>
                <w:rFonts w:ascii="Arial Narrow" w:hAnsi="Arial Narrow"/>
                <w:color w:val="333333"/>
                <w:sz w:val="20"/>
                <w:szCs w:val="20"/>
              </w:rPr>
            </w:pPr>
          </w:p>
        </w:tc>
        <w:tc>
          <w:tcPr>
            <w:tcW w:w="4295" w:type="pct"/>
            <w:gridSpan w:val="4"/>
            <w:vAlign w:val="center"/>
          </w:tcPr>
          <w:p w14:paraId="1DEA2FE3" w14:textId="77777777" w:rsidR="00311F03" w:rsidRPr="00311F03" w:rsidRDefault="00311F03" w:rsidP="005E4D14">
            <w:pPr>
              <w:keepLines/>
              <w:rPr>
                <w:rFonts w:ascii="Arial Narrow" w:hAnsi="Arial Narrow"/>
                <w:b/>
                <w:bCs/>
                <w:color w:val="333333"/>
                <w:sz w:val="20"/>
                <w:szCs w:val="20"/>
              </w:rPr>
            </w:pPr>
            <w:r w:rsidRPr="00311F03">
              <w:rPr>
                <w:rFonts w:ascii="Arial Narrow" w:hAnsi="Arial Narrow"/>
                <w:b/>
                <w:bCs/>
                <w:color w:val="333333"/>
                <w:sz w:val="20"/>
                <w:szCs w:val="20"/>
              </w:rPr>
              <w:t xml:space="preserve">Condition: </w:t>
            </w:r>
            <w:r w:rsidRPr="00311F03">
              <w:rPr>
                <w:rFonts w:ascii="Arial Narrow" w:hAnsi="Arial Narrow"/>
                <w:bCs/>
                <w:color w:val="333333"/>
                <w:sz w:val="20"/>
                <w:szCs w:val="20"/>
              </w:rPr>
              <w:t>Urothelial cancer</w:t>
            </w:r>
          </w:p>
        </w:tc>
      </w:tr>
      <w:tr w:rsidR="00311F03" w:rsidRPr="001428E9" w14:paraId="5300C26F" w14:textId="77777777" w:rsidTr="00E36DB9">
        <w:tblPrEx>
          <w:tblCellMar>
            <w:top w:w="15" w:type="dxa"/>
            <w:bottom w:w="15" w:type="dxa"/>
          </w:tblCellMar>
        </w:tblPrEx>
        <w:trPr>
          <w:cantSplit/>
          <w:trHeight w:val="20"/>
        </w:trPr>
        <w:tc>
          <w:tcPr>
            <w:tcW w:w="705" w:type="pct"/>
            <w:gridSpan w:val="2"/>
            <w:vAlign w:val="center"/>
          </w:tcPr>
          <w:p w14:paraId="5E3B61D5" w14:textId="543FAA9D" w:rsidR="00311F03" w:rsidRPr="00311F03" w:rsidRDefault="00311F03" w:rsidP="005E4D14">
            <w:pPr>
              <w:keepLines/>
              <w:jc w:val="center"/>
              <w:rPr>
                <w:rFonts w:ascii="Arial Narrow" w:hAnsi="Arial Narrow"/>
                <w:color w:val="333333"/>
                <w:sz w:val="20"/>
                <w:szCs w:val="20"/>
              </w:rPr>
            </w:pPr>
          </w:p>
        </w:tc>
        <w:tc>
          <w:tcPr>
            <w:tcW w:w="4295" w:type="pct"/>
            <w:gridSpan w:val="4"/>
            <w:vAlign w:val="center"/>
            <w:hideMark/>
          </w:tcPr>
          <w:p w14:paraId="27250A16" w14:textId="77777777" w:rsidR="00311F03" w:rsidRPr="00311F03" w:rsidRDefault="00311F03" w:rsidP="005E4D14">
            <w:pPr>
              <w:keepLines/>
              <w:rPr>
                <w:rFonts w:ascii="Arial Narrow" w:hAnsi="Arial Narrow"/>
                <w:color w:val="333333"/>
                <w:sz w:val="20"/>
                <w:szCs w:val="20"/>
              </w:rPr>
            </w:pPr>
            <w:r w:rsidRPr="00311F03">
              <w:rPr>
                <w:rFonts w:ascii="Arial Narrow" w:hAnsi="Arial Narrow"/>
                <w:b/>
                <w:bCs/>
                <w:color w:val="333333"/>
                <w:sz w:val="20"/>
                <w:szCs w:val="20"/>
              </w:rPr>
              <w:t>Indication:</w:t>
            </w:r>
            <w:r w:rsidRPr="00311F03">
              <w:rPr>
                <w:rFonts w:ascii="Arial Narrow" w:hAnsi="Arial Narrow"/>
                <w:color w:val="333333"/>
                <w:sz w:val="20"/>
                <w:szCs w:val="20"/>
              </w:rPr>
              <w:t xml:space="preserve"> Locally advanced (Stage III) or metastatic (Stage IV) urothelial cancer</w:t>
            </w:r>
          </w:p>
        </w:tc>
      </w:tr>
      <w:tr w:rsidR="009C100F" w:rsidRPr="001428E9" w14:paraId="6FAC1AFE"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8B746D3" w14:textId="77777777" w:rsidR="009C100F" w:rsidRPr="00311F03" w:rsidRDefault="009C100F" w:rsidP="005E4D14">
            <w:pPr>
              <w:keepLines/>
              <w:jc w:val="center"/>
              <w:rPr>
                <w:rFonts w:ascii="Arial Narrow" w:hAnsi="Arial Narrow"/>
                <w:color w:val="333333"/>
                <w:sz w:val="20"/>
                <w:szCs w:val="20"/>
              </w:rPr>
            </w:pPr>
          </w:p>
        </w:tc>
        <w:tc>
          <w:tcPr>
            <w:tcW w:w="4295" w:type="pct"/>
            <w:gridSpan w:val="4"/>
            <w:vAlign w:val="center"/>
          </w:tcPr>
          <w:p w14:paraId="7A24C525" w14:textId="77777777" w:rsidR="009C100F" w:rsidRPr="00311F03" w:rsidRDefault="009C100F" w:rsidP="005E4D14">
            <w:pPr>
              <w:keepLines/>
              <w:rPr>
                <w:rFonts w:ascii="Arial Narrow" w:hAnsi="Arial Narrow"/>
                <w:b/>
                <w:bCs/>
                <w:color w:val="333333"/>
                <w:sz w:val="20"/>
                <w:szCs w:val="20"/>
              </w:rPr>
            </w:pPr>
          </w:p>
        </w:tc>
      </w:tr>
      <w:tr w:rsidR="00311F03" w:rsidRPr="001428E9" w14:paraId="591690ED" w14:textId="77777777" w:rsidTr="00E36DB9">
        <w:tblPrEx>
          <w:tblCellMar>
            <w:top w:w="15" w:type="dxa"/>
            <w:bottom w:w="15" w:type="dxa"/>
          </w:tblCellMar>
        </w:tblPrEx>
        <w:trPr>
          <w:cantSplit/>
          <w:trHeight w:val="20"/>
        </w:trPr>
        <w:tc>
          <w:tcPr>
            <w:tcW w:w="705" w:type="pct"/>
            <w:gridSpan w:val="2"/>
            <w:vAlign w:val="center"/>
          </w:tcPr>
          <w:p w14:paraId="34419407" w14:textId="29812F50" w:rsidR="00311F03" w:rsidRPr="00311F03" w:rsidRDefault="00311F03" w:rsidP="005E4D14">
            <w:pPr>
              <w:jc w:val="center"/>
              <w:rPr>
                <w:rFonts w:ascii="Arial Narrow" w:hAnsi="Arial Narrow"/>
                <w:color w:val="333333"/>
                <w:sz w:val="20"/>
                <w:szCs w:val="20"/>
              </w:rPr>
            </w:pPr>
          </w:p>
        </w:tc>
        <w:tc>
          <w:tcPr>
            <w:tcW w:w="4295" w:type="pct"/>
            <w:gridSpan w:val="4"/>
            <w:vAlign w:val="center"/>
            <w:hideMark/>
          </w:tcPr>
          <w:p w14:paraId="52D88FEE" w14:textId="77777777" w:rsidR="00311F03" w:rsidRPr="00311F03" w:rsidRDefault="00311F03" w:rsidP="005E4D14">
            <w:pPr>
              <w:rPr>
                <w:rFonts w:ascii="Arial Narrow" w:hAnsi="Arial Narrow"/>
                <w:color w:val="FF0000"/>
                <w:sz w:val="20"/>
                <w:szCs w:val="20"/>
              </w:rPr>
            </w:pPr>
            <w:r w:rsidRPr="00311F03">
              <w:rPr>
                <w:rFonts w:ascii="Arial Narrow" w:hAnsi="Arial Narrow"/>
                <w:b/>
                <w:bCs/>
                <w:sz w:val="20"/>
                <w:szCs w:val="20"/>
              </w:rPr>
              <w:t>Clinical criteria:</w:t>
            </w:r>
          </w:p>
        </w:tc>
      </w:tr>
      <w:tr w:rsidR="00311F03" w:rsidRPr="001428E9" w14:paraId="793BDD72" w14:textId="77777777" w:rsidTr="00E36DB9">
        <w:tblPrEx>
          <w:tblCellMar>
            <w:top w:w="15" w:type="dxa"/>
            <w:bottom w:w="15" w:type="dxa"/>
          </w:tblCellMar>
        </w:tblPrEx>
        <w:trPr>
          <w:cantSplit/>
          <w:trHeight w:val="20"/>
        </w:trPr>
        <w:tc>
          <w:tcPr>
            <w:tcW w:w="705" w:type="pct"/>
            <w:gridSpan w:val="2"/>
            <w:vAlign w:val="center"/>
          </w:tcPr>
          <w:p w14:paraId="51C2AA6A" w14:textId="29C0F89A" w:rsidR="00311F03" w:rsidRPr="00311F03" w:rsidRDefault="00311F03" w:rsidP="005E4D14">
            <w:pPr>
              <w:jc w:val="center"/>
              <w:rPr>
                <w:rFonts w:ascii="Arial Narrow" w:hAnsi="Arial Narrow"/>
                <w:color w:val="333333"/>
                <w:sz w:val="20"/>
                <w:szCs w:val="20"/>
              </w:rPr>
            </w:pPr>
          </w:p>
        </w:tc>
        <w:tc>
          <w:tcPr>
            <w:tcW w:w="4295" w:type="pct"/>
            <w:gridSpan w:val="4"/>
            <w:vAlign w:val="center"/>
            <w:hideMark/>
          </w:tcPr>
          <w:p w14:paraId="341087F0" w14:textId="0301E3F5" w:rsidR="00311F03" w:rsidRPr="00311F03" w:rsidRDefault="00311F03" w:rsidP="005E4D14">
            <w:pPr>
              <w:rPr>
                <w:rFonts w:ascii="Arial Narrow" w:hAnsi="Arial Narrow"/>
                <w:color w:val="333333"/>
                <w:sz w:val="20"/>
                <w:szCs w:val="20"/>
              </w:rPr>
            </w:pPr>
            <w:r w:rsidRPr="00311F03">
              <w:rPr>
                <w:rFonts w:ascii="Arial Narrow" w:hAnsi="Arial Narrow"/>
                <w:sz w:val="20"/>
                <w:szCs w:val="20"/>
              </w:rPr>
              <w:t>Patient must not have received prior systemic therapy for this condition</w:t>
            </w:r>
            <w:r w:rsidR="006C021F">
              <w:rPr>
                <w:rFonts w:ascii="Arial Narrow" w:hAnsi="Arial Narrow"/>
                <w:sz w:val="20"/>
                <w:szCs w:val="20"/>
              </w:rPr>
              <w:t xml:space="preserve"> at the initiation of treatment with this drug</w:t>
            </w:r>
            <w:r w:rsidRPr="00311F03">
              <w:rPr>
                <w:rFonts w:ascii="Arial Narrow" w:hAnsi="Arial Narrow"/>
                <w:sz w:val="20"/>
                <w:szCs w:val="20"/>
              </w:rPr>
              <w:t>, with the exception of neoadjuvant/adjuvant chemotherapy,</w:t>
            </w:r>
          </w:p>
        </w:tc>
      </w:tr>
      <w:tr w:rsidR="00311F03" w:rsidRPr="001428E9" w14:paraId="64AFD375"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8AB67C3" w14:textId="77777777" w:rsidR="00311F03" w:rsidRPr="00311F03" w:rsidRDefault="00311F03" w:rsidP="005E4D14">
            <w:pPr>
              <w:jc w:val="center"/>
              <w:rPr>
                <w:rFonts w:ascii="Arial Narrow" w:hAnsi="Arial Narrow"/>
                <w:color w:val="333333"/>
                <w:sz w:val="20"/>
                <w:szCs w:val="20"/>
              </w:rPr>
            </w:pPr>
          </w:p>
        </w:tc>
        <w:tc>
          <w:tcPr>
            <w:tcW w:w="4295" w:type="pct"/>
            <w:gridSpan w:val="4"/>
            <w:vAlign w:val="center"/>
          </w:tcPr>
          <w:p w14:paraId="32B8555E" w14:textId="77777777" w:rsidR="00311F03" w:rsidRPr="00311F03" w:rsidRDefault="00311F03" w:rsidP="005E4D14">
            <w:pPr>
              <w:rPr>
                <w:rFonts w:ascii="Arial Narrow" w:hAnsi="Arial Narrow"/>
                <w:b/>
                <w:bCs/>
                <w:sz w:val="20"/>
                <w:szCs w:val="20"/>
              </w:rPr>
            </w:pPr>
            <w:r w:rsidRPr="00311F03">
              <w:rPr>
                <w:rFonts w:ascii="Arial Narrow" w:hAnsi="Arial Narrow"/>
                <w:b/>
                <w:bCs/>
                <w:sz w:val="20"/>
                <w:szCs w:val="20"/>
              </w:rPr>
              <w:t>AND</w:t>
            </w:r>
          </w:p>
        </w:tc>
      </w:tr>
      <w:tr w:rsidR="00026927" w:rsidRPr="001428E9" w14:paraId="323F4F3C" w14:textId="77777777" w:rsidTr="00E36DB9">
        <w:tblPrEx>
          <w:tblCellMar>
            <w:top w:w="15" w:type="dxa"/>
            <w:bottom w:w="15" w:type="dxa"/>
          </w:tblCellMar>
        </w:tblPrEx>
        <w:trPr>
          <w:cantSplit/>
          <w:trHeight w:val="20"/>
        </w:trPr>
        <w:tc>
          <w:tcPr>
            <w:tcW w:w="705" w:type="pct"/>
            <w:gridSpan w:val="2"/>
            <w:vAlign w:val="center"/>
          </w:tcPr>
          <w:p w14:paraId="48502750" w14:textId="6B0DEBA2" w:rsidR="00026927" w:rsidRPr="00311F03" w:rsidRDefault="00026927" w:rsidP="00026927">
            <w:pPr>
              <w:jc w:val="center"/>
              <w:rPr>
                <w:rFonts w:ascii="Arial Narrow" w:hAnsi="Arial Narrow"/>
                <w:color w:val="333333"/>
                <w:sz w:val="20"/>
                <w:szCs w:val="20"/>
              </w:rPr>
            </w:pPr>
          </w:p>
        </w:tc>
        <w:tc>
          <w:tcPr>
            <w:tcW w:w="4295" w:type="pct"/>
            <w:gridSpan w:val="4"/>
            <w:vAlign w:val="center"/>
            <w:hideMark/>
          </w:tcPr>
          <w:p w14:paraId="460112E9" w14:textId="77777777" w:rsidR="00026927" w:rsidRPr="00311F03" w:rsidRDefault="00026927" w:rsidP="00026927">
            <w:pPr>
              <w:rPr>
                <w:rFonts w:ascii="Arial Narrow" w:hAnsi="Arial Narrow"/>
                <w:color w:val="333333"/>
                <w:sz w:val="20"/>
                <w:szCs w:val="20"/>
              </w:rPr>
            </w:pPr>
            <w:r w:rsidRPr="00311F03">
              <w:rPr>
                <w:rFonts w:ascii="Arial Narrow" w:hAnsi="Arial Narrow"/>
                <w:b/>
                <w:bCs/>
                <w:sz w:val="20"/>
                <w:szCs w:val="20"/>
              </w:rPr>
              <w:t>Clinical criteria:</w:t>
            </w:r>
          </w:p>
        </w:tc>
      </w:tr>
      <w:tr w:rsidR="00026927" w:rsidRPr="001428E9" w14:paraId="67E9C60C"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1CF7B6D" w14:textId="10158ED4" w:rsidR="00026927" w:rsidRPr="00311F03" w:rsidRDefault="00026927" w:rsidP="00026927">
            <w:pPr>
              <w:jc w:val="center"/>
              <w:rPr>
                <w:rFonts w:ascii="Arial Narrow" w:hAnsi="Arial Narrow"/>
                <w:color w:val="333333"/>
                <w:sz w:val="20"/>
                <w:szCs w:val="20"/>
              </w:rPr>
            </w:pPr>
          </w:p>
        </w:tc>
        <w:tc>
          <w:tcPr>
            <w:tcW w:w="4295" w:type="pct"/>
            <w:gridSpan w:val="4"/>
            <w:vAlign w:val="center"/>
            <w:hideMark/>
          </w:tcPr>
          <w:p w14:paraId="4FBEDB24" w14:textId="77777777" w:rsidR="00026927" w:rsidRPr="00311F03" w:rsidRDefault="00026927" w:rsidP="00026927">
            <w:pPr>
              <w:rPr>
                <w:rFonts w:ascii="Arial Narrow" w:hAnsi="Arial Narrow"/>
                <w:color w:val="333333"/>
                <w:sz w:val="20"/>
                <w:szCs w:val="20"/>
              </w:rPr>
            </w:pPr>
            <w:r w:rsidRPr="00311F03">
              <w:rPr>
                <w:rFonts w:ascii="Arial Narrow" w:hAnsi="Arial Narrow"/>
                <w:sz w:val="20"/>
                <w:szCs w:val="20"/>
              </w:rPr>
              <w:t>Patient must have/have had a WHO performance status score of no greater than 2 at treatment initiation with this drug.</w:t>
            </w:r>
          </w:p>
        </w:tc>
      </w:tr>
      <w:tr w:rsidR="00026927" w:rsidRPr="001428E9" w14:paraId="50CBC68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56C0093" w14:textId="77777777"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0B5ED987" w14:textId="10868F00" w:rsidR="00026927" w:rsidRPr="00311F03" w:rsidRDefault="00026927" w:rsidP="00026927">
            <w:pPr>
              <w:rPr>
                <w:rFonts w:ascii="Arial Narrow" w:hAnsi="Arial Narrow"/>
                <w:b/>
                <w:bCs/>
                <w:sz w:val="20"/>
                <w:szCs w:val="20"/>
              </w:rPr>
            </w:pPr>
            <w:r w:rsidRPr="00311F03">
              <w:rPr>
                <w:rFonts w:ascii="Arial Narrow" w:hAnsi="Arial Narrow"/>
                <w:b/>
                <w:bCs/>
                <w:sz w:val="20"/>
                <w:szCs w:val="20"/>
              </w:rPr>
              <w:t>AND</w:t>
            </w:r>
          </w:p>
        </w:tc>
      </w:tr>
      <w:tr w:rsidR="00026927" w:rsidRPr="001428E9" w14:paraId="6901F3E6"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E5FAFA0" w14:textId="139CE9A2" w:rsidR="00026927" w:rsidRPr="00311F03" w:rsidRDefault="00026927" w:rsidP="00026927">
            <w:pPr>
              <w:jc w:val="center"/>
              <w:rPr>
                <w:rFonts w:ascii="Arial Narrow" w:hAnsi="Arial Narrow"/>
                <w:color w:val="333333"/>
                <w:sz w:val="20"/>
                <w:szCs w:val="20"/>
              </w:rPr>
            </w:pPr>
          </w:p>
        </w:tc>
        <w:tc>
          <w:tcPr>
            <w:tcW w:w="4295" w:type="pct"/>
            <w:gridSpan w:val="4"/>
            <w:vAlign w:val="center"/>
            <w:hideMark/>
          </w:tcPr>
          <w:p w14:paraId="07E14ADF" w14:textId="77777777" w:rsidR="00026927" w:rsidRPr="00311F03" w:rsidRDefault="00026927" w:rsidP="00026927">
            <w:pPr>
              <w:rPr>
                <w:rFonts w:ascii="Arial Narrow" w:hAnsi="Arial Narrow"/>
                <w:color w:val="FF0000"/>
                <w:sz w:val="20"/>
                <w:szCs w:val="20"/>
              </w:rPr>
            </w:pPr>
            <w:r w:rsidRPr="00311F03">
              <w:rPr>
                <w:rFonts w:ascii="Arial Narrow" w:hAnsi="Arial Narrow"/>
                <w:b/>
                <w:bCs/>
                <w:sz w:val="20"/>
                <w:szCs w:val="20"/>
              </w:rPr>
              <w:t>Treatment criteria</w:t>
            </w:r>
            <w:r w:rsidRPr="00311F03">
              <w:rPr>
                <w:rFonts w:ascii="Arial Narrow" w:hAnsi="Arial Narrow"/>
                <w:sz w:val="20"/>
                <w:szCs w:val="20"/>
              </w:rPr>
              <w:t>:</w:t>
            </w:r>
          </w:p>
        </w:tc>
      </w:tr>
      <w:tr w:rsidR="00026927" w:rsidRPr="001428E9" w14:paraId="0C8B43F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AF6A2D0" w14:textId="6DA8CA56" w:rsidR="00026927" w:rsidRPr="00311F03" w:rsidRDefault="00026927" w:rsidP="00026927">
            <w:pPr>
              <w:jc w:val="center"/>
              <w:rPr>
                <w:rFonts w:ascii="Arial Narrow" w:hAnsi="Arial Narrow"/>
                <w:color w:val="333333"/>
                <w:sz w:val="20"/>
                <w:szCs w:val="20"/>
              </w:rPr>
            </w:pPr>
          </w:p>
        </w:tc>
        <w:tc>
          <w:tcPr>
            <w:tcW w:w="4295" w:type="pct"/>
            <w:gridSpan w:val="4"/>
            <w:vAlign w:val="center"/>
            <w:hideMark/>
          </w:tcPr>
          <w:p w14:paraId="32D0BA63" w14:textId="77777777" w:rsidR="00026927" w:rsidRPr="00311F03" w:rsidRDefault="00026927" w:rsidP="00026927">
            <w:pPr>
              <w:pStyle w:val="Tabletext8pt"/>
              <w:rPr>
                <w:rFonts w:ascii="Arial Narrow" w:hAnsi="Arial Narrow"/>
                <w:sz w:val="20"/>
                <w:szCs w:val="20"/>
              </w:rPr>
            </w:pPr>
            <w:r w:rsidRPr="00311F03">
              <w:rPr>
                <w:rFonts w:ascii="Arial Narrow" w:hAnsi="Arial Narrow"/>
                <w:sz w:val="20"/>
                <w:szCs w:val="20"/>
              </w:rPr>
              <w:t>Patient must be undergoing combination therapy consisting of no more than 24 months of: (i) enfortumab vedotin, (ii) pembrolizumab; OR</w:t>
            </w:r>
          </w:p>
        </w:tc>
      </w:tr>
      <w:tr w:rsidR="00026927" w:rsidRPr="001428E9" w14:paraId="24BD8A8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5BBA9C2" w14:textId="07336AE7"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1B6C4C73" w14:textId="77777777" w:rsidR="00026927" w:rsidRPr="00311F03" w:rsidRDefault="00026927" w:rsidP="00026927">
            <w:pPr>
              <w:pStyle w:val="Tabletext8pt"/>
              <w:rPr>
                <w:rFonts w:ascii="Arial Narrow" w:hAnsi="Arial Narrow"/>
                <w:sz w:val="20"/>
                <w:szCs w:val="20"/>
              </w:rPr>
            </w:pPr>
            <w:r w:rsidRPr="00311F03">
              <w:rPr>
                <w:rFonts w:ascii="Arial Narrow" w:hAnsi="Arial Narrow"/>
                <w:sz w:val="20"/>
                <w:szCs w:val="20"/>
              </w:rPr>
              <w:t>Patient must be undergoing monotherapy with this drug due to intolerance to enfortumab vedotin, requiring temporary/permanent discontinuation; document the details in the patient's medical records,</w:t>
            </w:r>
          </w:p>
        </w:tc>
      </w:tr>
      <w:tr w:rsidR="00026927" w:rsidRPr="001428E9" w14:paraId="544399D7"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6774F95" w14:textId="77777777"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7A34BD00" w14:textId="77777777" w:rsidR="00026927" w:rsidRPr="00311F03" w:rsidRDefault="00026927" w:rsidP="00026927">
            <w:pPr>
              <w:pStyle w:val="Tabletext8pt"/>
              <w:rPr>
                <w:rFonts w:ascii="Arial Narrow" w:hAnsi="Arial Narrow"/>
                <w:sz w:val="20"/>
                <w:szCs w:val="20"/>
              </w:rPr>
            </w:pPr>
            <w:r w:rsidRPr="00311F03">
              <w:rPr>
                <w:rStyle w:val="CommentReference"/>
                <w:bCs/>
                <w:szCs w:val="20"/>
              </w:rPr>
              <w:t>AND</w:t>
            </w:r>
          </w:p>
        </w:tc>
      </w:tr>
      <w:tr w:rsidR="00026927" w:rsidRPr="001428E9" w14:paraId="75FCC3D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071BC39" w14:textId="5A98E3CD"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664EBEDB" w14:textId="77777777" w:rsidR="00026927" w:rsidRPr="00311F03" w:rsidRDefault="00026927" w:rsidP="00026927">
            <w:pPr>
              <w:pStyle w:val="Tabletext8pt"/>
              <w:rPr>
                <w:rFonts w:ascii="Arial Narrow" w:hAnsi="Arial Narrow"/>
                <w:sz w:val="20"/>
                <w:szCs w:val="20"/>
              </w:rPr>
            </w:pPr>
            <w:r w:rsidRPr="00311F03">
              <w:rPr>
                <w:rFonts w:ascii="Arial Narrow" w:eastAsia="Times New Roman" w:hAnsi="Arial Narrow"/>
                <w:b/>
                <w:bCs/>
                <w:color w:val="333333"/>
                <w:sz w:val="20"/>
                <w:szCs w:val="20"/>
                <w:lang w:eastAsia="en-AU"/>
              </w:rPr>
              <w:t>Treatment criteria:</w:t>
            </w:r>
          </w:p>
        </w:tc>
      </w:tr>
      <w:tr w:rsidR="00026927" w:rsidRPr="001428E9" w14:paraId="391B748C"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CF187E9" w14:textId="36681F0B"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58F7E510" w14:textId="7AA9DF05" w:rsidR="00026927" w:rsidRPr="00311F03" w:rsidRDefault="00026927" w:rsidP="00026927">
            <w:pPr>
              <w:pStyle w:val="Tabletext8pt"/>
              <w:rPr>
                <w:rFonts w:ascii="Arial Narrow" w:hAnsi="Arial Narrow"/>
                <w:sz w:val="20"/>
                <w:szCs w:val="20"/>
              </w:rPr>
            </w:pPr>
            <w:r w:rsidRPr="00311F03">
              <w:rPr>
                <w:rFonts w:ascii="Arial Narrow" w:hAnsi="Arial Narrow"/>
                <w:sz w:val="20"/>
                <w:szCs w:val="20"/>
              </w:rPr>
              <w:t xml:space="preserve">Patient must not be undergoing continuous PBS-subsidised treatment where this benefit is extending treatment beyond 24 cumulative months from the first administered dose, once in a lifetime. </w:t>
            </w:r>
          </w:p>
        </w:tc>
      </w:tr>
      <w:tr w:rsidR="00026927" w:rsidRPr="001428E9" w14:paraId="3CDE317B"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D53019D" w14:textId="77777777" w:rsidR="00026927" w:rsidRPr="00311F03" w:rsidRDefault="00026927" w:rsidP="00026927">
            <w:pPr>
              <w:jc w:val="center"/>
              <w:rPr>
                <w:rFonts w:ascii="Arial Narrow" w:hAnsi="Arial Narrow"/>
                <w:color w:val="333333"/>
                <w:sz w:val="20"/>
                <w:szCs w:val="20"/>
              </w:rPr>
            </w:pPr>
          </w:p>
        </w:tc>
        <w:tc>
          <w:tcPr>
            <w:tcW w:w="4295" w:type="pct"/>
            <w:gridSpan w:val="4"/>
            <w:vAlign w:val="center"/>
            <w:hideMark/>
          </w:tcPr>
          <w:p w14:paraId="2471CD50" w14:textId="77777777" w:rsidR="00026927" w:rsidRPr="00311F03" w:rsidRDefault="00026927" w:rsidP="00026927">
            <w:pPr>
              <w:rPr>
                <w:rFonts w:ascii="Arial Narrow" w:hAnsi="Arial Narrow"/>
                <w:b/>
                <w:bCs/>
                <w:color w:val="333333"/>
                <w:sz w:val="20"/>
                <w:szCs w:val="20"/>
              </w:rPr>
            </w:pPr>
            <w:r w:rsidRPr="00311F03">
              <w:rPr>
                <w:rStyle w:val="CommentReference"/>
                <w:bCs/>
                <w:szCs w:val="20"/>
              </w:rPr>
              <w:t>AND</w:t>
            </w:r>
          </w:p>
        </w:tc>
      </w:tr>
      <w:tr w:rsidR="00026927" w:rsidRPr="001428E9" w14:paraId="294F10CA"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31D1719" w14:textId="537BAE3B"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7E0BE4A2" w14:textId="77777777" w:rsidR="00026927" w:rsidRPr="00311F03" w:rsidRDefault="00026927" w:rsidP="00026927">
            <w:pPr>
              <w:rPr>
                <w:rStyle w:val="CommentReference"/>
                <w:szCs w:val="20"/>
              </w:rPr>
            </w:pPr>
            <w:r w:rsidRPr="00311F03">
              <w:rPr>
                <w:rFonts w:ascii="Arial Narrow" w:hAnsi="Arial Narrow"/>
                <w:b/>
                <w:bCs/>
                <w:color w:val="333333"/>
                <w:sz w:val="20"/>
                <w:szCs w:val="20"/>
              </w:rPr>
              <w:t>Treatment criteria:</w:t>
            </w:r>
          </w:p>
        </w:tc>
      </w:tr>
      <w:tr w:rsidR="00026927" w:rsidRPr="001428E9" w14:paraId="7F1B9AD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943EBA0" w14:textId="4AD7E0FA" w:rsidR="00026927" w:rsidRPr="00311F03" w:rsidRDefault="00026927" w:rsidP="00026927">
            <w:pPr>
              <w:jc w:val="center"/>
              <w:rPr>
                <w:rFonts w:ascii="Arial Narrow" w:hAnsi="Arial Narrow"/>
                <w:color w:val="333333"/>
                <w:sz w:val="20"/>
                <w:szCs w:val="20"/>
              </w:rPr>
            </w:pPr>
          </w:p>
        </w:tc>
        <w:tc>
          <w:tcPr>
            <w:tcW w:w="4295" w:type="pct"/>
            <w:gridSpan w:val="4"/>
            <w:vAlign w:val="center"/>
            <w:hideMark/>
          </w:tcPr>
          <w:p w14:paraId="1DB33597" w14:textId="77777777" w:rsidR="00026927" w:rsidRPr="00311F03" w:rsidRDefault="00026927" w:rsidP="00026927">
            <w:pPr>
              <w:pStyle w:val="Tabletext8pt"/>
              <w:rPr>
                <w:rFonts w:ascii="Arial Narrow" w:hAnsi="Arial Narrow"/>
                <w:sz w:val="20"/>
                <w:szCs w:val="20"/>
              </w:rPr>
            </w:pPr>
            <w:r w:rsidRPr="00311F03">
              <w:rPr>
                <w:rFonts w:ascii="Arial Narrow" w:hAnsi="Arial Narrow"/>
                <w:sz w:val="20"/>
                <w:szCs w:val="20"/>
              </w:rPr>
              <w:t>Patient must be undergoing treatment with this drug for the first time; OR</w:t>
            </w:r>
          </w:p>
        </w:tc>
      </w:tr>
      <w:tr w:rsidR="00026927" w:rsidRPr="001428E9" w14:paraId="637FBD43"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11165FB" w14:textId="56DEC4F7" w:rsidR="00026927" w:rsidRPr="00311F03" w:rsidRDefault="00026927" w:rsidP="00026927">
            <w:pPr>
              <w:jc w:val="center"/>
              <w:rPr>
                <w:rFonts w:ascii="Arial Narrow" w:hAnsi="Arial Narrow"/>
                <w:color w:val="333333"/>
                <w:sz w:val="20"/>
                <w:szCs w:val="20"/>
              </w:rPr>
            </w:pPr>
          </w:p>
        </w:tc>
        <w:tc>
          <w:tcPr>
            <w:tcW w:w="4295" w:type="pct"/>
            <w:gridSpan w:val="4"/>
            <w:vAlign w:val="center"/>
            <w:hideMark/>
          </w:tcPr>
          <w:p w14:paraId="73822985" w14:textId="77777777" w:rsidR="00026927" w:rsidRPr="00311F03" w:rsidRDefault="00026927" w:rsidP="00026927">
            <w:pPr>
              <w:rPr>
                <w:rFonts w:ascii="Arial Narrow" w:hAnsi="Arial Narrow"/>
                <w:color w:val="333333"/>
                <w:sz w:val="20"/>
                <w:szCs w:val="20"/>
              </w:rPr>
            </w:pPr>
            <w:r w:rsidRPr="00311F03">
              <w:rPr>
                <w:rFonts w:ascii="Arial Narrow" w:hAnsi="Arial Narrow"/>
                <w:sz w:val="20"/>
                <w:szCs w:val="20"/>
              </w:rPr>
              <w:t>Patient must be undergoing continuing treatment with this drug, with each of the following being true: (i) all other PBS eligibility criteria in this restriction are met, (ii) disease progression is absent.</w:t>
            </w:r>
          </w:p>
        </w:tc>
      </w:tr>
      <w:tr w:rsidR="00026927" w:rsidRPr="001428E9" w14:paraId="4DEAB783" w14:textId="77777777" w:rsidTr="005E4D14">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68CAD8C" w14:textId="77777777" w:rsidR="00026927" w:rsidRPr="00311F03" w:rsidRDefault="00026927" w:rsidP="00026927">
            <w:pPr>
              <w:rPr>
                <w:rFonts w:ascii="Arial Narrow" w:hAnsi="Arial Narrow"/>
                <w:bCs/>
                <w:color w:val="FF0000"/>
                <w:sz w:val="20"/>
                <w:szCs w:val="20"/>
              </w:rPr>
            </w:pPr>
          </w:p>
        </w:tc>
      </w:tr>
      <w:tr w:rsidR="00026927" w:rsidRPr="001428E9" w14:paraId="4AE94518" w14:textId="77777777" w:rsidTr="005E4D14">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08F0CC2" w14:textId="77777777" w:rsidR="00026927" w:rsidRPr="00311F03" w:rsidRDefault="00026927" w:rsidP="00026927">
            <w:pPr>
              <w:keepLines/>
              <w:rPr>
                <w:rFonts w:ascii="Arial Narrow" w:hAnsi="Arial Narrow"/>
                <w:b/>
                <w:bCs/>
                <w:color w:val="333333"/>
                <w:sz w:val="20"/>
                <w:szCs w:val="20"/>
              </w:rPr>
            </w:pPr>
            <w:r w:rsidRPr="00311F03">
              <w:rPr>
                <w:rFonts w:ascii="Arial Narrow" w:hAnsi="Arial Narrow"/>
                <w:b/>
                <w:bCs/>
                <w:color w:val="333333"/>
                <w:sz w:val="20"/>
                <w:szCs w:val="20"/>
              </w:rPr>
              <w:t>Restriction Summary [new]</w:t>
            </w:r>
            <w:r w:rsidRPr="00311F03">
              <w:rPr>
                <w:rFonts w:ascii="Arial Narrow" w:hAnsi="Arial Narrow"/>
                <w:b/>
                <w:bCs/>
                <w:color w:val="FF0000"/>
                <w:sz w:val="20"/>
                <w:szCs w:val="20"/>
              </w:rPr>
              <w:t xml:space="preserve"> </w:t>
            </w:r>
            <w:r w:rsidRPr="00311F03">
              <w:rPr>
                <w:rFonts w:ascii="Arial Narrow" w:hAnsi="Arial Narrow"/>
                <w:b/>
                <w:bCs/>
                <w:color w:val="333333"/>
                <w:sz w:val="20"/>
                <w:szCs w:val="20"/>
              </w:rPr>
              <w:t xml:space="preserve">/ Treatment of Concept: [new] </w:t>
            </w:r>
          </w:p>
        </w:tc>
      </w:tr>
      <w:tr w:rsidR="00026927" w:rsidRPr="001428E9" w14:paraId="08382489" w14:textId="77777777" w:rsidTr="00E36DB9">
        <w:tblPrEx>
          <w:tblCellMar>
            <w:top w:w="15" w:type="dxa"/>
            <w:bottom w:w="15" w:type="dxa"/>
          </w:tblCellMar>
        </w:tblPrEx>
        <w:trPr>
          <w:cantSplit/>
          <w:trHeight w:val="20"/>
        </w:trPr>
        <w:tc>
          <w:tcPr>
            <w:tcW w:w="705" w:type="pct"/>
            <w:gridSpan w:val="2"/>
            <w:vAlign w:val="center"/>
          </w:tcPr>
          <w:p w14:paraId="4BD4A788" w14:textId="3B371205" w:rsidR="00026927" w:rsidRPr="00311F03" w:rsidRDefault="00026927" w:rsidP="00026927">
            <w:pPr>
              <w:jc w:val="center"/>
              <w:rPr>
                <w:rFonts w:ascii="Arial Narrow" w:hAnsi="Arial Narrow"/>
                <w:color w:val="333333"/>
                <w:sz w:val="20"/>
                <w:szCs w:val="20"/>
              </w:rPr>
            </w:pPr>
          </w:p>
        </w:tc>
        <w:tc>
          <w:tcPr>
            <w:tcW w:w="4295" w:type="pct"/>
            <w:gridSpan w:val="4"/>
            <w:vAlign w:val="center"/>
            <w:hideMark/>
          </w:tcPr>
          <w:p w14:paraId="382BED37" w14:textId="77777777" w:rsidR="00026927" w:rsidRPr="00311F03" w:rsidRDefault="00026927" w:rsidP="00026927">
            <w:pPr>
              <w:rPr>
                <w:rFonts w:ascii="Arial Narrow" w:hAnsi="Arial Narrow"/>
                <w:color w:val="333333"/>
                <w:sz w:val="20"/>
                <w:szCs w:val="20"/>
              </w:rPr>
            </w:pPr>
            <w:r w:rsidRPr="00311F03">
              <w:rPr>
                <w:rFonts w:ascii="Arial Narrow" w:hAnsi="Arial Narrow"/>
                <w:b/>
                <w:bCs/>
                <w:color w:val="333333"/>
                <w:sz w:val="20"/>
                <w:szCs w:val="20"/>
              </w:rPr>
              <w:t>Indication:</w:t>
            </w:r>
            <w:r w:rsidRPr="00311F03">
              <w:rPr>
                <w:rFonts w:ascii="Arial Narrow" w:hAnsi="Arial Narrow"/>
                <w:color w:val="333333"/>
                <w:sz w:val="20"/>
                <w:szCs w:val="20"/>
              </w:rPr>
              <w:t xml:space="preserve"> Locally advanced (Stage III) or metastatic (Stage IV) urothelial cancer</w:t>
            </w:r>
          </w:p>
        </w:tc>
      </w:tr>
      <w:tr w:rsidR="00026927" w:rsidRPr="001428E9" w14:paraId="5D9CDE85" w14:textId="77777777" w:rsidTr="00E36DB9">
        <w:tblPrEx>
          <w:tblCellMar>
            <w:top w:w="15" w:type="dxa"/>
            <w:bottom w:w="15" w:type="dxa"/>
          </w:tblCellMar>
        </w:tblPrEx>
        <w:trPr>
          <w:cantSplit/>
          <w:trHeight w:val="20"/>
        </w:trPr>
        <w:tc>
          <w:tcPr>
            <w:tcW w:w="705" w:type="pct"/>
            <w:gridSpan w:val="2"/>
            <w:vAlign w:val="center"/>
          </w:tcPr>
          <w:p w14:paraId="6CDE4F2B" w14:textId="77777777" w:rsidR="00026927" w:rsidRPr="00311F03" w:rsidRDefault="00026927" w:rsidP="00026927">
            <w:pPr>
              <w:jc w:val="center"/>
              <w:rPr>
                <w:rFonts w:ascii="Arial Narrow" w:hAnsi="Arial Narrow"/>
                <w:color w:val="333333"/>
                <w:sz w:val="20"/>
                <w:szCs w:val="20"/>
              </w:rPr>
            </w:pPr>
          </w:p>
        </w:tc>
        <w:tc>
          <w:tcPr>
            <w:tcW w:w="4295" w:type="pct"/>
            <w:gridSpan w:val="4"/>
            <w:vAlign w:val="center"/>
            <w:hideMark/>
          </w:tcPr>
          <w:p w14:paraId="279015B1" w14:textId="77777777" w:rsidR="00026927" w:rsidRPr="00311F03" w:rsidRDefault="00026927" w:rsidP="00026927">
            <w:pPr>
              <w:rPr>
                <w:rFonts w:ascii="Arial Narrow" w:hAnsi="Arial Narrow"/>
                <w:color w:val="FF0000"/>
                <w:sz w:val="20"/>
                <w:szCs w:val="20"/>
              </w:rPr>
            </w:pPr>
            <w:r w:rsidRPr="00311F03">
              <w:rPr>
                <w:rFonts w:ascii="Arial Narrow" w:hAnsi="Arial Narrow"/>
                <w:b/>
                <w:bCs/>
                <w:color w:val="333333"/>
                <w:sz w:val="20"/>
                <w:szCs w:val="20"/>
              </w:rPr>
              <w:t>Treatment Phase</w:t>
            </w:r>
            <w:r w:rsidRPr="00311F03">
              <w:rPr>
                <w:rFonts w:ascii="Arial Narrow" w:hAnsi="Arial Narrow"/>
                <w:b/>
                <w:bCs/>
                <w:sz w:val="20"/>
                <w:szCs w:val="20"/>
              </w:rPr>
              <w:t>:</w:t>
            </w:r>
            <w:r w:rsidRPr="00311F03">
              <w:rPr>
                <w:rFonts w:ascii="Arial Narrow" w:hAnsi="Arial Narrow"/>
                <w:sz w:val="20"/>
                <w:szCs w:val="20"/>
              </w:rPr>
              <w:t xml:space="preserve"> Transitioning from non-PBS to PBS subsided treatment – ‘Grandfather’ arrangement</w:t>
            </w:r>
          </w:p>
        </w:tc>
      </w:tr>
      <w:tr w:rsidR="00026927" w:rsidRPr="001428E9" w14:paraId="0015A3A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6118F7F" w14:textId="4ABB1EEF"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4ABAECA7" w14:textId="77777777" w:rsidR="00026927" w:rsidRPr="00311F03" w:rsidRDefault="00026927" w:rsidP="00026927">
            <w:pPr>
              <w:rPr>
                <w:rFonts w:ascii="Arial Narrow" w:hAnsi="Arial Narrow"/>
                <w:b/>
                <w:bCs/>
                <w:color w:val="333333"/>
                <w:sz w:val="20"/>
                <w:szCs w:val="20"/>
              </w:rPr>
            </w:pPr>
            <w:r w:rsidRPr="00311F03">
              <w:rPr>
                <w:rFonts w:ascii="Arial Narrow" w:hAnsi="Arial Narrow"/>
                <w:b/>
                <w:bCs/>
                <w:sz w:val="20"/>
                <w:szCs w:val="20"/>
              </w:rPr>
              <w:t>Clinical criteria:</w:t>
            </w:r>
          </w:p>
        </w:tc>
      </w:tr>
      <w:tr w:rsidR="00026927" w:rsidRPr="001428E9" w14:paraId="5CEC7759"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677B490" w14:textId="55E002AE"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0956AB0B" w14:textId="77777777" w:rsidR="00026927" w:rsidRPr="00311F03" w:rsidRDefault="00026927" w:rsidP="00026927">
            <w:pPr>
              <w:rPr>
                <w:rFonts w:ascii="Arial Narrow" w:hAnsi="Arial Narrow"/>
                <w:b/>
                <w:bCs/>
                <w:sz w:val="20"/>
                <w:szCs w:val="20"/>
              </w:rPr>
            </w:pPr>
            <w:r w:rsidRPr="00311F03">
              <w:rPr>
                <w:rFonts w:ascii="Arial Narrow" w:hAnsi="Arial Narrow"/>
                <w:sz w:val="20"/>
                <w:szCs w:val="20"/>
              </w:rPr>
              <w:t>Patient must have received non-PBS-subsidised treatment with this drug for this indication prior to [date of PBS listing],</w:t>
            </w:r>
          </w:p>
        </w:tc>
      </w:tr>
      <w:tr w:rsidR="00026927" w:rsidRPr="001428E9" w14:paraId="2B2C6B13"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6AB6D91" w14:textId="77777777"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29974485" w14:textId="77777777" w:rsidR="00026927" w:rsidRPr="00311F03" w:rsidRDefault="00026927" w:rsidP="00026927">
            <w:pPr>
              <w:rPr>
                <w:rFonts w:ascii="Arial Narrow" w:hAnsi="Arial Narrow"/>
                <w:sz w:val="20"/>
                <w:szCs w:val="20"/>
              </w:rPr>
            </w:pPr>
            <w:r w:rsidRPr="00311F03">
              <w:rPr>
                <w:rFonts w:ascii="Arial Narrow" w:hAnsi="Arial Narrow"/>
                <w:b/>
                <w:bCs/>
                <w:sz w:val="20"/>
                <w:szCs w:val="20"/>
              </w:rPr>
              <w:t>AND</w:t>
            </w:r>
          </w:p>
        </w:tc>
      </w:tr>
      <w:tr w:rsidR="00026927" w:rsidRPr="001428E9" w14:paraId="340B7A27"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21479B0" w14:textId="77777777"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468D4135" w14:textId="77777777" w:rsidR="00026927" w:rsidRPr="00311F03" w:rsidRDefault="00026927" w:rsidP="00026927">
            <w:pPr>
              <w:rPr>
                <w:rFonts w:ascii="Arial Narrow" w:hAnsi="Arial Narrow"/>
                <w:b/>
                <w:bCs/>
                <w:sz w:val="20"/>
                <w:szCs w:val="20"/>
              </w:rPr>
            </w:pPr>
            <w:r w:rsidRPr="00311F03">
              <w:rPr>
                <w:rFonts w:ascii="Arial Narrow" w:hAnsi="Arial Narrow"/>
                <w:b/>
                <w:bCs/>
                <w:sz w:val="20"/>
                <w:szCs w:val="20"/>
              </w:rPr>
              <w:t>Clinical criteria:</w:t>
            </w:r>
          </w:p>
        </w:tc>
      </w:tr>
      <w:tr w:rsidR="00026927" w:rsidRPr="001428E9" w14:paraId="4A5884EF"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759F339" w14:textId="0DD3C061"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10D4AF5F" w14:textId="77777777" w:rsidR="00026927" w:rsidRPr="00311F03" w:rsidRDefault="00026927" w:rsidP="00026927">
            <w:pPr>
              <w:rPr>
                <w:rFonts w:ascii="Arial Narrow" w:hAnsi="Arial Narrow"/>
                <w:b/>
                <w:bCs/>
                <w:sz w:val="20"/>
                <w:szCs w:val="20"/>
              </w:rPr>
            </w:pPr>
            <w:r w:rsidRPr="00311F03">
              <w:rPr>
                <w:rFonts w:ascii="Arial Narrow" w:hAnsi="Arial Narrow"/>
                <w:sz w:val="20"/>
                <w:szCs w:val="20"/>
              </w:rPr>
              <w:t>Patient must have/have had a WHO performance status score of no greater than 2 prior to initiation of non-PBS-subsidised treatment with this drug for this condition,</w:t>
            </w:r>
          </w:p>
        </w:tc>
      </w:tr>
      <w:tr w:rsidR="00026927" w:rsidRPr="001428E9" w14:paraId="188497D1"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0F0B238" w14:textId="77777777"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6CF1EFAC" w14:textId="77777777" w:rsidR="00026927" w:rsidRPr="00311F03" w:rsidRDefault="00026927" w:rsidP="00026927">
            <w:pPr>
              <w:rPr>
                <w:rFonts w:ascii="Arial Narrow" w:hAnsi="Arial Narrow"/>
                <w:sz w:val="20"/>
                <w:szCs w:val="20"/>
              </w:rPr>
            </w:pPr>
            <w:r w:rsidRPr="00311F03">
              <w:rPr>
                <w:rFonts w:ascii="Arial Narrow" w:hAnsi="Arial Narrow"/>
                <w:b/>
                <w:bCs/>
                <w:sz w:val="20"/>
                <w:szCs w:val="20"/>
              </w:rPr>
              <w:t>AND</w:t>
            </w:r>
          </w:p>
        </w:tc>
      </w:tr>
      <w:tr w:rsidR="00026927" w:rsidRPr="001428E9" w14:paraId="5EFEBAC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1C0E9FE" w14:textId="0F8803B0"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50DD9089" w14:textId="77777777" w:rsidR="00026927" w:rsidRPr="00311F03" w:rsidRDefault="00026927" w:rsidP="00026927">
            <w:pPr>
              <w:rPr>
                <w:rFonts w:ascii="Arial Narrow" w:hAnsi="Arial Narrow"/>
                <w:sz w:val="20"/>
                <w:szCs w:val="20"/>
              </w:rPr>
            </w:pPr>
            <w:r w:rsidRPr="00311F03">
              <w:rPr>
                <w:rFonts w:ascii="Arial Narrow" w:hAnsi="Arial Narrow"/>
                <w:b/>
                <w:bCs/>
                <w:sz w:val="20"/>
                <w:szCs w:val="20"/>
              </w:rPr>
              <w:t>Clinical criteria:</w:t>
            </w:r>
          </w:p>
        </w:tc>
      </w:tr>
      <w:tr w:rsidR="00026927" w:rsidRPr="001428E9" w14:paraId="71DACC75"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D4F2F90" w14:textId="70021E1F"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11E0A306" w14:textId="77777777" w:rsidR="00026927" w:rsidRPr="00311F03" w:rsidRDefault="00026927" w:rsidP="00026927">
            <w:pPr>
              <w:rPr>
                <w:rFonts w:ascii="Arial Narrow" w:hAnsi="Arial Narrow"/>
                <w:sz w:val="20"/>
                <w:szCs w:val="20"/>
              </w:rPr>
            </w:pPr>
            <w:r w:rsidRPr="00311F03">
              <w:rPr>
                <w:rFonts w:ascii="Arial Narrow" w:hAnsi="Arial Narrow"/>
                <w:sz w:val="20"/>
                <w:szCs w:val="20"/>
              </w:rPr>
              <w:t>Patient must not have developed disease progression while being treated with this drug for this condition.</w:t>
            </w:r>
          </w:p>
        </w:tc>
      </w:tr>
      <w:tr w:rsidR="00205577" w:rsidRPr="001428E9" w14:paraId="69EC5FC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2C06D71" w14:textId="77777777" w:rsidR="00205577" w:rsidRDefault="00205577" w:rsidP="00026927">
            <w:pPr>
              <w:jc w:val="center"/>
              <w:rPr>
                <w:rFonts w:ascii="Arial Narrow" w:hAnsi="Arial Narrow"/>
                <w:color w:val="333333"/>
                <w:sz w:val="20"/>
                <w:szCs w:val="20"/>
              </w:rPr>
            </w:pPr>
          </w:p>
        </w:tc>
        <w:tc>
          <w:tcPr>
            <w:tcW w:w="4295" w:type="pct"/>
            <w:gridSpan w:val="4"/>
            <w:vAlign w:val="center"/>
          </w:tcPr>
          <w:p w14:paraId="2B334BB6" w14:textId="3BC23F65" w:rsidR="00205577" w:rsidRPr="00311F03" w:rsidRDefault="00205577" w:rsidP="00026927">
            <w:pPr>
              <w:rPr>
                <w:rFonts w:ascii="Arial Narrow" w:hAnsi="Arial Narrow"/>
                <w:b/>
                <w:bCs/>
                <w:sz w:val="20"/>
                <w:szCs w:val="20"/>
              </w:rPr>
            </w:pPr>
            <w:r w:rsidRPr="00311F03">
              <w:rPr>
                <w:rFonts w:ascii="Arial Narrow" w:hAnsi="Arial Narrow"/>
                <w:b/>
                <w:bCs/>
                <w:sz w:val="20"/>
                <w:szCs w:val="20"/>
              </w:rPr>
              <w:t>AND</w:t>
            </w:r>
          </w:p>
        </w:tc>
      </w:tr>
      <w:tr w:rsidR="00026927" w:rsidRPr="001428E9" w14:paraId="2442C358"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1E295F1" w14:textId="1C4A8B64"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1C9F3F0E" w14:textId="77777777" w:rsidR="00026927" w:rsidRPr="00311F03" w:rsidRDefault="00026927" w:rsidP="00026927">
            <w:pPr>
              <w:rPr>
                <w:rFonts w:ascii="Arial Narrow" w:hAnsi="Arial Narrow"/>
                <w:sz w:val="20"/>
                <w:szCs w:val="20"/>
              </w:rPr>
            </w:pPr>
            <w:r w:rsidRPr="00311F03">
              <w:rPr>
                <w:rFonts w:ascii="Arial Narrow" w:hAnsi="Arial Narrow"/>
                <w:b/>
                <w:bCs/>
                <w:sz w:val="20"/>
                <w:szCs w:val="20"/>
              </w:rPr>
              <w:t>Treatment criteria</w:t>
            </w:r>
            <w:r w:rsidRPr="00311F03">
              <w:rPr>
                <w:rFonts w:ascii="Arial Narrow" w:hAnsi="Arial Narrow"/>
                <w:sz w:val="20"/>
                <w:szCs w:val="20"/>
              </w:rPr>
              <w:t>:</w:t>
            </w:r>
          </w:p>
        </w:tc>
      </w:tr>
      <w:tr w:rsidR="00026927" w:rsidRPr="001428E9" w14:paraId="7F05DEF0"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04CD6D8" w14:textId="07DB3E29"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0EDAE813" w14:textId="77777777" w:rsidR="00026927" w:rsidRPr="00311F03" w:rsidRDefault="00026927" w:rsidP="00026927">
            <w:pPr>
              <w:rPr>
                <w:rFonts w:ascii="Arial Narrow" w:hAnsi="Arial Narrow"/>
                <w:b/>
                <w:bCs/>
                <w:sz w:val="20"/>
                <w:szCs w:val="20"/>
              </w:rPr>
            </w:pPr>
            <w:r w:rsidRPr="00311F03">
              <w:rPr>
                <w:rFonts w:ascii="Arial Narrow" w:hAnsi="Arial Narrow"/>
                <w:sz w:val="20"/>
                <w:szCs w:val="20"/>
              </w:rPr>
              <w:t>Patient must be undergoing combination therapy consisting of no more than 24 months of: (i) enfortumab vedotin, (ii) pembrolizumab; OR</w:t>
            </w:r>
          </w:p>
        </w:tc>
      </w:tr>
      <w:tr w:rsidR="00026927" w:rsidRPr="001428E9" w14:paraId="483435F5"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F46ACAD" w14:textId="09AA94A2"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755B3CB1" w14:textId="77777777" w:rsidR="00026927" w:rsidRPr="00311F03" w:rsidRDefault="00026927" w:rsidP="00026927">
            <w:pPr>
              <w:rPr>
                <w:rFonts w:ascii="Arial Narrow" w:hAnsi="Arial Narrow"/>
                <w:sz w:val="20"/>
                <w:szCs w:val="20"/>
              </w:rPr>
            </w:pPr>
            <w:r w:rsidRPr="00311F03">
              <w:rPr>
                <w:rFonts w:ascii="Arial Narrow" w:hAnsi="Arial Narrow"/>
                <w:sz w:val="20"/>
                <w:szCs w:val="20"/>
              </w:rPr>
              <w:t>Patient must be undergoing monotherapy with this drug due to intolerance to enfortumab vedotin, requiring temporary/permanent discontinuation; document the details in the patient's medical records,</w:t>
            </w:r>
          </w:p>
        </w:tc>
      </w:tr>
      <w:tr w:rsidR="00026927" w:rsidRPr="001428E9" w14:paraId="1FF416A6"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606C1F6" w14:textId="77777777" w:rsidR="00026927" w:rsidRPr="00311F03" w:rsidRDefault="00026927" w:rsidP="00026927">
            <w:pPr>
              <w:jc w:val="center"/>
              <w:rPr>
                <w:rFonts w:ascii="Arial Narrow" w:hAnsi="Arial Narrow"/>
                <w:color w:val="333333"/>
                <w:sz w:val="20"/>
                <w:szCs w:val="20"/>
              </w:rPr>
            </w:pPr>
          </w:p>
        </w:tc>
        <w:tc>
          <w:tcPr>
            <w:tcW w:w="4295" w:type="pct"/>
            <w:gridSpan w:val="4"/>
            <w:vAlign w:val="center"/>
          </w:tcPr>
          <w:p w14:paraId="1C4BB88F" w14:textId="77777777" w:rsidR="00026927" w:rsidRPr="00311F03" w:rsidRDefault="00026927" w:rsidP="00026927">
            <w:pPr>
              <w:rPr>
                <w:rFonts w:ascii="Arial Narrow" w:hAnsi="Arial Narrow"/>
                <w:b/>
                <w:bCs/>
                <w:sz w:val="20"/>
                <w:szCs w:val="20"/>
              </w:rPr>
            </w:pPr>
            <w:r w:rsidRPr="00311F03">
              <w:rPr>
                <w:rFonts w:ascii="Arial Narrow" w:hAnsi="Arial Narrow"/>
                <w:b/>
                <w:bCs/>
                <w:sz w:val="20"/>
                <w:szCs w:val="20"/>
              </w:rPr>
              <w:t xml:space="preserve">AND </w:t>
            </w:r>
          </w:p>
        </w:tc>
      </w:tr>
      <w:tr w:rsidR="00205577" w:rsidRPr="001428E9" w14:paraId="47E771E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215A9D4" w14:textId="7014B5C9" w:rsidR="00205577" w:rsidRPr="00311F03" w:rsidRDefault="00205577" w:rsidP="00205577">
            <w:pPr>
              <w:jc w:val="center"/>
              <w:rPr>
                <w:rFonts w:ascii="Arial Narrow" w:hAnsi="Arial Narrow"/>
                <w:color w:val="333333"/>
                <w:sz w:val="20"/>
                <w:szCs w:val="20"/>
              </w:rPr>
            </w:pPr>
          </w:p>
        </w:tc>
        <w:tc>
          <w:tcPr>
            <w:tcW w:w="4295" w:type="pct"/>
            <w:gridSpan w:val="4"/>
            <w:vAlign w:val="center"/>
          </w:tcPr>
          <w:p w14:paraId="44212DD1" w14:textId="77777777" w:rsidR="00205577" w:rsidRPr="00311F03" w:rsidRDefault="00205577" w:rsidP="00205577">
            <w:pPr>
              <w:rPr>
                <w:rFonts w:ascii="Arial Narrow" w:hAnsi="Arial Narrow"/>
                <w:b/>
                <w:bCs/>
                <w:sz w:val="20"/>
                <w:szCs w:val="20"/>
              </w:rPr>
            </w:pPr>
            <w:r w:rsidRPr="00311F03">
              <w:rPr>
                <w:rFonts w:ascii="Arial Narrow" w:hAnsi="Arial Narrow"/>
                <w:b/>
                <w:bCs/>
                <w:sz w:val="20"/>
                <w:szCs w:val="20"/>
              </w:rPr>
              <w:t>Treatment Criteria:</w:t>
            </w:r>
          </w:p>
        </w:tc>
      </w:tr>
      <w:tr w:rsidR="00205577" w:rsidRPr="001428E9" w14:paraId="7BD90054"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508C578" w14:textId="658EC86E" w:rsidR="00205577" w:rsidRPr="00311F03" w:rsidRDefault="00205577" w:rsidP="00205577">
            <w:pPr>
              <w:jc w:val="center"/>
              <w:rPr>
                <w:rFonts w:ascii="Arial Narrow" w:hAnsi="Arial Narrow"/>
                <w:color w:val="333333"/>
                <w:sz w:val="20"/>
                <w:szCs w:val="20"/>
              </w:rPr>
            </w:pPr>
          </w:p>
        </w:tc>
        <w:tc>
          <w:tcPr>
            <w:tcW w:w="4295" w:type="pct"/>
            <w:gridSpan w:val="4"/>
            <w:vAlign w:val="center"/>
          </w:tcPr>
          <w:p w14:paraId="0C8C4252" w14:textId="77777777" w:rsidR="00205577" w:rsidRPr="00311F03" w:rsidRDefault="00205577" w:rsidP="00205577">
            <w:pPr>
              <w:rPr>
                <w:rFonts w:ascii="Arial Narrow" w:hAnsi="Arial Narrow"/>
                <w:sz w:val="20"/>
                <w:szCs w:val="20"/>
              </w:rPr>
            </w:pPr>
            <w:r w:rsidRPr="00311F03">
              <w:rPr>
                <w:rFonts w:ascii="Arial Narrow" w:hAnsi="Arial Narrow"/>
                <w:sz w:val="20"/>
                <w:szCs w:val="20"/>
              </w:rPr>
              <w:t>Patient must not be undergoing treatment with this drug beyond 24 cumulative months from the first administered dose, once in a lifetime.</w:t>
            </w:r>
          </w:p>
        </w:tc>
      </w:tr>
      <w:tr w:rsidR="00205577" w:rsidRPr="00205B05" w14:paraId="4EB7F855"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4EEE8DBA" w14:textId="31AC157A" w:rsidR="00205577" w:rsidRPr="00311F03" w:rsidRDefault="00205577" w:rsidP="00205577">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30BFF21C" w14:textId="7A92CE12" w:rsidR="00205577" w:rsidRPr="00311F03" w:rsidRDefault="00205577" w:rsidP="00205577">
            <w:pPr>
              <w:rPr>
                <w:rFonts w:ascii="Arial Narrow" w:hAnsi="Arial Narrow"/>
                <w:sz w:val="20"/>
                <w:szCs w:val="20"/>
              </w:rPr>
            </w:pPr>
            <w:r w:rsidRPr="00311F03">
              <w:rPr>
                <w:rFonts w:ascii="Arial Narrow" w:hAnsi="Arial Narrow"/>
                <w:b/>
                <w:bCs/>
                <w:sz w:val="20"/>
                <w:szCs w:val="20"/>
              </w:rPr>
              <w:t>Administrative Advice:</w:t>
            </w:r>
            <w:r w:rsidRPr="00311F03">
              <w:rPr>
                <w:rFonts w:ascii="Arial Narrow" w:hAnsi="Arial Narrow"/>
                <w:sz w:val="20"/>
                <w:szCs w:val="20"/>
              </w:rPr>
              <w:t xml:space="preserve"> Patients may qualify for PBS-subsidised treatment under this restriction once only. </w:t>
            </w:r>
          </w:p>
        </w:tc>
      </w:tr>
      <w:tr w:rsidR="00205577" w:rsidRPr="000D5965" w14:paraId="66AE17F2" w14:textId="77777777" w:rsidTr="005E4D14">
        <w:tblPrEx>
          <w:tblCellMar>
            <w:top w:w="15" w:type="dxa"/>
            <w:bottom w:w="15" w:type="dxa"/>
          </w:tblCellMar>
          <w:tblLook w:val="04A0" w:firstRow="1" w:lastRow="0" w:firstColumn="1" w:lastColumn="0" w:noHBand="0" w:noVBand="1"/>
        </w:tblPrEx>
        <w:trPr>
          <w:cantSplit/>
          <w:trHeight w:val="20"/>
        </w:trPr>
        <w:tc>
          <w:tcPr>
            <w:tcW w:w="705" w:type="pct"/>
            <w:gridSpan w:val="2"/>
            <w:tcBorders>
              <w:top w:val="single" w:sz="4" w:space="0" w:color="auto"/>
              <w:left w:val="single" w:sz="4" w:space="0" w:color="auto"/>
              <w:bottom w:val="single" w:sz="4" w:space="0" w:color="auto"/>
              <w:right w:val="single" w:sz="4" w:space="0" w:color="auto"/>
            </w:tcBorders>
            <w:vAlign w:val="center"/>
          </w:tcPr>
          <w:p w14:paraId="02BEBEC2" w14:textId="31C0CA47" w:rsidR="00205577" w:rsidRPr="00311F03" w:rsidRDefault="00205577" w:rsidP="00205577">
            <w:pPr>
              <w:jc w:val="center"/>
              <w:rPr>
                <w:rFonts w:ascii="Arial Narrow" w:hAnsi="Arial Narrow"/>
                <w:color w:val="333333"/>
                <w:sz w:val="20"/>
                <w:szCs w:val="20"/>
              </w:rPr>
            </w:pPr>
          </w:p>
        </w:tc>
        <w:tc>
          <w:tcPr>
            <w:tcW w:w="4295" w:type="pct"/>
            <w:gridSpan w:val="4"/>
            <w:tcBorders>
              <w:top w:val="single" w:sz="4" w:space="0" w:color="auto"/>
              <w:left w:val="single" w:sz="4" w:space="0" w:color="auto"/>
              <w:bottom w:val="single" w:sz="4" w:space="0" w:color="auto"/>
              <w:right w:val="single" w:sz="4" w:space="0" w:color="auto"/>
            </w:tcBorders>
            <w:vAlign w:val="center"/>
          </w:tcPr>
          <w:p w14:paraId="6AA8BED6" w14:textId="77777777" w:rsidR="00205577" w:rsidRPr="00311F03" w:rsidRDefault="00205577" w:rsidP="00205577">
            <w:pPr>
              <w:rPr>
                <w:rFonts w:ascii="Arial Narrow" w:hAnsi="Arial Narrow"/>
                <w:sz w:val="20"/>
                <w:szCs w:val="20"/>
              </w:rPr>
            </w:pPr>
            <w:r w:rsidRPr="00311F03">
              <w:rPr>
                <w:rFonts w:ascii="Arial Narrow" w:hAnsi="Arial Narrow"/>
                <w:b/>
                <w:bCs/>
                <w:sz w:val="20"/>
                <w:szCs w:val="20"/>
              </w:rPr>
              <w:t>Administrative Advice:</w:t>
            </w:r>
            <w:r w:rsidRPr="00311F03">
              <w:rPr>
                <w:rFonts w:ascii="Arial Narrow" w:hAnsi="Arial Narrow"/>
                <w:sz w:val="20"/>
                <w:szCs w:val="20"/>
              </w:rPr>
              <w:t xml:space="preserve"> This grandfather restriction will cease to operate from 12 months after the date specified in the clinical criteria.</w:t>
            </w:r>
          </w:p>
        </w:tc>
      </w:tr>
    </w:tbl>
    <w:p w14:paraId="7CCE4886" w14:textId="77777777" w:rsidR="000473DF" w:rsidRDefault="000473DF" w:rsidP="00EC50F1">
      <w:pPr>
        <w:rPr>
          <w:rFonts w:asciiTheme="minorHAnsi" w:hAnsiTheme="minorHAnsi"/>
          <w:bCs/>
          <w:snapToGrid w:val="0"/>
          <w:lang w:val="en-GB" w:eastAsia="en-US"/>
        </w:rPr>
      </w:pPr>
    </w:p>
    <w:p w14:paraId="12DF1EAA" w14:textId="77777777" w:rsidR="00F2183E" w:rsidRPr="008904E2" w:rsidRDefault="00F2183E" w:rsidP="00F2183E">
      <w:pPr>
        <w:rPr>
          <w:rFonts w:ascii="Arial Narrow" w:hAnsi="Arial Narrow"/>
          <w:b/>
          <w:bCs/>
          <w:sz w:val="20"/>
          <w:szCs w:val="20"/>
        </w:rPr>
      </w:pPr>
      <w:r w:rsidRPr="008904E2">
        <w:rPr>
          <w:rFonts w:ascii="Arial Narrow" w:hAnsi="Arial Narrow"/>
          <w:b/>
          <w:bCs/>
          <w:sz w:val="20"/>
          <w:szCs w:val="20"/>
        </w:rPr>
        <w:t>Flow-</w:t>
      </w:r>
      <w:proofErr w:type="spellStart"/>
      <w:r w:rsidRPr="008904E2">
        <w:rPr>
          <w:rFonts w:ascii="Arial Narrow" w:hAnsi="Arial Narrow"/>
          <w:b/>
          <w:bCs/>
          <w:sz w:val="20"/>
          <w:szCs w:val="20"/>
        </w:rPr>
        <w:t>ons</w:t>
      </w:r>
      <w:proofErr w:type="spellEnd"/>
    </w:p>
    <w:p w14:paraId="14A82598" w14:textId="77777777" w:rsidR="00F2183E" w:rsidRPr="00DF3604" w:rsidRDefault="00F2183E" w:rsidP="00F2183E">
      <w:pPr>
        <w:rPr>
          <w:rFonts w:ascii="Arial Narrow" w:hAnsi="Arial Narrow"/>
          <w:sz w:val="20"/>
          <w:szCs w:val="20"/>
        </w:rPr>
      </w:pPr>
      <w:r w:rsidRPr="008904E2">
        <w:rPr>
          <w:rFonts w:ascii="Arial Narrow" w:hAnsi="Arial Narrow"/>
          <w:sz w:val="20"/>
          <w:szCs w:val="20"/>
        </w:rPr>
        <w:t>For current PBS item codes in the 3</w:t>
      </w:r>
      <w:r w:rsidRPr="008904E2">
        <w:rPr>
          <w:rFonts w:ascii="Arial Narrow" w:hAnsi="Arial Narrow"/>
          <w:sz w:val="20"/>
          <w:szCs w:val="20"/>
          <w:vertAlign w:val="superscript"/>
        </w:rPr>
        <w:t>rd</w:t>
      </w:r>
      <w:r w:rsidRPr="008904E2">
        <w:rPr>
          <w:rFonts w:ascii="Arial Narrow" w:hAnsi="Arial Narrow"/>
          <w:sz w:val="20"/>
          <w:szCs w:val="20"/>
        </w:rPr>
        <w:t xml:space="preserve"> line</w:t>
      </w:r>
      <w:r>
        <w:rPr>
          <w:rFonts w:ascii="Arial Narrow" w:hAnsi="Arial Narrow"/>
          <w:sz w:val="20"/>
          <w:szCs w:val="20"/>
        </w:rPr>
        <w:t xml:space="preserve"> setting </w:t>
      </w:r>
      <w:r w:rsidRPr="008904E2">
        <w:rPr>
          <w:rFonts w:ascii="Arial Narrow" w:hAnsi="Arial Narrow"/>
          <w:sz w:val="20"/>
          <w:szCs w:val="20"/>
        </w:rPr>
        <w:t>(</w:t>
      </w:r>
      <w:r w:rsidRPr="00DF3604">
        <w:rPr>
          <w:rFonts w:ascii="Arial Narrow" w:hAnsi="Arial Narrow"/>
          <w:sz w:val="20"/>
          <w:szCs w:val="20"/>
        </w:rPr>
        <w:t>13634N</w:t>
      </w:r>
      <w:r w:rsidRPr="008904E2">
        <w:rPr>
          <w:rFonts w:ascii="Arial Narrow" w:hAnsi="Arial Narrow"/>
          <w:sz w:val="20"/>
          <w:szCs w:val="20"/>
        </w:rPr>
        <w:t xml:space="preserve"> and </w:t>
      </w:r>
      <w:r w:rsidRPr="00DF3604">
        <w:rPr>
          <w:rFonts w:ascii="Arial Narrow" w:hAnsi="Arial Narrow"/>
          <w:sz w:val="20"/>
          <w:szCs w:val="20"/>
        </w:rPr>
        <w:t>13648H</w:t>
      </w:r>
      <w:r w:rsidRPr="008904E2">
        <w:rPr>
          <w:rFonts w:ascii="Arial Narrow" w:hAnsi="Arial Narrow"/>
          <w:sz w:val="20"/>
          <w:szCs w:val="20"/>
        </w:rPr>
        <w:t xml:space="preserve">) add the following CC to prevent retreatment with enfortumab vedotin in this setting. </w:t>
      </w:r>
    </w:p>
    <w:tbl>
      <w:tblPr>
        <w:tblStyle w:val="TableGrid"/>
        <w:tblW w:w="0" w:type="auto"/>
        <w:tblLook w:val="04A0" w:firstRow="1" w:lastRow="0" w:firstColumn="1" w:lastColumn="0" w:noHBand="0" w:noVBand="1"/>
      </w:tblPr>
      <w:tblGrid>
        <w:gridCol w:w="1265"/>
        <w:gridCol w:w="7751"/>
      </w:tblGrid>
      <w:tr w:rsidR="00F2183E" w:rsidRPr="008904E2" w14:paraId="5EF93D73" w14:textId="77777777" w:rsidTr="005E4D14">
        <w:tc>
          <w:tcPr>
            <w:tcW w:w="1265" w:type="dxa"/>
          </w:tcPr>
          <w:p w14:paraId="11B6F6C9" w14:textId="77777777" w:rsidR="00F2183E" w:rsidRPr="008904E2" w:rsidRDefault="00F2183E" w:rsidP="005E4D14">
            <w:pPr>
              <w:rPr>
                <w:rFonts w:ascii="Arial Narrow" w:hAnsi="Arial Narrow"/>
                <w:sz w:val="20"/>
                <w:szCs w:val="20"/>
              </w:rPr>
            </w:pPr>
          </w:p>
        </w:tc>
        <w:tc>
          <w:tcPr>
            <w:tcW w:w="7751" w:type="dxa"/>
          </w:tcPr>
          <w:p w14:paraId="33264A32" w14:textId="77777777" w:rsidR="00F2183E" w:rsidRPr="008904E2" w:rsidRDefault="00F2183E" w:rsidP="005E4D14">
            <w:pPr>
              <w:rPr>
                <w:rFonts w:ascii="Arial Narrow" w:hAnsi="Arial Narrow"/>
                <w:b/>
                <w:bCs/>
                <w:sz w:val="20"/>
                <w:szCs w:val="20"/>
              </w:rPr>
            </w:pPr>
            <w:r w:rsidRPr="008904E2">
              <w:rPr>
                <w:rFonts w:ascii="Arial Narrow" w:hAnsi="Arial Narrow"/>
                <w:b/>
                <w:bCs/>
                <w:sz w:val="20"/>
                <w:szCs w:val="20"/>
              </w:rPr>
              <w:t>Clinical Criteria</w:t>
            </w:r>
          </w:p>
        </w:tc>
      </w:tr>
      <w:tr w:rsidR="00F2183E" w:rsidRPr="008904E2" w14:paraId="58E58EF2" w14:textId="77777777" w:rsidTr="005E4D14">
        <w:tc>
          <w:tcPr>
            <w:tcW w:w="1265" w:type="dxa"/>
          </w:tcPr>
          <w:p w14:paraId="1AB74417" w14:textId="4C1CE148" w:rsidR="00F2183E" w:rsidRPr="008904E2" w:rsidRDefault="00F2183E" w:rsidP="005E4D14">
            <w:pPr>
              <w:rPr>
                <w:rFonts w:ascii="Arial Narrow" w:hAnsi="Arial Narrow"/>
                <w:sz w:val="20"/>
                <w:szCs w:val="20"/>
              </w:rPr>
            </w:pPr>
          </w:p>
        </w:tc>
        <w:tc>
          <w:tcPr>
            <w:tcW w:w="7751" w:type="dxa"/>
          </w:tcPr>
          <w:p w14:paraId="03BBDBA2" w14:textId="77777777" w:rsidR="00F2183E" w:rsidRPr="008904E2" w:rsidRDefault="00F2183E" w:rsidP="005E4D14">
            <w:pPr>
              <w:rPr>
                <w:rFonts w:ascii="Arial Narrow" w:hAnsi="Arial Narrow"/>
                <w:sz w:val="20"/>
                <w:szCs w:val="20"/>
              </w:rPr>
            </w:pPr>
            <w:r w:rsidRPr="008904E2">
              <w:rPr>
                <w:rFonts w:ascii="Arial Narrow" w:hAnsi="Arial Narrow"/>
                <w:sz w:val="20"/>
                <w:szCs w:val="20"/>
              </w:rPr>
              <w:t>Patient must not have received prior treatment with this drug for this condition.</w:t>
            </w:r>
          </w:p>
        </w:tc>
      </w:tr>
    </w:tbl>
    <w:p w14:paraId="5A5F863B" w14:textId="77777777" w:rsidR="00763E59" w:rsidRDefault="00763E59" w:rsidP="00763E59">
      <w:pPr>
        <w:spacing w:before="120" w:after="120"/>
        <w:rPr>
          <w:rFonts w:asciiTheme="minorHAnsi" w:hAnsiTheme="minorHAnsi"/>
          <w:b/>
          <w:i/>
          <w:iCs/>
          <w:snapToGrid w:val="0"/>
          <w:lang w:val="en-GB" w:eastAsia="en-US"/>
        </w:rPr>
      </w:pPr>
      <w:r w:rsidRPr="00763E59">
        <w:rPr>
          <w:rFonts w:asciiTheme="minorHAnsi" w:hAnsiTheme="minorHAnsi"/>
          <w:b/>
          <w:i/>
          <w:iCs/>
          <w:snapToGrid w:val="0"/>
          <w:lang w:val="en-GB" w:eastAsia="en-US"/>
        </w:rPr>
        <w:t>These restrictions may be subject to further review. Should there be any changes made to the restriction the sponsor will be informed.</w:t>
      </w:r>
    </w:p>
    <w:p w14:paraId="5C4F3ED7" w14:textId="77777777" w:rsidR="00595B2D" w:rsidRPr="00DE7BEE" w:rsidRDefault="00595B2D" w:rsidP="00595B2D">
      <w:pPr>
        <w:keepNext/>
        <w:keepLines/>
        <w:numPr>
          <w:ilvl w:val="0"/>
          <w:numId w:val="1"/>
        </w:numPr>
        <w:spacing w:after="120"/>
        <w:jc w:val="left"/>
        <w:outlineLvl w:val="0"/>
        <w:rPr>
          <w:b/>
          <w:snapToGrid w:val="0"/>
          <w:sz w:val="32"/>
          <w:szCs w:val="32"/>
          <w:lang w:eastAsia="en-US"/>
        </w:rPr>
      </w:pPr>
      <w:r w:rsidRPr="00DE7BEE">
        <w:rPr>
          <w:b/>
          <w:snapToGrid w:val="0"/>
          <w:sz w:val="32"/>
          <w:szCs w:val="32"/>
          <w:lang w:eastAsia="en-US"/>
        </w:rPr>
        <w:t>Context for Decision</w:t>
      </w:r>
    </w:p>
    <w:p w14:paraId="672A96AB" w14:textId="77777777" w:rsidR="00595B2D" w:rsidRPr="00DE7BEE" w:rsidRDefault="00595B2D" w:rsidP="00595B2D">
      <w:pPr>
        <w:spacing w:after="120"/>
        <w:ind w:left="720"/>
        <w:rPr>
          <w:bCs/>
          <w:lang w:val="en-GB"/>
        </w:rPr>
      </w:pPr>
      <w:r w:rsidRPr="00DE7BE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7E312C8" w14:textId="77777777" w:rsidR="00595B2D" w:rsidRPr="00DE7BEE" w:rsidRDefault="00595B2D" w:rsidP="00595B2D">
      <w:pPr>
        <w:keepNext/>
        <w:keepLines/>
        <w:numPr>
          <w:ilvl w:val="0"/>
          <w:numId w:val="1"/>
        </w:numPr>
        <w:spacing w:after="120"/>
        <w:jc w:val="left"/>
        <w:outlineLvl w:val="0"/>
        <w:rPr>
          <w:b/>
          <w:snapToGrid w:val="0"/>
          <w:sz w:val="32"/>
          <w:szCs w:val="32"/>
          <w:lang w:eastAsia="en-US"/>
        </w:rPr>
      </w:pPr>
      <w:r w:rsidRPr="00DE7BEE">
        <w:rPr>
          <w:b/>
          <w:snapToGrid w:val="0"/>
          <w:sz w:val="32"/>
          <w:szCs w:val="32"/>
          <w:lang w:eastAsia="en-US"/>
        </w:rPr>
        <w:t>Sponsor’s Comment</w:t>
      </w:r>
    </w:p>
    <w:p w14:paraId="725DDFA7" w14:textId="28F8F6D4" w:rsidR="00763E59" w:rsidRPr="00EC50F1" w:rsidRDefault="00117BE6" w:rsidP="00EC50F1">
      <w:pPr>
        <w:spacing w:after="120" w:line="276" w:lineRule="auto"/>
        <w:ind w:left="720"/>
        <w:rPr>
          <w:rFonts w:eastAsia="Calibri"/>
          <w:bCs/>
          <w:szCs w:val="22"/>
          <w:lang w:eastAsia="en-US"/>
        </w:rPr>
      </w:pPr>
      <w:r w:rsidRPr="00E36DB9">
        <w:rPr>
          <w:rFonts w:eastAsia="Calibri"/>
          <w:bCs/>
          <w:szCs w:val="22"/>
          <w:lang w:eastAsia="en-US"/>
        </w:rPr>
        <w:t>Astellas Pharma Australia are thrilled with the PBAC recommendation and will do everything possible in the coming months to speed the PBS Listing</w:t>
      </w:r>
      <w:bookmarkEnd w:id="84"/>
      <w:r w:rsidR="00EC50F1">
        <w:rPr>
          <w:rFonts w:eastAsia="Calibri"/>
          <w:bCs/>
          <w:szCs w:val="22"/>
          <w:lang w:eastAsia="en-US"/>
        </w:rPr>
        <w:t>.</w:t>
      </w:r>
    </w:p>
    <w:sectPr w:rsidR="00763E59" w:rsidRPr="00EC50F1" w:rsidSect="00251006">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CA48" w14:textId="77777777" w:rsidR="009D5CBA" w:rsidRDefault="009D5CBA" w:rsidP="00124A51">
      <w:r>
        <w:separator/>
      </w:r>
    </w:p>
    <w:p w14:paraId="646EF489" w14:textId="77777777" w:rsidR="009D5CBA" w:rsidRDefault="009D5CBA"/>
  </w:endnote>
  <w:endnote w:type="continuationSeparator" w:id="0">
    <w:p w14:paraId="3E982491" w14:textId="77777777" w:rsidR="009D5CBA" w:rsidRDefault="009D5CBA" w:rsidP="00124A51">
      <w:r>
        <w:continuationSeparator/>
      </w:r>
    </w:p>
    <w:p w14:paraId="6DBF9255" w14:textId="77777777" w:rsidR="009D5CBA" w:rsidRDefault="009D5CBA"/>
  </w:endnote>
  <w:endnote w:type="continuationNotice" w:id="1">
    <w:p w14:paraId="4DCAE107" w14:textId="77777777" w:rsidR="009D5CBA" w:rsidRDefault="009D5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3511" w14:textId="77777777" w:rsidR="001F54E0" w:rsidRDefault="001F5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37484CD3" w14:textId="180C4A8C" w:rsidR="00D843F2" w:rsidRPr="00696BC0" w:rsidRDefault="00000000" w:rsidP="006028D3">
    <w:pPr>
      <w:pStyle w:val="PageFooter"/>
    </w:pPr>
    <w:sdt>
      <w:sdtPr>
        <w:rPr>
          <w:b w:val="0"/>
          <w:bCs/>
        </w:rPr>
        <w:id w:val="1036156457"/>
        <w:docPartObj>
          <w:docPartGallery w:val="Page Numbers (Bottom of Page)"/>
          <w:docPartUnique/>
        </w:docPartObj>
      </w:sdtPr>
      <w:sdtEndPr>
        <w:rPr>
          <w:b/>
          <w:bCs w:val="0"/>
          <w:noProof/>
        </w:rPr>
      </w:sdtEndPr>
      <w:sdtContent>
        <w:r w:rsidR="00D843F2" w:rsidRPr="00696BC0">
          <w:fldChar w:fldCharType="begin"/>
        </w:r>
        <w:r w:rsidR="00D843F2" w:rsidRPr="00696BC0">
          <w:instrText xml:space="preserve"> PAGE   \* MERGEFORMAT </w:instrText>
        </w:r>
        <w:r w:rsidR="00D843F2" w:rsidRPr="00696BC0">
          <w:fldChar w:fldCharType="separate"/>
        </w:r>
        <w:r w:rsidR="00D843F2" w:rsidRPr="00696BC0">
          <w:rPr>
            <w:noProof/>
          </w:rPr>
          <w:t>2</w:t>
        </w:r>
        <w:r w:rsidR="00D843F2" w:rsidRPr="00696BC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1F5A" w14:textId="77777777" w:rsidR="001F54E0" w:rsidRDefault="001F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C5D6" w14:textId="77777777" w:rsidR="009D5CBA" w:rsidRDefault="009D5CBA" w:rsidP="00124A51">
      <w:r>
        <w:separator/>
      </w:r>
    </w:p>
    <w:p w14:paraId="7A2862E1" w14:textId="77777777" w:rsidR="009D5CBA" w:rsidRDefault="009D5CBA"/>
  </w:footnote>
  <w:footnote w:type="continuationSeparator" w:id="0">
    <w:p w14:paraId="3F6B7E71" w14:textId="77777777" w:rsidR="009D5CBA" w:rsidRDefault="009D5CBA" w:rsidP="00124A51">
      <w:r>
        <w:continuationSeparator/>
      </w:r>
    </w:p>
    <w:p w14:paraId="19DE7CE9" w14:textId="77777777" w:rsidR="009D5CBA" w:rsidRDefault="009D5CBA"/>
  </w:footnote>
  <w:footnote w:type="continuationNotice" w:id="1">
    <w:p w14:paraId="2329CC22" w14:textId="77777777" w:rsidR="009D5CBA" w:rsidRDefault="009D5CBA"/>
  </w:footnote>
  <w:footnote w:id="2">
    <w:p w14:paraId="0909CCA4" w14:textId="77777777" w:rsidR="008D40C6" w:rsidRPr="00DE5850" w:rsidRDefault="008D40C6" w:rsidP="008D40C6">
      <w:pPr>
        <w:pStyle w:val="FootnoteText"/>
        <w:rPr>
          <w:rFonts w:ascii="Arial Narrow" w:hAnsi="Arial Narrow"/>
          <w:sz w:val="18"/>
          <w:szCs w:val="18"/>
          <w:lang w:val="en-US"/>
        </w:rPr>
      </w:pPr>
      <w:r w:rsidRPr="00DE5850">
        <w:rPr>
          <w:rStyle w:val="FootnoteReference"/>
          <w:rFonts w:ascii="Arial Narrow" w:hAnsi="Arial Narrow"/>
          <w:sz w:val="18"/>
          <w:szCs w:val="18"/>
        </w:rPr>
        <w:footnoteRef/>
      </w:r>
      <w:r w:rsidRPr="00DE5850">
        <w:rPr>
          <w:rFonts w:ascii="Arial Narrow" w:hAnsi="Arial Narrow"/>
          <w:sz w:val="18"/>
          <w:szCs w:val="18"/>
        </w:rPr>
        <w:t xml:space="preserve"> </w:t>
      </w:r>
      <w:r w:rsidRPr="00DE5850">
        <w:rPr>
          <w:rFonts w:ascii="Arial Narrow" w:hAnsi="Arial Narrow"/>
          <w:noProof/>
          <w:sz w:val="18"/>
          <w:szCs w:val="18"/>
        </w:rPr>
        <w:t>Abou El-Ghar ME, Badawy MA, El-Diasty TA</w:t>
      </w:r>
      <w:r>
        <w:rPr>
          <w:rFonts w:ascii="Arial Narrow" w:hAnsi="Arial Narrow"/>
          <w:noProof/>
          <w:sz w:val="18"/>
          <w:szCs w:val="18"/>
        </w:rPr>
        <w:t xml:space="preserve"> (2018)</w:t>
      </w:r>
      <w:r w:rsidRPr="00DE5850">
        <w:rPr>
          <w:rFonts w:ascii="Arial Narrow" w:hAnsi="Arial Narrow"/>
          <w:noProof/>
          <w:sz w:val="18"/>
          <w:szCs w:val="18"/>
        </w:rPr>
        <w:t>. Bladder and Upper Urinary Tract Urothelial Cancer. In: Akata D, Papanikolaou N, editors. Diffusion Weighted Imaging of the Genitourinary System: Techniques and Clinical Applications. Cham: Springer International Publishing; p. 73-104.</w:t>
      </w:r>
    </w:p>
  </w:footnote>
  <w:footnote w:id="3">
    <w:p w14:paraId="57FC70D7" w14:textId="77777777" w:rsidR="008D40C6" w:rsidRPr="00DE5850" w:rsidRDefault="008D40C6" w:rsidP="008D40C6">
      <w:pPr>
        <w:pStyle w:val="FootnoteText"/>
        <w:rPr>
          <w:rFonts w:ascii="Arial Narrow" w:hAnsi="Arial Narrow"/>
          <w:sz w:val="18"/>
          <w:szCs w:val="18"/>
          <w:lang w:val="en-US"/>
        </w:rPr>
      </w:pPr>
      <w:r w:rsidRPr="00DE5850">
        <w:rPr>
          <w:rStyle w:val="FootnoteReference"/>
          <w:rFonts w:ascii="Arial Narrow" w:hAnsi="Arial Narrow"/>
          <w:sz w:val="18"/>
          <w:szCs w:val="18"/>
        </w:rPr>
        <w:footnoteRef/>
      </w:r>
      <w:r w:rsidRPr="00DE5850">
        <w:rPr>
          <w:rFonts w:ascii="Arial Narrow" w:hAnsi="Arial Narrow"/>
          <w:sz w:val="18"/>
          <w:szCs w:val="18"/>
        </w:rPr>
        <w:t xml:space="preserve"> </w:t>
      </w:r>
      <w:r w:rsidRPr="00DE5850">
        <w:rPr>
          <w:rFonts w:ascii="Arial Narrow" w:hAnsi="Arial Narrow"/>
          <w:noProof/>
          <w:sz w:val="18"/>
          <w:szCs w:val="18"/>
        </w:rPr>
        <w:t>Kobayashi T.</w:t>
      </w:r>
      <w:r>
        <w:rPr>
          <w:rFonts w:ascii="Arial Narrow" w:hAnsi="Arial Narrow"/>
          <w:noProof/>
          <w:sz w:val="18"/>
          <w:szCs w:val="18"/>
        </w:rPr>
        <w:t xml:space="preserve"> (2016).</w:t>
      </w:r>
      <w:r w:rsidRPr="00DE5850">
        <w:rPr>
          <w:rFonts w:ascii="Arial Narrow" w:hAnsi="Arial Narrow"/>
          <w:noProof/>
          <w:sz w:val="18"/>
          <w:szCs w:val="18"/>
        </w:rPr>
        <w:t xml:space="preserve"> Understanding the biology of urothelial cancer metastasis. </w:t>
      </w:r>
      <w:r w:rsidRPr="00DE5850">
        <w:rPr>
          <w:rFonts w:ascii="Arial Narrow" w:hAnsi="Arial Narrow"/>
          <w:i/>
          <w:noProof/>
          <w:sz w:val="18"/>
          <w:szCs w:val="18"/>
        </w:rPr>
        <w:t>Asian J Urol</w:t>
      </w:r>
      <w:r w:rsidRPr="00DE5850">
        <w:rPr>
          <w:rFonts w:ascii="Arial Narrow" w:hAnsi="Arial Narrow"/>
          <w:noProof/>
          <w:sz w:val="18"/>
          <w:szCs w:val="18"/>
        </w:rPr>
        <w:t>. Oct;3(4):211-22.</w:t>
      </w:r>
    </w:p>
  </w:footnote>
  <w:footnote w:id="4">
    <w:p w14:paraId="0A81C9F7" w14:textId="77777777" w:rsidR="008D40C6" w:rsidRPr="00DE5850" w:rsidRDefault="008D40C6" w:rsidP="008D40C6">
      <w:pPr>
        <w:pStyle w:val="FootnoteText"/>
        <w:rPr>
          <w:rFonts w:ascii="Arial Narrow" w:hAnsi="Arial Narrow"/>
          <w:sz w:val="18"/>
          <w:szCs w:val="18"/>
          <w:lang w:val="en-US"/>
        </w:rPr>
      </w:pPr>
      <w:r w:rsidRPr="00DE5850">
        <w:rPr>
          <w:rStyle w:val="FootnoteReference"/>
          <w:rFonts w:ascii="Arial Narrow" w:hAnsi="Arial Narrow"/>
          <w:sz w:val="18"/>
          <w:szCs w:val="18"/>
        </w:rPr>
        <w:footnoteRef/>
      </w:r>
      <w:r w:rsidRPr="00DE5850">
        <w:rPr>
          <w:rFonts w:ascii="Arial Narrow" w:hAnsi="Arial Narrow"/>
          <w:sz w:val="18"/>
          <w:szCs w:val="18"/>
        </w:rPr>
        <w:t xml:space="preserve"> </w:t>
      </w:r>
      <w:r w:rsidRPr="00DE5850">
        <w:rPr>
          <w:rFonts w:ascii="Arial Narrow" w:hAnsi="Arial Narrow"/>
          <w:noProof/>
          <w:sz w:val="18"/>
          <w:szCs w:val="18"/>
        </w:rPr>
        <w:t>Stecca C, Abdeljalil O, Sridhar SS.</w:t>
      </w:r>
      <w:r>
        <w:rPr>
          <w:rFonts w:ascii="Arial Narrow" w:hAnsi="Arial Narrow"/>
          <w:noProof/>
          <w:sz w:val="18"/>
          <w:szCs w:val="18"/>
        </w:rPr>
        <w:t xml:space="preserve"> (2021).</w:t>
      </w:r>
      <w:r w:rsidRPr="00DE5850">
        <w:rPr>
          <w:rFonts w:ascii="Arial Narrow" w:hAnsi="Arial Narrow"/>
          <w:noProof/>
          <w:sz w:val="18"/>
          <w:szCs w:val="18"/>
        </w:rPr>
        <w:t xml:space="preserve"> Metastatic Urothelial Cancer: a rapidly changing treatment landscape. </w:t>
      </w:r>
      <w:r w:rsidRPr="00DE5850">
        <w:rPr>
          <w:rFonts w:ascii="Arial Narrow" w:hAnsi="Arial Narrow"/>
          <w:i/>
          <w:noProof/>
          <w:sz w:val="18"/>
          <w:szCs w:val="18"/>
        </w:rPr>
        <w:t>Ther Adv Med Oncol</w:t>
      </w:r>
      <w:r w:rsidRPr="00DE5850">
        <w:rPr>
          <w:rFonts w:ascii="Arial Narrow" w:hAnsi="Arial Narrow"/>
          <w:noProof/>
          <w:sz w:val="18"/>
          <w:szCs w:val="18"/>
        </w:rPr>
        <w:t>;13:17588359211047352.</w:t>
      </w:r>
    </w:p>
  </w:footnote>
  <w:footnote w:id="5">
    <w:p w14:paraId="302DC4C0" w14:textId="77777777" w:rsidR="008D40C6" w:rsidRPr="00DE5850" w:rsidRDefault="008D40C6" w:rsidP="008D40C6">
      <w:pPr>
        <w:pStyle w:val="FootnoteText"/>
        <w:rPr>
          <w:rFonts w:ascii="Arial Narrow" w:hAnsi="Arial Narrow"/>
          <w:sz w:val="18"/>
          <w:szCs w:val="18"/>
          <w:lang w:val="en-US"/>
        </w:rPr>
      </w:pPr>
      <w:r w:rsidRPr="00DE5850">
        <w:rPr>
          <w:rStyle w:val="FootnoteReference"/>
          <w:rFonts w:ascii="Arial Narrow" w:hAnsi="Arial Narrow"/>
          <w:sz w:val="18"/>
          <w:szCs w:val="18"/>
        </w:rPr>
        <w:footnoteRef/>
      </w:r>
      <w:r w:rsidRPr="00DE5850">
        <w:rPr>
          <w:rFonts w:ascii="Arial Narrow" w:hAnsi="Arial Narrow"/>
          <w:sz w:val="18"/>
          <w:szCs w:val="18"/>
        </w:rPr>
        <w:t xml:space="preserve"> </w:t>
      </w:r>
      <w:r>
        <w:rPr>
          <w:rFonts w:ascii="Arial Narrow" w:hAnsi="Arial Narrow"/>
          <w:noProof/>
          <w:sz w:val="18"/>
          <w:szCs w:val="18"/>
        </w:rPr>
        <w:t>Cancer Australia (2024)</w:t>
      </w:r>
      <w:r w:rsidRPr="00DE5850">
        <w:rPr>
          <w:rFonts w:ascii="Arial Narrow" w:hAnsi="Arial Narrow"/>
          <w:noProof/>
          <w:sz w:val="18"/>
          <w:szCs w:val="18"/>
        </w:rPr>
        <w:t xml:space="preserve">. </w:t>
      </w:r>
      <w:hyperlink r:id="rId1" w:history="1">
        <w:r w:rsidRPr="00DE5850">
          <w:rPr>
            <w:rStyle w:val="Hyperlink"/>
            <w:rFonts w:ascii="Arial Narrow" w:hAnsi="Arial Narrow"/>
            <w:noProof/>
            <w:sz w:val="18"/>
            <w:szCs w:val="18"/>
          </w:rPr>
          <w:t>https://www.canceraustralia.gov.au/cancer-types/bladder-cancer/statistics</w:t>
        </w:r>
      </w:hyperlink>
      <w:r w:rsidRPr="00DE5850">
        <w:rPr>
          <w:rFonts w:ascii="Arial Narrow" w:hAnsi="Arial Narrow"/>
          <w:noProof/>
          <w:sz w:val="18"/>
          <w:szCs w:val="18"/>
        </w:rPr>
        <w:t>.</w:t>
      </w:r>
    </w:p>
  </w:footnote>
  <w:footnote w:id="6">
    <w:p w14:paraId="66E1C02E" w14:textId="77777777" w:rsidR="008D40C6" w:rsidRPr="001D3710" w:rsidRDefault="008D40C6" w:rsidP="008D40C6">
      <w:pPr>
        <w:pStyle w:val="FootnoteText"/>
        <w:rPr>
          <w:lang w:val="en-US"/>
        </w:rPr>
      </w:pPr>
      <w:r>
        <w:rPr>
          <w:rStyle w:val="FootnoteReference"/>
        </w:rPr>
        <w:footnoteRef/>
      </w:r>
      <w:r>
        <w:t xml:space="preserve"> </w:t>
      </w:r>
      <w:r>
        <w:rPr>
          <w:rFonts w:ascii="Arial Narrow" w:hAnsi="Arial Narrow"/>
          <w:noProof/>
          <w:sz w:val="18"/>
          <w:szCs w:val="18"/>
        </w:rPr>
        <w:t>Australian Institute of Health</w:t>
      </w:r>
      <w:r w:rsidRPr="00DE5850">
        <w:rPr>
          <w:rFonts w:ascii="Arial Narrow" w:hAnsi="Arial Narrow"/>
          <w:noProof/>
          <w:sz w:val="18"/>
          <w:szCs w:val="18"/>
        </w:rPr>
        <w:t>, Welfare</w:t>
      </w:r>
      <w:r>
        <w:rPr>
          <w:rFonts w:ascii="Arial Narrow" w:hAnsi="Arial Narrow"/>
          <w:noProof/>
          <w:sz w:val="18"/>
          <w:szCs w:val="18"/>
        </w:rPr>
        <w:t xml:space="preserve"> (2024)</w:t>
      </w:r>
      <w:r w:rsidRPr="00DE5850">
        <w:rPr>
          <w:rFonts w:ascii="Arial Narrow" w:hAnsi="Arial Narrow"/>
          <w:noProof/>
          <w:sz w:val="18"/>
          <w:szCs w:val="18"/>
        </w:rPr>
        <w:t>. Cancer data in Australia. Canberra: AIHW2024.</w:t>
      </w:r>
    </w:p>
  </w:footnote>
  <w:footnote w:id="7">
    <w:p w14:paraId="7D969B05" w14:textId="77777777" w:rsidR="008D40C6" w:rsidRPr="00DE5850" w:rsidRDefault="008D40C6" w:rsidP="008D40C6">
      <w:pPr>
        <w:pStyle w:val="FootnoteText"/>
        <w:rPr>
          <w:rFonts w:ascii="Arial Narrow" w:hAnsi="Arial Narrow"/>
          <w:sz w:val="18"/>
          <w:szCs w:val="18"/>
          <w:lang w:val="en-US"/>
        </w:rPr>
      </w:pPr>
      <w:r w:rsidRPr="00DE5850">
        <w:rPr>
          <w:rStyle w:val="FootnoteReference"/>
          <w:rFonts w:ascii="Arial Narrow" w:hAnsi="Arial Narrow"/>
          <w:sz w:val="18"/>
          <w:szCs w:val="18"/>
        </w:rPr>
        <w:footnoteRef/>
      </w:r>
      <w:r w:rsidRPr="00DE5850">
        <w:rPr>
          <w:rFonts w:ascii="Arial Narrow" w:hAnsi="Arial Narrow"/>
          <w:sz w:val="18"/>
          <w:szCs w:val="18"/>
        </w:rPr>
        <w:t xml:space="preserve"> </w:t>
      </w:r>
      <w:r w:rsidRPr="001D3710">
        <w:rPr>
          <w:rFonts w:ascii="Arial Narrow" w:hAnsi="Arial Narrow"/>
          <w:sz w:val="18"/>
          <w:szCs w:val="18"/>
        </w:rPr>
        <w:t>Shadab R, Nerli RB, Bidi SR, Ghagane SC.</w:t>
      </w:r>
      <w:r>
        <w:rPr>
          <w:rFonts w:ascii="Arial Narrow" w:hAnsi="Arial Narrow"/>
          <w:sz w:val="18"/>
          <w:szCs w:val="18"/>
        </w:rPr>
        <w:t xml:space="preserve"> (2023).</w:t>
      </w:r>
      <w:r w:rsidRPr="001D3710">
        <w:rPr>
          <w:rFonts w:ascii="Arial Narrow" w:hAnsi="Arial Narrow"/>
          <w:sz w:val="18"/>
          <w:szCs w:val="18"/>
        </w:rPr>
        <w:t xml:space="preserve"> Risk Factors for Bladder Cancer: Results of a Survey of Hospital Patients. J Cancer Allied Spec. 9(1):485</w:t>
      </w:r>
    </w:p>
  </w:footnote>
  <w:footnote w:id="8">
    <w:p w14:paraId="15C607C1" w14:textId="77777777" w:rsidR="008D40C6" w:rsidRPr="00DE5850" w:rsidRDefault="008D40C6" w:rsidP="008D40C6">
      <w:pPr>
        <w:pStyle w:val="FootnoteText"/>
        <w:rPr>
          <w:rFonts w:ascii="Arial Narrow" w:hAnsi="Arial Narrow"/>
          <w:sz w:val="18"/>
          <w:szCs w:val="18"/>
          <w:lang w:val="en-US"/>
        </w:rPr>
      </w:pPr>
      <w:r w:rsidRPr="00DE5850">
        <w:rPr>
          <w:rStyle w:val="FootnoteReference"/>
          <w:rFonts w:ascii="Arial Narrow" w:hAnsi="Arial Narrow"/>
          <w:sz w:val="18"/>
          <w:szCs w:val="18"/>
        </w:rPr>
        <w:footnoteRef/>
      </w:r>
      <w:r w:rsidRPr="00DE5850">
        <w:rPr>
          <w:rFonts w:ascii="Arial Narrow" w:hAnsi="Arial Narrow"/>
          <w:sz w:val="18"/>
          <w:szCs w:val="18"/>
        </w:rPr>
        <w:t xml:space="preserve"> </w:t>
      </w:r>
      <w:r w:rsidRPr="00DE5850">
        <w:rPr>
          <w:rFonts w:ascii="Arial Narrow" w:hAnsi="Arial Narrow"/>
          <w:noProof/>
          <w:sz w:val="18"/>
          <w:szCs w:val="18"/>
        </w:rPr>
        <w:t>Ripoll J, Ramos M, Montaño J, Pons J, Ameijide A, Franch P.</w:t>
      </w:r>
      <w:r>
        <w:rPr>
          <w:rFonts w:ascii="Arial Narrow" w:hAnsi="Arial Narrow"/>
          <w:noProof/>
          <w:sz w:val="18"/>
          <w:szCs w:val="18"/>
        </w:rPr>
        <w:t xml:space="preserve"> (2021).</w:t>
      </w:r>
      <w:r w:rsidRPr="00DE5850">
        <w:rPr>
          <w:rFonts w:ascii="Arial Narrow" w:hAnsi="Arial Narrow"/>
          <w:noProof/>
          <w:sz w:val="18"/>
          <w:szCs w:val="18"/>
        </w:rPr>
        <w:t xml:space="preserve"> Cancer-specific survival by stage of bladder cancer and factors collected by Mallorca Cancer Registry associated to survival. </w:t>
      </w:r>
      <w:r w:rsidRPr="00DE5850">
        <w:rPr>
          <w:rFonts w:ascii="Arial Narrow" w:hAnsi="Arial Narrow"/>
          <w:i/>
          <w:noProof/>
          <w:sz w:val="18"/>
          <w:szCs w:val="18"/>
        </w:rPr>
        <w:t>BMC Cancer</w:t>
      </w:r>
      <w:r w:rsidRPr="00DE5850">
        <w:rPr>
          <w:rFonts w:ascii="Arial Narrow" w:hAnsi="Arial Narrow"/>
          <w:noProof/>
          <w:sz w:val="18"/>
          <w:szCs w:val="18"/>
        </w:rPr>
        <w:t>;21(1):676.</w:t>
      </w:r>
    </w:p>
  </w:footnote>
  <w:footnote w:id="9">
    <w:p w14:paraId="6924312E" w14:textId="77777777" w:rsidR="008D40C6" w:rsidRPr="00DE5850" w:rsidRDefault="008D40C6" w:rsidP="008D40C6">
      <w:pPr>
        <w:pStyle w:val="FootnoteText"/>
        <w:rPr>
          <w:rFonts w:ascii="Arial Narrow" w:hAnsi="Arial Narrow"/>
          <w:sz w:val="18"/>
          <w:szCs w:val="18"/>
          <w:lang w:val="en-US"/>
        </w:rPr>
      </w:pPr>
      <w:r w:rsidRPr="00DE5850">
        <w:rPr>
          <w:rStyle w:val="FootnoteReference"/>
          <w:rFonts w:ascii="Arial Narrow" w:hAnsi="Arial Narrow"/>
          <w:sz w:val="18"/>
          <w:szCs w:val="18"/>
        </w:rPr>
        <w:footnoteRef/>
      </w:r>
      <w:r w:rsidRPr="00DE5850">
        <w:rPr>
          <w:rFonts w:ascii="Arial Narrow" w:hAnsi="Arial Narrow"/>
          <w:sz w:val="18"/>
          <w:szCs w:val="18"/>
        </w:rPr>
        <w:t xml:space="preserve"> </w:t>
      </w:r>
      <w:r w:rsidRPr="00DE5850">
        <w:rPr>
          <w:rFonts w:ascii="Arial Narrow" w:hAnsi="Arial Narrow"/>
          <w:noProof/>
          <w:sz w:val="18"/>
          <w:szCs w:val="18"/>
        </w:rPr>
        <w:t xml:space="preserve">Gurney H, Clay TD, Oliveira N, Wong S, Tran B, Harris C. </w:t>
      </w:r>
      <w:r>
        <w:rPr>
          <w:rFonts w:ascii="Arial Narrow" w:hAnsi="Arial Narrow"/>
          <w:noProof/>
          <w:sz w:val="18"/>
          <w:szCs w:val="18"/>
        </w:rPr>
        <w:t xml:space="preserve">(2023). </w:t>
      </w:r>
      <w:r w:rsidRPr="00DE5850">
        <w:rPr>
          <w:rFonts w:ascii="Arial Narrow" w:hAnsi="Arial Narrow"/>
          <w:noProof/>
          <w:sz w:val="18"/>
          <w:szCs w:val="18"/>
        </w:rPr>
        <w:t xml:space="preserve">Systemic treatment of advanced and metastatic urothelial cancer: The landscape in Australia. </w:t>
      </w:r>
      <w:r w:rsidRPr="00DE5850">
        <w:rPr>
          <w:rFonts w:ascii="Arial Narrow" w:hAnsi="Arial Narrow"/>
          <w:i/>
          <w:noProof/>
          <w:sz w:val="18"/>
          <w:szCs w:val="18"/>
        </w:rPr>
        <w:t>Asia-Pacific Journal of Clinical Oncology</w:t>
      </w:r>
      <w:r w:rsidRPr="00DE5850">
        <w:rPr>
          <w:rFonts w:ascii="Arial Narrow" w:hAnsi="Arial Narrow"/>
          <w:noProof/>
          <w:sz w:val="18"/>
          <w:szCs w:val="18"/>
        </w:rPr>
        <w:t>.19(6):585-95.</w:t>
      </w:r>
    </w:p>
  </w:footnote>
  <w:footnote w:id="10">
    <w:p w14:paraId="3EDA2815" w14:textId="77777777" w:rsidR="0065141E" w:rsidRPr="008C1E51" w:rsidRDefault="0065141E" w:rsidP="0065141E">
      <w:pPr>
        <w:pStyle w:val="FootnoteText"/>
        <w:rPr>
          <w:rFonts w:ascii="Arial Narrow" w:hAnsi="Arial Narrow"/>
          <w:noProof/>
          <w:sz w:val="18"/>
          <w:szCs w:val="18"/>
        </w:rPr>
      </w:pPr>
      <w:r>
        <w:rPr>
          <w:rStyle w:val="FootnoteReference"/>
        </w:rPr>
        <w:footnoteRef/>
      </w:r>
      <w:r>
        <w:t xml:space="preserve"> </w:t>
      </w:r>
      <w:r w:rsidRPr="008C1E51">
        <w:rPr>
          <w:rFonts w:ascii="Arial Narrow" w:hAnsi="Arial Narrow"/>
          <w:noProof/>
          <w:sz w:val="18"/>
          <w:szCs w:val="18"/>
        </w:rPr>
        <w:t xml:space="preserve">National Comprehensive Cancer Network (NCCN) Clinical Practice Guidelines in Oncology: Bladder Cancer. Version 4.2024 (May 9, 2024). </w:t>
      </w:r>
    </w:p>
  </w:footnote>
  <w:footnote w:id="11">
    <w:p w14:paraId="2C7FA926" w14:textId="77777777" w:rsidR="008D40C6" w:rsidRPr="00DE5850" w:rsidRDefault="008D40C6" w:rsidP="008D40C6">
      <w:pPr>
        <w:pStyle w:val="FootnoteText"/>
        <w:rPr>
          <w:rFonts w:ascii="Arial Narrow" w:hAnsi="Arial Narrow"/>
          <w:sz w:val="18"/>
          <w:szCs w:val="18"/>
          <w:lang w:val="en-US"/>
        </w:rPr>
      </w:pPr>
      <w:r w:rsidRPr="00DE5850">
        <w:rPr>
          <w:rStyle w:val="FootnoteReference"/>
          <w:rFonts w:ascii="Arial Narrow" w:hAnsi="Arial Narrow"/>
          <w:sz w:val="18"/>
          <w:szCs w:val="18"/>
        </w:rPr>
        <w:footnoteRef/>
      </w:r>
      <w:r w:rsidRPr="00DE5850">
        <w:rPr>
          <w:rFonts w:ascii="Arial Narrow" w:hAnsi="Arial Narrow"/>
          <w:sz w:val="18"/>
          <w:szCs w:val="18"/>
        </w:rPr>
        <w:t xml:space="preserve"> </w:t>
      </w:r>
      <w:r w:rsidRPr="00DE5850">
        <w:rPr>
          <w:rFonts w:ascii="Arial Narrow" w:hAnsi="Arial Narrow"/>
          <w:noProof/>
          <w:sz w:val="18"/>
          <w:szCs w:val="18"/>
        </w:rPr>
        <w:t>Powles T, Rosenberg JE, Sonpavde GP, Loriot Y, Durán I, Lee JL, et al.</w:t>
      </w:r>
      <w:r>
        <w:rPr>
          <w:rFonts w:ascii="Arial Narrow" w:hAnsi="Arial Narrow"/>
          <w:noProof/>
          <w:sz w:val="18"/>
          <w:szCs w:val="18"/>
        </w:rPr>
        <w:t xml:space="preserve"> (2021).</w:t>
      </w:r>
      <w:r w:rsidRPr="00DE5850">
        <w:rPr>
          <w:rFonts w:ascii="Arial Narrow" w:hAnsi="Arial Narrow"/>
          <w:noProof/>
          <w:sz w:val="18"/>
          <w:szCs w:val="18"/>
        </w:rPr>
        <w:t xml:space="preserve"> Enfortumab Vedotin in Previously Treated Advanced Urothelial Carcinoma. </w:t>
      </w:r>
      <w:r w:rsidRPr="00DE5850">
        <w:rPr>
          <w:rFonts w:ascii="Arial Narrow" w:hAnsi="Arial Narrow"/>
          <w:i/>
          <w:noProof/>
          <w:sz w:val="18"/>
          <w:szCs w:val="18"/>
        </w:rPr>
        <w:t>N Engl J Med</w:t>
      </w:r>
      <w:r w:rsidRPr="00DE5850">
        <w:rPr>
          <w:rFonts w:ascii="Arial Narrow" w:hAnsi="Arial Narrow"/>
          <w:noProof/>
          <w:sz w:val="18"/>
          <w:szCs w:val="18"/>
        </w:rPr>
        <w:t>. Mar 25;384(12):1125-35.</w:t>
      </w:r>
    </w:p>
  </w:footnote>
  <w:footnote w:id="12">
    <w:p w14:paraId="3888DED0" w14:textId="77777777" w:rsidR="008D40C6" w:rsidRPr="00DE5850" w:rsidRDefault="008D40C6" w:rsidP="008D40C6">
      <w:pPr>
        <w:pStyle w:val="FootnoteText"/>
        <w:rPr>
          <w:rFonts w:ascii="Arial Narrow" w:hAnsi="Arial Narrow"/>
          <w:sz w:val="18"/>
          <w:szCs w:val="18"/>
          <w:lang w:val="en-US"/>
        </w:rPr>
      </w:pPr>
      <w:r w:rsidRPr="00DE5850">
        <w:rPr>
          <w:rStyle w:val="FootnoteReference"/>
          <w:rFonts w:ascii="Arial Narrow" w:hAnsi="Arial Narrow"/>
          <w:sz w:val="18"/>
          <w:szCs w:val="18"/>
        </w:rPr>
        <w:footnoteRef/>
      </w:r>
      <w:r w:rsidRPr="00DE5850">
        <w:rPr>
          <w:rFonts w:ascii="Arial Narrow" w:hAnsi="Arial Narrow"/>
          <w:sz w:val="18"/>
          <w:szCs w:val="18"/>
        </w:rPr>
        <w:t xml:space="preserve"> </w:t>
      </w:r>
      <w:r w:rsidRPr="00DE5850">
        <w:rPr>
          <w:rFonts w:ascii="Arial Narrow" w:hAnsi="Arial Narrow"/>
          <w:noProof/>
          <w:sz w:val="18"/>
          <w:szCs w:val="18"/>
        </w:rPr>
        <w:t>Heath EI, Rosenberg JE.</w:t>
      </w:r>
      <w:r>
        <w:rPr>
          <w:rFonts w:ascii="Arial Narrow" w:hAnsi="Arial Narrow"/>
          <w:noProof/>
          <w:sz w:val="18"/>
          <w:szCs w:val="18"/>
        </w:rPr>
        <w:t xml:space="preserve"> (2021),</w:t>
      </w:r>
      <w:r w:rsidRPr="00DE5850">
        <w:rPr>
          <w:rFonts w:ascii="Arial Narrow" w:hAnsi="Arial Narrow"/>
          <w:noProof/>
          <w:sz w:val="18"/>
          <w:szCs w:val="18"/>
        </w:rPr>
        <w:t xml:space="preserve"> The biology and rationale of targeting nectin-4 in urothelial carcinoma. </w:t>
      </w:r>
      <w:r w:rsidRPr="00DE5850">
        <w:rPr>
          <w:rFonts w:ascii="Arial Narrow" w:hAnsi="Arial Narrow"/>
          <w:i/>
          <w:noProof/>
          <w:sz w:val="18"/>
          <w:szCs w:val="18"/>
        </w:rPr>
        <w:t>Nat Rev Urol</w:t>
      </w:r>
      <w:r w:rsidRPr="00DE5850">
        <w:rPr>
          <w:rFonts w:ascii="Arial Narrow" w:hAnsi="Arial Narrow"/>
          <w:noProof/>
          <w:sz w:val="18"/>
          <w:szCs w:val="18"/>
        </w:rPr>
        <w:t>.</w:t>
      </w:r>
      <w:r>
        <w:rPr>
          <w:rFonts w:ascii="Arial Narrow" w:hAnsi="Arial Narrow"/>
          <w:noProof/>
          <w:sz w:val="18"/>
          <w:szCs w:val="18"/>
        </w:rPr>
        <w:t xml:space="preserve"> </w:t>
      </w:r>
      <w:r w:rsidRPr="00DE5850">
        <w:rPr>
          <w:rFonts w:ascii="Arial Narrow" w:hAnsi="Arial Narrow"/>
          <w:noProof/>
          <w:sz w:val="18"/>
          <w:szCs w:val="18"/>
        </w:rPr>
        <w:t>Feb;18(2):93-103.</w:t>
      </w:r>
    </w:p>
  </w:footnote>
  <w:footnote w:id="13">
    <w:p w14:paraId="75D89A64" w14:textId="77777777" w:rsidR="008D40C6" w:rsidRPr="00612FED" w:rsidRDefault="008D40C6" w:rsidP="008D40C6">
      <w:pPr>
        <w:pStyle w:val="FootnoteText"/>
        <w:rPr>
          <w:rFonts w:ascii="Arial Narrow" w:hAnsi="Arial Narrow"/>
          <w:lang w:val="en-US"/>
        </w:rPr>
      </w:pPr>
      <w:r w:rsidRPr="00612FED">
        <w:rPr>
          <w:rStyle w:val="FootnoteReference"/>
          <w:rFonts w:ascii="Arial Narrow" w:hAnsi="Arial Narrow"/>
          <w:sz w:val="18"/>
          <w:szCs w:val="18"/>
        </w:rPr>
        <w:footnoteRef/>
      </w:r>
      <w:r w:rsidRPr="00612FED">
        <w:rPr>
          <w:rFonts w:ascii="Arial Narrow" w:hAnsi="Arial Narrow"/>
          <w:sz w:val="18"/>
          <w:szCs w:val="18"/>
        </w:rPr>
        <w:t xml:space="preserve"> </w:t>
      </w:r>
      <w:r w:rsidRPr="00612FED">
        <w:rPr>
          <w:rFonts w:ascii="Arial Narrow" w:hAnsi="Arial Narrow"/>
          <w:sz w:val="18"/>
          <w:szCs w:val="18"/>
          <w:lang w:val="en-US"/>
        </w:rPr>
        <w:t>November 2024 PBAC meeting agenda</w:t>
      </w:r>
      <w:r>
        <w:rPr>
          <w:rFonts w:ascii="Arial Narrow" w:hAnsi="Arial Narrow"/>
          <w:sz w:val="18"/>
          <w:szCs w:val="18"/>
          <w:lang w:val="en-US"/>
        </w:rPr>
        <w:t xml:space="preserve">. </w:t>
      </w:r>
      <w:hyperlink r:id="rId2" w:history="1">
        <w:r w:rsidRPr="00612FED">
          <w:rPr>
            <w:rStyle w:val="Hyperlink"/>
            <w:rFonts w:ascii="Arial Narrow" w:hAnsi="Arial Narrow"/>
            <w:sz w:val="18"/>
            <w:szCs w:val="18"/>
          </w:rPr>
          <w:t>Pharmaceutical Benefits Scheme (PBS) | November 2024 PBAC Meeting</w:t>
        </w:r>
      </w:hyperlink>
    </w:p>
  </w:footnote>
  <w:footnote w:id="14">
    <w:p w14:paraId="19B04478" w14:textId="1D16B065" w:rsidR="008C1E51" w:rsidRPr="008C1E51" w:rsidRDefault="008C1E51">
      <w:pPr>
        <w:pStyle w:val="FootnoteText"/>
        <w:rPr>
          <w:rFonts w:ascii="Arial Narrow" w:hAnsi="Arial Narrow"/>
          <w:noProof/>
          <w:sz w:val="18"/>
          <w:szCs w:val="18"/>
        </w:rPr>
      </w:pPr>
      <w:r>
        <w:rPr>
          <w:rStyle w:val="FootnoteReference"/>
        </w:rPr>
        <w:footnoteRef/>
      </w:r>
      <w:r>
        <w:t xml:space="preserve"> </w:t>
      </w:r>
      <w:r w:rsidRPr="008C1E51">
        <w:rPr>
          <w:rFonts w:ascii="Arial Narrow" w:hAnsi="Arial Narrow"/>
          <w:noProof/>
          <w:sz w:val="18"/>
          <w:szCs w:val="18"/>
        </w:rPr>
        <w:t>Cherny NI, Dafni U, Bogaerts J, et al: ESMO-Magnitude of Clinical Benefit Scale version 1.1. Annals of Oncology 28:2340-2366, 2017</w:t>
      </w:r>
      <w:r>
        <w:rPr>
          <w:rFonts w:ascii="Arial Narrow" w:hAnsi="Arial Narrow"/>
          <w:noProof/>
          <w:sz w:val="18"/>
          <w:szCs w:val="18"/>
        </w:rPr>
        <w:t>.</w:t>
      </w:r>
    </w:p>
  </w:footnote>
  <w:footnote w:id="15">
    <w:p w14:paraId="553D40C4" w14:textId="17876B08" w:rsidR="00C85DA6" w:rsidRPr="00C85DA6" w:rsidRDefault="00C85DA6">
      <w:pPr>
        <w:pStyle w:val="FootnoteText"/>
        <w:rPr>
          <w:rFonts w:ascii="Arial Narrow" w:hAnsi="Arial Narrow"/>
          <w:sz w:val="18"/>
          <w:szCs w:val="18"/>
        </w:rPr>
      </w:pPr>
      <w:r w:rsidRPr="00C85DA6">
        <w:rPr>
          <w:rStyle w:val="FootnoteReference"/>
          <w:rFonts w:ascii="Arial Narrow" w:hAnsi="Arial Narrow"/>
          <w:sz w:val="18"/>
          <w:szCs w:val="18"/>
        </w:rPr>
        <w:footnoteRef/>
      </w:r>
      <w:r w:rsidRPr="00C85DA6">
        <w:rPr>
          <w:rFonts w:ascii="Arial Narrow" w:hAnsi="Arial Narrow"/>
          <w:sz w:val="18"/>
          <w:szCs w:val="18"/>
        </w:rPr>
        <w:t xml:space="preserve"> </w:t>
      </w:r>
      <w:r w:rsidRPr="00C85DA6">
        <w:rPr>
          <w:rFonts w:ascii="Arial Narrow" w:hAnsi="Arial Narrow" w:cs="Segoe UI"/>
          <w:color w:val="212121"/>
          <w:sz w:val="18"/>
          <w:szCs w:val="18"/>
          <w:shd w:val="clear" w:color="auto" w:fill="FFFFFF"/>
        </w:rPr>
        <w:t>von der Maase, H., Hansen, S. W., Roberts, J. T., Dogliotti, L., Oliver, T., Moore, M. J.,</w:t>
      </w:r>
      <w:r>
        <w:rPr>
          <w:rFonts w:ascii="Arial Narrow" w:hAnsi="Arial Narrow" w:cs="Segoe UI"/>
          <w:color w:val="212121"/>
          <w:sz w:val="18"/>
          <w:szCs w:val="18"/>
          <w:shd w:val="clear" w:color="auto" w:fill="FFFFFF"/>
        </w:rPr>
        <w:t xml:space="preserve"> et al.</w:t>
      </w:r>
      <w:r w:rsidRPr="00C85DA6">
        <w:rPr>
          <w:rFonts w:ascii="Arial Narrow" w:hAnsi="Arial Narrow" w:cs="Segoe UI"/>
          <w:color w:val="212121"/>
          <w:sz w:val="18"/>
          <w:szCs w:val="18"/>
          <w:shd w:val="clear" w:color="auto" w:fill="FFFFFF"/>
        </w:rPr>
        <w:t xml:space="preserve"> (2000). Gemcitabine and cisplatin versus methotrexate, vinblastine, doxorubicin, and cisplatin in advanced or metastatic bladder cancer: results of a large, randomized, multinational, multicenter, phase III study. </w:t>
      </w:r>
      <w:r w:rsidRPr="00C85DA6">
        <w:rPr>
          <w:rFonts w:ascii="Arial Narrow" w:hAnsi="Arial Narrow" w:cs="Segoe UI"/>
          <w:i/>
          <w:iCs/>
          <w:color w:val="212121"/>
          <w:sz w:val="18"/>
          <w:szCs w:val="18"/>
          <w:shd w:val="clear" w:color="auto" w:fill="FFFFFF"/>
        </w:rPr>
        <w:t>Journal of clinical oncology</w:t>
      </w:r>
      <w:r w:rsidRPr="00C85DA6">
        <w:rPr>
          <w:rFonts w:ascii="Arial Narrow" w:hAnsi="Arial Narrow" w:cs="Segoe UI"/>
          <w:color w:val="212121"/>
          <w:sz w:val="18"/>
          <w:szCs w:val="18"/>
          <w:shd w:val="clear" w:color="auto" w:fill="FFFFFF"/>
        </w:rPr>
        <w:t>, </w:t>
      </w:r>
      <w:r w:rsidRPr="00C85DA6">
        <w:rPr>
          <w:rFonts w:ascii="Arial Narrow" w:hAnsi="Arial Narrow" w:cs="Segoe UI"/>
          <w:i/>
          <w:iCs/>
          <w:color w:val="212121"/>
          <w:sz w:val="18"/>
          <w:szCs w:val="18"/>
          <w:shd w:val="clear" w:color="auto" w:fill="FFFFFF"/>
        </w:rPr>
        <w:t>18</w:t>
      </w:r>
      <w:r w:rsidRPr="00C85DA6">
        <w:rPr>
          <w:rFonts w:ascii="Arial Narrow" w:hAnsi="Arial Narrow" w:cs="Segoe UI"/>
          <w:color w:val="212121"/>
          <w:sz w:val="18"/>
          <w:szCs w:val="18"/>
          <w:shd w:val="clear" w:color="auto" w:fill="FFFFFF"/>
        </w:rPr>
        <w:t>(17), 3068–3077</w:t>
      </w:r>
      <w:r>
        <w:rPr>
          <w:rFonts w:ascii="Arial Narrow" w:hAnsi="Arial Narrow" w:cs="Segoe UI"/>
          <w:color w:val="212121"/>
          <w:sz w:val="18"/>
          <w:szCs w:val="18"/>
          <w:shd w:val="clear" w:color="auto" w:fill="FFFFFF"/>
        </w:rPr>
        <w:t>.</w:t>
      </w:r>
    </w:p>
  </w:footnote>
  <w:footnote w:id="16">
    <w:p w14:paraId="5D61A9BF" w14:textId="67E02BEA" w:rsidR="00C85DA6" w:rsidRDefault="00C85DA6">
      <w:pPr>
        <w:pStyle w:val="FootnoteText"/>
      </w:pPr>
      <w:r>
        <w:rPr>
          <w:rStyle w:val="FootnoteReference"/>
        </w:rPr>
        <w:footnoteRef/>
      </w:r>
      <w:r>
        <w:t xml:space="preserve"> </w:t>
      </w:r>
      <w:r w:rsidRPr="00C85DA6">
        <w:rPr>
          <w:rFonts w:ascii="Arial Narrow" w:hAnsi="Arial Narrow" w:cs="Segoe UI"/>
          <w:color w:val="212121"/>
          <w:sz w:val="18"/>
          <w:szCs w:val="18"/>
          <w:shd w:val="clear" w:color="auto" w:fill="FFFFFF"/>
        </w:rPr>
        <w:t>Nogué-Aliguer, M., Carles, J., Arrivi, A., Juan, O., Alonso, L., Font, A., Mellado, B., Garrido, P., Sáenz, A., &amp; Spanish Cooperative Group (2003). Gemcitabine and carboplatin in advanced transitional cell carcinoma of the urinary tract: an alternative therapy. </w:t>
      </w:r>
      <w:r w:rsidRPr="00C85DA6">
        <w:rPr>
          <w:rFonts w:ascii="Arial Narrow" w:hAnsi="Arial Narrow" w:cs="Segoe UI"/>
          <w:i/>
          <w:iCs/>
          <w:color w:val="212121"/>
          <w:sz w:val="18"/>
          <w:szCs w:val="18"/>
          <w:shd w:val="clear" w:color="auto" w:fill="FFFFFF"/>
        </w:rPr>
        <w:t>Cancer</w:t>
      </w:r>
      <w:r w:rsidRPr="00C85DA6">
        <w:rPr>
          <w:rFonts w:ascii="Arial Narrow" w:hAnsi="Arial Narrow" w:cs="Segoe UI"/>
          <w:color w:val="212121"/>
          <w:sz w:val="18"/>
          <w:szCs w:val="18"/>
          <w:shd w:val="clear" w:color="auto" w:fill="FFFFFF"/>
        </w:rPr>
        <w:t>, </w:t>
      </w:r>
      <w:r w:rsidRPr="00C85DA6">
        <w:rPr>
          <w:rFonts w:ascii="Arial Narrow" w:hAnsi="Arial Narrow" w:cs="Segoe UI"/>
          <w:i/>
          <w:iCs/>
          <w:color w:val="212121"/>
          <w:sz w:val="18"/>
          <w:szCs w:val="18"/>
          <w:shd w:val="clear" w:color="auto" w:fill="FFFFFF"/>
        </w:rPr>
        <w:t>97</w:t>
      </w:r>
      <w:r w:rsidRPr="00C85DA6">
        <w:rPr>
          <w:rFonts w:ascii="Arial Narrow" w:hAnsi="Arial Narrow" w:cs="Segoe UI"/>
          <w:color w:val="212121"/>
          <w:sz w:val="18"/>
          <w:szCs w:val="18"/>
          <w:shd w:val="clear" w:color="auto" w:fill="FFFFFF"/>
        </w:rPr>
        <w:t>(9), 2180–2186.</w:t>
      </w:r>
    </w:p>
  </w:footnote>
  <w:footnote w:id="17">
    <w:p w14:paraId="54C6FF63" w14:textId="77777777" w:rsidR="005D2394" w:rsidRDefault="005D2394" w:rsidP="005D2394">
      <w:pPr>
        <w:pStyle w:val="FootnoteText"/>
      </w:pPr>
      <w:r>
        <w:rPr>
          <w:rStyle w:val="FootnoteReference"/>
        </w:rPr>
        <w:footnoteRef/>
      </w:r>
      <w:r>
        <w:t xml:space="preserve"> </w:t>
      </w:r>
      <w:r w:rsidRPr="00777653">
        <w:t>Australian Institute of Health and Welfare (AIHW). Cancer Data in Australia. Canberra: AIHW.; 2023.</w:t>
      </w:r>
    </w:p>
  </w:footnote>
  <w:footnote w:id="18">
    <w:p w14:paraId="2E29A414" w14:textId="333C028C" w:rsidR="00402B6E" w:rsidRDefault="00402B6E">
      <w:pPr>
        <w:pStyle w:val="FootnoteText"/>
      </w:pPr>
      <w:r>
        <w:rPr>
          <w:rStyle w:val="FootnoteReference"/>
        </w:rPr>
        <w:footnoteRef/>
      </w:r>
      <w:r>
        <w:t xml:space="preserve"> </w:t>
      </w:r>
      <w:r w:rsidRPr="00402B6E">
        <w:t>Gebski, V., Garès, V., Gibbs, E., &amp; Byth, K. (2018). Data maturity and follow-up in time-to-event analyses. International Journal of Epidemiology, 47(3), 850–859.</w:t>
      </w:r>
    </w:p>
  </w:footnote>
  <w:footnote w:id="19">
    <w:p w14:paraId="4D450888" w14:textId="77777777" w:rsidR="005D2394" w:rsidRDefault="005D2394" w:rsidP="005D2394">
      <w:pPr>
        <w:pStyle w:val="FootnoteText"/>
      </w:pPr>
      <w:r>
        <w:rPr>
          <w:rStyle w:val="FootnoteReference"/>
        </w:rPr>
        <w:footnoteRef/>
      </w:r>
      <w:r>
        <w:t xml:space="preserve"> </w:t>
      </w:r>
      <w:r w:rsidRPr="00940D29">
        <w:t>Norman R, Mulhern B, Lancsar E, Lorgelly P, Ratcliffe J, Street D, Viney R. The Use of a Discrete Choice Experiment Including Both Duration and Dead for the Development of an EQ-5D-5L Value Set for Australia. Pharmacoeconomics. 2023;41(4):427-38.</w:t>
      </w:r>
    </w:p>
  </w:footnote>
  <w:footnote w:id="20">
    <w:p w14:paraId="675FE9FC" w14:textId="3F7FAA3F" w:rsidR="00364045" w:rsidRDefault="00364045">
      <w:pPr>
        <w:pStyle w:val="FootnoteText"/>
      </w:pPr>
      <w:r>
        <w:rPr>
          <w:rStyle w:val="FootnoteReference"/>
        </w:rPr>
        <w:footnoteRef/>
      </w:r>
      <w:r>
        <w:t xml:space="preserve"> A revised economic model spreadsheet was not provided with the pre-PBAC response</w:t>
      </w:r>
    </w:p>
  </w:footnote>
  <w:footnote w:id="21">
    <w:p w14:paraId="7211EAFA" w14:textId="77777777" w:rsidR="008D40C6" w:rsidRDefault="008D40C6" w:rsidP="008D40C6">
      <w:pPr>
        <w:pStyle w:val="FootnoteText"/>
      </w:pPr>
      <w:r>
        <w:rPr>
          <w:rStyle w:val="FootnoteReference"/>
        </w:rPr>
        <w:footnoteRef/>
      </w:r>
      <w:r>
        <w:t xml:space="preserve"> </w:t>
      </w:r>
      <w:r w:rsidRPr="004645A6">
        <w:t>Australian Institute of Health and Welfare (AIHW). Cancer Data in Australia. Canberra: AIHW.2023.</w:t>
      </w:r>
      <w:r>
        <w:t xml:space="preserve"> </w:t>
      </w:r>
    </w:p>
  </w:footnote>
  <w:footnote w:id="22">
    <w:p w14:paraId="34705D60" w14:textId="251C13E3" w:rsidR="008D40C6" w:rsidRDefault="008D40C6" w:rsidP="008D40C6">
      <w:pPr>
        <w:pStyle w:val="FootnoteText"/>
      </w:pPr>
      <w:r>
        <w:rPr>
          <w:rStyle w:val="FootnoteReference"/>
        </w:rPr>
        <w:footnoteRef/>
      </w:r>
      <w:r>
        <w:t xml:space="preserve"> </w:t>
      </w:r>
      <w:r w:rsidRPr="0099774F">
        <w:t>National Cancer Institute. Urinary Bladder (Invasive &amp; In Situ) Stage Distribution of SEER Incidence Cases, 2012-2021. Available from: https://seer.cancer.gov/statistics-network/explorer/application.html?site=71&amp;data_</w:t>
      </w:r>
      <w:r w:rsidR="00F67D06">
        <w:br/>
      </w:r>
      <w:r w:rsidRPr="0099774F">
        <w:t>type=1&amp;graph_type=4&amp;compareBy=sex&amp;chk_sex_1=1&amp;race=1&amp;age_range=1&amp;advopt_precision=1&amp;advopt_show_count=on&amp;hdn_view=1&amp;advopt_show_apc=on&amp;advopt_display=1#resultsRegion1.</w:t>
      </w:r>
      <w:r>
        <w:t xml:space="preserve"> </w:t>
      </w:r>
    </w:p>
  </w:footnote>
  <w:footnote w:id="23">
    <w:p w14:paraId="55BAFCB9" w14:textId="77777777" w:rsidR="008D40C6" w:rsidRDefault="008D40C6" w:rsidP="008D40C6">
      <w:pPr>
        <w:pStyle w:val="FootnoteText"/>
      </w:pPr>
      <w:r>
        <w:rPr>
          <w:rStyle w:val="FootnoteReference"/>
        </w:rPr>
        <w:footnoteRef/>
      </w:r>
      <w:r>
        <w:t xml:space="preserve"> </w:t>
      </w:r>
      <w:r w:rsidRPr="0099774F">
        <w:t>van Gils-Gielen RJ, Witjes WP, Caris CT, Debruyne FM, Witjes JA, Oosterhof GO. Risk factors in carcinoma in situ of the urinary bladder. Dutch South East Cooperative Urological Group. Urology. 1995 Apr;45(4):581-6.</w:t>
      </w:r>
      <w:r>
        <w:t xml:space="preserve"> </w:t>
      </w:r>
    </w:p>
  </w:footnote>
  <w:footnote w:id="24">
    <w:p w14:paraId="017E1EAD" w14:textId="77777777" w:rsidR="008D40C6" w:rsidRDefault="008D40C6" w:rsidP="008D40C6">
      <w:pPr>
        <w:pStyle w:val="FootnoteText"/>
      </w:pPr>
      <w:r>
        <w:rPr>
          <w:rStyle w:val="FootnoteReference"/>
        </w:rPr>
        <w:footnoteRef/>
      </w:r>
      <w:r>
        <w:t xml:space="preserve"> </w:t>
      </w:r>
      <w:r w:rsidRPr="0099774F">
        <w:t>Tang DH, Chang SS. Management of carcinoma in situ of the bladder: best practice and recent developments. Ther Adv Urol. 2015 Dec;7(6):351-64.</w:t>
      </w:r>
      <w:r>
        <w:t xml:space="preserve"> </w:t>
      </w:r>
    </w:p>
  </w:footnote>
  <w:footnote w:id="25">
    <w:p w14:paraId="5E6B81AD" w14:textId="77777777" w:rsidR="008D40C6" w:rsidRDefault="008D40C6" w:rsidP="008D40C6">
      <w:pPr>
        <w:pStyle w:val="FootnoteText"/>
      </w:pPr>
      <w:r>
        <w:rPr>
          <w:rStyle w:val="FootnoteReference"/>
        </w:rPr>
        <w:footnoteRef/>
      </w:r>
      <w:r>
        <w:t xml:space="preserve"> </w:t>
      </w:r>
      <w:r w:rsidRPr="0099774F">
        <w:t>Mari A, Campi R, Tellini R, Gandaglia G, Albisinni S, Abufaraj M, et al. Patterns and predictors of recurrence after open radical cystectomy for bladder cancer: a comprehensive review of the literature. World J Urol. 2018 Feb;36(2):157-70.</w:t>
      </w:r>
      <w:r>
        <w:t xml:space="preserve"> </w:t>
      </w:r>
    </w:p>
  </w:footnote>
  <w:footnote w:id="26">
    <w:p w14:paraId="5D5AB7D8" w14:textId="77777777" w:rsidR="008D40C6" w:rsidRDefault="008D40C6" w:rsidP="008D40C6">
      <w:pPr>
        <w:pStyle w:val="FootnoteText"/>
      </w:pPr>
      <w:r>
        <w:rPr>
          <w:rStyle w:val="FootnoteReference"/>
        </w:rPr>
        <w:footnoteRef/>
      </w:r>
      <w:r>
        <w:t xml:space="preserve"> </w:t>
      </w:r>
      <w:r w:rsidRPr="0099774F">
        <w:t>Bilim V, Kuroki H, Shirono Y, Murata M, Hiruma K, Tomita Y. Advanced Bladder Cancer: Changing the Treatment Landscape. J Pers Med. 2022 Oct 20;12(10).</w:t>
      </w:r>
      <w:r>
        <w:t xml:space="preserve"> </w:t>
      </w:r>
    </w:p>
  </w:footnote>
  <w:footnote w:id="27">
    <w:p w14:paraId="7C4BB148" w14:textId="77777777" w:rsidR="008D40C6" w:rsidRDefault="008D40C6" w:rsidP="008D40C6">
      <w:pPr>
        <w:pStyle w:val="FootnoteText"/>
      </w:pPr>
      <w:r>
        <w:rPr>
          <w:rStyle w:val="FootnoteReference"/>
        </w:rPr>
        <w:footnoteRef/>
      </w:r>
      <w:r>
        <w:t xml:space="preserve"> </w:t>
      </w:r>
      <w:r w:rsidRPr="0099774F">
        <w:t>Özbir S, Girgin C, Kara C, Dinçel Ç. Local and systemic recurrence patterns of urothelial cancer after radical cystectomy. The Kaohsiung Journal of Medical Sciences. 2014 2014/10/01/;30(10):504-9.</w:t>
      </w:r>
      <w:r>
        <w:t xml:space="preserve"> </w:t>
      </w:r>
    </w:p>
  </w:footnote>
  <w:footnote w:id="28">
    <w:p w14:paraId="7EDD12DC" w14:textId="77777777" w:rsidR="008D40C6" w:rsidRDefault="008D40C6" w:rsidP="008D40C6">
      <w:pPr>
        <w:pStyle w:val="FootnoteText"/>
      </w:pPr>
      <w:r>
        <w:rPr>
          <w:rStyle w:val="FootnoteReference"/>
        </w:rPr>
        <w:footnoteRef/>
      </w:r>
      <w:r>
        <w:t xml:space="preserve"> </w:t>
      </w:r>
      <w:r w:rsidRPr="0099774F">
        <w:t>National Cancer Institute. Renal Pelvis Stage Distribution of SEER Incidence Cases, 2012-2021. Available from: https://seer.cancer.gov/statistics-network/explorer/application.html?site=640&amp;data_type=1&amp;graph_type=4&amp;compareBy=sex&amp;chk_sex_1=1&amp;race=1&amp;age_range=1&amp;advopt_precision=1&amp;advopt_show_count=on&amp;hdn_view=1&amp;advopt_show_apc=on&amp;advopt_display=1#resultsRegion1.</w:t>
      </w:r>
      <w:r>
        <w:t xml:space="preserve"> </w:t>
      </w:r>
    </w:p>
  </w:footnote>
  <w:footnote w:id="29">
    <w:p w14:paraId="02297DEF" w14:textId="77777777" w:rsidR="008D40C6" w:rsidRDefault="008D40C6" w:rsidP="008D40C6">
      <w:pPr>
        <w:pStyle w:val="FootnoteText"/>
      </w:pPr>
      <w:r>
        <w:rPr>
          <w:rStyle w:val="FootnoteReference"/>
        </w:rPr>
        <w:footnoteRef/>
      </w:r>
      <w:r>
        <w:t xml:space="preserve"> </w:t>
      </w:r>
      <w:r w:rsidRPr="0099774F">
        <w:t>Tanaka N, Kikuchi E, Kanao K, Matsumoto K, Kobayashi H, Ide H, et al. Metastatic behavior of upper tract urothelial carcinoma after radical nephroureterectomy: association with primary tumor location. Ann Surg Oncol. 2014 Mar;21(3):1038-45.</w:t>
      </w:r>
      <w:r>
        <w:t xml:space="preserve"> </w:t>
      </w:r>
    </w:p>
  </w:footnote>
  <w:footnote w:id="30">
    <w:p w14:paraId="0CD0DE9E" w14:textId="77777777" w:rsidR="008D40C6" w:rsidRDefault="008D40C6" w:rsidP="008D40C6">
      <w:pPr>
        <w:pStyle w:val="FootnoteText"/>
      </w:pPr>
      <w:r>
        <w:rPr>
          <w:rStyle w:val="FootnoteReference"/>
        </w:rPr>
        <w:footnoteRef/>
      </w:r>
      <w:r>
        <w:t xml:space="preserve"> </w:t>
      </w:r>
      <w:r w:rsidRPr="0099774F">
        <w:t>Locke JA, Hamidizadeh R, Kassouf W, Rendon RA, Bell D, Izawa J, et al. Surveillance guidelines based on recurrence patterns for upper tract urothelial carcinoma. Can Urol Assoc J. 2018 Aug;12(8):243-51.</w:t>
      </w:r>
      <w:r>
        <w:t xml:space="preserve"> </w:t>
      </w:r>
    </w:p>
  </w:footnote>
  <w:footnote w:id="31">
    <w:p w14:paraId="43F90DFF" w14:textId="77777777" w:rsidR="008D40C6" w:rsidRDefault="008D40C6" w:rsidP="008D40C6">
      <w:pPr>
        <w:pStyle w:val="FootnoteText"/>
      </w:pPr>
      <w:r>
        <w:rPr>
          <w:rStyle w:val="FootnoteReference"/>
        </w:rPr>
        <w:footnoteRef/>
      </w:r>
      <w:r>
        <w:t xml:space="preserve"> Scripts per treatment year (EV) = 80.10% x 52.18 x dose per week (2/3 = 0.67) </w:t>
      </w:r>
    </w:p>
  </w:footnote>
  <w:footnote w:id="32">
    <w:p w14:paraId="449ABBC1" w14:textId="77777777" w:rsidR="008D40C6" w:rsidRDefault="008D40C6" w:rsidP="008D40C6">
      <w:pPr>
        <w:pStyle w:val="FootnoteText"/>
      </w:pPr>
      <w:r>
        <w:rPr>
          <w:rStyle w:val="FootnoteReference"/>
        </w:rPr>
        <w:footnoteRef/>
      </w:r>
      <w:r>
        <w:t xml:space="preserve"> Scripts per treatment year (PEM) = 92.30% x 52.18 x dose per week (1/3 = 0.33)</w:t>
      </w:r>
    </w:p>
  </w:footnote>
  <w:footnote w:id="33">
    <w:p w14:paraId="2420A132" w14:textId="48E1DD8F" w:rsidR="00C809D8" w:rsidRPr="00D37892" w:rsidRDefault="00C809D8">
      <w:pPr>
        <w:pStyle w:val="FootnoteText"/>
      </w:pPr>
      <w:r w:rsidRPr="00D37892">
        <w:rPr>
          <w:rStyle w:val="FootnoteReference"/>
        </w:rPr>
        <w:footnoteRef/>
      </w:r>
      <w:r w:rsidRPr="00D37892">
        <w:t xml:space="preserve"> </w:t>
      </w:r>
      <w:r w:rsidRPr="008C227F">
        <w:t>Calculated as ($</w:t>
      </w:r>
      <w:r w:rsidR="001F54E0" w:rsidRPr="001F54E0">
        <w:rPr>
          <w:color w:val="000000"/>
          <w:w w:val="82"/>
          <w:shd w:val="solid" w:color="000000" w:fill="000000"/>
          <w:fitText w:val="380" w:id="-761018359"/>
          <w14:textFill>
            <w14:solidFill>
              <w14:srgbClr w14:val="000000">
                <w14:alpha w14:val="100000"/>
              </w14:srgbClr>
            </w14:solidFill>
          </w14:textFill>
        </w:rPr>
        <w:t>||  |</w:t>
      </w:r>
      <w:r w:rsidR="001F54E0" w:rsidRPr="001F54E0">
        <w:rPr>
          <w:color w:val="000000"/>
          <w:spacing w:val="4"/>
          <w:w w:val="82"/>
          <w:shd w:val="solid" w:color="000000" w:fill="000000"/>
          <w:fitText w:val="380" w:id="-761018359"/>
          <w14:textFill>
            <w14:solidFill>
              <w14:srgbClr w14:val="000000">
                <w14:alpha w14:val="100000"/>
              </w14:srgbClr>
            </w14:solidFill>
          </w14:textFill>
        </w:rPr>
        <w:t>|</w:t>
      </w:r>
      <w:r w:rsidR="00DE02AD" w:rsidRPr="008C227F">
        <w:t>/$</w:t>
      </w:r>
      <w:r w:rsidR="001F54E0" w:rsidRPr="00014CB1">
        <w:rPr>
          <w:color w:val="000000"/>
          <w:w w:val="82"/>
          <w:shd w:val="solid" w:color="000000" w:fill="000000"/>
          <w:fitText w:val="380" w:id="-761018358"/>
          <w14:textFill>
            <w14:solidFill>
              <w14:srgbClr w14:val="000000">
                <w14:alpha w14:val="100000"/>
              </w14:srgbClr>
            </w14:solidFill>
          </w14:textFill>
        </w:rPr>
        <w:t>||  |</w:t>
      </w:r>
      <w:r w:rsidR="001F54E0" w:rsidRPr="00014CB1">
        <w:rPr>
          <w:color w:val="000000"/>
          <w:spacing w:val="4"/>
          <w:w w:val="82"/>
          <w:shd w:val="solid" w:color="000000" w:fill="000000"/>
          <w:fitText w:val="380" w:id="-761018358"/>
          <w14:textFill>
            <w14:solidFill>
              <w14:srgbClr w14:val="000000">
                <w14:alpha w14:val="100000"/>
              </w14:srgbClr>
            </w14:solidFill>
          </w14:textFill>
        </w:rPr>
        <w:t>|</w:t>
      </w:r>
      <w:r w:rsidRPr="008C227F">
        <w:t>) x cost over 6 years</w:t>
      </w:r>
      <w:r w:rsidRPr="00D37892">
        <w:t xml:space="preserve"> </w:t>
      </w:r>
    </w:p>
  </w:footnote>
  <w:footnote w:id="34">
    <w:p w14:paraId="7F21BAA5" w14:textId="77777777" w:rsidR="008D40C6" w:rsidRDefault="008D40C6" w:rsidP="008D40C6">
      <w:pPr>
        <w:pStyle w:val="FootnoteText"/>
      </w:pPr>
      <w:r>
        <w:rPr>
          <w:rStyle w:val="FootnoteReference"/>
        </w:rPr>
        <w:footnoteRef/>
      </w:r>
      <w:r>
        <w:t xml:space="preserve"> </w:t>
      </w:r>
      <w:r w:rsidRPr="004645A6">
        <w:t xml:space="preserve">David KA, Mallin K, </w:t>
      </w:r>
      <w:proofErr w:type="spellStart"/>
      <w:r w:rsidRPr="004645A6">
        <w:t>Milowsky</w:t>
      </w:r>
      <w:proofErr w:type="spellEnd"/>
      <w:r w:rsidRPr="004645A6">
        <w:t xml:space="preserve"> MI, Ritchey J, Carroll PR, Nanus DM. Surveillance of urothelial carcinoma. Cancer. 2009;115(7):1435-47.</w:t>
      </w:r>
      <w:r>
        <w:t xml:space="preserve"> </w:t>
      </w:r>
    </w:p>
  </w:footnote>
  <w:footnote w:id="35">
    <w:p w14:paraId="3474E396" w14:textId="07F00C2D" w:rsidR="00104C0D" w:rsidRDefault="00104C0D">
      <w:pPr>
        <w:pStyle w:val="FootnoteText"/>
      </w:pPr>
      <w:r>
        <w:rPr>
          <w:rStyle w:val="FootnoteReference"/>
        </w:rPr>
        <w:footnoteRef/>
      </w:r>
      <w:r>
        <w:t xml:space="preserve"> </w:t>
      </w:r>
      <w:r w:rsidRPr="00104C0D">
        <w:t>Mathew Thomas V, Jo Y, Tripathi N, et al. Treatment Patterns and Attrition With Lines of Therapy for Advanced</w:t>
      </w:r>
      <w:r>
        <w:t xml:space="preserve"> </w:t>
      </w:r>
      <w:r w:rsidRPr="00104C0D">
        <w:t>Urothelial Carcinoma in the US. </w:t>
      </w:r>
      <w:r w:rsidRPr="00104C0D">
        <w:rPr>
          <w:i/>
          <w:iCs/>
        </w:rPr>
        <w:t>JAMA Netw Open.</w:t>
      </w:r>
      <w:r w:rsidRPr="00104C0D">
        <w:t> 2024;7(5):</w:t>
      </w:r>
      <w:r>
        <w:t xml:space="preserve"> </w:t>
      </w:r>
      <w:r w:rsidRPr="00104C0D">
        <w:t>e249417.</w:t>
      </w:r>
      <w:r>
        <w:t xml:space="preserve"> </w:t>
      </w:r>
      <w:r w:rsidRPr="00104C0D">
        <w:t xml:space="preserve"> doi:10.1001/</w:t>
      </w:r>
      <w:r>
        <w:t xml:space="preserve"> </w:t>
      </w:r>
      <w:r w:rsidRPr="00104C0D">
        <w:t>jamanetworkopen.2024.</w:t>
      </w:r>
      <w:r>
        <w:t xml:space="preserve"> </w:t>
      </w:r>
      <w:r w:rsidRPr="00104C0D">
        <w:t>941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D36C" w14:textId="77777777" w:rsidR="001F54E0" w:rsidRDefault="001F5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795F08F9" w:rsidR="00D843F2" w:rsidRPr="00195452" w:rsidRDefault="00001C5D" w:rsidP="00D822E2">
    <w:pPr>
      <w:pStyle w:val="Header"/>
      <w:rPr>
        <w:rFonts w:asciiTheme="minorHAnsi" w:hAnsiTheme="minorHAnsi"/>
        <w:i w:val="0"/>
        <w:color w:val="808080"/>
      </w:rPr>
    </w:pPr>
    <w:r w:rsidRPr="00001C5D">
      <w:rPr>
        <w:rFonts w:asciiTheme="minorHAnsi" w:hAnsiTheme="minorHAnsi"/>
        <w:color w:val="808080"/>
      </w:rPr>
      <w:t xml:space="preserve">Public Summary Document </w:t>
    </w:r>
    <w:r w:rsidR="00696BC0">
      <w:rPr>
        <w:rFonts w:asciiTheme="minorHAnsi" w:hAnsiTheme="minorHAnsi"/>
        <w:color w:val="808080"/>
      </w:rPr>
      <w:t xml:space="preserve">- </w:t>
    </w:r>
    <w:r w:rsidR="00707063">
      <w:rPr>
        <w:rFonts w:asciiTheme="minorHAnsi" w:hAnsiTheme="minorHAnsi"/>
        <w:color w:val="808080"/>
      </w:rPr>
      <w:t>November</w:t>
    </w:r>
    <w:r w:rsidR="00D843F2">
      <w:rPr>
        <w:rFonts w:asciiTheme="minorHAnsi" w:hAnsiTheme="minorHAnsi"/>
        <w:color w:val="808080"/>
      </w:rPr>
      <w:t xml:space="preserve"> 202</w:t>
    </w:r>
    <w:r w:rsidR="00707063">
      <w:rPr>
        <w:rFonts w:asciiTheme="minorHAnsi" w:hAnsiTheme="minorHAnsi"/>
        <w:color w:val="808080"/>
      </w:rPr>
      <w:t>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5ED9" w14:textId="77777777" w:rsidR="001F54E0" w:rsidRDefault="001F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COMexecsumm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F935A7"/>
    <w:multiLevelType w:val="hybridMultilevel"/>
    <w:tmpl w:val="96560A6E"/>
    <w:lvl w:ilvl="0" w:tplc="5F9EC3C6">
      <w:start w:val="1"/>
      <w:numFmt w:val="bullet"/>
      <w:pStyle w:val="Bullet1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14213"/>
    <w:multiLevelType w:val="multilevel"/>
    <w:tmpl w:val="3C22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D5CCA"/>
    <w:multiLevelType w:val="hybridMultilevel"/>
    <w:tmpl w:val="FCA6F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2A3934"/>
    <w:multiLevelType w:val="hybridMultilevel"/>
    <w:tmpl w:val="9CDE8CDA"/>
    <w:lvl w:ilvl="0" w:tplc="09B0ED2E">
      <w:start w:val="1"/>
      <w:numFmt w:val="bullet"/>
      <w:lvlText w:val="–"/>
      <w:lvlJc w:val="left"/>
      <w:pPr>
        <w:tabs>
          <w:tab w:val="num" w:pos="720"/>
        </w:tabs>
        <w:ind w:left="720" w:hanging="360"/>
      </w:pPr>
      <w:rPr>
        <w:rFonts w:ascii="Arial" w:hAnsi="Arial" w:hint="default"/>
      </w:rPr>
    </w:lvl>
    <w:lvl w:ilvl="1" w:tplc="C74A1744">
      <w:start w:val="1"/>
      <w:numFmt w:val="bullet"/>
      <w:lvlText w:val="–"/>
      <w:lvlJc w:val="left"/>
      <w:pPr>
        <w:tabs>
          <w:tab w:val="num" w:pos="1440"/>
        </w:tabs>
        <w:ind w:left="1440" w:hanging="360"/>
      </w:pPr>
      <w:rPr>
        <w:rFonts w:ascii="Arial" w:hAnsi="Arial" w:hint="default"/>
      </w:rPr>
    </w:lvl>
    <w:lvl w:ilvl="2" w:tplc="DF6E3DAA" w:tentative="1">
      <w:start w:val="1"/>
      <w:numFmt w:val="bullet"/>
      <w:lvlText w:val="–"/>
      <w:lvlJc w:val="left"/>
      <w:pPr>
        <w:tabs>
          <w:tab w:val="num" w:pos="2160"/>
        </w:tabs>
        <w:ind w:left="2160" w:hanging="360"/>
      </w:pPr>
      <w:rPr>
        <w:rFonts w:ascii="Arial" w:hAnsi="Arial" w:hint="default"/>
      </w:rPr>
    </w:lvl>
    <w:lvl w:ilvl="3" w:tplc="21063CB2" w:tentative="1">
      <w:start w:val="1"/>
      <w:numFmt w:val="bullet"/>
      <w:lvlText w:val="–"/>
      <w:lvlJc w:val="left"/>
      <w:pPr>
        <w:tabs>
          <w:tab w:val="num" w:pos="2880"/>
        </w:tabs>
        <w:ind w:left="2880" w:hanging="360"/>
      </w:pPr>
      <w:rPr>
        <w:rFonts w:ascii="Arial" w:hAnsi="Arial" w:hint="default"/>
      </w:rPr>
    </w:lvl>
    <w:lvl w:ilvl="4" w:tplc="EBF0D33E" w:tentative="1">
      <w:start w:val="1"/>
      <w:numFmt w:val="bullet"/>
      <w:lvlText w:val="–"/>
      <w:lvlJc w:val="left"/>
      <w:pPr>
        <w:tabs>
          <w:tab w:val="num" w:pos="3600"/>
        </w:tabs>
        <w:ind w:left="3600" w:hanging="360"/>
      </w:pPr>
      <w:rPr>
        <w:rFonts w:ascii="Arial" w:hAnsi="Arial" w:hint="default"/>
      </w:rPr>
    </w:lvl>
    <w:lvl w:ilvl="5" w:tplc="8578ED1E" w:tentative="1">
      <w:start w:val="1"/>
      <w:numFmt w:val="bullet"/>
      <w:lvlText w:val="–"/>
      <w:lvlJc w:val="left"/>
      <w:pPr>
        <w:tabs>
          <w:tab w:val="num" w:pos="4320"/>
        </w:tabs>
        <w:ind w:left="4320" w:hanging="360"/>
      </w:pPr>
      <w:rPr>
        <w:rFonts w:ascii="Arial" w:hAnsi="Arial" w:hint="default"/>
      </w:rPr>
    </w:lvl>
    <w:lvl w:ilvl="6" w:tplc="1F8EDEFC" w:tentative="1">
      <w:start w:val="1"/>
      <w:numFmt w:val="bullet"/>
      <w:lvlText w:val="–"/>
      <w:lvlJc w:val="left"/>
      <w:pPr>
        <w:tabs>
          <w:tab w:val="num" w:pos="5040"/>
        </w:tabs>
        <w:ind w:left="5040" w:hanging="360"/>
      </w:pPr>
      <w:rPr>
        <w:rFonts w:ascii="Arial" w:hAnsi="Arial" w:hint="default"/>
      </w:rPr>
    </w:lvl>
    <w:lvl w:ilvl="7" w:tplc="13FCFA6A" w:tentative="1">
      <w:start w:val="1"/>
      <w:numFmt w:val="bullet"/>
      <w:lvlText w:val="–"/>
      <w:lvlJc w:val="left"/>
      <w:pPr>
        <w:tabs>
          <w:tab w:val="num" w:pos="5760"/>
        </w:tabs>
        <w:ind w:left="5760" w:hanging="360"/>
      </w:pPr>
      <w:rPr>
        <w:rFonts w:ascii="Arial" w:hAnsi="Arial" w:hint="default"/>
      </w:rPr>
    </w:lvl>
    <w:lvl w:ilvl="8" w:tplc="6644C1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D576D9"/>
    <w:multiLevelType w:val="hybridMultilevel"/>
    <w:tmpl w:val="456479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F2285"/>
    <w:multiLevelType w:val="multilevel"/>
    <w:tmpl w:val="A1F493EA"/>
    <w:lvl w:ilvl="0">
      <w:start w:val="1"/>
      <w:numFmt w:val="decimal"/>
      <w:lvlText w:val="%1"/>
      <w:lvlJc w:val="left"/>
      <w:pPr>
        <w:ind w:left="720" w:hanging="720"/>
      </w:pPr>
      <w:rPr>
        <w:rFonts w:hint="default"/>
        <w:b/>
      </w:rPr>
    </w:lvl>
    <w:lvl w:ilvl="1">
      <w:start w:val="1"/>
      <w:numFmt w:val="bullet"/>
      <w:lvlText w:val=""/>
      <w:lvlJc w:val="left"/>
      <w:pPr>
        <w:ind w:left="1211"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6F3B97"/>
    <w:multiLevelType w:val="hybridMultilevel"/>
    <w:tmpl w:val="91BC4926"/>
    <w:lvl w:ilvl="0" w:tplc="C7660ECC">
      <w:start w:val="1"/>
      <w:numFmt w:val="bullet"/>
      <w:lvlText w:val="•"/>
      <w:lvlJc w:val="left"/>
      <w:pPr>
        <w:tabs>
          <w:tab w:val="num" w:pos="720"/>
        </w:tabs>
        <w:ind w:left="720" w:hanging="360"/>
      </w:pPr>
      <w:rPr>
        <w:rFonts w:ascii="Arial" w:hAnsi="Arial" w:hint="default"/>
      </w:rPr>
    </w:lvl>
    <w:lvl w:ilvl="1" w:tplc="2092C2A8">
      <w:start w:val="1"/>
      <w:numFmt w:val="bullet"/>
      <w:lvlText w:val="•"/>
      <w:lvlJc w:val="left"/>
      <w:pPr>
        <w:tabs>
          <w:tab w:val="num" w:pos="1440"/>
        </w:tabs>
        <w:ind w:left="1440" w:hanging="360"/>
      </w:pPr>
      <w:rPr>
        <w:rFonts w:ascii="Arial" w:hAnsi="Arial" w:hint="default"/>
      </w:rPr>
    </w:lvl>
    <w:lvl w:ilvl="2" w:tplc="502AF3C8">
      <w:start w:val="1"/>
      <w:numFmt w:val="bullet"/>
      <w:lvlText w:val="•"/>
      <w:lvlJc w:val="left"/>
      <w:pPr>
        <w:tabs>
          <w:tab w:val="num" w:pos="2160"/>
        </w:tabs>
        <w:ind w:left="2160" w:hanging="360"/>
      </w:pPr>
      <w:rPr>
        <w:rFonts w:ascii="Arial" w:hAnsi="Arial" w:hint="default"/>
      </w:rPr>
    </w:lvl>
    <w:lvl w:ilvl="3" w:tplc="DCD699E0" w:tentative="1">
      <w:start w:val="1"/>
      <w:numFmt w:val="bullet"/>
      <w:lvlText w:val="•"/>
      <w:lvlJc w:val="left"/>
      <w:pPr>
        <w:tabs>
          <w:tab w:val="num" w:pos="2880"/>
        </w:tabs>
        <w:ind w:left="2880" w:hanging="360"/>
      </w:pPr>
      <w:rPr>
        <w:rFonts w:ascii="Arial" w:hAnsi="Arial" w:hint="default"/>
      </w:rPr>
    </w:lvl>
    <w:lvl w:ilvl="4" w:tplc="98BE5ADA" w:tentative="1">
      <w:start w:val="1"/>
      <w:numFmt w:val="bullet"/>
      <w:lvlText w:val="•"/>
      <w:lvlJc w:val="left"/>
      <w:pPr>
        <w:tabs>
          <w:tab w:val="num" w:pos="3600"/>
        </w:tabs>
        <w:ind w:left="3600" w:hanging="360"/>
      </w:pPr>
      <w:rPr>
        <w:rFonts w:ascii="Arial" w:hAnsi="Arial" w:hint="default"/>
      </w:rPr>
    </w:lvl>
    <w:lvl w:ilvl="5" w:tplc="DAC2FDE0" w:tentative="1">
      <w:start w:val="1"/>
      <w:numFmt w:val="bullet"/>
      <w:lvlText w:val="•"/>
      <w:lvlJc w:val="left"/>
      <w:pPr>
        <w:tabs>
          <w:tab w:val="num" w:pos="4320"/>
        </w:tabs>
        <w:ind w:left="4320" w:hanging="360"/>
      </w:pPr>
      <w:rPr>
        <w:rFonts w:ascii="Arial" w:hAnsi="Arial" w:hint="default"/>
      </w:rPr>
    </w:lvl>
    <w:lvl w:ilvl="6" w:tplc="4860FA0E" w:tentative="1">
      <w:start w:val="1"/>
      <w:numFmt w:val="bullet"/>
      <w:lvlText w:val="•"/>
      <w:lvlJc w:val="left"/>
      <w:pPr>
        <w:tabs>
          <w:tab w:val="num" w:pos="5040"/>
        </w:tabs>
        <w:ind w:left="5040" w:hanging="360"/>
      </w:pPr>
      <w:rPr>
        <w:rFonts w:ascii="Arial" w:hAnsi="Arial" w:hint="default"/>
      </w:rPr>
    </w:lvl>
    <w:lvl w:ilvl="7" w:tplc="8514E5CA" w:tentative="1">
      <w:start w:val="1"/>
      <w:numFmt w:val="bullet"/>
      <w:lvlText w:val="•"/>
      <w:lvlJc w:val="left"/>
      <w:pPr>
        <w:tabs>
          <w:tab w:val="num" w:pos="5760"/>
        </w:tabs>
        <w:ind w:left="5760" w:hanging="360"/>
      </w:pPr>
      <w:rPr>
        <w:rFonts w:ascii="Arial" w:hAnsi="Arial" w:hint="default"/>
      </w:rPr>
    </w:lvl>
    <w:lvl w:ilvl="8" w:tplc="20C443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12460DB"/>
    <w:multiLevelType w:val="hybridMultilevel"/>
    <w:tmpl w:val="1E1C94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8F540A9"/>
    <w:multiLevelType w:val="hybridMultilevel"/>
    <w:tmpl w:val="1FBA9BD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7D4D42"/>
    <w:multiLevelType w:val="hybridMultilevel"/>
    <w:tmpl w:val="56709794"/>
    <w:lvl w:ilvl="0" w:tplc="840C6118">
      <w:start w:val="1"/>
      <w:numFmt w:val="decimal"/>
      <w:lvlText w:val="%1 "/>
      <w:lvlJc w:val="left"/>
      <w:pPr>
        <w:ind w:left="720" w:hanging="360"/>
      </w:pPr>
    </w:lvl>
    <w:lvl w:ilvl="1" w:tplc="47504DE8">
      <w:start w:val="1"/>
      <w:numFmt w:val="decimal"/>
      <w:lvlText w:val="%2 "/>
      <w:lvlJc w:val="left"/>
      <w:pPr>
        <w:ind w:left="720" w:hanging="360"/>
      </w:pPr>
    </w:lvl>
    <w:lvl w:ilvl="2" w:tplc="0F5C8F3C">
      <w:start w:val="1"/>
      <w:numFmt w:val="decimal"/>
      <w:lvlText w:val="%3 "/>
      <w:lvlJc w:val="left"/>
      <w:pPr>
        <w:ind w:left="720" w:hanging="360"/>
      </w:pPr>
    </w:lvl>
    <w:lvl w:ilvl="3" w:tplc="6E10F9CA">
      <w:start w:val="1"/>
      <w:numFmt w:val="decimal"/>
      <w:lvlText w:val="%4 "/>
      <w:lvlJc w:val="left"/>
      <w:pPr>
        <w:ind w:left="720" w:hanging="360"/>
      </w:pPr>
    </w:lvl>
    <w:lvl w:ilvl="4" w:tplc="71BA6F22">
      <w:start w:val="1"/>
      <w:numFmt w:val="decimal"/>
      <w:lvlText w:val="%5 "/>
      <w:lvlJc w:val="left"/>
      <w:pPr>
        <w:ind w:left="720" w:hanging="360"/>
      </w:pPr>
    </w:lvl>
    <w:lvl w:ilvl="5" w:tplc="EE5CDA86">
      <w:start w:val="1"/>
      <w:numFmt w:val="decimal"/>
      <w:lvlText w:val="%6 "/>
      <w:lvlJc w:val="left"/>
      <w:pPr>
        <w:ind w:left="720" w:hanging="360"/>
      </w:pPr>
    </w:lvl>
    <w:lvl w:ilvl="6" w:tplc="CADC119E">
      <w:start w:val="1"/>
      <w:numFmt w:val="decimal"/>
      <w:lvlText w:val="%7 "/>
      <w:lvlJc w:val="left"/>
      <w:pPr>
        <w:ind w:left="720" w:hanging="360"/>
      </w:pPr>
    </w:lvl>
    <w:lvl w:ilvl="7" w:tplc="183AA90A">
      <w:start w:val="1"/>
      <w:numFmt w:val="decimal"/>
      <w:lvlText w:val="%8 "/>
      <w:lvlJc w:val="left"/>
      <w:pPr>
        <w:ind w:left="720" w:hanging="360"/>
      </w:pPr>
    </w:lvl>
    <w:lvl w:ilvl="8" w:tplc="8E4C95D2">
      <w:start w:val="1"/>
      <w:numFmt w:val="decimal"/>
      <w:lvlText w:val="%9 "/>
      <w:lvlJc w:val="left"/>
      <w:pPr>
        <w:ind w:left="720" w:hanging="360"/>
      </w:pPr>
    </w:lvl>
  </w:abstractNum>
  <w:abstractNum w:abstractNumId="25" w15:restartNumberingAfterBreak="0">
    <w:nsid w:val="722D049E"/>
    <w:multiLevelType w:val="hybridMultilevel"/>
    <w:tmpl w:val="A24E27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84D033C"/>
    <w:multiLevelType w:val="multilevel"/>
    <w:tmpl w:val="D3668AA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Calibri" w:hAnsi="Calibri" w:cs="Calibri" w:hint="default"/>
        <w:b w:val="0"/>
        <w:bCs w:val="0"/>
        <w:i w:val="0"/>
        <w:color w:val="auto"/>
        <w:sz w:val="24"/>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D51ACA"/>
    <w:multiLevelType w:val="hybridMultilevel"/>
    <w:tmpl w:val="D8E42E04"/>
    <w:lvl w:ilvl="0" w:tplc="9C420C18">
      <w:start w:val="1"/>
      <w:numFmt w:val="decimal"/>
      <w:lvlText w:val="%1."/>
      <w:lvlJc w:val="left"/>
      <w:pPr>
        <w:ind w:left="720" w:hanging="360"/>
      </w:pPr>
    </w:lvl>
    <w:lvl w:ilvl="1" w:tplc="67D6FF30">
      <w:start w:val="1"/>
      <w:numFmt w:val="decimal"/>
      <w:lvlText w:val="%2."/>
      <w:lvlJc w:val="left"/>
      <w:pPr>
        <w:ind w:left="720" w:hanging="360"/>
      </w:pPr>
    </w:lvl>
    <w:lvl w:ilvl="2" w:tplc="609CCD1A">
      <w:start w:val="1"/>
      <w:numFmt w:val="decimal"/>
      <w:lvlText w:val="%3."/>
      <w:lvlJc w:val="left"/>
      <w:pPr>
        <w:ind w:left="720" w:hanging="360"/>
      </w:pPr>
    </w:lvl>
    <w:lvl w:ilvl="3" w:tplc="FE769CA8">
      <w:start w:val="1"/>
      <w:numFmt w:val="decimal"/>
      <w:lvlText w:val="%4."/>
      <w:lvlJc w:val="left"/>
      <w:pPr>
        <w:ind w:left="720" w:hanging="360"/>
      </w:pPr>
    </w:lvl>
    <w:lvl w:ilvl="4" w:tplc="51406F6E">
      <w:start w:val="1"/>
      <w:numFmt w:val="decimal"/>
      <w:lvlText w:val="%5."/>
      <w:lvlJc w:val="left"/>
      <w:pPr>
        <w:ind w:left="720" w:hanging="360"/>
      </w:pPr>
    </w:lvl>
    <w:lvl w:ilvl="5" w:tplc="572EEDAE">
      <w:start w:val="1"/>
      <w:numFmt w:val="decimal"/>
      <w:lvlText w:val="%6."/>
      <w:lvlJc w:val="left"/>
      <w:pPr>
        <w:ind w:left="720" w:hanging="360"/>
      </w:pPr>
    </w:lvl>
    <w:lvl w:ilvl="6" w:tplc="F58A71E0">
      <w:start w:val="1"/>
      <w:numFmt w:val="decimal"/>
      <w:lvlText w:val="%7."/>
      <w:lvlJc w:val="left"/>
      <w:pPr>
        <w:ind w:left="720" w:hanging="360"/>
      </w:pPr>
    </w:lvl>
    <w:lvl w:ilvl="7" w:tplc="398E6A0C">
      <w:start w:val="1"/>
      <w:numFmt w:val="decimal"/>
      <w:lvlText w:val="%8."/>
      <w:lvlJc w:val="left"/>
      <w:pPr>
        <w:ind w:left="720" w:hanging="360"/>
      </w:pPr>
    </w:lvl>
    <w:lvl w:ilvl="8" w:tplc="B966F8BE">
      <w:start w:val="1"/>
      <w:numFmt w:val="decimal"/>
      <w:lvlText w:val="%9."/>
      <w:lvlJc w:val="left"/>
      <w:pPr>
        <w:ind w:left="720" w:hanging="360"/>
      </w:pPr>
    </w:lvl>
  </w:abstractNum>
  <w:abstractNum w:abstractNumId="28"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26"/>
  </w:num>
  <w:num w:numId="2" w16cid:durableId="917793048">
    <w:abstractNumId w:val="14"/>
  </w:num>
  <w:num w:numId="3" w16cid:durableId="263461728">
    <w:abstractNumId w:val="0"/>
  </w:num>
  <w:num w:numId="4" w16cid:durableId="1533883230">
    <w:abstractNumId w:val="13"/>
  </w:num>
  <w:num w:numId="5" w16cid:durableId="220360847">
    <w:abstractNumId w:val="21"/>
  </w:num>
  <w:num w:numId="6" w16cid:durableId="268196418">
    <w:abstractNumId w:val="12"/>
  </w:num>
  <w:num w:numId="7" w16cid:durableId="1048839230">
    <w:abstractNumId w:val="26"/>
  </w:num>
  <w:num w:numId="8" w16cid:durableId="907347584">
    <w:abstractNumId w:val="6"/>
  </w:num>
  <w:num w:numId="9" w16cid:durableId="446897144">
    <w:abstractNumId w:val="4"/>
  </w:num>
  <w:num w:numId="10" w16cid:durableId="1190603604">
    <w:abstractNumId w:val="20"/>
  </w:num>
  <w:num w:numId="11" w16cid:durableId="1364400141">
    <w:abstractNumId w:val="25"/>
  </w:num>
  <w:num w:numId="12" w16cid:durableId="565147349">
    <w:abstractNumId w:val="28"/>
  </w:num>
  <w:num w:numId="13" w16cid:durableId="486894991">
    <w:abstractNumId w:val="18"/>
  </w:num>
  <w:num w:numId="14" w16cid:durableId="408309715">
    <w:abstractNumId w:val="24"/>
  </w:num>
  <w:num w:numId="15" w16cid:durableId="14041859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4264843">
    <w:abstractNumId w:val="10"/>
  </w:num>
  <w:num w:numId="17" w16cid:durableId="1660116426">
    <w:abstractNumId w:val="2"/>
  </w:num>
  <w:num w:numId="18" w16cid:durableId="1573005167">
    <w:abstractNumId w:val="16"/>
  </w:num>
  <w:num w:numId="19" w16cid:durableId="408699874">
    <w:abstractNumId w:val="17"/>
  </w:num>
  <w:num w:numId="20" w16cid:durableId="1569418770">
    <w:abstractNumId w:val="3"/>
  </w:num>
  <w:num w:numId="21" w16cid:durableId="705176722">
    <w:abstractNumId w:val="1"/>
  </w:num>
  <w:num w:numId="22" w16cid:durableId="1926569401">
    <w:abstractNumId w:val="8"/>
  </w:num>
  <w:num w:numId="23" w16cid:durableId="1979457665">
    <w:abstractNumId w:val="11"/>
  </w:num>
  <w:num w:numId="24" w16cid:durableId="2038313566">
    <w:abstractNumId w:val="7"/>
  </w:num>
  <w:num w:numId="25" w16cid:durableId="129744317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997201">
    <w:abstractNumId w:val="23"/>
  </w:num>
  <w:num w:numId="27" w16cid:durableId="63264466">
    <w:abstractNumId w:val="26"/>
  </w:num>
  <w:num w:numId="28" w16cid:durableId="2016152197">
    <w:abstractNumId w:val="15"/>
  </w:num>
  <w:num w:numId="29" w16cid:durableId="1375231052">
    <w:abstractNumId w:val="0"/>
  </w:num>
  <w:num w:numId="30" w16cid:durableId="1747075098">
    <w:abstractNumId w:val="5"/>
  </w:num>
  <w:num w:numId="31" w16cid:durableId="424765780">
    <w:abstractNumId w:val="9"/>
  </w:num>
  <w:num w:numId="32" w16cid:durableId="58492163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55xt0vwweepyeefsqx0v55v0a5aefax9z2&quot;&gt;EV_library_2024&lt;record-ids&gt;&lt;item&gt;1&lt;/item&gt;&lt;item&gt;3&lt;/item&gt;&lt;item&gt;4&lt;/item&gt;&lt;item&gt;5&lt;/item&gt;&lt;item&gt;6&lt;/item&gt;&lt;item&gt;7&lt;/item&gt;&lt;item&gt;8&lt;/item&gt;&lt;item&gt;11&lt;/item&gt;&lt;item&gt;12&lt;/item&gt;&lt;item&gt;13&lt;/item&gt;&lt;item&gt;15&lt;/item&gt;&lt;item&gt;16&lt;/item&gt;&lt;item&gt;18&lt;/item&gt;&lt;item&gt;21&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40&lt;/item&gt;&lt;item&gt;41&lt;/item&gt;&lt;item&gt;42&lt;/item&gt;&lt;item&gt;43&lt;/item&gt;&lt;item&gt;44&lt;/item&gt;&lt;item&gt;45&lt;/item&gt;&lt;item&gt;47&lt;/item&gt;&lt;item&gt;48&lt;/item&gt;&lt;item&gt;50&lt;/item&gt;&lt;item&gt;51&lt;/item&gt;&lt;item&gt;52&lt;/item&gt;&lt;item&gt;53&lt;/item&gt;&lt;item&gt;54&lt;/item&gt;&lt;item&gt;56&lt;/item&gt;&lt;item&gt;57&lt;/item&gt;&lt;item&gt;58&lt;/item&gt;&lt;item&gt;60&lt;/item&gt;&lt;item&gt;61&lt;/item&gt;&lt;/record-ids&gt;&lt;/item&gt;&lt;/Libraries&gt;"/>
  </w:docVars>
  <w:rsids>
    <w:rsidRoot w:val="00E65E79"/>
    <w:rsid w:val="00000790"/>
    <w:rsid w:val="0000110B"/>
    <w:rsid w:val="00001C5D"/>
    <w:rsid w:val="00003499"/>
    <w:rsid w:val="000039B7"/>
    <w:rsid w:val="00003E1F"/>
    <w:rsid w:val="00004812"/>
    <w:rsid w:val="000049B8"/>
    <w:rsid w:val="00004FEB"/>
    <w:rsid w:val="000056B9"/>
    <w:rsid w:val="00005EFA"/>
    <w:rsid w:val="0000639A"/>
    <w:rsid w:val="0000664D"/>
    <w:rsid w:val="0000723F"/>
    <w:rsid w:val="0001082D"/>
    <w:rsid w:val="00010D32"/>
    <w:rsid w:val="00012AB2"/>
    <w:rsid w:val="00012BD9"/>
    <w:rsid w:val="0001312B"/>
    <w:rsid w:val="00013247"/>
    <w:rsid w:val="00013533"/>
    <w:rsid w:val="00014CB1"/>
    <w:rsid w:val="00015886"/>
    <w:rsid w:val="000159B6"/>
    <w:rsid w:val="00015FF0"/>
    <w:rsid w:val="000162EF"/>
    <w:rsid w:val="000207C9"/>
    <w:rsid w:val="0002225F"/>
    <w:rsid w:val="000232CA"/>
    <w:rsid w:val="00023763"/>
    <w:rsid w:val="00024EB5"/>
    <w:rsid w:val="00026381"/>
    <w:rsid w:val="00026927"/>
    <w:rsid w:val="000274B8"/>
    <w:rsid w:val="00027C69"/>
    <w:rsid w:val="00031DEA"/>
    <w:rsid w:val="0003326F"/>
    <w:rsid w:val="00033863"/>
    <w:rsid w:val="000339F6"/>
    <w:rsid w:val="00034318"/>
    <w:rsid w:val="0003438F"/>
    <w:rsid w:val="0003470F"/>
    <w:rsid w:val="00035DC0"/>
    <w:rsid w:val="00036829"/>
    <w:rsid w:val="00036DF3"/>
    <w:rsid w:val="00037B8D"/>
    <w:rsid w:val="00040895"/>
    <w:rsid w:val="00040EE6"/>
    <w:rsid w:val="000410A0"/>
    <w:rsid w:val="000435EE"/>
    <w:rsid w:val="00043C37"/>
    <w:rsid w:val="00044ABA"/>
    <w:rsid w:val="00044C50"/>
    <w:rsid w:val="00045017"/>
    <w:rsid w:val="00045A2B"/>
    <w:rsid w:val="00045B28"/>
    <w:rsid w:val="00046752"/>
    <w:rsid w:val="000467C7"/>
    <w:rsid w:val="0004698F"/>
    <w:rsid w:val="00046D64"/>
    <w:rsid w:val="00047316"/>
    <w:rsid w:val="000473DF"/>
    <w:rsid w:val="00050710"/>
    <w:rsid w:val="0005083A"/>
    <w:rsid w:val="000508C2"/>
    <w:rsid w:val="000518DD"/>
    <w:rsid w:val="000530D8"/>
    <w:rsid w:val="000535D0"/>
    <w:rsid w:val="000539D0"/>
    <w:rsid w:val="00053D13"/>
    <w:rsid w:val="00054621"/>
    <w:rsid w:val="000546D7"/>
    <w:rsid w:val="00054A8D"/>
    <w:rsid w:val="00054C3B"/>
    <w:rsid w:val="00055421"/>
    <w:rsid w:val="00056904"/>
    <w:rsid w:val="00056ECF"/>
    <w:rsid w:val="0006016A"/>
    <w:rsid w:val="000604DF"/>
    <w:rsid w:val="00060C13"/>
    <w:rsid w:val="000610BD"/>
    <w:rsid w:val="00061973"/>
    <w:rsid w:val="00062324"/>
    <w:rsid w:val="000645C4"/>
    <w:rsid w:val="000653B5"/>
    <w:rsid w:val="00066360"/>
    <w:rsid w:val="00066AF8"/>
    <w:rsid w:val="00070CAC"/>
    <w:rsid w:val="00070DC5"/>
    <w:rsid w:val="00071248"/>
    <w:rsid w:val="00071618"/>
    <w:rsid w:val="00071D34"/>
    <w:rsid w:val="000720B9"/>
    <w:rsid w:val="000735E6"/>
    <w:rsid w:val="000737F7"/>
    <w:rsid w:val="000738A9"/>
    <w:rsid w:val="00074212"/>
    <w:rsid w:val="000758E5"/>
    <w:rsid w:val="0007605A"/>
    <w:rsid w:val="0007672F"/>
    <w:rsid w:val="00076B54"/>
    <w:rsid w:val="000774F0"/>
    <w:rsid w:val="000808C9"/>
    <w:rsid w:val="00080909"/>
    <w:rsid w:val="00081061"/>
    <w:rsid w:val="000812CA"/>
    <w:rsid w:val="00081B25"/>
    <w:rsid w:val="00081E63"/>
    <w:rsid w:val="0008258D"/>
    <w:rsid w:val="000829B4"/>
    <w:rsid w:val="00082D97"/>
    <w:rsid w:val="00082E43"/>
    <w:rsid w:val="00083E99"/>
    <w:rsid w:val="00083EB6"/>
    <w:rsid w:val="000843E5"/>
    <w:rsid w:val="00084D7A"/>
    <w:rsid w:val="00084FA8"/>
    <w:rsid w:val="000856C5"/>
    <w:rsid w:val="00085C31"/>
    <w:rsid w:val="00087F6A"/>
    <w:rsid w:val="000902D9"/>
    <w:rsid w:val="000909E5"/>
    <w:rsid w:val="00090C7E"/>
    <w:rsid w:val="000911A9"/>
    <w:rsid w:val="000911AC"/>
    <w:rsid w:val="00092600"/>
    <w:rsid w:val="0009262B"/>
    <w:rsid w:val="00093310"/>
    <w:rsid w:val="00093BC4"/>
    <w:rsid w:val="00093C9D"/>
    <w:rsid w:val="00094376"/>
    <w:rsid w:val="0009445C"/>
    <w:rsid w:val="00095200"/>
    <w:rsid w:val="0009548D"/>
    <w:rsid w:val="00095765"/>
    <w:rsid w:val="00095FE5"/>
    <w:rsid w:val="00096284"/>
    <w:rsid w:val="00096D31"/>
    <w:rsid w:val="0009782C"/>
    <w:rsid w:val="00097C8F"/>
    <w:rsid w:val="00097E99"/>
    <w:rsid w:val="000A0C9D"/>
    <w:rsid w:val="000A1BC0"/>
    <w:rsid w:val="000A2F9E"/>
    <w:rsid w:val="000A3BEC"/>
    <w:rsid w:val="000A3E47"/>
    <w:rsid w:val="000A3F88"/>
    <w:rsid w:val="000A522B"/>
    <w:rsid w:val="000A5AE4"/>
    <w:rsid w:val="000A6039"/>
    <w:rsid w:val="000A6D06"/>
    <w:rsid w:val="000A7453"/>
    <w:rsid w:val="000A7D08"/>
    <w:rsid w:val="000B0121"/>
    <w:rsid w:val="000B0670"/>
    <w:rsid w:val="000B0E75"/>
    <w:rsid w:val="000B1CC5"/>
    <w:rsid w:val="000B2974"/>
    <w:rsid w:val="000B2DCB"/>
    <w:rsid w:val="000B33A8"/>
    <w:rsid w:val="000B5CE0"/>
    <w:rsid w:val="000B6534"/>
    <w:rsid w:val="000B6CAC"/>
    <w:rsid w:val="000B72DB"/>
    <w:rsid w:val="000B7612"/>
    <w:rsid w:val="000B78AE"/>
    <w:rsid w:val="000C142D"/>
    <w:rsid w:val="000C14F7"/>
    <w:rsid w:val="000C2B20"/>
    <w:rsid w:val="000C3DF9"/>
    <w:rsid w:val="000C4305"/>
    <w:rsid w:val="000C460A"/>
    <w:rsid w:val="000C4CF2"/>
    <w:rsid w:val="000C6713"/>
    <w:rsid w:val="000C7425"/>
    <w:rsid w:val="000C7540"/>
    <w:rsid w:val="000D1BFC"/>
    <w:rsid w:val="000D1D5D"/>
    <w:rsid w:val="000D2017"/>
    <w:rsid w:val="000D238E"/>
    <w:rsid w:val="000D281A"/>
    <w:rsid w:val="000D2848"/>
    <w:rsid w:val="000D326A"/>
    <w:rsid w:val="000D3CD8"/>
    <w:rsid w:val="000D51FB"/>
    <w:rsid w:val="000D52ED"/>
    <w:rsid w:val="000D560E"/>
    <w:rsid w:val="000E0640"/>
    <w:rsid w:val="000E0CCC"/>
    <w:rsid w:val="000E135D"/>
    <w:rsid w:val="000E22B8"/>
    <w:rsid w:val="000E3F7E"/>
    <w:rsid w:val="000E4106"/>
    <w:rsid w:val="000E7B7A"/>
    <w:rsid w:val="000E7D3F"/>
    <w:rsid w:val="000F00BA"/>
    <w:rsid w:val="000F034B"/>
    <w:rsid w:val="000F10EF"/>
    <w:rsid w:val="000F24D3"/>
    <w:rsid w:val="000F2BBA"/>
    <w:rsid w:val="000F316A"/>
    <w:rsid w:val="000F3C74"/>
    <w:rsid w:val="000F400E"/>
    <w:rsid w:val="000F4BB8"/>
    <w:rsid w:val="000F4FA9"/>
    <w:rsid w:val="000F5355"/>
    <w:rsid w:val="000F53FB"/>
    <w:rsid w:val="000F5D78"/>
    <w:rsid w:val="000F63C2"/>
    <w:rsid w:val="000F7127"/>
    <w:rsid w:val="000F7827"/>
    <w:rsid w:val="000F7B54"/>
    <w:rsid w:val="001000B3"/>
    <w:rsid w:val="00100F8A"/>
    <w:rsid w:val="00102175"/>
    <w:rsid w:val="00103397"/>
    <w:rsid w:val="00103DCD"/>
    <w:rsid w:val="0010452E"/>
    <w:rsid w:val="00104C0D"/>
    <w:rsid w:val="00105AE2"/>
    <w:rsid w:val="001060C6"/>
    <w:rsid w:val="00106490"/>
    <w:rsid w:val="001064D0"/>
    <w:rsid w:val="00106B80"/>
    <w:rsid w:val="00107BBD"/>
    <w:rsid w:val="0011032E"/>
    <w:rsid w:val="00110A11"/>
    <w:rsid w:val="001112E2"/>
    <w:rsid w:val="00111B18"/>
    <w:rsid w:val="00111F42"/>
    <w:rsid w:val="0011348B"/>
    <w:rsid w:val="0011392A"/>
    <w:rsid w:val="00114282"/>
    <w:rsid w:val="00114A97"/>
    <w:rsid w:val="001158C9"/>
    <w:rsid w:val="00115982"/>
    <w:rsid w:val="00116C53"/>
    <w:rsid w:val="00117BE6"/>
    <w:rsid w:val="00120041"/>
    <w:rsid w:val="0012176D"/>
    <w:rsid w:val="00121799"/>
    <w:rsid w:val="001222FC"/>
    <w:rsid w:val="001229E2"/>
    <w:rsid w:val="001234AD"/>
    <w:rsid w:val="00123902"/>
    <w:rsid w:val="001243CD"/>
    <w:rsid w:val="001249E0"/>
    <w:rsid w:val="00124A51"/>
    <w:rsid w:val="0012562F"/>
    <w:rsid w:val="00126621"/>
    <w:rsid w:val="00126B1D"/>
    <w:rsid w:val="00127F2B"/>
    <w:rsid w:val="001301E9"/>
    <w:rsid w:val="0013046F"/>
    <w:rsid w:val="001304BA"/>
    <w:rsid w:val="0013058F"/>
    <w:rsid w:val="00131D82"/>
    <w:rsid w:val="00132B22"/>
    <w:rsid w:val="00132E58"/>
    <w:rsid w:val="00133D35"/>
    <w:rsid w:val="00133D36"/>
    <w:rsid w:val="00134D35"/>
    <w:rsid w:val="001362AF"/>
    <w:rsid w:val="00137645"/>
    <w:rsid w:val="001378DC"/>
    <w:rsid w:val="0014014E"/>
    <w:rsid w:val="0014015A"/>
    <w:rsid w:val="0014058C"/>
    <w:rsid w:val="00140E99"/>
    <w:rsid w:val="0014216F"/>
    <w:rsid w:val="00143F67"/>
    <w:rsid w:val="001442A8"/>
    <w:rsid w:val="00144DF1"/>
    <w:rsid w:val="00145234"/>
    <w:rsid w:val="00145540"/>
    <w:rsid w:val="001456B0"/>
    <w:rsid w:val="001500CB"/>
    <w:rsid w:val="001508BF"/>
    <w:rsid w:val="001547AB"/>
    <w:rsid w:val="00155807"/>
    <w:rsid w:val="001558B3"/>
    <w:rsid w:val="00155EF7"/>
    <w:rsid w:val="00156913"/>
    <w:rsid w:val="00156F8F"/>
    <w:rsid w:val="00157130"/>
    <w:rsid w:val="001576B1"/>
    <w:rsid w:val="0016047B"/>
    <w:rsid w:val="0016093B"/>
    <w:rsid w:val="00160A4C"/>
    <w:rsid w:val="00161012"/>
    <w:rsid w:val="001618AA"/>
    <w:rsid w:val="00162913"/>
    <w:rsid w:val="001632BC"/>
    <w:rsid w:val="00163EFF"/>
    <w:rsid w:val="00163F66"/>
    <w:rsid w:val="0016478E"/>
    <w:rsid w:val="00164809"/>
    <w:rsid w:val="001659D8"/>
    <w:rsid w:val="00165EC4"/>
    <w:rsid w:val="001661FB"/>
    <w:rsid w:val="00166460"/>
    <w:rsid w:val="001671A0"/>
    <w:rsid w:val="00167240"/>
    <w:rsid w:val="0016767F"/>
    <w:rsid w:val="0017058D"/>
    <w:rsid w:val="001714DF"/>
    <w:rsid w:val="00173565"/>
    <w:rsid w:val="00173989"/>
    <w:rsid w:val="00173B07"/>
    <w:rsid w:val="001748ED"/>
    <w:rsid w:val="0017504B"/>
    <w:rsid w:val="001751FA"/>
    <w:rsid w:val="0017607B"/>
    <w:rsid w:val="001776A9"/>
    <w:rsid w:val="00180A1E"/>
    <w:rsid w:val="00180B9C"/>
    <w:rsid w:val="00180E78"/>
    <w:rsid w:val="00181C10"/>
    <w:rsid w:val="00181D9C"/>
    <w:rsid w:val="0018300D"/>
    <w:rsid w:val="001837FF"/>
    <w:rsid w:val="001840D0"/>
    <w:rsid w:val="00184A3E"/>
    <w:rsid w:val="00184B0E"/>
    <w:rsid w:val="0018602B"/>
    <w:rsid w:val="001861A5"/>
    <w:rsid w:val="0018752F"/>
    <w:rsid w:val="001911C1"/>
    <w:rsid w:val="001933C5"/>
    <w:rsid w:val="00193838"/>
    <w:rsid w:val="00194210"/>
    <w:rsid w:val="001943E7"/>
    <w:rsid w:val="00194AD8"/>
    <w:rsid w:val="00195222"/>
    <w:rsid w:val="001952A1"/>
    <w:rsid w:val="00195452"/>
    <w:rsid w:val="00195D6B"/>
    <w:rsid w:val="001963CF"/>
    <w:rsid w:val="001975D8"/>
    <w:rsid w:val="001A178E"/>
    <w:rsid w:val="001A3A6B"/>
    <w:rsid w:val="001A43FA"/>
    <w:rsid w:val="001A47C5"/>
    <w:rsid w:val="001A4AF0"/>
    <w:rsid w:val="001A5265"/>
    <w:rsid w:val="001A59FB"/>
    <w:rsid w:val="001A5E9E"/>
    <w:rsid w:val="001A61F6"/>
    <w:rsid w:val="001A6354"/>
    <w:rsid w:val="001A6366"/>
    <w:rsid w:val="001A6405"/>
    <w:rsid w:val="001A745B"/>
    <w:rsid w:val="001A7AE8"/>
    <w:rsid w:val="001B204E"/>
    <w:rsid w:val="001B2372"/>
    <w:rsid w:val="001B3443"/>
    <w:rsid w:val="001B3597"/>
    <w:rsid w:val="001B38CD"/>
    <w:rsid w:val="001B39AB"/>
    <w:rsid w:val="001B3C71"/>
    <w:rsid w:val="001B3D49"/>
    <w:rsid w:val="001B4340"/>
    <w:rsid w:val="001B4D20"/>
    <w:rsid w:val="001B617F"/>
    <w:rsid w:val="001B785E"/>
    <w:rsid w:val="001B7948"/>
    <w:rsid w:val="001B7F84"/>
    <w:rsid w:val="001C101F"/>
    <w:rsid w:val="001C13E1"/>
    <w:rsid w:val="001C1839"/>
    <w:rsid w:val="001C2A9B"/>
    <w:rsid w:val="001C3DD6"/>
    <w:rsid w:val="001C41E4"/>
    <w:rsid w:val="001C4299"/>
    <w:rsid w:val="001C4800"/>
    <w:rsid w:val="001C4874"/>
    <w:rsid w:val="001C54BB"/>
    <w:rsid w:val="001C5F94"/>
    <w:rsid w:val="001C6E66"/>
    <w:rsid w:val="001C75D8"/>
    <w:rsid w:val="001D1100"/>
    <w:rsid w:val="001D131E"/>
    <w:rsid w:val="001D1391"/>
    <w:rsid w:val="001D1DBB"/>
    <w:rsid w:val="001D22EF"/>
    <w:rsid w:val="001D25D7"/>
    <w:rsid w:val="001D3710"/>
    <w:rsid w:val="001D50B2"/>
    <w:rsid w:val="001D5CAB"/>
    <w:rsid w:val="001D64F1"/>
    <w:rsid w:val="001D7151"/>
    <w:rsid w:val="001D71F4"/>
    <w:rsid w:val="001D751F"/>
    <w:rsid w:val="001D7645"/>
    <w:rsid w:val="001E13DF"/>
    <w:rsid w:val="001E1E86"/>
    <w:rsid w:val="001E238E"/>
    <w:rsid w:val="001E2483"/>
    <w:rsid w:val="001E2B1E"/>
    <w:rsid w:val="001E2B2B"/>
    <w:rsid w:val="001E2CFF"/>
    <w:rsid w:val="001E2E2A"/>
    <w:rsid w:val="001E2F24"/>
    <w:rsid w:val="001E30D4"/>
    <w:rsid w:val="001E34DF"/>
    <w:rsid w:val="001E4F0C"/>
    <w:rsid w:val="001E52EB"/>
    <w:rsid w:val="001E58A4"/>
    <w:rsid w:val="001E61D2"/>
    <w:rsid w:val="001E740C"/>
    <w:rsid w:val="001F1235"/>
    <w:rsid w:val="001F1CB3"/>
    <w:rsid w:val="001F277B"/>
    <w:rsid w:val="001F38B5"/>
    <w:rsid w:val="001F3EDA"/>
    <w:rsid w:val="001F4081"/>
    <w:rsid w:val="001F54E0"/>
    <w:rsid w:val="001F57B1"/>
    <w:rsid w:val="001F614C"/>
    <w:rsid w:val="001F7361"/>
    <w:rsid w:val="001F7DA7"/>
    <w:rsid w:val="00200130"/>
    <w:rsid w:val="002011B0"/>
    <w:rsid w:val="00202CFF"/>
    <w:rsid w:val="00203181"/>
    <w:rsid w:val="00203783"/>
    <w:rsid w:val="0020385F"/>
    <w:rsid w:val="00205577"/>
    <w:rsid w:val="00205A96"/>
    <w:rsid w:val="00205BAE"/>
    <w:rsid w:val="002068A0"/>
    <w:rsid w:val="00206BD3"/>
    <w:rsid w:val="00207021"/>
    <w:rsid w:val="00207261"/>
    <w:rsid w:val="0020732F"/>
    <w:rsid w:val="00207810"/>
    <w:rsid w:val="00207D00"/>
    <w:rsid w:val="002104A6"/>
    <w:rsid w:val="002105C1"/>
    <w:rsid w:val="002116FD"/>
    <w:rsid w:val="00213ECB"/>
    <w:rsid w:val="00213EF5"/>
    <w:rsid w:val="0021622A"/>
    <w:rsid w:val="0021639E"/>
    <w:rsid w:val="00216BF5"/>
    <w:rsid w:val="002206AD"/>
    <w:rsid w:val="00220A03"/>
    <w:rsid w:val="00221604"/>
    <w:rsid w:val="00222E3A"/>
    <w:rsid w:val="00222F07"/>
    <w:rsid w:val="00223B49"/>
    <w:rsid w:val="00223C69"/>
    <w:rsid w:val="00223D5A"/>
    <w:rsid w:val="00223DF9"/>
    <w:rsid w:val="002249D2"/>
    <w:rsid w:val="00224DD4"/>
    <w:rsid w:val="00225094"/>
    <w:rsid w:val="00226C1F"/>
    <w:rsid w:val="002278A0"/>
    <w:rsid w:val="002309CC"/>
    <w:rsid w:val="00231379"/>
    <w:rsid w:val="00231BA9"/>
    <w:rsid w:val="0023209F"/>
    <w:rsid w:val="002322C2"/>
    <w:rsid w:val="00233C01"/>
    <w:rsid w:val="0023413C"/>
    <w:rsid w:val="002346F0"/>
    <w:rsid w:val="0023629D"/>
    <w:rsid w:val="002363F6"/>
    <w:rsid w:val="00236AA0"/>
    <w:rsid w:val="00237255"/>
    <w:rsid w:val="00240207"/>
    <w:rsid w:val="002407F5"/>
    <w:rsid w:val="00240E09"/>
    <w:rsid w:val="002416C4"/>
    <w:rsid w:val="00241B87"/>
    <w:rsid w:val="002424AF"/>
    <w:rsid w:val="002439DC"/>
    <w:rsid w:val="002441D2"/>
    <w:rsid w:val="00244DC8"/>
    <w:rsid w:val="002454DA"/>
    <w:rsid w:val="002458BA"/>
    <w:rsid w:val="00245CE9"/>
    <w:rsid w:val="0024623C"/>
    <w:rsid w:val="0024636C"/>
    <w:rsid w:val="002463A1"/>
    <w:rsid w:val="00246E59"/>
    <w:rsid w:val="00247925"/>
    <w:rsid w:val="00247AD7"/>
    <w:rsid w:val="002501CA"/>
    <w:rsid w:val="00250A45"/>
    <w:rsid w:val="00251006"/>
    <w:rsid w:val="002513E8"/>
    <w:rsid w:val="0025192F"/>
    <w:rsid w:val="002524D5"/>
    <w:rsid w:val="00252D66"/>
    <w:rsid w:val="00253B1D"/>
    <w:rsid w:val="00254DCF"/>
    <w:rsid w:val="0025534B"/>
    <w:rsid w:val="00255909"/>
    <w:rsid w:val="00255BB7"/>
    <w:rsid w:val="00257541"/>
    <w:rsid w:val="0025758B"/>
    <w:rsid w:val="00257A39"/>
    <w:rsid w:val="00257AC4"/>
    <w:rsid w:val="00257BBE"/>
    <w:rsid w:val="00257F93"/>
    <w:rsid w:val="00260806"/>
    <w:rsid w:val="002609A2"/>
    <w:rsid w:val="00261EEF"/>
    <w:rsid w:val="00262A1A"/>
    <w:rsid w:val="00262A87"/>
    <w:rsid w:val="00263172"/>
    <w:rsid w:val="00264131"/>
    <w:rsid w:val="002641F5"/>
    <w:rsid w:val="0026468E"/>
    <w:rsid w:val="002646C1"/>
    <w:rsid w:val="00264D26"/>
    <w:rsid w:val="00264F96"/>
    <w:rsid w:val="00265426"/>
    <w:rsid w:val="0026743B"/>
    <w:rsid w:val="00267642"/>
    <w:rsid w:val="00267AEA"/>
    <w:rsid w:val="00267AF9"/>
    <w:rsid w:val="002700E6"/>
    <w:rsid w:val="00270CAF"/>
    <w:rsid w:val="002715DB"/>
    <w:rsid w:val="00272284"/>
    <w:rsid w:val="0027294B"/>
    <w:rsid w:val="0027321F"/>
    <w:rsid w:val="00273EB4"/>
    <w:rsid w:val="00274682"/>
    <w:rsid w:val="00275158"/>
    <w:rsid w:val="00275C5A"/>
    <w:rsid w:val="002768A7"/>
    <w:rsid w:val="0028026F"/>
    <w:rsid w:val="00280F6A"/>
    <w:rsid w:val="00281014"/>
    <w:rsid w:val="0028110B"/>
    <w:rsid w:val="00281E3B"/>
    <w:rsid w:val="0028215C"/>
    <w:rsid w:val="002824C6"/>
    <w:rsid w:val="00283E2C"/>
    <w:rsid w:val="00284A02"/>
    <w:rsid w:val="00284B0E"/>
    <w:rsid w:val="00284BAA"/>
    <w:rsid w:val="00285BCE"/>
    <w:rsid w:val="0028665D"/>
    <w:rsid w:val="00286D77"/>
    <w:rsid w:val="00287FC9"/>
    <w:rsid w:val="00290139"/>
    <w:rsid w:val="0029139E"/>
    <w:rsid w:val="002937A0"/>
    <w:rsid w:val="0029386A"/>
    <w:rsid w:val="002948FE"/>
    <w:rsid w:val="002962D2"/>
    <w:rsid w:val="00296E3E"/>
    <w:rsid w:val="00297952"/>
    <w:rsid w:val="002A052B"/>
    <w:rsid w:val="002A14AB"/>
    <w:rsid w:val="002A2ADE"/>
    <w:rsid w:val="002A2B98"/>
    <w:rsid w:val="002A2D1D"/>
    <w:rsid w:val="002A2F50"/>
    <w:rsid w:val="002A4031"/>
    <w:rsid w:val="002A5E7D"/>
    <w:rsid w:val="002A6C83"/>
    <w:rsid w:val="002A7943"/>
    <w:rsid w:val="002A7E9E"/>
    <w:rsid w:val="002B05A1"/>
    <w:rsid w:val="002B09A4"/>
    <w:rsid w:val="002B1C1F"/>
    <w:rsid w:val="002B25F1"/>
    <w:rsid w:val="002B4307"/>
    <w:rsid w:val="002B432F"/>
    <w:rsid w:val="002B4A3E"/>
    <w:rsid w:val="002B5BE8"/>
    <w:rsid w:val="002B62B3"/>
    <w:rsid w:val="002B6754"/>
    <w:rsid w:val="002B6CCE"/>
    <w:rsid w:val="002B70BC"/>
    <w:rsid w:val="002C05EC"/>
    <w:rsid w:val="002C2510"/>
    <w:rsid w:val="002C2775"/>
    <w:rsid w:val="002C27C1"/>
    <w:rsid w:val="002C36E3"/>
    <w:rsid w:val="002C36E6"/>
    <w:rsid w:val="002C5099"/>
    <w:rsid w:val="002C5889"/>
    <w:rsid w:val="002C5F57"/>
    <w:rsid w:val="002C6C82"/>
    <w:rsid w:val="002C71CE"/>
    <w:rsid w:val="002C72D1"/>
    <w:rsid w:val="002D08F8"/>
    <w:rsid w:val="002D126B"/>
    <w:rsid w:val="002D1C5D"/>
    <w:rsid w:val="002D27AF"/>
    <w:rsid w:val="002D27C0"/>
    <w:rsid w:val="002D2F3B"/>
    <w:rsid w:val="002D4F26"/>
    <w:rsid w:val="002D577C"/>
    <w:rsid w:val="002D60B6"/>
    <w:rsid w:val="002D613A"/>
    <w:rsid w:val="002D7832"/>
    <w:rsid w:val="002E1071"/>
    <w:rsid w:val="002E1143"/>
    <w:rsid w:val="002E15B9"/>
    <w:rsid w:val="002E2158"/>
    <w:rsid w:val="002E42C2"/>
    <w:rsid w:val="002E484E"/>
    <w:rsid w:val="002E4F02"/>
    <w:rsid w:val="002E65F4"/>
    <w:rsid w:val="002E6829"/>
    <w:rsid w:val="002E7722"/>
    <w:rsid w:val="002E7E13"/>
    <w:rsid w:val="002F07BA"/>
    <w:rsid w:val="002F09BA"/>
    <w:rsid w:val="002F0DA9"/>
    <w:rsid w:val="002F0F6A"/>
    <w:rsid w:val="002F1014"/>
    <w:rsid w:val="002F1E3B"/>
    <w:rsid w:val="002F30DA"/>
    <w:rsid w:val="002F317B"/>
    <w:rsid w:val="002F386A"/>
    <w:rsid w:val="002F3A33"/>
    <w:rsid w:val="002F4C7B"/>
    <w:rsid w:val="002F4E70"/>
    <w:rsid w:val="002F5309"/>
    <w:rsid w:val="002F5408"/>
    <w:rsid w:val="002F55B4"/>
    <w:rsid w:val="002F643C"/>
    <w:rsid w:val="002F71C0"/>
    <w:rsid w:val="002F722E"/>
    <w:rsid w:val="002F74F1"/>
    <w:rsid w:val="002F79F1"/>
    <w:rsid w:val="00301017"/>
    <w:rsid w:val="003011B4"/>
    <w:rsid w:val="0030155F"/>
    <w:rsid w:val="00301F0F"/>
    <w:rsid w:val="0030331B"/>
    <w:rsid w:val="003044D9"/>
    <w:rsid w:val="00304D02"/>
    <w:rsid w:val="0030587B"/>
    <w:rsid w:val="00305B21"/>
    <w:rsid w:val="00306D98"/>
    <w:rsid w:val="0030772B"/>
    <w:rsid w:val="0030786C"/>
    <w:rsid w:val="00307B9C"/>
    <w:rsid w:val="0031031A"/>
    <w:rsid w:val="00310981"/>
    <w:rsid w:val="003113D4"/>
    <w:rsid w:val="00311D9B"/>
    <w:rsid w:val="00311F03"/>
    <w:rsid w:val="00311F4C"/>
    <w:rsid w:val="0031200B"/>
    <w:rsid w:val="003124D9"/>
    <w:rsid w:val="00312594"/>
    <w:rsid w:val="00313280"/>
    <w:rsid w:val="00313EAC"/>
    <w:rsid w:val="003142E9"/>
    <w:rsid w:val="00314767"/>
    <w:rsid w:val="00315498"/>
    <w:rsid w:val="00315573"/>
    <w:rsid w:val="00316474"/>
    <w:rsid w:val="00317398"/>
    <w:rsid w:val="00321452"/>
    <w:rsid w:val="003217B3"/>
    <w:rsid w:val="00322107"/>
    <w:rsid w:val="00322355"/>
    <w:rsid w:val="00322846"/>
    <w:rsid w:val="00324F9E"/>
    <w:rsid w:val="00325A7F"/>
    <w:rsid w:val="00325DE2"/>
    <w:rsid w:val="00326DA7"/>
    <w:rsid w:val="003270E4"/>
    <w:rsid w:val="00327846"/>
    <w:rsid w:val="00330289"/>
    <w:rsid w:val="00330AB9"/>
    <w:rsid w:val="00330DAA"/>
    <w:rsid w:val="00330F5C"/>
    <w:rsid w:val="00332345"/>
    <w:rsid w:val="00332545"/>
    <w:rsid w:val="00332BF5"/>
    <w:rsid w:val="003333ED"/>
    <w:rsid w:val="003351C7"/>
    <w:rsid w:val="00335BD0"/>
    <w:rsid w:val="003366C9"/>
    <w:rsid w:val="003367F9"/>
    <w:rsid w:val="003371B0"/>
    <w:rsid w:val="003403AF"/>
    <w:rsid w:val="0034096D"/>
    <w:rsid w:val="00340DF1"/>
    <w:rsid w:val="00341CBE"/>
    <w:rsid w:val="00345E9A"/>
    <w:rsid w:val="00346F7D"/>
    <w:rsid w:val="00351654"/>
    <w:rsid w:val="003517F9"/>
    <w:rsid w:val="00351BA9"/>
    <w:rsid w:val="003520B6"/>
    <w:rsid w:val="00353685"/>
    <w:rsid w:val="0035477A"/>
    <w:rsid w:val="00354F64"/>
    <w:rsid w:val="003561A7"/>
    <w:rsid w:val="0035620E"/>
    <w:rsid w:val="00356480"/>
    <w:rsid w:val="003569A1"/>
    <w:rsid w:val="003575BE"/>
    <w:rsid w:val="00357EAE"/>
    <w:rsid w:val="00360345"/>
    <w:rsid w:val="0036061B"/>
    <w:rsid w:val="00361A05"/>
    <w:rsid w:val="003624C4"/>
    <w:rsid w:val="00362A9A"/>
    <w:rsid w:val="00363B00"/>
    <w:rsid w:val="00364045"/>
    <w:rsid w:val="003654AC"/>
    <w:rsid w:val="003655CC"/>
    <w:rsid w:val="003678AC"/>
    <w:rsid w:val="00370143"/>
    <w:rsid w:val="003710CF"/>
    <w:rsid w:val="003714DB"/>
    <w:rsid w:val="00373358"/>
    <w:rsid w:val="0037358A"/>
    <w:rsid w:val="003750F6"/>
    <w:rsid w:val="00375E7B"/>
    <w:rsid w:val="003760FC"/>
    <w:rsid w:val="00380173"/>
    <w:rsid w:val="0038224E"/>
    <w:rsid w:val="0038365C"/>
    <w:rsid w:val="0038369B"/>
    <w:rsid w:val="00383744"/>
    <w:rsid w:val="0038383E"/>
    <w:rsid w:val="00383B78"/>
    <w:rsid w:val="0038482A"/>
    <w:rsid w:val="00384A27"/>
    <w:rsid w:val="00385A9D"/>
    <w:rsid w:val="00385FA8"/>
    <w:rsid w:val="0038611C"/>
    <w:rsid w:val="00387121"/>
    <w:rsid w:val="003902B1"/>
    <w:rsid w:val="0039176A"/>
    <w:rsid w:val="0039179C"/>
    <w:rsid w:val="00392879"/>
    <w:rsid w:val="00394046"/>
    <w:rsid w:val="00395CBF"/>
    <w:rsid w:val="00396896"/>
    <w:rsid w:val="00396FD0"/>
    <w:rsid w:val="00397946"/>
    <w:rsid w:val="003A1A7A"/>
    <w:rsid w:val="003A1EFB"/>
    <w:rsid w:val="003A2392"/>
    <w:rsid w:val="003A24F5"/>
    <w:rsid w:val="003A2831"/>
    <w:rsid w:val="003A3CB6"/>
    <w:rsid w:val="003A3ED1"/>
    <w:rsid w:val="003A44DB"/>
    <w:rsid w:val="003A4C14"/>
    <w:rsid w:val="003A4FF2"/>
    <w:rsid w:val="003A5A8E"/>
    <w:rsid w:val="003A5E67"/>
    <w:rsid w:val="003A64A1"/>
    <w:rsid w:val="003A653B"/>
    <w:rsid w:val="003B2A07"/>
    <w:rsid w:val="003B3971"/>
    <w:rsid w:val="003B3F28"/>
    <w:rsid w:val="003B4249"/>
    <w:rsid w:val="003B55D1"/>
    <w:rsid w:val="003B5B61"/>
    <w:rsid w:val="003B6AAB"/>
    <w:rsid w:val="003B7347"/>
    <w:rsid w:val="003C0781"/>
    <w:rsid w:val="003C1166"/>
    <w:rsid w:val="003C1654"/>
    <w:rsid w:val="003C1A7B"/>
    <w:rsid w:val="003C2082"/>
    <w:rsid w:val="003C2679"/>
    <w:rsid w:val="003C306C"/>
    <w:rsid w:val="003C3D54"/>
    <w:rsid w:val="003C5542"/>
    <w:rsid w:val="003C5AFF"/>
    <w:rsid w:val="003C7C15"/>
    <w:rsid w:val="003C7D19"/>
    <w:rsid w:val="003C7D2F"/>
    <w:rsid w:val="003D0033"/>
    <w:rsid w:val="003D0069"/>
    <w:rsid w:val="003D0233"/>
    <w:rsid w:val="003D0C5A"/>
    <w:rsid w:val="003D0D9F"/>
    <w:rsid w:val="003D10C0"/>
    <w:rsid w:val="003D16D6"/>
    <w:rsid w:val="003D1828"/>
    <w:rsid w:val="003D1DE4"/>
    <w:rsid w:val="003D1E9A"/>
    <w:rsid w:val="003D2422"/>
    <w:rsid w:val="003D261B"/>
    <w:rsid w:val="003D26AD"/>
    <w:rsid w:val="003D39A1"/>
    <w:rsid w:val="003D3E19"/>
    <w:rsid w:val="003D3FBF"/>
    <w:rsid w:val="003D49BF"/>
    <w:rsid w:val="003D4A30"/>
    <w:rsid w:val="003D4EF9"/>
    <w:rsid w:val="003D54D6"/>
    <w:rsid w:val="003D59B8"/>
    <w:rsid w:val="003D6063"/>
    <w:rsid w:val="003D6169"/>
    <w:rsid w:val="003D7452"/>
    <w:rsid w:val="003D79BB"/>
    <w:rsid w:val="003D7C98"/>
    <w:rsid w:val="003D7D9D"/>
    <w:rsid w:val="003E0543"/>
    <w:rsid w:val="003E1670"/>
    <w:rsid w:val="003E2D2A"/>
    <w:rsid w:val="003E464C"/>
    <w:rsid w:val="003E54E2"/>
    <w:rsid w:val="003E5603"/>
    <w:rsid w:val="003E586A"/>
    <w:rsid w:val="003E6105"/>
    <w:rsid w:val="003E6549"/>
    <w:rsid w:val="003E749E"/>
    <w:rsid w:val="003F3D11"/>
    <w:rsid w:val="003F4156"/>
    <w:rsid w:val="003F5A5D"/>
    <w:rsid w:val="003F5ADF"/>
    <w:rsid w:val="003F64E9"/>
    <w:rsid w:val="003F69C8"/>
    <w:rsid w:val="003F7740"/>
    <w:rsid w:val="00400B29"/>
    <w:rsid w:val="00400C9A"/>
    <w:rsid w:val="00401AD9"/>
    <w:rsid w:val="00401E31"/>
    <w:rsid w:val="00402812"/>
    <w:rsid w:val="00402B6E"/>
    <w:rsid w:val="0040504B"/>
    <w:rsid w:val="004059F4"/>
    <w:rsid w:val="00405D4E"/>
    <w:rsid w:val="0040601A"/>
    <w:rsid w:val="00407FE5"/>
    <w:rsid w:val="004101B0"/>
    <w:rsid w:val="004102BD"/>
    <w:rsid w:val="00410326"/>
    <w:rsid w:val="00410708"/>
    <w:rsid w:val="00410EC7"/>
    <w:rsid w:val="0041105B"/>
    <w:rsid w:val="00411B39"/>
    <w:rsid w:val="004127A7"/>
    <w:rsid w:val="00413656"/>
    <w:rsid w:val="00413A1E"/>
    <w:rsid w:val="00414476"/>
    <w:rsid w:val="00414861"/>
    <w:rsid w:val="00414C2E"/>
    <w:rsid w:val="004151CF"/>
    <w:rsid w:val="00415888"/>
    <w:rsid w:val="00416364"/>
    <w:rsid w:val="0042047F"/>
    <w:rsid w:val="00420AA6"/>
    <w:rsid w:val="00420B9F"/>
    <w:rsid w:val="00421357"/>
    <w:rsid w:val="004215FF"/>
    <w:rsid w:val="0042192C"/>
    <w:rsid w:val="00422260"/>
    <w:rsid w:val="0042413F"/>
    <w:rsid w:val="00424B90"/>
    <w:rsid w:val="00425714"/>
    <w:rsid w:val="0043036E"/>
    <w:rsid w:val="00430FCA"/>
    <w:rsid w:val="004319F8"/>
    <w:rsid w:val="00431E55"/>
    <w:rsid w:val="004321F6"/>
    <w:rsid w:val="00432253"/>
    <w:rsid w:val="0043244E"/>
    <w:rsid w:val="00432C49"/>
    <w:rsid w:val="00432DA5"/>
    <w:rsid w:val="00433044"/>
    <w:rsid w:val="00433764"/>
    <w:rsid w:val="00433E2C"/>
    <w:rsid w:val="00434088"/>
    <w:rsid w:val="00435322"/>
    <w:rsid w:val="00435AF5"/>
    <w:rsid w:val="004375B9"/>
    <w:rsid w:val="00440D28"/>
    <w:rsid w:val="004418B5"/>
    <w:rsid w:val="00441F7C"/>
    <w:rsid w:val="00442759"/>
    <w:rsid w:val="004428D0"/>
    <w:rsid w:val="00442E8B"/>
    <w:rsid w:val="00444185"/>
    <w:rsid w:val="004443A7"/>
    <w:rsid w:val="0044442C"/>
    <w:rsid w:val="00445941"/>
    <w:rsid w:val="004464EB"/>
    <w:rsid w:val="00446794"/>
    <w:rsid w:val="00447B63"/>
    <w:rsid w:val="00447D26"/>
    <w:rsid w:val="00447DFC"/>
    <w:rsid w:val="0045317D"/>
    <w:rsid w:val="004531CB"/>
    <w:rsid w:val="00454025"/>
    <w:rsid w:val="00455820"/>
    <w:rsid w:val="00455D45"/>
    <w:rsid w:val="004607B7"/>
    <w:rsid w:val="00462217"/>
    <w:rsid w:val="00464595"/>
    <w:rsid w:val="004645A6"/>
    <w:rsid w:val="004658B5"/>
    <w:rsid w:val="0046691C"/>
    <w:rsid w:val="004669AA"/>
    <w:rsid w:val="0047138F"/>
    <w:rsid w:val="0047183F"/>
    <w:rsid w:val="00471EA5"/>
    <w:rsid w:val="00471F81"/>
    <w:rsid w:val="004727B3"/>
    <w:rsid w:val="00472A79"/>
    <w:rsid w:val="00473F19"/>
    <w:rsid w:val="00475E22"/>
    <w:rsid w:val="0048074B"/>
    <w:rsid w:val="0048088E"/>
    <w:rsid w:val="00480F2B"/>
    <w:rsid w:val="00482720"/>
    <w:rsid w:val="004835E7"/>
    <w:rsid w:val="0048395B"/>
    <w:rsid w:val="004859E1"/>
    <w:rsid w:val="0048614F"/>
    <w:rsid w:val="0048666A"/>
    <w:rsid w:val="004867E2"/>
    <w:rsid w:val="00487059"/>
    <w:rsid w:val="00490B17"/>
    <w:rsid w:val="00491B3A"/>
    <w:rsid w:val="00492CFD"/>
    <w:rsid w:val="00492FCE"/>
    <w:rsid w:val="00494207"/>
    <w:rsid w:val="00494DA7"/>
    <w:rsid w:val="00494DD5"/>
    <w:rsid w:val="00495231"/>
    <w:rsid w:val="004959BA"/>
    <w:rsid w:val="004962D2"/>
    <w:rsid w:val="004962ED"/>
    <w:rsid w:val="0049677F"/>
    <w:rsid w:val="004A0408"/>
    <w:rsid w:val="004A044D"/>
    <w:rsid w:val="004A0DA1"/>
    <w:rsid w:val="004A13D6"/>
    <w:rsid w:val="004A1AB8"/>
    <w:rsid w:val="004A2C78"/>
    <w:rsid w:val="004A3ED6"/>
    <w:rsid w:val="004A4267"/>
    <w:rsid w:val="004A52E9"/>
    <w:rsid w:val="004A6040"/>
    <w:rsid w:val="004A6597"/>
    <w:rsid w:val="004A7848"/>
    <w:rsid w:val="004A793B"/>
    <w:rsid w:val="004B19EA"/>
    <w:rsid w:val="004B1C9E"/>
    <w:rsid w:val="004B1CB4"/>
    <w:rsid w:val="004B2F18"/>
    <w:rsid w:val="004B32B7"/>
    <w:rsid w:val="004B3DDB"/>
    <w:rsid w:val="004B44FD"/>
    <w:rsid w:val="004B46CA"/>
    <w:rsid w:val="004B4C02"/>
    <w:rsid w:val="004B5283"/>
    <w:rsid w:val="004B546E"/>
    <w:rsid w:val="004B55C5"/>
    <w:rsid w:val="004B56AF"/>
    <w:rsid w:val="004B594B"/>
    <w:rsid w:val="004B5CFC"/>
    <w:rsid w:val="004B6A14"/>
    <w:rsid w:val="004B6D70"/>
    <w:rsid w:val="004B6F79"/>
    <w:rsid w:val="004B7410"/>
    <w:rsid w:val="004B774D"/>
    <w:rsid w:val="004B7970"/>
    <w:rsid w:val="004B7AC2"/>
    <w:rsid w:val="004C2AC2"/>
    <w:rsid w:val="004C3B02"/>
    <w:rsid w:val="004C4AED"/>
    <w:rsid w:val="004C4D0B"/>
    <w:rsid w:val="004C4F2C"/>
    <w:rsid w:val="004C4F38"/>
    <w:rsid w:val="004C53B1"/>
    <w:rsid w:val="004C6340"/>
    <w:rsid w:val="004D082A"/>
    <w:rsid w:val="004D15CC"/>
    <w:rsid w:val="004D2C2D"/>
    <w:rsid w:val="004D2CD9"/>
    <w:rsid w:val="004D3197"/>
    <w:rsid w:val="004D69B5"/>
    <w:rsid w:val="004D7227"/>
    <w:rsid w:val="004D7B5E"/>
    <w:rsid w:val="004E0E7F"/>
    <w:rsid w:val="004E0EB8"/>
    <w:rsid w:val="004E18E9"/>
    <w:rsid w:val="004E261B"/>
    <w:rsid w:val="004E2A5F"/>
    <w:rsid w:val="004E2ADC"/>
    <w:rsid w:val="004E43B2"/>
    <w:rsid w:val="004E45AA"/>
    <w:rsid w:val="004E555F"/>
    <w:rsid w:val="004E55E4"/>
    <w:rsid w:val="004F0B55"/>
    <w:rsid w:val="004F135C"/>
    <w:rsid w:val="004F1ACE"/>
    <w:rsid w:val="004F1C2D"/>
    <w:rsid w:val="004F1D02"/>
    <w:rsid w:val="004F2679"/>
    <w:rsid w:val="004F2F21"/>
    <w:rsid w:val="004F3DE5"/>
    <w:rsid w:val="004F6537"/>
    <w:rsid w:val="004F6913"/>
    <w:rsid w:val="004F7865"/>
    <w:rsid w:val="0050174E"/>
    <w:rsid w:val="00501854"/>
    <w:rsid w:val="005018B2"/>
    <w:rsid w:val="005018EF"/>
    <w:rsid w:val="00502134"/>
    <w:rsid w:val="0050219B"/>
    <w:rsid w:val="00502C9A"/>
    <w:rsid w:val="00503F17"/>
    <w:rsid w:val="00503F3A"/>
    <w:rsid w:val="005046AA"/>
    <w:rsid w:val="00504F69"/>
    <w:rsid w:val="005054A7"/>
    <w:rsid w:val="00505665"/>
    <w:rsid w:val="005056E2"/>
    <w:rsid w:val="00506718"/>
    <w:rsid w:val="00506928"/>
    <w:rsid w:val="00507394"/>
    <w:rsid w:val="005077EF"/>
    <w:rsid w:val="00507B05"/>
    <w:rsid w:val="005103DA"/>
    <w:rsid w:val="0051165D"/>
    <w:rsid w:val="005118BB"/>
    <w:rsid w:val="00511AD5"/>
    <w:rsid w:val="00511DC7"/>
    <w:rsid w:val="00512207"/>
    <w:rsid w:val="005128C0"/>
    <w:rsid w:val="00512BAE"/>
    <w:rsid w:val="00513E0F"/>
    <w:rsid w:val="005142C5"/>
    <w:rsid w:val="0051501B"/>
    <w:rsid w:val="005152B5"/>
    <w:rsid w:val="00515886"/>
    <w:rsid w:val="0051589C"/>
    <w:rsid w:val="00516557"/>
    <w:rsid w:val="005172D4"/>
    <w:rsid w:val="0051759E"/>
    <w:rsid w:val="0052123C"/>
    <w:rsid w:val="00521319"/>
    <w:rsid w:val="005213DB"/>
    <w:rsid w:val="00522BC8"/>
    <w:rsid w:val="00522BEF"/>
    <w:rsid w:val="00522CB6"/>
    <w:rsid w:val="00523C28"/>
    <w:rsid w:val="00524822"/>
    <w:rsid w:val="00524830"/>
    <w:rsid w:val="00525B61"/>
    <w:rsid w:val="00527370"/>
    <w:rsid w:val="0053176B"/>
    <w:rsid w:val="00532548"/>
    <w:rsid w:val="0053312D"/>
    <w:rsid w:val="00533926"/>
    <w:rsid w:val="0053412C"/>
    <w:rsid w:val="005341B3"/>
    <w:rsid w:val="00534EF8"/>
    <w:rsid w:val="0053623A"/>
    <w:rsid w:val="00536F42"/>
    <w:rsid w:val="00537182"/>
    <w:rsid w:val="00537CB3"/>
    <w:rsid w:val="00540D65"/>
    <w:rsid w:val="00541EDD"/>
    <w:rsid w:val="0054233E"/>
    <w:rsid w:val="00542743"/>
    <w:rsid w:val="00542C2D"/>
    <w:rsid w:val="005439D4"/>
    <w:rsid w:val="005449CD"/>
    <w:rsid w:val="00544B9B"/>
    <w:rsid w:val="00545771"/>
    <w:rsid w:val="005478BD"/>
    <w:rsid w:val="005479E3"/>
    <w:rsid w:val="00547D51"/>
    <w:rsid w:val="00551565"/>
    <w:rsid w:val="00551985"/>
    <w:rsid w:val="00552BD3"/>
    <w:rsid w:val="005532A0"/>
    <w:rsid w:val="005534D8"/>
    <w:rsid w:val="005534E5"/>
    <w:rsid w:val="005549E9"/>
    <w:rsid w:val="00555109"/>
    <w:rsid w:val="005554CD"/>
    <w:rsid w:val="00556B35"/>
    <w:rsid w:val="00556EBB"/>
    <w:rsid w:val="00556FE0"/>
    <w:rsid w:val="0055741A"/>
    <w:rsid w:val="005611B7"/>
    <w:rsid w:val="005618D4"/>
    <w:rsid w:val="00562D24"/>
    <w:rsid w:val="00563730"/>
    <w:rsid w:val="00564867"/>
    <w:rsid w:val="00564C1E"/>
    <w:rsid w:val="00565C79"/>
    <w:rsid w:val="00565DF0"/>
    <w:rsid w:val="00565E80"/>
    <w:rsid w:val="0056696F"/>
    <w:rsid w:val="00567876"/>
    <w:rsid w:val="0057181D"/>
    <w:rsid w:val="00572269"/>
    <w:rsid w:val="0057244A"/>
    <w:rsid w:val="00572F26"/>
    <w:rsid w:val="00573513"/>
    <w:rsid w:val="005750C5"/>
    <w:rsid w:val="005752DE"/>
    <w:rsid w:val="00575419"/>
    <w:rsid w:val="005756F0"/>
    <w:rsid w:val="005758FB"/>
    <w:rsid w:val="00575D60"/>
    <w:rsid w:val="00575D8D"/>
    <w:rsid w:val="00576564"/>
    <w:rsid w:val="00576972"/>
    <w:rsid w:val="00577248"/>
    <w:rsid w:val="00577FDE"/>
    <w:rsid w:val="00580077"/>
    <w:rsid w:val="00582894"/>
    <w:rsid w:val="00582C56"/>
    <w:rsid w:val="00583699"/>
    <w:rsid w:val="00585CDD"/>
    <w:rsid w:val="00586755"/>
    <w:rsid w:val="00587058"/>
    <w:rsid w:val="00591008"/>
    <w:rsid w:val="005917C9"/>
    <w:rsid w:val="00591957"/>
    <w:rsid w:val="00591CBD"/>
    <w:rsid w:val="005920C5"/>
    <w:rsid w:val="00592426"/>
    <w:rsid w:val="00592B22"/>
    <w:rsid w:val="00592F11"/>
    <w:rsid w:val="00592F33"/>
    <w:rsid w:val="0059393B"/>
    <w:rsid w:val="005942C6"/>
    <w:rsid w:val="00595B2D"/>
    <w:rsid w:val="00595EE3"/>
    <w:rsid w:val="00597BF9"/>
    <w:rsid w:val="005A0166"/>
    <w:rsid w:val="005A0C11"/>
    <w:rsid w:val="005A170A"/>
    <w:rsid w:val="005A309A"/>
    <w:rsid w:val="005A373D"/>
    <w:rsid w:val="005A4796"/>
    <w:rsid w:val="005A4C42"/>
    <w:rsid w:val="005A53CB"/>
    <w:rsid w:val="005A556A"/>
    <w:rsid w:val="005A5886"/>
    <w:rsid w:val="005A71D8"/>
    <w:rsid w:val="005A738C"/>
    <w:rsid w:val="005B07D2"/>
    <w:rsid w:val="005B0B58"/>
    <w:rsid w:val="005B3A07"/>
    <w:rsid w:val="005B3C86"/>
    <w:rsid w:val="005B4E53"/>
    <w:rsid w:val="005B54C2"/>
    <w:rsid w:val="005B5857"/>
    <w:rsid w:val="005B5A2D"/>
    <w:rsid w:val="005C07D3"/>
    <w:rsid w:val="005C13ED"/>
    <w:rsid w:val="005C19C4"/>
    <w:rsid w:val="005C1A1E"/>
    <w:rsid w:val="005C1B83"/>
    <w:rsid w:val="005C2323"/>
    <w:rsid w:val="005C25FF"/>
    <w:rsid w:val="005C2D55"/>
    <w:rsid w:val="005C340E"/>
    <w:rsid w:val="005C346B"/>
    <w:rsid w:val="005C5A1F"/>
    <w:rsid w:val="005C5ABC"/>
    <w:rsid w:val="005C666A"/>
    <w:rsid w:val="005D00C8"/>
    <w:rsid w:val="005D044D"/>
    <w:rsid w:val="005D0ABD"/>
    <w:rsid w:val="005D16FC"/>
    <w:rsid w:val="005D18AD"/>
    <w:rsid w:val="005D2394"/>
    <w:rsid w:val="005D26B4"/>
    <w:rsid w:val="005D3209"/>
    <w:rsid w:val="005D353F"/>
    <w:rsid w:val="005D536E"/>
    <w:rsid w:val="005D5DCD"/>
    <w:rsid w:val="005E0F8E"/>
    <w:rsid w:val="005E1995"/>
    <w:rsid w:val="005E19B2"/>
    <w:rsid w:val="005E27F9"/>
    <w:rsid w:val="005E2F9C"/>
    <w:rsid w:val="005E450E"/>
    <w:rsid w:val="005E4D14"/>
    <w:rsid w:val="005E5098"/>
    <w:rsid w:val="005E5883"/>
    <w:rsid w:val="005E6805"/>
    <w:rsid w:val="005E6CBC"/>
    <w:rsid w:val="005E72FF"/>
    <w:rsid w:val="005E73C0"/>
    <w:rsid w:val="005E7694"/>
    <w:rsid w:val="005F07ED"/>
    <w:rsid w:val="005F255E"/>
    <w:rsid w:val="005F2706"/>
    <w:rsid w:val="005F2B96"/>
    <w:rsid w:val="005F2C80"/>
    <w:rsid w:val="005F3A36"/>
    <w:rsid w:val="005F49A2"/>
    <w:rsid w:val="005F5A8E"/>
    <w:rsid w:val="005F6416"/>
    <w:rsid w:val="005F6A8F"/>
    <w:rsid w:val="005F6BB7"/>
    <w:rsid w:val="005F7588"/>
    <w:rsid w:val="005F7646"/>
    <w:rsid w:val="0060047F"/>
    <w:rsid w:val="006028D3"/>
    <w:rsid w:val="00602EDB"/>
    <w:rsid w:val="00603AC7"/>
    <w:rsid w:val="00603DB9"/>
    <w:rsid w:val="0060545B"/>
    <w:rsid w:val="00605D8E"/>
    <w:rsid w:val="00606FBA"/>
    <w:rsid w:val="00606FD9"/>
    <w:rsid w:val="00607669"/>
    <w:rsid w:val="006076F4"/>
    <w:rsid w:val="00607AFD"/>
    <w:rsid w:val="00611332"/>
    <w:rsid w:val="00611B12"/>
    <w:rsid w:val="00611CF3"/>
    <w:rsid w:val="006123F7"/>
    <w:rsid w:val="00612598"/>
    <w:rsid w:val="006127C6"/>
    <w:rsid w:val="006127D9"/>
    <w:rsid w:val="00612F97"/>
    <w:rsid w:val="00612FED"/>
    <w:rsid w:val="0061345D"/>
    <w:rsid w:val="00613D55"/>
    <w:rsid w:val="00613F7F"/>
    <w:rsid w:val="006153CB"/>
    <w:rsid w:val="0061549B"/>
    <w:rsid w:val="006158B9"/>
    <w:rsid w:val="00616802"/>
    <w:rsid w:val="0061703A"/>
    <w:rsid w:val="00617DF1"/>
    <w:rsid w:val="00617E12"/>
    <w:rsid w:val="00620C25"/>
    <w:rsid w:val="006211B4"/>
    <w:rsid w:val="00621477"/>
    <w:rsid w:val="00621ADA"/>
    <w:rsid w:val="00621E83"/>
    <w:rsid w:val="006226E8"/>
    <w:rsid w:val="00623F7B"/>
    <w:rsid w:val="00624BD4"/>
    <w:rsid w:val="006273C9"/>
    <w:rsid w:val="00631241"/>
    <w:rsid w:val="0063158F"/>
    <w:rsid w:val="00631816"/>
    <w:rsid w:val="00631D6B"/>
    <w:rsid w:val="00632183"/>
    <w:rsid w:val="006330A1"/>
    <w:rsid w:val="00633A4A"/>
    <w:rsid w:val="00633AF4"/>
    <w:rsid w:val="0063479F"/>
    <w:rsid w:val="006353F0"/>
    <w:rsid w:val="006357B5"/>
    <w:rsid w:val="006364A1"/>
    <w:rsid w:val="0063678E"/>
    <w:rsid w:val="006372FB"/>
    <w:rsid w:val="006373C9"/>
    <w:rsid w:val="00637BFD"/>
    <w:rsid w:val="00637C5C"/>
    <w:rsid w:val="00637E22"/>
    <w:rsid w:val="00637E57"/>
    <w:rsid w:val="0064012C"/>
    <w:rsid w:val="00640B32"/>
    <w:rsid w:val="0064114A"/>
    <w:rsid w:val="00641C4E"/>
    <w:rsid w:val="00641FB3"/>
    <w:rsid w:val="00642E9C"/>
    <w:rsid w:val="0064434C"/>
    <w:rsid w:val="006471CC"/>
    <w:rsid w:val="006472FE"/>
    <w:rsid w:val="00647A29"/>
    <w:rsid w:val="006500BB"/>
    <w:rsid w:val="0065079F"/>
    <w:rsid w:val="0065108B"/>
    <w:rsid w:val="0065141E"/>
    <w:rsid w:val="00651C3B"/>
    <w:rsid w:val="00652A28"/>
    <w:rsid w:val="0065379F"/>
    <w:rsid w:val="0065419C"/>
    <w:rsid w:val="00656188"/>
    <w:rsid w:val="006567CD"/>
    <w:rsid w:val="0065715A"/>
    <w:rsid w:val="00660509"/>
    <w:rsid w:val="00660885"/>
    <w:rsid w:val="0066088C"/>
    <w:rsid w:val="006610F1"/>
    <w:rsid w:val="00661C6B"/>
    <w:rsid w:val="00662D3E"/>
    <w:rsid w:val="00664983"/>
    <w:rsid w:val="00665294"/>
    <w:rsid w:val="0066571C"/>
    <w:rsid w:val="00666CFA"/>
    <w:rsid w:val="00667BE3"/>
    <w:rsid w:val="00667E39"/>
    <w:rsid w:val="00671004"/>
    <w:rsid w:val="00671683"/>
    <w:rsid w:val="00672646"/>
    <w:rsid w:val="00673D6B"/>
    <w:rsid w:val="00673F40"/>
    <w:rsid w:val="00674E42"/>
    <w:rsid w:val="006764F2"/>
    <w:rsid w:val="00676563"/>
    <w:rsid w:val="006765C1"/>
    <w:rsid w:val="006768EE"/>
    <w:rsid w:val="00680FFB"/>
    <w:rsid w:val="00681391"/>
    <w:rsid w:val="006813F8"/>
    <w:rsid w:val="00681B7E"/>
    <w:rsid w:val="00681D85"/>
    <w:rsid w:val="00682112"/>
    <w:rsid w:val="00682B82"/>
    <w:rsid w:val="00682BA6"/>
    <w:rsid w:val="006838D6"/>
    <w:rsid w:val="0068392B"/>
    <w:rsid w:val="00683DA8"/>
    <w:rsid w:val="00684894"/>
    <w:rsid w:val="0068544F"/>
    <w:rsid w:val="00686957"/>
    <w:rsid w:val="006872BA"/>
    <w:rsid w:val="00687F74"/>
    <w:rsid w:val="00687FD2"/>
    <w:rsid w:val="00690795"/>
    <w:rsid w:val="00691274"/>
    <w:rsid w:val="006914A9"/>
    <w:rsid w:val="00691648"/>
    <w:rsid w:val="006917D7"/>
    <w:rsid w:val="00692A87"/>
    <w:rsid w:val="0069434C"/>
    <w:rsid w:val="00694F44"/>
    <w:rsid w:val="00696BC0"/>
    <w:rsid w:val="00696EF9"/>
    <w:rsid w:val="00696F51"/>
    <w:rsid w:val="006979A5"/>
    <w:rsid w:val="006A016F"/>
    <w:rsid w:val="006A0DF7"/>
    <w:rsid w:val="006A0FF0"/>
    <w:rsid w:val="006A1F3F"/>
    <w:rsid w:val="006A3384"/>
    <w:rsid w:val="006A414E"/>
    <w:rsid w:val="006A4321"/>
    <w:rsid w:val="006A43D9"/>
    <w:rsid w:val="006A4BA8"/>
    <w:rsid w:val="006A5802"/>
    <w:rsid w:val="006A5CAE"/>
    <w:rsid w:val="006A6539"/>
    <w:rsid w:val="006A6B99"/>
    <w:rsid w:val="006A7E3A"/>
    <w:rsid w:val="006A7E5F"/>
    <w:rsid w:val="006B1DE5"/>
    <w:rsid w:val="006B261B"/>
    <w:rsid w:val="006B2B90"/>
    <w:rsid w:val="006B2C90"/>
    <w:rsid w:val="006B35E6"/>
    <w:rsid w:val="006B465A"/>
    <w:rsid w:val="006B510D"/>
    <w:rsid w:val="006B582B"/>
    <w:rsid w:val="006B6273"/>
    <w:rsid w:val="006B682D"/>
    <w:rsid w:val="006B6DD0"/>
    <w:rsid w:val="006C021F"/>
    <w:rsid w:val="006C0399"/>
    <w:rsid w:val="006C1661"/>
    <w:rsid w:val="006C1C70"/>
    <w:rsid w:val="006C2852"/>
    <w:rsid w:val="006C2A8E"/>
    <w:rsid w:val="006C2C76"/>
    <w:rsid w:val="006C3255"/>
    <w:rsid w:val="006C3F26"/>
    <w:rsid w:val="006C4C0A"/>
    <w:rsid w:val="006C524E"/>
    <w:rsid w:val="006C6911"/>
    <w:rsid w:val="006C77F2"/>
    <w:rsid w:val="006D0D17"/>
    <w:rsid w:val="006D2C1B"/>
    <w:rsid w:val="006D3502"/>
    <w:rsid w:val="006D3C7D"/>
    <w:rsid w:val="006D3E84"/>
    <w:rsid w:val="006D40E3"/>
    <w:rsid w:val="006D4659"/>
    <w:rsid w:val="006D4873"/>
    <w:rsid w:val="006D5191"/>
    <w:rsid w:val="006D5D5F"/>
    <w:rsid w:val="006D6718"/>
    <w:rsid w:val="006D68FB"/>
    <w:rsid w:val="006D70CF"/>
    <w:rsid w:val="006E00BA"/>
    <w:rsid w:val="006E032A"/>
    <w:rsid w:val="006E0CBF"/>
    <w:rsid w:val="006E2868"/>
    <w:rsid w:val="006E3F6F"/>
    <w:rsid w:val="006E68F3"/>
    <w:rsid w:val="006E734B"/>
    <w:rsid w:val="006E7448"/>
    <w:rsid w:val="006F0076"/>
    <w:rsid w:val="006F05B3"/>
    <w:rsid w:val="006F2203"/>
    <w:rsid w:val="006F306C"/>
    <w:rsid w:val="006F3218"/>
    <w:rsid w:val="006F3D0B"/>
    <w:rsid w:val="006F4112"/>
    <w:rsid w:val="006F4264"/>
    <w:rsid w:val="006F49A8"/>
    <w:rsid w:val="006F5643"/>
    <w:rsid w:val="006F63A5"/>
    <w:rsid w:val="006F6CE1"/>
    <w:rsid w:val="006F7329"/>
    <w:rsid w:val="00700B38"/>
    <w:rsid w:val="0070142B"/>
    <w:rsid w:val="0070276E"/>
    <w:rsid w:val="00702F8F"/>
    <w:rsid w:val="00703613"/>
    <w:rsid w:val="00705D13"/>
    <w:rsid w:val="007060F7"/>
    <w:rsid w:val="0070659F"/>
    <w:rsid w:val="00707063"/>
    <w:rsid w:val="007079FC"/>
    <w:rsid w:val="00710360"/>
    <w:rsid w:val="0071050E"/>
    <w:rsid w:val="00710F71"/>
    <w:rsid w:val="00711A36"/>
    <w:rsid w:val="007125D3"/>
    <w:rsid w:val="007131AF"/>
    <w:rsid w:val="0071332F"/>
    <w:rsid w:val="00714C26"/>
    <w:rsid w:val="0071529C"/>
    <w:rsid w:val="00716FC4"/>
    <w:rsid w:val="007170DA"/>
    <w:rsid w:val="007172AD"/>
    <w:rsid w:val="00717546"/>
    <w:rsid w:val="00720801"/>
    <w:rsid w:val="0072155C"/>
    <w:rsid w:val="00722830"/>
    <w:rsid w:val="00722B1B"/>
    <w:rsid w:val="007234D4"/>
    <w:rsid w:val="007240AF"/>
    <w:rsid w:val="0072416F"/>
    <w:rsid w:val="00725818"/>
    <w:rsid w:val="00726A98"/>
    <w:rsid w:val="00727C94"/>
    <w:rsid w:val="007304D4"/>
    <w:rsid w:val="00731B0A"/>
    <w:rsid w:val="00731B3C"/>
    <w:rsid w:val="00731E92"/>
    <w:rsid w:val="00731EAE"/>
    <w:rsid w:val="00732598"/>
    <w:rsid w:val="00732679"/>
    <w:rsid w:val="00733073"/>
    <w:rsid w:val="00733505"/>
    <w:rsid w:val="0073365E"/>
    <w:rsid w:val="00733939"/>
    <w:rsid w:val="00734290"/>
    <w:rsid w:val="00735033"/>
    <w:rsid w:val="00735328"/>
    <w:rsid w:val="00735D2E"/>
    <w:rsid w:val="00736692"/>
    <w:rsid w:val="0073685B"/>
    <w:rsid w:val="00737555"/>
    <w:rsid w:val="00740C9B"/>
    <w:rsid w:val="00740E00"/>
    <w:rsid w:val="007418F2"/>
    <w:rsid w:val="00742E91"/>
    <w:rsid w:val="00743CD0"/>
    <w:rsid w:val="0074408B"/>
    <w:rsid w:val="007449BF"/>
    <w:rsid w:val="00745E9F"/>
    <w:rsid w:val="007463FE"/>
    <w:rsid w:val="00746BC0"/>
    <w:rsid w:val="007479D6"/>
    <w:rsid w:val="00747AFC"/>
    <w:rsid w:val="00747BFF"/>
    <w:rsid w:val="0075061F"/>
    <w:rsid w:val="007510B4"/>
    <w:rsid w:val="00751206"/>
    <w:rsid w:val="0075134B"/>
    <w:rsid w:val="00751EBD"/>
    <w:rsid w:val="00752142"/>
    <w:rsid w:val="007523F9"/>
    <w:rsid w:val="0075357E"/>
    <w:rsid w:val="00753B29"/>
    <w:rsid w:val="00757086"/>
    <w:rsid w:val="007573E8"/>
    <w:rsid w:val="007578F4"/>
    <w:rsid w:val="0076017F"/>
    <w:rsid w:val="00760C4E"/>
    <w:rsid w:val="00760F9E"/>
    <w:rsid w:val="00761095"/>
    <w:rsid w:val="007616E6"/>
    <w:rsid w:val="00761CAB"/>
    <w:rsid w:val="00761D35"/>
    <w:rsid w:val="00762063"/>
    <w:rsid w:val="007627BE"/>
    <w:rsid w:val="00763ADB"/>
    <w:rsid w:val="00763E59"/>
    <w:rsid w:val="00764394"/>
    <w:rsid w:val="00764F03"/>
    <w:rsid w:val="00765185"/>
    <w:rsid w:val="00765887"/>
    <w:rsid w:val="00765B1A"/>
    <w:rsid w:val="00765DC1"/>
    <w:rsid w:val="0076649F"/>
    <w:rsid w:val="00767979"/>
    <w:rsid w:val="007715D2"/>
    <w:rsid w:val="007719A9"/>
    <w:rsid w:val="00772714"/>
    <w:rsid w:val="0077356E"/>
    <w:rsid w:val="007739FA"/>
    <w:rsid w:val="0077456D"/>
    <w:rsid w:val="00776476"/>
    <w:rsid w:val="00776A29"/>
    <w:rsid w:val="00776B28"/>
    <w:rsid w:val="00776E89"/>
    <w:rsid w:val="007771DD"/>
    <w:rsid w:val="00777335"/>
    <w:rsid w:val="00777653"/>
    <w:rsid w:val="007809E4"/>
    <w:rsid w:val="007814EA"/>
    <w:rsid w:val="00781BFF"/>
    <w:rsid w:val="00781CFE"/>
    <w:rsid w:val="007821EB"/>
    <w:rsid w:val="0078241E"/>
    <w:rsid w:val="007843F2"/>
    <w:rsid w:val="007846FA"/>
    <w:rsid w:val="00784A26"/>
    <w:rsid w:val="007854FB"/>
    <w:rsid w:val="00785A9F"/>
    <w:rsid w:val="00786E2E"/>
    <w:rsid w:val="00786FA5"/>
    <w:rsid w:val="007877B8"/>
    <w:rsid w:val="00787D0B"/>
    <w:rsid w:val="007911A6"/>
    <w:rsid w:val="0079168E"/>
    <w:rsid w:val="00791696"/>
    <w:rsid w:val="007925DF"/>
    <w:rsid w:val="007940E0"/>
    <w:rsid w:val="00796216"/>
    <w:rsid w:val="007962C6"/>
    <w:rsid w:val="00796DC6"/>
    <w:rsid w:val="007A010A"/>
    <w:rsid w:val="007A08AA"/>
    <w:rsid w:val="007A0A12"/>
    <w:rsid w:val="007A132D"/>
    <w:rsid w:val="007A1345"/>
    <w:rsid w:val="007A27F7"/>
    <w:rsid w:val="007A2DDB"/>
    <w:rsid w:val="007A408B"/>
    <w:rsid w:val="007A41AF"/>
    <w:rsid w:val="007A70BA"/>
    <w:rsid w:val="007A78C8"/>
    <w:rsid w:val="007B06B1"/>
    <w:rsid w:val="007B0D68"/>
    <w:rsid w:val="007B14D4"/>
    <w:rsid w:val="007B188D"/>
    <w:rsid w:val="007B1EF4"/>
    <w:rsid w:val="007B251D"/>
    <w:rsid w:val="007B253A"/>
    <w:rsid w:val="007B25F4"/>
    <w:rsid w:val="007B2A30"/>
    <w:rsid w:val="007B3411"/>
    <w:rsid w:val="007B3533"/>
    <w:rsid w:val="007B361C"/>
    <w:rsid w:val="007B3CA4"/>
    <w:rsid w:val="007B4AE9"/>
    <w:rsid w:val="007B4F58"/>
    <w:rsid w:val="007B528D"/>
    <w:rsid w:val="007B5996"/>
    <w:rsid w:val="007B5C6A"/>
    <w:rsid w:val="007B5FA4"/>
    <w:rsid w:val="007B63CA"/>
    <w:rsid w:val="007B63D4"/>
    <w:rsid w:val="007B6F4D"/>
    <w:rsid w:val="007B77D1"/>
    <w:rsid w:val="007B7A72"/>
    <w:rsid w:val="007C07C7"/>
    <w:rsid w:val="007C18C9"/>
    <w:rsid w:val="007C1CD9"/>
    <w:rsid w:val="007C32EF"/>
    <w:rsid w:val="007C361D"/>
    <w:rsid w:val="007C3AB2"/>
    <w:rsid w:val="007C4B84"/>
    <w:rsid w:val="007C619A"/>
    <w:rsid w:val="007C6B56"/>
    <w:rsid w:val="007C70FF"/>
    <w:rsid w:val="007C7C25"/>
    <w:rsid w:val="007D004F"/>
    <w:rsid w:val="007D035F"/>
    <w:rsid w:val="007D06B2"/>
    <w:rsid w:val="007D0A1B"/>
    <w:rsid w:val="007D0B38"/>
    <w:rsid w:val="007D1263"/>
    <w:rsid w:val="007D5440"/>
    <w:rsid w:val="007D60DE"/>
    <w:rsid w:val="007D649B"/>
    <w:rsid w:val="007D69EB"/>
    <w:rsid w:val="007D720C"/>
    <w:rsid w:val="007E128F"/>
    <w:rsid w:val="007E2707"/>
    <w:rsid w:val="007E2BA1"/>
    <w:rsid w:val="007E3ADB"/>
    <w:rsid w:val="007E6504"/>
    <w:rsid w:val="007F1017"/>
    <w:rsid w:val="007F2F58"/>
    <w:rsid w:val="007F3342"/>
    <w:rsid w:val="007F3468"/>
    <w:rsid w:val="007F4A3F"/>
    <w:rsid w:val="007F4A61"/>
    <w:rsid w:val="007F5255"/>
    <w:rsid w:val="007F56CC"/>
    <w:rsid w:val="007F61C2"/>
    <w:rsid w:val="007F6518"/>
    <w:rsid w:val="007F6666"/>
    <w:rsid w:val="008024C1"/>
    <w:rsid w:val="0080309E"/>
    <w:rsid w:val="00804187"/>
    <w:rsid w:val="00805142"/>
    <w:rsid w:val="0080566B"/>
    <w:rsid w:val="00805FCE"/>
    <w:rsid w:val="00807A8B"/>
    <w:rsid w:val="00810177"/>
    <w:rsid w:val="0081075B"/>
    <w:rsid w:val="00810C5D"/>
    <w:rsid w:val="00810D90"/>
    <w:rsid w:val="00811383"/>
    <w:rsid w:val="00812149"/>
    <w:rsid w:val="00812903"/>
    <w:rsid w:val="00812CAC"/>
    <w:rsid w:val="00813CAC"/>
    <w:rsid w:val="008141F7"/>
    <w:rsid w:val="008152EF"/>
    <w:rsid w:val="00815530"/>
    <w:rsid w:val="0081554F"/>
    <w:rsid w:val="00815BFB"/>
    <w:rsid w:val="00816361"/>
    <w:rsid w:val="008166EF"/>
    <w:rsid w:val="00816FEF"/>
    <w:rsid w:val="00820A8C"/>
    <w:rsid w:val="0082101F"/>
    <w:rsid w:val="008215FB"/>
    <w:rsid w:val="008220CC"/>
    <w:rsid w:val="008221A2"/>
    <w:rsid w:val="008222CE"/>
    <w:rsid w:val="00823174"/>
    <w:rsid w:val="008255E0"/>
    <w:rsid w:val="00825751"/>
    <w:rsid w:val="00825976"/>
    <w:rsid w:val="008259E2"/>
    <w:rsid w:val="008264EB"/>
    <w:rsid w:val="008268CE"/>
    <w:rsid w:val="008275F4"/>
    <w:rsid w:val="00827C23"/>
    <w:rsid w:val="00830A92"/>
    <w:rsid w:val="00831C1E"/>
    <w:rsid w:val="00832638"/>
    <w:rsid w:val="00833B05"/>
    <w:rsid w:val="00834748"/>
    <w:rsid w:val="00835AA5"/>
    <w:rsid w:val="008362B4"/>
    <w:rsid w:val="00836BF4"/>
    <w:rsid w:val="00837807"/>
    <w:rsid w:val="00840CA2"/>
    <w:rsid w:val="0084108D"/>
    <w:rsid w:val="008410A9"/>
    <w:rsid w:val="00842596"/>
    <w:rsid w:val="0084374F"/>
    <w:rsid w:val="008437A4"/>
    <w:rsid w:val="00844A22"/>
    <w:rsid w:val="00845108"/>
    <w:rsid w:val="00846BDF"/>
    <w:rsid w:val="00847703"/>
    <w:rsid w:val="00847C95"/>
    <w:rsid w:val="00847DF5"/>
    <w:rsid w:val="00850D1B"/>
    <w:rsid w:val="0085153D"/>
    <w:rsid w:val="0085309D"/>
    <w:rsid w:val="00853660"/>
    <w:rsid w:val="0085377A"/>
    <w:rsid w:val="008539E3"/>
    <w:rsid w:val="008541E7"/>
    <w:rsid w:val="00854ACE"/>
    <w:rsid w:val="00855476"/>
    <w:rsid w:val="008558C9"/>
    <w:rsid w:val="00856897"/>
    <w:rsid w:val="00856E9A"/>
    <w:rsid w:val="0086075D"/>
    <w:rsid w:val="00862502"/>
    <w:rsid w:val="00862CC1"/>
    <w:rsid w:val="008639DE"/>
    <w:rsid w:val="00863D7E"/>
    <w:rsid w:val="008642A7"/>
    <w:rsid w:val="00865373"/>
    <w:rsid w:val="008660D4"/>
    <w:rsid w:val="008664E7"/>
    <w:rsid w:val="00871739"/>
    <w:rsid w:val="00871FA9"/>
    <w:rsid w:val="008728E9"/>
    <w:rsid w:val="00872D8D"/>
    <w:rsid w:val="008742C9"/>
    <w:rsid w:val="00880037"/>
    <w:rsid w:val="00880992"/>
    <w:rsid w:val="00880F83"/>
    <w:rsid w:val="0088136E"/>
    <w:rsid w:val="0088186B"/>
    <w:rsid w:val="008820B3"/>
    <w:rsid w:val="00882874"/>
    <w:rsid w:val="00882E3C"/>
    <w:rsid w:val="0088308A"/>
    <w:rsid w:val="00883787"/>
    <w:rsid w:val="008850B8"/>
    <w:rsid w:val="008855E4"/>
    <w:rsid w:val="0088593C"/>
    <w:rsid w:val="00886CD2"/>
    <w:rsid w:val="00890A71"/>
    <w:rsid w:val="00891E6F"/>
    <w:rsid w:val="0089275D"/>
    <w:rsid w:val="00892A36"/>
    <w:rsid w:val="00893239"/>
    <w:rsid w:val="0089420E"/>
    <w:rsid w:val="00894489"/>
    <w:rsid w:val="00894CD6"/>
    <w:rsid w:val="0089611F"/>
    <w:rsid w:val="008963A5"/>
    <w:rsid w:val="00896C25"/>
    <w:rsid w:val="00896D5D"/>
    <w:rsid w:val="008970FE"/>
    <w:rsid w:val="008A0E9B"/>
    <w:rsid w:val="008A27F8"/>
    <w:rsid w:val="008A3158"/>
    <w:rsid w:val="008A3363"/>
    <w:rsid w:val="008A3371"/>
    <w:rsid w:val="008A390A"/>
    <w:rsid w:val="008A3C3E"/>
    <w:rsid w:val="008A4BF7"/>
    <w:rsid w:val="008A5577"/>
    <w:rsid w:val="008A635D"/>
    <w:rsid w:val="008A65A5"/>
    <w:rsid w:val="008A6738"/>
    <w:rsid w:val="008A6ECB"/>
    <w:rsid w:val="008A7150"/>
    <w:rsid w:val="008A773D"/>
    <w:rsid w:val="008A79DE"/>
    <w:rsid w:val="008A7EA1"/>
    <w:rsid w:val="008B1757"/>
    <w:rsid w:val="008B1C33"/>
    <w:rsid w:val="008B39CF"/>
    <w:rsid w:val="008B4B6F"/>
    <w:rsid w:val="008B6BB6"/>
    <w:rsid w:val="008B7992"/>
    <w:rsid w:val="008B7D7E"/>
    <w:rsid w:val="008C1E51"/>
    <w:rsid w:val="008C227F"/>
    <w:rsid w:val="008C2B19"/>
    <w:rsid w:val="008C314A"/>
    <w:rsid w:val="008C509B"/>
    <w:rsid w:val="008C5610"/>
    <w:rsid w:val="008C5739"/>
    <w:rsid w:val="008C6179"/>
    <w:rsid w:val="008C61AF"/>
    <w:rsid w:val="008C6558"/>
    <w:rsid w:val="008C7282"/>
    <w:rsid w:val="008C7642"/>
    <w:rsid w:val="008C7ECB"/>
    <w:rsid w:val="008D01FA"/>
    <w:rsid w:val="008D1C68"/>
    <w:rsid w:val="008D3B86"/>
    <w:rsid w:val="008D40C6"/>
    <w:rsid w:val="008D43FD"/>
    <w:rsid w:val="008D4755"/>
    <w:rsid w:val="008D4C3D"/>
    <w:rsid w:val="008D6962"/>
    <w:rsid w:val="008D6D14"/>
    <w:rsid w:val="008D743C"/>
    <w:rsid w:val="008D76F1"/>
    <w:rsid w:val="008E03BE"/>
    <w:rsid w:val="008E0D3C"/>
    <w:rsid w:val="008E1B9E"/>
    <w:rsid w:val="008E28B0"/>
    <w:rsid w:val="008E2D53"/>
    <w:rsid w:val="008E3FC9"/>
    <w:rsid w:val="008E49EA"/>
    <w:rsid w:val="008E55AB"/>
    <w:rsid w:val="008E5B3E"/>
    <w:rsid w:val="008E64C5"/>
    <w:rsid w:val="008F120A"/>
    <w:rsid w:val="008F27E0"/>
    <w:rsid w:val="008F48EB"/>
    <w:rsid w:val="008F4F0B"/>
    <w:rsid w:val="008F5546"/>
    <w:rsid w:val="008F7F0D"/>
    <w:rsid w:val="00901333"/>
    <w:rsid w:val="009013FD"/>
    <w:rsid w:val="00902EF8"/>
    <w:rsid w:val="009046C4"/>
    <w:rsid w:val="00904D0B"/>
    <w:rsid w:val="009053E8"/>
    <w:rsid w:val="00905531"/>
    <w:rsid w:val="009062A5"/>
    <w:rsid w:val="0090714A"/>
    <w:rsid w:val="00907699"/>
    <w:rsid w:val="00910C2C"/>
    <w:rsid w:val="00910FA7"/>
    <w:rsid w:val="00911272"/>
    <w:rsid w:val="00911339"/>
    <w:rsid w:val="00911AF1"/>
    <w:rsid w:val="00911DDB"/>
    <w:rsid w:val="00912645"/>
    <w:rsid w:val="0091288D"/>
    <w:rsid w:val="0091292F"/>
    <w:rsid w:val="009129D0"/>
    <w:rsid w:val="00912B91"/>
    <w:rsid w:val="009135D6"/>
    <w:rsid w:val="00913ADF"/>
    <w:rsid w:val="00913D75"/>
    <w:rsid w:val="00913E56"/>
    <w:rsid w:val="0091405D"/>
    <w:rsid w:val="00914C77"/>
    <w:rsid w:val="00914FF2"/>
    <w:rsid w:val="0091602C"/>
    <w:rsid w:val="00916EC3"/>
    <w:rsid w:val="00917405"/>
    <w:rsid w:val="00920203"/>
    <w:rsid w:val="00921ACB"/>
    <w:rsid w:val="0092369B"/>
    <w:rsid w:val="00923C94"/>
    <w:rsid w:val="00923F4F"/>
    <w:rsid w:val="0092463C"/>
    <w:rsid w:val="00926702"/>
    <w:rsid w:val="00931A07"/>
    <w:rsid w:val="00931ADB"/>
    <w:rsid w:val="00933961"/>
    <w:rsid w:val="00933DE3"/>
    <w:rsid w:val="009342C4"/>
    <w:rsid w:val="00934988"/>
    <w:rsid w:val="00934A62"/>
    <w:rsid w:val="00935622"/>
    <w:rsid w:val="0093707C"/>
    <w:rsid w:val="00937089"/>
    <w:rsid w:val="00940D29"/>
    <w:rsid w:val="00941070"/>
    <w:rsid w:val="00941CA8"/>
    <w:rsid w:val="00942173"/>
    <w:rsid w:val="0094353B"/>
    <w:rsid w:val="0094427C"/>
    <w:rsid w:val="00944884"/>
    <w:rsid w:val="00944F8A"/>
    <w:rsid w:val="00945629"/>
    <w:rsid w:val="00945F66"/>
    <w:rsid w:val="00947D56"/>
    <w:rsid w:val="00950177"/>
    <w:rsid w:val="009510A2"/>
    <w:rsid w:val="009510C3"/>
    <w:rsid w:val="0095282E"/>
    <w:rsid w:val="00953257"/>
    <w:rsid w:val="009532BE"/>
    <w:rsid w:val="0095388A"/>
    <w:rsid w:val="00953B86"/>
    <w:rsid w:val="009540BC"/>
    <w:rsid w:val="0095474C"/>
    <w:rsid w:val="00954CCB"/>
    <w:rsid w:val="00955BE0"/>
    <w:rsid w:val="00956943"/>
    <w:rsid w:val="009570F1"/>
    <w:rsid w:val="00957A44"/>
    <w:rsid w:val="00957B5C"/>
    <w:rsid w:val="00957D92"/>
    <w:rsid w:val="009609B4"/>
    <w:rsid w:val="00960F6A"/>
    <w:rsid w:val="00961DC3"/>
    <w:rsid w:val="00962115"/>
    <w:rsid w:val="00962CB9"/>
    <w:rsid w:val="009637E0"/>
    <w:rsid w:val="00964312"/>
    <w:rsid w:val="009646F6"/>
    <w:rsid w:val="00965B8A"/>
    <w:rsid w:val="00966B30"/>
    <w:rsid w:val="0097071F"/>
    <w:rsid w:val="009717AC"/>
    <w:rsid w:val="00971C4F"/>
    <w:rsid w:val="00972141"/>
    <w:rsid w:val="00972535"/>
    <w:rsid w:val="00972AA7"/>
    <w:rsid w:val="00973909"/>
    <w:rsid w:val="00973C80"/>
    <w:rsid w:val="00974C3B"/>
    <w:rsid w:val="00974C55"/>
    <w:rsid w:val="009751C1"/>
    <w:rsid w:val="00980170"/>
    <w:rsid w:val="00980BA9"/>
    <w:rsid w:val="009811F1"/>
    <w:rsid w:val="00981C1C"/>
    <w:rsid w:val="00981E1B"/>
    <w:rsid w:val="00982075"/>
    <w:rsid w:val="0098262F"/>
    <w:rsid w:val="00982A5E"/>
    <w:rsid w:val="00982BCD"/>
    <w:rsid w:val="009830A1"/>
    <w:rsid w:val="00983E57"/>
    <w:rsid w:val="00984902"/>
    <w:rsid w:val="00985C29"/>
    <w:rsid w:val="00985C84"/>
    <w:rsid w:val="00985DE2"/>
    <w:rsid w:val="0098670A"/>
    <w:rsid w:val="0098675D"/>
    <w:rsid w:val="00987A0B"/>
    <w:rsid w:val="00987BA4"/>
    <w:rsid w:val="00990134"/>
    <w:rsid w:val="00992512"/>
    <w:rsid w:val="009926E0"/>
    <w:rsid w:val="00993394"/>
    <w:rsid w:val="00993E00"/>
    <w:rsid w:val="0099451E"/>
    <w:rsid w:val="0099500B"/>
    <w:rsid w:val="009951D1"/>
    <w:rsid w:val="009952CA"/>
    <w:rsid w:val="00995306"/>
    <w:rsid w:val="00995867"/>
    <w:rsid w:val="00996B1A"/>
    <w:rsid w:val="0099774F"/>
    <w:rsid w:val="00997C16"/>
    <w:rsid w:val="009A18F6"/>
    <w:rsid w:val="009A1CCC"/>
    <w:rsid w:val="009A1D39"/>
    <w:rsid w:val="009A2DCC"/>
    <w:rsid w:val="009A31D5"/>
    <w:rsid w:val="009A57B5"/>
    <w:rsid w:val="009A5ABC"/>
    <w:rsid w:val="009A7F10"/>
    <w:rsid w:val="009B11E5"/>
    <w:rsid w:val="009B179D"/>
    <w:rsid w:val="009B1A39"/>
    <w:rsid w:val="009B2F7B"/>
    <w:rsid w:val="009B3B9C"/>
    <w:rsid w:val="009B3E26"/>
    <w:rsid w:val="009B5A25"/>
    <w:rsid w:val="009B636E"/>
    <w:rsid w:val="009B69B8"/>
    <w:rsid w:val="009B7C6D"/>
    <w:rsid w:val="009C023B"/>
    <w:rsid w:val="009C04C4"/>
    <w:rsid w:val="009C100F"/>
    <w:rsid w:val="009C1271"/>
    <w:rsid w:val="009C2735"/>
    <w:rsid w:val="009C2C24"/>
    <w:rsid w:val="009C3215"/>
    <w:rsid w:val="009C3706"/>
    <w:rsid w:val="009C3A3A"/>
    <w:rsid w:val="009C426B"/>
    <w:rsid w:val="009C5298"/>
    <w:rsid w:val="009C5369"/>
    <w:rsid w:val="009C5483"/>
    <w:rsid w:val="009C5D5A"/>
    <w:rsid w:val="009C6CEA"/>
    <w:rsid w:val="009C788B"/>
    <w:rsid w:val="009C7B85"/>
    <w:rsid w:val="009D0254"/>
    <w:rsid w:val="009D0344"/>
    <w:rsid w:val="009D0610"/>
    <w:rsid w:val="009D099F"/>
    <w:rsid w:val="009D1A64"/>
    <w:rsid w:val="009D1CF3"/>
    <w:rsid w:val="009D2F4D"/>
    <w:rsid w:val="009D3A67"/>
    <w:rsid w:val="009D5603"/>
    <w:rsid w:val="009D5B91"/>
    <w:rsid w:val="009D5CBA"/>
    <w:rsid w:val="009D659E"/>
    <w:rsid w:val="009D792E"/>
    <w:rsid w:val="009D7E76"/>
    <w:rsid w:val="009D7F8B"/>
    <w:rsid w:val="009E0DFE"/>
    <w:rsid w:val="009E0FF2"/>
    <w:rsid w:val="009E1387"/>
    <w:rsid w:val="009E31F6"/>
    <w:rsid w:val="009E4C07"/>
    <w:rsid w:val="009E50F0"/>
    <w:rsid w:val="009E5207"/>
    <w:rsid w:val="009E5B61"/>
    <w:rsid w:val="009E5CF2"/>
    <w:rsid w:val="009E64A1"/>
    <w:rsid w:val="009E777F"/>
    <w:rsid w:val="009E7EC1"/>
    <w:rsid w:val="009F08B0"/>
    <w:rsid w:val="009F0C8E"/>
    <w:rsid w:val="009F10A7"/>
    <w:rsid w:val="009F2517"/>
    <w:rsid w:val="009F2B2F"/>
    <w:rsid w:val="009F3B0E"/>
    <w:rsid w:val="009F445B"/>
    <w:rsid w:val="009F53D1"/>
    <w:rsid w:val="009F5EAF"/>
    <w:rsid w:val="009F6120"/>
    <w:rsid w:val="009F7D18"/>
    <w:rsid w:val="00A00D76"/>
    <w:rsid w:val="00A01184"/>
    <w:rsid w:val="00A01449"/>
    <w:rsid w:val="00A01869"/>
    <w:rsid w:val="00A0204C"/>
    <w:rsid w:val="00A02050"/>
    <w:rsid w:val="00A037C2"/>
    <w:rsid w:val="00A03D43"/>
    <w:rsid w:val="00A03DC1"/>
    <w:rsid w:val="00A04198"/>
    <w:rsid w:val="00A04380"/>
    <w:rsid w:val="00A04786"/>
    <w:rsid w:val="00A05472"/>
    <w:rsid w:val="00A05C32"/>
    <w:rsid w:val="00A0653F"/>
    <w:rsid w:val="00A11CD0"/>
    <w:rsid w:val="00A12B15"/>
    <w:rsid w:val="00A138A8"/>
    <w:rsid w:val="00A13948"/>
    <w:rsid w:val="00A1555B"/>
    <w:rsid w:val="00A155C5"/>
    <w:rsid w:val="00A169E6"/>
    <w:rsid w:val="00A16AD8"/>
    <w:rsid w:val="00A172CD"/>
    <w:rsid w:val="00A1738A"/>
    <w:rsid w:val="00A1753C"/>
    <w:rsid w:val="00A1755C"/>
    <w:rsid w:val="00A2021E"/>
    <w:rsid w:val="00A20C63"/>
    <w:rsid w:val="00A21C95"/>
    <w:rsid w:val="00A21C9F"/>
    <w:rsid w:val="00A21CF3"/>
    <w:rsid w:val="00A23937"/>
    <w:rsid w:val="00A24011"/>
    <w:rsid w:val="00A24813"/>
    <w:rsid w:val="00A26375"/>
    <w:rsid w:val="00A2722B"/>
    <w:rsid w:val="00A279A6"/>
    <w:rsid w:val="00A27AEC"/>
    <w:rsid w:val="00A308E1"/>
    <w:rsid w:val="00A30D7B"/>
    <w:rsid w:val="00A320DB"/>
    <w:rsid w:val="00A3267B"/>
    <w:rsid w:val="00A345DD"/>
    <w:rsid w:val="00A35D16"/>
    <w:rsid w:val="00A35F90"/>
    <w:rsid w:val="00A364E5"/>
    <w:rsid w:val="00A364F7"/>
    <w:rsid w:val="00A365CE"/>
    <w:rsid w:val="00A36A24"/>
    <w:rsid w:val="00A36C07"/>
    <w:rsid w:val="00A372F8"/>
    <w:rsid w:val="00A37BCD"/>
    <w:rsid w:val="00A409A9"/>
    <w:rsid w:val="00A41689"/>
    <w:rsid w:val="00A42592"/>
    <w:rsid w:val="00A43C59"/>
    <w:rsid w:val="00A4433C"/>
    <w:rsid w:val="00A47101"/>
    <w:rsid w:val="00A47CF3"/>
    <w:rsid w:val="00A47EC5"/>
    <w:rsid w:val="00A508FB"/>
    <w:rsid w:val="00A5093A"/>
    <w:rsid w:val="00A50ECD"/>
    <w:rsid w:val="00A518F3"/>
    <w:rsid w:val="00A52729"/>
    <w:rsid w:val="00A52CD7"/>
    <w:rsid w:val="00A52CE9"/>
    <w:rsid w:val="00A53675"/>
    <w:rsid w:val="00A53B25"/>
    <w:rsid w:val="00A55181"/>
    <w:rsid w:val="00A564D7"/>
    <w:rsid w:val="00A56690"/>
    <w:rsid w:val="00A56745"/>
    <w:rsid w:val="00A56B6A"/>
    <w:rsid w:val="00A578DC"/>
    <w:rsid w:val="00A61BB3"/>
    <w:rsid w:val="00A62C0B"/>
    <w:rsid w:val="00A62C40"/>
    <w:rsid w:val="00A63017"/>
    <w:rsid w:val="00A640E2"/>
    <w:rsid w:val="00A64D65"/>
    <w:rsid w:val="00A65C7C"/>
    <w:rsid w:val="00A66192"/>
    <w:rsid w:val="00A6725B"/>
    <w:rsid w:val="00A67931"/>
    <w:rsid w:val="00A70605"/>
    <w:rsid w:val="00A71031"/>
    <w:rsid w:val="00A7135E"/>
    <w:rsid w:val="00A722A1"/>
    <w:rsid w:val="00A730AD"/>
    <w:rsid w:val="00A73134"/>
    <w:rsid w:val="00A731FA"/>
    <w:rsid w:val="00A7365A"/>
    <w:rsid w:val="00A74A49"/>
    <w:rsid w:val="00A74F3C"/>
    <w:rsid w:val="00A75081"/>
    <w:rsid w:val="00A76001"/>
    <w:rsid w:val="00A77179"/>
    <w:rsid w:val="00A777B2"/>
    <w:rsid w:val="00A80073"/>
    <w:rsid w:val="00A80DA3"/>
    <w:rsid w:val="00A825D4"/>
    <w:rsid w:val="00A827BE"/>
    <w:rsid w:val="00A828F6"/>
    <w:rsid w:val="00A82B73"/>
    <w:rsid w:val="00A83ACC"/>
    <w:rsid w:val="00A860FB"/>
    <w:rsid w:val="00A86E3F"/>
    <w:rsid w:val="00A86E8B"/>
    <w:rsid w:val="00A87164"/>
    <w:rsid w:val="00A871A9"/>
    <w:rsid w:val="00A87856"/>
    <w:rsid w:val="00A925E6"/>
    <w:rsid w:val="00A92A70"/>
    <w:rsid w:val="00A92D13"/>
    <w:rsid w:val="00A93072"/>
    <w:rsid w:val="00A93810"/>
    <w:rsid w:val="00A938BD"/>
    <w:rsid w:val="00A93953"/>
    <w:rsid w:val="00A93DEC"/>
    <w:rsid w:val="00A94F51"/>
    <w:rsid w:val="00A953AD"/>
    <w:rsid w:val="00A957F4"/>
    <w:rsid w:val="00A9590F"/>
    <w:rsid w:val="00A959D8"/>
    <w:rsid w:val="00A9624B"/>
    <w:rsid w:val="00AA0667"/>
    <w:rsid w:val="00AA0791"/>
    <w:rsid w:val="00AA0F20"/>
    <w:rsid w:val="00AA113D"/>
    <w:rsid w:val="00AA141D"/>
    <w:rsid w:val="00AA240D"/>
    <w:rsid w:val="00AA24F6"/>
    <w:rsid w:val="00AA5A3A"/>
    <w:rsid w:val="00AA5A49"/>
    <w:rsid w:val="00AA5CF6"/>
    <w:rsid w:val="00AA6BD5"/>
    <w:rsid w:val="00AA6BD8"/>
    <w:rsid w:val="00AA6C7D"/>
    <w:rsid w:val="00AA7FD6"/>
    <w:rsid w:val="00AB042A"/>
    <w:rsid w:val="00AB0815"/>
    <w:rsid w:val="00AB110A"/>
    <w:rsid w:val="00AB11AD"/>
    <w:rsid w:val="00AB17B3"/>
    <w:rsid w:val="00AB19EF"/>
    <w:rsid w:val="00AB2495"/>
    <w:rsid w:val="00AB26E2"/>
    <w:rsid w:val="00AB29B3"/>
    <w:rsid w:val="00AB2D34"/>
    <w:rsid w:val="00AB3430"/>
    <w:rsid w:val="00AB37B9"/>
    <w:rsid w:val="00AB3B2E"/>
    <w:rsid w:val="00AB493E"/>
    <w:rsid w:val="00AB4AD1"/>
    <w:rsid w:val="00AB5E07"/>
    <w:rsid w:val="00AB718A"/>
    <w:rsid w:val="00AB7CFA"/>
    <w:rsid w:val="00AC05F2"/>
    <w:rsid w:val="00AC129E"/>
    <w:rsid w:val="00AC1302"/>
    <w:rsid w:val="00AC2A7C"/>
    <w:rsid w:val="00AC2EF8"/>
    <w:rsid w:val="00AC3852"/>
    <w:rsid w:val="00AC3AF1"/>
    <w:rsid w:val="00AC5B42"/>
    <w:rsid w:val="00AC5B48"/>
    <w:rsid w:val="00AC5C98"/>
    <w:rsid w:val="00AC5F0C"/>
    <w:rsid w:val="00AC64E6"/>
    <w:rsid w:val="00AC7378"/>
    <w:rsid w:val="00AC7B81"/>
    <w:rsid w:val="00AD1450"/>
    <w:rsid w:val="00AD15E8"/>
    <w:rsid w:val="00AD3219"/>
    <w:rsid w:val="00AD356D"/>
    <w:rsid w:val="00AD48AF"/>
    <w:rsid w:val="00AD4E0D"/>
    <w:rsid w:val="00AD5798"/>
    <w:rsid w:val="00AD6056"/>
    <w:rsid w:val="00AD6502"/>
    <w:rsid w:val="00AD6975"/>
    <w:rsid w:val="00AD73A6"/>
    <w:rsid w:val="00AE0695"/>
    <w:rsid w:val="00AE0D98"/>
    <w:rsid w:val="00AE142C"/>
    <w:rsid w:val="00AE269C"/>
    <w:rsid w:val="00AE304A"/>
    <w:rsid w:val="00AE3689"/>
    <w:rsid w:val="00AE3B29"/>
    <w:rsid w:val="00AE3E7E"/>
    <w:rsid w:val="00AE5ABE"/>
    <w:rsid w:val="00AE6A78"/>
    <w:rsid w:val="00AE7A22"/>
    <w:rsid w:val="00AE7E53"/>
    <w:rsid w:val="00AF0452"/>
    <w:rsid w:val="00AF057B"/>
    <w:rsid w:val="00AF096D"/>
    <w:rsid w:val="00AF108D"/>
    <w:rsid w:val="00AF1315"/>
    <w:rsid w:val="00AF19BF"/>
    <w:rsid w:val="00AF1C88"/>
    <w:rsid w:val="00AF23C0"/>
    <w:rsid w:val="00AF2DC3"/>
    <w:rsid w:val="00AF3681"/>
    <w:rsid w:val="00AF3F6D"/>
    <w:rsid w:val="00AF41C9"/>
    <w:rsid w:val="00AF450C"/>
    <w:rsid w:val="00AF48A2"/>
    <w:rsid w:val="00AF4C18"/>
    <w:rsid w:val="00AF4F9D"/>
    <w:rsid w:val="00AF7C8B"/>
    <w:rsid w:val="00B00239"/>
    <w:rsid w:val="00B0185D"/>
    <w:rsid w:val="00B0253A"/>
    <w:rsid w:val="00B02702"/>
    <w:rsid w:val="00B031FC"/>
    <w:rsid w:val="00B033E5"/>
    <w:rsid w:val="00B03A63"/>
    <w:rsid w:val="00B03FA6"/>
    <w:rsid w:val="00B0573B"/>
    <w:rsid w:val="00B06010"/>
    <w:rsid w:val="00B062C9"/>
    <w:rsid w:val="00B07877"/>
    <w:rsid w:val="00B11758"/>
    <w:rsid w:val="00B129A4"/>
    <w:rsid w:val="00B12A74"/>
    <w:rsid w:val="00B12D37"/>
    <w:rsid w:val="00B132DA"/>
    <w:rsid w:val="00B17EBA"/>
    <w:rsid w:val="00B201A4"/>
    <w:rsid w:val="00B201D1"/>
    <w:rsid w:val="00B20C10"/>
    <w:rsid w:val="00B213A6"/>
    <w:rsid w:val="00B231BC"/>
    <w:rsid w:val="00B235B0"/>
    <w:rsid w:val="00B23C61"/>
    <w:rsid w:val="00B2421E"/>
    <w:rsid w:val="00B248AB"/>
    <w:rsid w:val="00B24DF6"/>
    <w:rsid w:val="00B2617D"/>
    <w:rsid w:val="00B26D9C"/>
    <w:rsid w:val="00B27879"/>
    <w:rsid w:val="00B27A61"/>
    <w:rsid w:val="00B27B14"/>
    <w:rsid w:val="00B27B4A"/>
    <w:rsid w:val="00B305F4"/>
    <w:rsid w:val="00B3148A"/>
    <w:rsid w:val="00B32769"/>
    <w:rsid w:val="00B32C76"/>
    <w:rsid w:val="00B34267"/>
    <w:rsid w:val="00B34FE2"/>
    <w:rsid w:val="00B35166"/>
    <w:rsid w:val="00B357D8"/>
    <w:rsid w:val="00B360F4"/>
    <w:rsid w:val="00B36A00"/>
    <w:rsid w:val="00B3740B"/>
    <w:rsid w:val="00B3792B"/>
    <w:rsid w:val="00B37BFC"/>
    <w:rsid w:val="00B401A7"/>
    <w:rsid w:val="00B40358"/>
    <w:rsid w:val="00B41614"/>
    <w:rsid w:val="00B42851"/>
    <w:rsid w:val="00B42CC1"/>
    <w:rsid w:val="00B42F80"/>
    <w:rsid w:val="00B42FAC"/>
    <w:rsid w:val="00B435CB"/>
    <w:rsid w:val="00B44B03"/>
    <w:rsid w:val="00B451FF"/>
    <w:rsid w:val="00B465EC"/>
    <w:rsid w:val="00B505C8"/>
    <w:rsid w:val="00B509EC"/>
    <w:rsid w:val="00B50DB8"/>
    <w:rsid w:val="00B521EE"/>
    <w:rsid w:val="00B524C5"/>
    <w:rsid w:val="00B52704"/>
    <w:rsid w:val="00B52FBB"/>
    <w:rsid w:val="00B535EB"/>
    <w:rsid w:val="00B53654"/>
    <w:rsid w:val="00B53905"/>
    <w:rsid w:val="00B546DB"/>
    <w:rsid w:val="00B546FA"/>
    <w:rsid w:val="00B54B5B"/>
    <w:rsid w:val="00B54C28"/>
    <w:rsid w:val="00B5562E"/>
    <w:rsid w:val="00B55862"/>
    <w:rsid w:val="00B55D65"/>
    <w:rsid w:val="00B56305"/>
    <w:rsid w:val="00B57000"/>
    <w:rsid w:val="00B575C5"/>
    <w:rsid w:val="00B57955"/>
    <w:rsid w:val="00B60939"/>
    <w:rsid w:val="00B60AFD"/>
    <w:rsid w:val="00B612B3"/>
    <w:rsid w:val="00B62155"/>
    <w:rsid w:val="00B62176"/>
    <w:rsid w:val="00B62715"/>
    <w:rsid w:val="00B6273B"/>
    <w:rsid w:val="00B655D6"/>
    <w:rsid w:val="00B65611"/>
    <w:rsid w:val="00B67F0B"/>
    <w:rsid w:val="00B70542"/>
    <w:rsid w:val="00B70E8E"/>
    <w:rsid w:val="00B72F95"/>
    <w:rsid w:val="00B73753"/>
    <w:rsid w:val="00B763BD"/>
    <w:rsid w:val="00B767CB"/>
    <w:rsid w:val="00B76C92"/>
    <w:rsid w:val="00B778BE"/>
    <w:rsid w:val="00B80EFD"/>
    <w:rsid w:val="00B81255"/>
    <w:rsid w:val="00B818A4"/>
    <w:rsid w:val="00B82126"/>
    <w:rsid w:val="00B826D3"/>
    <w:rsid w:val="00B82ACA"/>
    <w:rsid w:val="00B83739"/>
    <w:rsid w:val="00B83F34"/>
    <w:rsid w:val="00B84117"/>
    <w:rsid w:val="00B858F0"/>
    <w:rsid w:val="00B85AA2"/>
    <w:rsid w:val="00B85DEB"/>
    <w:rsid w:val="00B8649C"/>
    <w:rsid w:val="00B86839"/>
    <w:rsid w:val="00B8695D"/>
    <w:rsid w:val="00B8698E"/>
    <w:rsid w:val="00B87F0A"/>
    <w:rsid w:val="00B90C68"/>
    <w:rsid w:val="00B90F80"/>
    <w:rsid w:val="00B91307"/>
    <w:rsid w:val="00B92D0B"/>
    <w:rsid w:val="00B92D0E"/>
    <w:rsid w:val="00B92D64"/>
    <w:rsid w:val="00B94945"/>
    <w:rsid w:val="00B94B4D"/>
    <w:rsid w:val="00B94DD6"/>
    <w:rsid w:val="00BA04CF"/>
    <w:rsid w:val="00BA0ACE"/>
    <w:rsid w:val="00BA169C"/>
    <w:rsid w:val="00BA18AF"/>
    <w:rsid w:val="00BA322D"/>
    <w:rsid w:val="00BA36FE"/>
    <w:rsid w:val="00BA3F79"/>
    <w:rsid w:val="00BA5999"/>
    <w:rsid w:val="00BA5B76"/>
    <w:rsid w:val="00BA5CB5"/>
    <w:rsid w:val="00BA63FA"/>
    <w:rsid w:val="00BA6821"/>
    <w:rsid w:val="00BA6DA9"/>
    <w:rsid w:val="00BA7FEA"/>
    <w:rsid w:val="00BB00B3"/>
    <w:rsid w:val="00BB0BDD"/>
    <w:rsid w:val="00BB0D67"/>
    <w:rsid w:val="00BB176C"/>
    <w:rsid w:val="00BB2A73"/>
    <w:rsid w:val="00BB2C08"/>
    <w:rsid w:val="00BB3A45"/>
    <w:rsid w:val="00BB3A70"/>
    <w:rsid w:val="00BB4ACC"/>
    <w:rsid w:val="00BB703E"/>
    <w:rsid w:val="00BB7238"/>
    <w:rsid w:val="00BB732D"/>
    <w:rsid w:val="00BB7405"/>
    <w:rsid w:val="00BC1586"/>
    <w:rsid w:val="00BC1C41"/>
    <w:rsid w:val="00BC29C4"/>
    <w:rsid w:val="00BC3631"/>
    <w:rsid w:val="00BC547D"/>
    <w:rsid w:val="00BC591F"/>
    <w:rsid w:val="00BC7411"/>
    <w:rsid w:val="00BC7A4C"/>
    <w:rsid w:val="00BC7D6D"/>
    <w:rsid w:val="00BD0158"/>
    <w:rsid w:val="00BD0860"/>
    <w:rsid w:val="00BD16CE"/>
    <w:rsid w:val="00BD1A92"/>
    <w:rsid w:val="00BD2108"/>
    <w:rsid w:val="00BD2D63"/>
    <w:rsid w:val="00BD43DF"/>
    <w:rsid w:val="00BD4727"/>
    <w:rsid w:val="00BD474E"/>
    <w:rsid w:val="00BD68A3"/>
    <w:rsid w:val="00BD6938"/>
    <w:rsid w:val="00BD6CF3"/>
    <w:rsid w:val="00BD7D1A"/>
    <w:rsid w:val="00BD7D81"/>
    <w:rsid w:val="00BD7F72"/>
    <w:rsid w:val="00BE068C"/>
    <w:rsid w:val="00BE0ECA"/>
    <w:rsid w:val="00BE15BB"/>
    <w:rsid w:val="00BE2180"/>
    <w:rsid w:val="00BE21F2"/>
    <w:rsid w:val="00BE2ABF"/>
    <w:rsid w:val="00BE351D"/>
    <w:rsid w:val="00BE3C0C"/>
    <w:rsid w:val="00BE4275"/>
    <w:rsid w:val="00BE42A7"/>
    <w:rsid w:val="00BE4A57"/>
    <w:rsid w:val="00BE6DE6"/>
    <w:rsid w:val="00BE7E10"/>
    <w:rsid w:val="00BF054D"/>
    <w:rsid w:val="00BF06AE"/>
    <w:rsid w:val="00BF0D22"/>
    <w:rsid w:val="00BF0DDC"/>
    <w:rsid w:val="00BF0F95"/>
    <w:rsid w:val="00BF1857"/>
    <w:rsid w:val="00BF2433"/>
    <w:rsid w:val="00BF268E"/>
    <w:rsid w:val="00BF2E6E"/>
    <w:rsid w:val="00BF3703"/>
    <w:rsid w:val="00BF3F09"/>
    <w:rsid w:val="00BF4BF9"/>
    <w:rsid w:val="00BF4CB3"/>
    <w:rsid w:val="00BF61C9"/>
    <w:rsid w:val="00BF6C94"/>
    <w:rsid w:val="00C0020F"/>
    <w:rsid w:val="00C00424"/>
    <w:rsid w:val="00C008E5"/>
    <w:rsid w:val="00C00919"/>
    <w:rsid w:val="00C00BB0"/>
    <w:rsid w:val="00C0124B"/>
    <w:rsid w:val="00C0149F"/>
    <w:rsid w:val="00C01903"/>
    <w:rsid w:val="00C01F8E"/>
    <w:rsid w:val="00C03B7E"/>
    <w:rsid w:val="00C0509B"/>
    <w:rsid w:val="00C05D54"/>
    <w:rsid w:val="00C06215"/>
    <w:rsid w:val="00C10230"/>
    <w:rsid w:val="00C10494"/>
    <w:rsid w:val="00C11145"/>
    <w:rsid w:val="00C11425"/>
    <w:rsid w:val="00C1179F"/>
    <w:rsid w:val="00C127B9"/>
    <w:rsid w:val="00C128FA"/>
    <w:rsid w:val="00C12C14"/>
    <w:rsid w:val="00C13B79"/>
    <w:rsid w:val="00C14C5D"/>
    <w:rsid w:val="00C15F04"/>
    <w:rsid w:val="00C1764C"/>
    <w:rsid w:val="00C179B3"/>
    <w:rsid w:val="00C17E3F"/>
    <w:rsid w:val="00C200AA"/>
    <w:rsid w:val="00C2031A"/>
    <w:rsid w:val="00C2046C"/>
    <w:rsid w:val="00C21254"/>
    <w:rsid w:val="00C21BA5"/>
    <w:rsid w:val="00C21F2E"/>
    <w:rsid w:val="00C223DA"/>
    <w:rsid w:val="00C22F93"/>
    <w:rsid w:val="00C231ED"/>
    <w:rsid w:val="00C237ED"/>
    <w:rsid w:val="00C24519"/>
    <w:rsid w:val="00C24632"/>
    <w:rsid w:val="00C24A50"/>
    <w:rsid w:val="00C25418"/>
    <w:rsid w:val="00C25D9C"/>
    <w:rsid w:val="00C2778B"/>
    <w:rsid w:val="00C27818"/>
    <w:rsid w:val="00C30708"/>
    <w:rsid w:val="00C31649"/>
    <w:rsid w:val="00C33952"/>
    <w:rsid w:val="00C3434C"/>
    <w:rsid w:val="00C355E7"/>
    <w:rsid w:val="00C35B05"/>
    <w:rsid w:val="00C40385"/>
    <w:rsid w:val="00C4092D"/>
    <w:rsid w:val="00C41768"/>
    <w:rsid w:val="00C41875"/>
    <w:rsid w:val="00C43C8F"/>
    <w:rsid w:val="00C43D6A"/>
    <w:rsid w:val="00C4473D"/>
    <w:rsid w:val="00C44D2D"/>
    <w:rsid w:val="00C469F2"/>
    <w:rsid w:val="00C47518"/>
    <w:rsid w:val="00C475AA"/>
    <w:rsid w:val="00C500DB"/>
    <w:rsid w:val="00C50C33"/>
    <w:rsid w:val="00C518C4"/>
    <w:rsid w:val="00C527C7"/>
    <w:rsid w:val="00C53C98"/>
    <w:rsid w:val="00C5403F"/>
    <w:rsid w:val="00C56AD1"/>
    <w:rsid w:val="00C56FCF"/>
    <w:rsid w:val="00C5728D"/>
    <w:rsid w:val="00C572F6"/>
    <w:rsid w:val="00C57B6C"/>
    <w:rsid w:val="00C57B71"/>
    <w:rsid w:val="00C60591"/>
    <w:rsid w:val="00C6194E"/>
    <w:rsid w:val="00C61A59"/>
    <w:rsid w:val="00C61FFF"/>
    <w:rsid w:val="00C628A6"/>
    <w:rsid w:val="00C63603"/>
    <w:rsid w:val="00C64344"/>
    <w:rsid w:val="00C645ED"/>
    <w:rsid w:val="00C64D16"/>
    <w:rsid w:val="00C65108"/>
    <w:rsid w:val="00C65576"/>
    <w:rsid w:val="00C656BF"/>
    <w:rsid w:val="00C66165"/>
    <w:rsid w:val="00C6620A"/>
    <w:rsid w:val="00C67E49"/>
    <w:rsid w:val="00C7060A"/>
    <w:rsid w:val="00C7151A"/>
    <w:rsid w:val="00C717E3"/>
    <w:rsid w:val="00C71F60"/>
    <w:rsid w:val="00C72241"/>
    <w:rsid w:val="00C74CD6"/>
    <w:rsid w:val="00C750C8"/>
    <w:rsid w:val="00C7560F"/>
    <w:rsid w:val="00C765C2"/>
    <w:rsid w:val="00C809D8"/>
    <w:rsid w:val="00C80A0E"/>
    <w:rsid w:val="00C8213F"/>
    <w:rsid w:val="00C82D1D"/>
    <w:rsid w:val="00C8303F"/>
    <w:rsid w:val="00C83301"/>
    <w:rsid w:val="00C85154"/>
    <w:rsid w:val="00C85826"/>
    <w:rsid w:val="00C85A70"/>
    <w:rsid w:val="00C85DA6"/>
    <w:rsid w:val="00C86102"/>
    <w:rsid w:val="00C86928"/>
    <w:rsid w:val="00C8797A"/>
    <w:rsid w:val="00C900B8"/>
    <w:rsid w:val="00C90197"/>
    <w:rsid w:val="00C90C71"/>
    <w:rsid w:val="00C91AC3"/>
    <w:rsid w:val="00C91FD1"/>
    <w:rsid w:val="00C928E8"/>
    <w:rsid w:val="00C92F06"/>
    <w:rsid w:val="00C931CF"/>
    <w:rsid w:val="00C938C0"/>
    <w:rsid w:val="00C938CF"/>
    <w:rsid w:val="00C94053"/>
    <w:rsid w:val="00C9428E"/>
    <w:rsid w:val="00C94921"/>
    <w:rsid w:val="00C9624D"/>
    <w:rsid w:val="00C964DA"/>
    <w:rsid w:val="00C969A7"/>
    <w:rsid w:val="00C969DA"/>
    <w:rsid w:val="00C979C5"/>
    <w:rsid w:val="00CA0853"/>
    <w:rsid w:val="00CA1270"/>
    <w:rsid w:val="00CA15C3"/>
    <w:rsid w:val="00CA2A78"/>
    <w:rsid w:val="00CA2C77"/>
    <w:rsid w:val="00CA3810"/>
    <w:rsid w:val="00CA3C9D"/>
    <w:rsid w:val="00CA444F"/>
    <w:rsid w:val="00CA5245"/>
    <w:rsid w:val="00CA58EB"/>
    <w:rsid w:val="00CA5A98"/>
    <w:rsid w:val="00CA5CE1"/>
    <w:rsid w:val="00CA71F4"/>
    <w:rsid w:val="00CA750C"/>
    <w:rsid w:val="00CA7B09"/>
    <w:rsid w:val="00CB12A5"/>
    <w:rsid w:val="00CB1A1D"/>
    <w:rsid w:val="00CB1CAC"/>
    <w:rsid w:val="00CB2BE0"/>
    <w:rsid w:val="00CB2F2A"/>
    <w:rsid w:val="00CB3631"/>
    <w:rsid w:val="00CB4811"/>
    <w:rsid w:val="00CB5B1A"/>
    <w:rsid w:val="00CB65DE"/>
    <w:rsid w:val="00CB674C"/>
    <w:rsid w:val="00CB6806"/>
    <w:rsid w:val="00CB6AF7"/>
    <w:rsid w:val="00CB6B22"/>
    <w:rsid w:val="00CB7F5F"/>
    <w:rsid w:val="00CC1B39"/>
    <w:rsid w:val="00CC1BFA"/>
    <w:rsid w:val="00CC2E9F"/>
    <w:rsid w:val="00CC35EA"/>
    <w:rsid w:val="00CC3701"/>
    <w:rsid w:val="00CC3848"/>
    <w:rsid w:val="00CC3DBD"/>
    <w:rsid w:val="00CC49FC"/>
    <w:rsid w:val="00CC586B"/>
    <w:rsid w:val="00CC6D5E"/>
    <w:rsid w:val="00CD0200"/>
    <w:rsid w:val="00CD1722"/>
    <w:rsid w:val="00CD1E0B"/>
    <w:rsid w:val="00CD1F04"/>
    <w:rsid w:val="00CD22F2"/>
    <w:rsid w:val="00CD2853"/>
    <w:rsid w:val="00CD2D4F"/>
    <w:rsid w:val="00CD322F"/>
    <w:rsid w:val="00CD390F"/>
    <w:rsid w:val="00CD3F77"/>
    <w:rsid w:val="00CD6AA5"/>
    <w:rsid w:val="00CD6ADC"/>
    <w:rsid w:val="00CD7193"/>
    <w:rsid w:val="00CE18A5"/>
    <w:rsid w:val="00CE2F41"/>
    <w:rsid w:val="00CE329E"/>
    <w:rsid w:val="00CE338C"/>
    <w:rsid w:val="00CE38C8"/>
    <w:rsid w:val="00CE39BA"/>
    <w:rsid w:val="00CE3C02"/>
    <w:rsid w:val="00CE460E"/>
    <w:rsid w:val="00CE524F"/>
    <w:rsid w:val="00CE58CC"/>
    <w:rsid w:val="00CE6274"/>
    <w:rsid w:val="00CE660C"/>
    <w:rsid w:val="00CE7743"/>
    <w:rsid w:val="00CE77B6"/>
    <w:rsid w:val="00CE796C"/>
    <w:rsid w:val="00CF1854"/>
    <w:rsid w:val="00CF187E"/>
    <w:rsid w:val="00CF2037"/>
    <w:rsid w:val="00CF21DE"/>
    <w:rsid w:val="00CF2B8D"/>
    <w:rsid w:val="00CF34D0"/>
    <w:rsid w:val="00CF3A1B"/>
    <w:rsid w:val="00CF3B80"/>
    <w:rsid w:val="00CF3EC7"/>
    <w:rsid w:val="00CF452B"/>
    <w:rsid w:val="00CF456B"/>
    <w:rsid w:val="00CF4A34"/>
    <w:rsid w:val="00CF4CC2"/>
    <w:rsid w:val="00CF5416"/>
    <w:rsid w:val="00CF5A22"/>
    <w:rsid w:val="00CF6264"/>
    <w:rsid w:val="00CF67DE"/>
    <w:rsid w:val="00CF7136"/>
    <w:rsid w:val="00D00C63"/>
    <w:rsid w:val="00D00E1D"/>
    <w:rsid w:val="00D0262E"/>
    <w:rsid w:val="00D027CB"/>
    <w:rsid w:val="00D035D2"/>
    <w:rsid w:val="00D0362B"/>
    <w:rsid w:val="00D03679"/>
    <w:rsid w:val="00D05E3D"/>
    <w:rsid w:val="00D0603A"/>
    <w:rsid w:val="00D06139"/>
    <w:rsid w:val="00D074CC"/>
    <w:rsid w:val="00D07C9C"/>
    <w:rsid w:val="00D108CB"/>
    <w:rsid w:val="00D10D3E"/>
    <w:rsid w:val="00D110BD"/>
    <w:rsid w:val="00D112BF"/>
    <w:rsid w:val="00D1144B"/>
    <w:rsid w:val="00D11D49"/>
    <w:rsid w:val="00D12893"/>
    <w:rsid w:val="00D13675"/>
    <w:rsid w:val="00D13B84"/>
    <w:rsid w:val="00D141E1"/>
    <w:rsid w:val="00D1454E"/>
    <w:rsid w:val="00D15314"/>
    <w:rsid w:val="00D15951"/>
    <w:rsid w:val="00D15B48"/>
    <w:rsid w:val="00D16E32"/>
    <w:rsid w:val="00D17D6C"/>
    <w:rsid w:val="00D21521"/>
    <w:rsid w:val="00D2155B"/>
    <w:rsid w:val="00D21C8E"/>
    <w:rsid w:val="00D225FC"/>
    <w:rsid w:val="00D236CB"/>
    <w:rsid w:val="00D23D11"/>
    <w:rsid w:val="00D244B6"/>
    <w:rsid w:val="00D24DAF"/>
    <w:rsid w:val="00D2754D"/>
    <w:rsid w:val="00D27B27"/>
    <w:rsid w:val="00D30BB2"/>
    <w:rsid w:val="00D30D5B"/>
    <w:rsid w:val="00D31CCC"/>
    <w:rsid w:val="00D32066"/>
    <w:rsid w:val="00D32F66"/>
    <w:rsid w:val="00D33BE9"/>
    <w:rsid w:val="00D33F93"/>
    <w:rsid w:val="00D357FF"/>
    <w:rsid w:val="00D35926"/>
    <w:rsid w:val="00D363CE"/>
    <w:rsid w:val="00D36A44"/>
    <w:rsid w:val="00D36E57"/>
    <w:rsid w:val="00D37892"/>
    <w:rsid w:val="00D424C7"/>
    <w:rsid w:val="00D42A00"/>
    <w:rsid w:val="00D42CB7"/>
    <w:rsid w:val="00D43B2A"/>
    <w:rsid w:val="00D43CF1"/>
    <w:rsid w:val="00D43D83"/>
    <w:rsid w:val="00D44142"/>
    <w:rsid w:val="00D4509A"/>
    <w:rsid w:val="00D45655"/>
    <w:rsid w:val="00D45FD3"/>
    <w:rsid w:val="00D47575"/>
    <w:rsid w:val="00D50359"/>
    <w:rsid w:val="00D506F3"/>
    <w:rsid w:val="00D50C98"/>
    <w:rsid w:val="00D52252"/>
    <w:rsid w:val="00D523F9"/>
    <w:rsid w:val="00D5243B"/>
    <w:rsid w:val="00D52BB1"/>
    <w:rsid w:val="00D533EC"/>
    <w:rsid w:val="00D538F9"/>
    <w:rsid w:val="00D53A08"/>
    <w:rsid w:val="00D5419B"/>
    <w:rsid w:val="00D553C9"/>
    <w:rsid w:val="00D56338"/>
    <w:rsid w:val="00D56A95"/>
    <w:rsid w:val="00D57F3E"/>
    <w:rsid w:val="00D60261"/>
    <w:rsid w:val="00D6076E"/>
    <w:rsid w:val="00D60EA2"/>
    <w:rsid w:val="00D62C97"/>
    <w:rsid w:val="00D6326F"/>
    <w:rsid w:val="00D6380B"/>
    <w:rsid w:val="00D64F75"/>
    <w:rsid w:val="00D66431"/>
    <w:rsid w:val="00D664B6"/>
    <w:rsid w:val="00D6723A"/>
    <w:rsid w:val="00D707F3"/>
    <w:rsid w:val="00D70F16"/>
    <w:rsid w:val="00D71439"/>
    <w:rsid w:val="00D71CE7"/>
    <w:rsid w:val="00D72104"/>
    <w:rsid w:val="00D72617"/>
    <w:rsid w:val="00D72F57"/>
    <w:rsid w:val="00D73DF5"/>
    <w:rsid w:val="00D74119"/>
    <w:rsid w:val="00D741B4"/>
    <w:rsid w:val="00D74DE6"/>
    <w:rsid w:val="00D76A44"/>
    <w:rsid w:val="00D76C45"/>
    <w:rsid w:val="00D8033E"/>
    <w:rsid w:val="00D80666"/>
    <w:rsid w:val="00D808BE"/>
    <w:rsid w:val="00D815EF"/>
    <w:rsid w:val="00D81949"/>
    <w:rsid w:val="00D81F26"/>
    <w:rsid w:val="00D822E2"/>
    <w:rsid w:val="00D8241A"/>
    <w:rsid w:val="00D82563"/>
    <w:rsid w:val="00D832B8"/>
    <w:rsid w:val="00D843F2"/>
    <w:rsid w:val="00D8464B"/>
    <w:rsid w:val="00D84A4D"/>
    <w:rsid w:val="00D84FC1"/>
    <w:rsid w:val="00D86231"/>
    <w:rsid w:val="00D904E2"/>
    <w:rsid w:val="00D90F1B"/>
    <w:rsid w:val="00D912AB"/>
    <w:rsid w:val="00D91923"/>
    <w:rsid w:val="00D92D9D"/>
    <w:rsid w:val="00D92FE7"/>
    <w:rsid w:val="00D9307E"/>
    <w:rsid w:val="00D934B3"/>
    <w:rsid w:val="00D93753"/>
    <w:rsid w:val="00D95A4A"/>
    <w:rsid w:val="00D96906"/>
    <w:rsid w:val="00DA0786"/>
    <w:rsid w:val="00DA3167"/>
    <w:rsid w:val="00DA4DC3"/>
    <w:rsid w:val="00DA4E67"/>
    <w:rsid w:val="00DA6B1A"/>
    <w:rsid w:val="00DA6DF1"/>
    <w:rsid w:val="00DA74D1"/>
    <w:rsid w:val="00DA77A5"/>
    <w:rsid w:val="00DB03F0"/>
    <w:rsid w:val="00DB0E36"/>
    <w:rsid w:val="00DB195B"/>
    <w:rsid w:val="00DB238D"/>
    <w:rsid w:val="00DB2723"/>
    <w:rsid w:val="00DB3660"/>
    <w:rsid w:val="00DB397C"/>
    <w:rsid w:val="00DB3DBF"/>
    <w:rsid w:val="00DB44E1"/>
    <w:rsid w:val="00DB484F"/>
    <w:rsid w:val="00DB4A1E"/>
    <w:rsid w:val="00DB4C0D"/>
    <w:rsid w:val="00DB6310"/>
    <w:rsid w:val="00DC04F6"/>
    <w:rsid w:val="00DC0690"/>
    <w:rsid w:val="00DC17A0"/>
    <w:rsid w:val="00DC194D"/>
    <w:rsid w:val="00DC19C2"/>
    <w:rsid w:val="00DC1D65"/>
    <w:rsid w:val="00DC1E87"/>
    <w:rsid w:val="00DC2388"/>
    <w:rsid w:val="00DC3667"/>
    <w:rsid w:val="00DC3C57"/>
    <w:rsid w:val="00DC46AE"/>
    <w:rsid w:val="00DC4751"/>
    <w:rsid w:val="00DC5501"/>
    <w:rsid w:val="00DC5DE4"/>
    <w:rsid w:val="00DC7154"/>
    <w:rsid w:val="00DC7E8A"/>
    <w:rsid w:val="00DD0229"/>
    <w:rsid w:val="00DD0956"/>
    <w:rsid w:val="00DD0F78"/>
    <w:rsid w:val="00DD1031"/>
    <w:rsid w:val="00DD273C"/>
    <w:rsid w:val="00DD3B66"/>
    <w:rsid w:val="00DD3F28"/>
    <w:rsid w:val="00DD4446"/>
    <w:rsid w:val="00DD4537"/>
    <w:rsid w:val="00DD48E5"/>
    <w:rsid w:val="00DD4E15"/>
    <w:rsid w:val="00DD5731"/>
    <w:rsid w:val="00DD5891"/>
    <w:rsid w:val="00DD788A"/>
    <w:rsid w:val="00DE002E"/>
    <w:rsid w:val="00DE02AD"/>
    <w:rsid w:val="00DE1433"/>
    <w:rsid w:val="00DE1E31"/>
    <w:rsid w:val="00DE2304"/>
    <w:rsid w:val="00DE3050"/>
    <w:rsid w:val="00DE3138"/>
    <w:rsid w:val="00DE37F8"/>
    <w:rsid w:val="00DE4273"/>
    <w:rsid w:val="00DE48ED"/>
    <w:rsid w:val="00DE4FCB"/>
    <w:rsid w:val="00DE5850"/>
    <w:rsid w:val="00DE5CC1"/>
    <w:rsid w:val="00DE5D07"/>
    <w:rsid w:val="00DE72A7"/>
    <w:rsid w:val="00DE7541"/>
    <w:rsid w:val="00DE7832"/>
    <w:rsid w:val="00DF18FC"/>
    <w:rsid w:val="00DF2946"/>
    <w:rsid w:val="00DF3EE2"/>
    <w:rsid w:val="00DF57AD"/>
    <w:rsid w:val="00DF5D2B"/>
    <w:rsid w:val="00DF601F"/>
    <w:rsid w:val="00DF6341"/>
    <w:rsid w:val="00DF71BC"/>
    <w:rsid w:val="00E00300"/>
    <w:rsid w:val="00E0098B"/>
    <w:rsid w:val="00E00E8E"/>
    <w:rsid w:val="00E02199"/>
    <w:rsid w:val="00E0329F"/>
    <w:rsid w:val="00E03D15"/>
    <w:rsid w:val="00E05630"/>
    <w:rsid w:val="00E06414"/>
    <w:rsid w:val="00E06DBB"/>
    <w:rsid w:val="00E10149"/>
    <w:rsid w:val="00E11340"/>
    <w:rsid w:val="00E11A0D"/>
    <w:rsid w:val="00E122A1"/>
    <w:rsid w:val="00E16098"/>
    <w:rsid w:val="00E16372"/>
    <w:rsid w:val="00E16440"/>
    <w:rsid w:val="00E16A1D"/>
    <w:rsid w:val="00E16AD8"/>
    <w:rsid w:val="00E17A6D"/>
    <w:rsid w:val="00E17FFA"/>
    <w:rsid w:val="00E20E4D"/>
    <w:rsid w:val="00E20ED6"/>
    <w:rsid w:val="00E21358"/>
    <w:rsid w:val="00E219D4"/>
    <w:rsid w:val="00E2249B"/>
    <w:rsid w:val="00E22A0D"/>
    <w:rsid w:val="00E23D61"/>
    <w:rsid w:val="00E244F6"/>
    <w:rsid w:val="00E24C9D"/>
    <w:rsid w:val="00E258DB"/>
    <w:rsid w:val="00E265A3"/>
    <w:rsid w:val="00E26719"/>
    <w:rsid w:val="00E273AF"/>
    <w:rsid w:val="00E2771E"/>
    <w:rsid w:val="00E311EF"/>
    <w:rsid w:val="00E32180"/>
    <w:rsid w:val="00E33CDA"/>
    <w:rsid w:val="00E33E28"/>
    <w:rsid w:val="00E3442B"/>
    <w:rsid w:val="00E344E4"/>
    <w:rsid w:val="00E34948"/>
    <w:rsid w:val="00E34F70"/>
    <w:rsid w:val="00E36195"/>
    <w:rsid w:val="00E36987"/>
    <w:rsid w:val="00E36DB9"/>
    <w:rsid w:val="00E37569"/>
    <w:rsid w:val="00E37B40"/>
    <w:rsid w:val="00E401B2"/>
    <w:rsid w:val="00E4150C"/>
    <w:rsid w:val="00E415CB"/>
    <w:rsid w:val="00E41E30"/>
    <w:rsid w:val="00E42F73"/>
    <w:rsid w:val="00E430BD"/>
    <w:rsid w:val="00E431D6"/>
    <w:rsid w:val="00E43487"/>
    <w:rsid w:val="00E43D70"/>
    <w:rsid w:val="00E440D6"/>
    <w:rsid w:val="00E44634"/>
    <w:rsid w:val="00E466F3"/>
    <w:rsid w:val="00E46B86"/>
    <w:rsid w:val="00E4777B"/>
    <w:rsid w:val="00E47B2C"/>
    <w:rsid w:val="00E51560"/>
    <w:rsid w:val="00E51821"/>
    <w:rsid w:val="00E51976"/>
    <w:rsid w:val="00E53FC8"/>
    <w:rsid w:val="00E54347"/>
    <w:rsid w:val="00E55424"/>
    <w:rsid w:val="00E55915"/>
    <w:rsid w:val="00E55BB5"/>
    <w:rsid w:val="00E56CE3"/>
    <w:rsid w:val="00E575C9"/>
    <w:rsid w:val="00E611DF"/>
    <w:rsid w:val="00E62A25"/>
    <w:rsid w:val="00E65641"/>
    <w:rsid w:val="00E658AA"/>
    <w:rsid w:val="00E65E79"/>
    <w:rsid w:val="00E66BA2"/>
    <w:rsid w:val="00E67416"/>
    <w:rsid w:val="00E7058C"/>
    <w:rsid w:val="00E718B6"/>
    <w:rsid w:val="00E72247"/>
    <w:rsid w:val="00E723BA"/>
    <w:rsid w:val="00E7337B"/>
    <w:rsid w:val="00E73581"/>
    <w:rsid w:val="00E758A3"/>
    <w:rsid w:val="00E76873"/>
    <w:rsid w:val="00E76A4F"/>
    <w:rsid w:val="00E81DBB"/>
    <w:rsid w:val="00E833F7"/>
    <w:rsid w:val="00E83566"/>
    <w:rsid w:val="00E83BDF"/>
    <w:rsid w:val="00E848B3"/>
    <w:rsid w:val="00E85409"/>
    <w:rsid w:val="00E86136"/>
    <w:rsid w:val="00E8652B"/>
    <w:rsid w:val="00E86FCC"/>
    <w:rsid w:val="00E87A1D"/>
    <w:rsid w:val="00E87AF7"/>
    <w:rsid w:val="00E9094A"/>
    <w:rsid w:val="00E915A7"/>
    <w:rsid w:val="00E91D35"/>
    <w:rsid w:val="00E926A5"/>
    <w:rsid w:val="00E931BF"/>
    <w:rsid w:val="00E93324"/>
    <w:rsid w:val="00E93CEE"/>
    <w:rsid w:val="00E9447F"/>
    <w:rsid w:val="00E94CD3"/>
    <w:rsid w:val="00E962CC"/>
    <w:rsid w:val="00E96C3F"/>
    <w:rsid w:val="00EA0465"/>
    <w:rsid w:val="00EA078E"/>
    <w:rsid w:val="00EA0B57"/>
    <w:rsid w:val="00EA17C3"/>
    <w:rsid w:val="00EA1865"/>
    <w:rsid w:val="00EA2425"/>
    <w:rsid w:val="00EA2CAA"/>
    <w:rsid w:val="00EA378E"/>
    <w:rsid w:val="00EA3864"/>
    <w:rsid w:val="00EA3E45"/>
    <w:rsid w:val="00EA7F1C"/>
    <w:rsid w:val="00EB091A"/>
    <w:rsid w:val="00EB15B6"/>
    <w:rsid w:val="00EB21D7"/>
    <w:rsid w:val="00EB3428"/>
    <w:rsid w:val="00EB3D06"/>
    <w:rsid w:val="00EB4916"/>
    <w:rsid w:val="00EB544D"/>
    <w:rsid w:val="00EB6EFC"/>
    <w:rsid w:val="00EB7950"/>
    <w:rsid w:val="00EB79F4"/>
    <w:rsid w:val="00EC00C9"/>
    <w:rsid w:val="00EC0255"/>
    <w:rsid w:val="00EC0DD9"/>
    <w:rsid w:val="00EC2649"/>
    <w:rsid w:val="00EC31ED"/>
    <w:rsid w:val="00EC3B05"/>
    <w:rsid w:val="00EC4931"/>
    <w:rsid w:val="00EC5013"/>
    <w:rsid w:val="00EC50F1"/>
    <w:rsid w:val="00EC513A"/>
    <w:rsid w:val="00EC538C"/>
    <w:rsid w:val="00EC5836"/>
    <w:rsid w:val="00EC5F14"/>
    <w:rsid w:val="00EC6571"/>
    <w:rsid w:val="00EC688C"/>
    <w:rsid w:val="00EC6FD1"/>
    <w:rsid w:val="00EC7861"/>
    <w:rsid w:val="00EC79D8"/>
    <w:rsid w:val="00EC7F22"/>
    <w:rsid w:val="00ED0024"/>
    <w:rsid w:val="00ED0CBB"/>
    <w:rsid w:val="00ED12D8"/>
    <w:rsid w:val="00ED12E3"/>
    <w:rsid w:val="00ED1BC9"/>
    <w:rsid w:val="00ED27B9"/>
    <w:rsid w:val="00ED2EF7"/>
    <w:rsid w:val="00ED40CD"/>
    <w:rsid w:val="00ED4508"/>
    <w:rsid w:val="00ED49B9"/>
    <w:rsid w:val="00ED4B04"/>
    <w:rsid w:val="00ED57EA"/>
    <w:rsid w:val="00ED5BD4"/>
    <w:rsid w:val="00ED7128"/>
    <w:rsid w:val="00EE07D3"/>
    <w:rsid w:val="00EE1996"/>
    <w:rsid w:val="00EE1C01"/>
    <w:rsid w:val="00EE22AF"/>
    <w:rsid w:val="00EE44E0"/>
    <w:rsid w:val="00EE4BC9"/>
    <w:rsid w:val="00EE51B7"/>
    <w:rsid w:val="00EE5A9C"/>
    <w:rsid w:val="00EE7106"/>
    <w:rsid w:val="00EF0171"/>
    <w:rsid w:val="00EF16F9"/>
    <w:rsid w:val="00EF1B25"/>
    <w:rsid w:val="00EF1B60"/>
    <w:rsid w:val="00EF1DA0"/>
    <w:rsid w:val="00EF1FB7"/>
    <w:rsid w:val="00EF3BE8"/>
    <w:rsid w:val="00EF4747"/>
    <w:rsid w:val="00EF4BF8"/>
    <w:rsid w:val="00EF5C7F"/>
    <w:rsid w:val="00EF6A85"/>
    <w:rsid w:val="00EF6F82"/>
    <w:rsid w:val="00EF744E"/>
    <w:rsid w:val="00EF7BBC"/>
    <w:rsid w:val="00F00722"/>
    <w:rsid w:val="00F012F9"/>
    <w:rsid w:val="00F01305"/>
    <w:rsid w:val="00F01D89"/>
    <w:rsid w:val="00F02253"/>
    <w:rsid w:val="00F02FE4"/>
    <w:rsid w:val="00F03C2E"/>
    <w:rsid w:val="00F04A13"/>
    <w:rsid w:val="00F04A66"/>
    <w:rsid w:val="00F04B4B"/>
    <w:rsid w:val="00F0515D"/>
    <w:rsid w:val="00F0516C"/>
    <w:rsid w:val="00F053B5"/>
    <w:rsid w:val="00F067A2"/>
    <w:rsid w:val="00F06D62"/>
    <w:rsid w:val="00F06E29"/>
    <w:rsid w:val="00F07B9E"/>
    <w:rsid w:val="00F10675"/>
    <w:rsid w:val="00F10CFE"/>
    <w:rsid w:val="00F1116F"/>
    <w:rsid w:val="00F111B4"/>
    <w:rsid w:val="00F11C6F"/>
    <w:rsid w:val="00F1263A"/>
    <w:rsid w:val="00F13066"/>
    <w:rsid w:val="00F13588"/>
    <w:rsid w:val="00F139C5"/>
    <w:rsid w:val="00F1445A"/>
    <w:rsid w:val="00F14C0C"/>
    <w:rsid w:val="00F15766"/>
    <w:rsid w:val="00F15B77"/>
    <w:rsid w:val="00F21236"/>
    <w:rsid w:val="00F2183E"/>
    <w:rsid w:val="00F239DF"/>
    <w:rsid w:val="00F24837"/>
    <w:rsid w:val="00F24CAC"/>
    <w:rsid w:val="00F2575F"/>
    <w:rsid w:val="00F25801"/>
    <w:rsid w:val="00F26037"/>
    <w:rsid w:val="00F27565"/>
    <w:rsid w:val="00F30389"/>
    <w:rsid w:val="00F3061D"/>
    <w:rsid w:val="00F310D4"/>
    <w:rsid w:val="00F316B0"/>
    <w:rsid w:val="00F318EF"/>
    <w:rsid w:val="00F31D5A"/>
    <w:rsid w:val="00F31E9D"/>
    <w:rsid w:val="00F33458"/>
    <w:rsid w:val="00F33975"/>
    <w:rsid w:val="00F33DE9"/>
    <w:rsid w:val="00F3455D"/>
    <w:rsid w:val="00F35E6D"/>
    <w:rsid w:val="00F3619A"/>
    <w:rsid w:val="00F364E2"/>
    <w:rsid w:val="00F36915"/>
    <w:rsid w:val="00F36D50"/>
    <w:rsid w:val="00F36F59"/>
    <w:rsid w:val="00F40AAA"/>
    <w:rsid w:val="00F40BA7"/>
    <w:rsid w:val="00F40F9D"/>
    <w:rsid w:val="00F413BA"/>
    <w:rsid w:val="00F41ACD"/>
    <w:rsid w:val="00F44D98"/>
    <w:rsid w:val="00F46CB6"/>
    <w:rsid w:val="00F46FEF"/>
    <w:rsid w:val="00F4756D"/>
    <w:rsid w:val="00F47DE8"/>
    <w:rsid w:val="00F50984"/>
    <w:rsid w:val="00F52870"/>
    <w:rsid w:val="00F537E4"/>
    <w:rsid w:val="00F542C1"/>
    <w:rsid w:val="00F550E3"/>
    <w:rsid w:val="00F5582B"/>
    <w:rsid w:val="00F55E73"/>
    <w:rsid w:val="00F55EDA"/>
    <w:rsid w:val="00F56C80"/>
    <w:rsid w:val="00F57581"/>
    <w:rsid w:val="00F57970"/>
    <w:rsid w:val="00F60092"/>
    <w:rsid w:val="00F60621"/>
    <w:rsid w:val="00F60A10"/>
    <w:rsid w:val="00F60AE1"/>
    <w:rsid w:val="00F61AD1"/>
    <w:rsid w:val="00F61C18"/>
    <w:rsid w:val="00F620B2"/>
    <w:rsid w:val="00F62514"/>
    <w:rsid w:val="00F63820"/>
    <w:rsid w:val="00F638DD"/>
    <w:rsid w:val="00F64D9E"/>
    <w:rsid w:val="00F65F4B"/>
    <w:rsid w:val="00F67A69"/>
    <w:rsid w:val="00F67D06"/>
    <w:rsid w:val="00F70BFF"/>
    <w:rsid w:val="00F70C9D"/>
    <w:rsid w:val="00F72B8D"/>
    <w:rsid w:val="00F73E08"/>
    <w:rsid w:val="00F74CD9"/>
    <w:rsid w:val="00F75657"/>
    <w:rsid w:val="00F75EBD"/>
    <w:rsid w:val="00F76287"/>
    <w:rsid w:val="00F775D4"/>
    <w:rsid w:val="00F776FF"/>
    <w:rsid w:val="00F80248"/>
    <w:rsid w:val="00F804A0"/>
    <w:rsid w:val="00F80998"/>
    <w:rsid w:val="00F80A7B"/>
    <w:rsid w:val="00F80E5D"/>
    <w:rsid w:val="00F8156E"/>
    <w:rsid w:val="00F81E78"/>
    <w:rsid w:val="00F82C31"/>
    <w:rsid w:val="00F83916"/>
    <w:rsid w:val="00F83F4D"/>
    <w:rsid w:val="00F84C24"/>
    <w:rsid w:val="00F851CE"/>
    <w:rsid w:val="00F86F44"/>
    <w:rsid w:val="00F876D8"/>
    <w:rsid w:val="00F878FE"/>
    <w:rsid w:val="00F901A2"/>
    <w:rsid w:val="00F90617"/>
    <w:rsid w:val="00F91219"/>
    <w:rsid w:val="00F91E27"/>
    <w:rsid w:val="00F92444"/>
    <w:rsid w:val="00F9393E"/>
    <w:rsid w:val="00F95305"/>
    <w:rsid w:val="00F9618B"/>
    <w:rsid w:val="00F966EE"/>
    <w:rsid w:val="00F96FD0"/>
    <w:rsid w:val="00F97157"/>
    <w:rsid w:val="00F97A78"/>
    <w:rsid w:val="00FA0B20"/>
    <w:rsid w:val="00FA24E7"/>
    <w:rsid w:val="00FA2F99"/>
    <w:rsid w:val="00FA3E4B"/>
    <w:rsid w:val="00FA422A"/>
    <w:rsid w:val="00FA4CAA"/>
    <w:rsid w:val="00FA4D7A"/>
    <w:rsid w:val="00FA5C08"/>
    <w:rsid w:val="00FA5EE6"/>
    <w:rsid w:val="00FA65A0"/>
    <w:rsid w:val="00FA7641"/>
    <w:rsid w:val="00FA7956"/>
    <w:rsid w:val="00FA7E12"/>
    <w:rsid w:val="00FB0824"/>
    <w:rsid w:val="00FB1241"/>
    <w:rsid w:val="00FB1AF3"/>
    <w:rsid w:val="00FB2FCB"/>
    <w:rsid w:val="00FB3EA3"/>
    <w:rsid w:val="00FB3EBD"/>
    <w:rsid w:val="00FB4C9C"/>
    <w:rsid w:val="00FB54F0"/>
    <w:rsid w:val="00FB6C85"/>
    <w:rsid w:val="00FB79E9"/>
    <w:rsid w:val="00FB7C55"/>
    <w:rsid w:val="00FC0A2D"/>
    <w:rsid w:val="00FC1074"/>
    <w:rsid w:val="00FC1884"/>
    <w:rsid w:val="00FC371D"/>
    <w:rsid w:val="00FC5F0B"/>
    <w:rsid w:val="00FC72CE"/>
    <w:rsid w:val="00FD2100"/>
    <w:rsid w:val="00FD227A"/>
    <w:rsid w:val="00FD3377"/>
    <w:rsid w:val="00FD42A9"/>
    <w:rsid w:val="00FD4306"/>
    <w:rsid w:val="00FD436C"/>
    <w:rsid w:val="00FD446D"/>
    <w:rsid w:val="00FD4E61"/>
    <w:rsid w:val="00FD4F2C"/>
    <w:rsid w:val="00FD5809"/>
    <w:rsid w:val="00FD5EEC"/>
    <w:rsid w:val="00FD6394"/>
    <w:rsid w:val="00FD681C"/>
    <w:rsid w:val="00FD797E"/>
    <w:rsid w:val="00FE0BD6"/>
    <w:rsid w:val="00FE0E6C"/>
    <w:rsid w:val="00FE1843"/>
    <w:rsid w:val="00FE1CDC"/>
    <w:rsid w:val="00FE277C"/>
    <w:rsid w:val="00FE3C24"/>
    <w:rsid w:val="00FE4A0C"/>
    <w:rsid w:val="00FE5A9A"/>
    <w:rsid w:val="00FE70C3"/>
    <w:rsid w:val="00FE7758"/>
    <w:rsid w:val="00FF0211"/>
    <w:rsid w:val="00FF086B"/>
    <w:rsid w:val="00FF14AF"/>
    <w:rsid w:val="00FF1A8B"/>
    <w:rsid w:val="00FF2AD9"/>
    <w:rsid w:val="00FF359F"/>
    <w:rsid w:val="00FF36A7"/>
    <w:rsid w:val="00FF3DCF"/>
    <w:rsid w:val="00FF492C"/>
    <w:rsid w:val="00FF4A21"/>
    <w:rsid w:val="00FF5117"/>
    <w:rsid w:val="00FF5AA3"/>
    <w:rsid w:val="00FF5AD8"/>
    <w:rsid w:val="00FF5C43"/>
    <w:rsid w:val="00FF5D02"/>
    <w:rsid w:val="00FF5F93"/>
    <w:rsid w:val="00FF60EA"/>
    <w:rsid w:val="00FF6257"/>
    <w:rsid w:val="00FF7B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7D720C"/>
    <w:pPr>
      <w:spacing w:before="120" w:after="120"/>
      <w:outlineLvl w:val="2"/>
    </w:pPr>
    <w:rPr>
      <w:b/>
      <w:bCs/>
      <w:sz w:val="28"/>
      <w:szCs w:val="28"/>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Caption PHMR,TabFig title/caption,Caption for Figures and Tables,fig cadre,Caption Char Char,Caption Char Char Char Char,fig cadre Char2,Caption Char2,fig cadre Char Char,NICE Caption,Char1,c,AW Caption,Char,SMC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Table and Figure Name Char,Caption PHMR Char,TabFig title/caption Char,Caption for Figures and Tables Char,fig cadre Char,Caption Char Char Char,Caption Char Char Char Char Char,fig cadre Char2 Char,Caption Char2 Char,NICE Caption Char"/>
    <w:link w:val="Caption"/>
    <w:uiPriority w:val="35"/>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Styl moj"/>
    <w:link w:val="ListParagraphChar"/>
    <w:uiPriority w:val="34"/>
    <w:qFormat/>
    <w:rsid w:val="004C3B02"/>
    <w:pPr>
      <w:numPr>
        <w:numId w:val="6"/>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Tabellengitternetz 9pt,PBAC table,HTAtableplain,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C938C0"/>
    <w:pPr>
      <w:keepNext/>
      <w:keepLines/>
    </w:pPr>
    <w:rPr>
      <w:rFonts w:ascii="Arial Narrow" w:eastAsiaTheme="majorEastAsia" w:hAnsi="Arial Narrow" w:cstheme="majorBidi"/>
      <w:bCs/>
      <w:snapToGrid w:val="0"/>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014CB1"/>
    <w:pPr>
      <w:numPr>
        <w:ilvl w:val="1"/>
        <w:numId w:val="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014CB1"/>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val="0"/>
      <w:color w:val="000000" w:themeColor="text1"/>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tabs>
        <w:tab w:val="num" w:pos="360"/>
      </w:tabs>
      <w:ind w:left="360" w:hanging="360"/>
      <w:contextualSpacing/>
    </w:pPr>
  </w:style>
  <w:style w:type="character" w:customStyle="1" w:styleId="TableTextChar0">
    <w:name w:val="Table Text Char"/>
    <w:basedOn w:val="DefaultParagraphFont"/>
    <w:link w:val="TableText0"/>
    <w:rsid w:val="00C938C0"/>
    <w:rPr>
      <w:rFonts w:ascii="Arial Narrow" w:eastAsiaTheme="majorEastAsia" w:hAnsi="Arial Narrow" w:cstheme="majorBidi"/>
      <w:bCs/>
      <w:snapToGrid w:val="0"/>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D92FE7"/>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D92FE7"/>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2F55B4"/>
    <w:rPr>
      <w:color w:val="605E5C"/>
      <w:shd w:val="clear" w:color="auto" w:fill="E1DFDD"/>
    </w:rPr>
  </w:style>
  <w:style w:type="paragraph" w:styleId="FootnoteText">
    <w:name w:val="footnote text"/>
    <w:basedOn w:val="Normal"/>
    <w:link w:val="FootnoteTextChar"/>
    <w:semiHidden/>
    <w:unhideWhenUsed/>
    <w:rsid w:val="00CE796C"/>
    <w:rPr>
      <w:sz w:val="20"/>
      <w:szCs w:val="20"/>
    </w:rPr>
  </w:style>
  <w:style w:type="character" w:customStyle="1" w:styleId="FootnoteTextChar">
    <w:name w:val="Footnote Text Char"/>
    <w:basedOn w:val="DefaultParagraphFont"/>
    <w:link w:val="FootnoteText"/>
    <w:semiHidden/>
    <w:rsid w:val="00CE796C"/>
    <w:rPr>
      <w:rFonts w:ascii="Calibri" w:hAnsi="Calibri" w:cs="Arial"/>
    </w:rPr>
  </w:style>
  <w:style w:type="character" w:styleId="FootnoteReference">
    <w:name w:val="footnote reference"/>
    <w:basedOn w:val="DefaultParagraphFont"/>
    <w:semiHidden/>
    <w:unhideWhenUsed/>
    <w:rsid w:val="00CE796C"/>
    <w:rPr>
      <w:vertAlign w:val="superscript"/>
    </w:rPr>
  </w:style>
  <w:style w:type="table" w:styleId="PlainTable2">
    <w:name w:val="Plain Table 2"/>
    <w:basedOn w:val="TableNormal"/>
    <w:uiPriority w:val="42"/>
    <w:rsid w:val="00D112BF"/>
    <w:rPr>
      <w:rFonts w:asciiTheme="minorHAnsi" w:eastAsia="Calibri" w:hAnsiTheme="minorHAnsi" w:cstheme="minorBidi"/>
      <w:sz w:val="22"/>
      <w:szCs w:val="22"/>
      <w:lang w:val="de-DE"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H28pt">
    <w:name w:val="Table H2 8pt"/>
    <w:basedOn w:val="Normal"/>
    <w:qFormat/>
    <w:rsid w:val="00D112BF"/>
    <w:pPr>
      <w:keepNext/>
      <w:keepLines/>
      <w:spacing w:before="20" w:after="20"/>
      <w:contextualSpacing/>
      <w:jc w:val="left"/>
    </w:pPr>
    <w:rPr>
      <w:rFonts w:ascii="Montserrat" w:eastAsia="Calibri" w:hAnsi="Montserrat" w:cs="Calibri"/>
      <w:b/>
      <w:sz w:val="16"/>
      <w:szCs w:val="20"/>
      <w:lang w:eastAsia="en-US"/>
    </w:rPr>
  </w:style>
  <w:style w:type="paragraph" w:customStyle="1" w:styleId="Tabletext8pt">
    <w:name w:val="Table text 8pt"/>
    <w:basedOn w:val="Tabletext"/>
    <w:link w:val="Tabletext8ptChar"/>
    <w:qFormat/>
    <w:rsid w:val="00D112BF"/>
    <w:pPr>
      <w:keepNext/>
      <w:keepLines/>
      <w:spacing w:before="20" w:after="20"/>
    </w:pPr>
    <w:rPr>
      <w:rFonts w:ascii="Montserrat" w:eastAsia="Calibri" w:hAnsi="Montserrat" w:cs="Calibri"/>
      <w:snapToGrid/>
      <w:sz w:val="16"/>
      <w:szCs w:val="16"/>
      <w:lang w:eastAsia="en-US"/>
    </w:rPr>
  </w:style>
  <w:style w:type="character" w:customStyle="1" w:styleId="Tabletext8ptChar">
    <w:name w:val="Table text 8pt Char"/>
    <w:basedOn w:val="TabletextChar"/>
    <w:link w:val="Tabletext8pt"/>
    <w:rsid w:val="00D112BF"/>
    <w:rPr>
      <w:rFonts w:ascii="Montserrat" w:eastAsia="Calibri" w:hAnsi="Montserrat" w:cs="Calibri"/>
      <w:sz w:val="16"/>
      <w:szCs w:val="16"/>
      <w:lang w:eastAsia="en-US"/>
    </w:rPr>
  </w:style>
  <w:style w:type="paragraph" w:customStyle="1" w:styleId="TableH28ptCentered">
    <w:name w:val="Table H2 8pt + Centered"/>
    <w:basedOn w:val="Normal"/>
    <w:qFormat/>
    <w:rsid w:val="005E0F8E"/>
    <w:pPr>
      <w:keepNext/>
      <w:keepLines/>
      <w:spacing w:before="20" w:after="20"/>
      <w:contextualSpacing/>
      <w:jc w:val="center"/>
    </w:pPr>
    <w:rPr>
      <w:rFonts w:ascii="Montserrat" w:eastAsia="Calibri" w:hAnsi="Montserrat" w:cs="Calibri"/>
      <w:b/>
      <w:sz w:val="16"/>
      <w:szCs w:val="20"/>
      <w:lang w:eastAsia="en-US"/>
    </w:rPr>
  </w:style>
  <w:style w:type="paragraph" w:customStyle="1" w:styleId="Pic">
    <w:name w:val="Pic"/>
    <w:next w:val="Normal"/>
    <w:uiPriority w:val="9"/>
    <w:qFormat/>
    <w:rsid w:val="00C656BF"/>
    <w:pPr>
      <w:keepNext/>
      <w:jc w:val="center"/>
    </w:pPr>
    <w:rPr>
      <w:rFonts w:ascii="Calibri" w:eastAsia="Calibri" w:hAnsi="Calibri" w:cs="Calibri"/>
      <w:lang w:eastAsia="en-US"/>
    </w:rPr>
  </w:style>
  <w:style w:type="paragraph" w:customStyle="1" w:styleId="Tabletextindent">
    <w:name w:val="Table text indent"/>
    <w:basedOn w:val="Tabletext"/>
    <w:uiPriority w:val="4"/>
    <w:qFormat/>
    <w:rsid w:val="00241B87"/>
    <w:pPr>
      <w:keepNext/>
      <w:keepLines/>
      <w:spacing w:before="20" w:after="20"/>
      <w:ind w:left="284"/>
    </w:pPr>
    <w:rPr>
      <w:rFonts w:ascii="Montserrat" w:eastAsia="Calibri" w:hAnsi="Montserrat" w:cs="Calibri"/>
      <w:snapToGrid/>
      <w:sz w:val="18"/>
      <w:szCs w:val="16"/>
      <w:lang w:eastAsia="en-US"/>
    </w:rPr>
  </w:style>
  <w:style w:type="table" w:customStyle="1" w:styleId="TableHTAsimple">
    <w:name w:val="Table HTA simple"/>
    <w:basedOn w:val="TableNormal"/>
    <w:uiPriority w:val="99"/>
    <w:rsid w:val="00454025"/>
    <w:rPr>
      <w:rFonts w:asciiTheme="minorHAnsi" w:eastAsia="Calibr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Calibri" w:hAnsi="Calibr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FigNotes18">
    <w:name w:val="TableFigNotes+18"/>
    <w:basedOn w:val="ListParagraph"/>
    <w:next w:val="BodyText"/>
    <w:link w:val="TableFigNotes18Char"/>
    <w:uiPriority w:val="4"/>
    <w:qFormat/>
    <w:rsid w:val="00AC1302"/>
    <w:pPr>
      <w:keepLines/>
      <w:numPr>
        <w:numId w:val="0"/>
      </w:numPr>
      <w:spacing w:before="60" w:after="360" w:line="276" w:lineRule="auto"/>
      <w:contextualSpacing/>
    </w:pPr>
    <w:rPr>
      <w:rFonts w:ascii="Montserrat" w:eastAsia="Calibri" w:hAnsi="Montserrat" w:cs="Calibri"/>
      <w:snapToGrid/>
      <w:sz w:val="14"/>
      <w:szCs w:val="20"/>
      <w:lang w:eastAsia="en-US"/>
    </w:rPr>
  </w:style>
  <w:style w:type="character" w:customStyle="1" w:styleId="TableFigNotes18Char">
    <w:name w:val="TableFigNotes+18 Char"/>
    <w:basedOn w:val="DefaultParagraphFont"/>
    <w:link w:val="TableFigNotes18"/>
    <w:uiPriority w:val="4"/>
    <w:locked/>
    <w:rsid w:val="00AC1302"/>
    <w:rPr>
      <w:rFonts w:ascii="Montserrat" w:eastAsia="Calibri" w:hAnsi="Montserrat" w:cs="Calibri"/>
      <w:sz w:val="14"/>
      <w:lang w:eastAsia="en-US"/>
    </w:rPr>
  </w:style>
  <w:style w:type="table" w:customStyle="1" w:styleId="AZTable">
    <w:name w:val="AZ Table"/>
    <w:basedOn w:val="TableNormal"/>
    <w:uiPriority w:val="99"/>
    <w:rsid w:val="00D506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styleId="PlaceholderText">
    <w:name w:val="Placeholder Text"/>
    <w:basedOn w:val="DefaultParagraphFont"/>
    <w:uiPriority w:val="99"/>
    <w:semiHidden/>
    <w:rsid w:val="00046752"/>
    <w:rPr>
      <w:color w:val="666666"/>
    </w:rPr>
  </w:style>
  <w:style w:type="paragraph" w:customStyle="1" w:styleId="Drugname">
    <w:name w:val="Drug name"/>
    <w:basedOn w:val="Normal"/>
    <w:next w:val="Normal"/>
    <w:semiHidden/>
    <w:qFormat/>
    <w:rsid w:val="00C765C2"/>
    <w:pPr>
      <w:jc w:val="right"/>
    </w:pPr>
    <w:rPr>
      <w:rFonts w:ascii="Helvetica" w:hAnsi="Helvetica" w:cs="Calibri"/>
      <w:b/>
      <w:bCs/>
      <w:caps/>
      <w:sz w:val="36"/>
      <w:szCs w:val="36"/>
      <w:lang w:eastAsia="en-GB"/>
    </w:rPr>
  </w:style>
  <w:style w:type="paragraph" w:customStyle="1" w:styleId="Bullet12">
    <w:name w:val="Bullet+12"/>
    <w:basedOn w:val="Normal"/>
    <w:next w:val="BodyText"/>
    <w:uiPriority w:val="2"/>
    <w:qFormat/>
    <w:rsid w:val="00C765C2"/>
    <w:pPr>
      <w:keepLines/>
      <w:numPr>
        <w:numId w:val="9"/>
      </w:numPr>
      <w:tabs>
        <w:tab w:val="left" w:pos="765"/>
      </w:tabs>
      <w:spacing w:after="240" w:line="288" w:lineRule="auto"/>
      <w:contextualSpacing/>
      <w:jc w:val="left"/>
    </w:pPr>
    <w:rPr>
      <w:rFonts w:ascii="Montserrat" w:eastAsia="Calibri" w:hAnsi="Montserrat" w:cs="Calibri"/>
      <w:sz w:val="18"/>
      <w:szCs w:val="20"/>
      <w:lang w:eastAsia="en-US"/>
    </w:rPr>
  </w:style>
  <w:style w:type="paragraph" w:customStyle="1" w:styleId="Bulletintro">
    <w:name w:val="Bullet intro"/>
    <w:basedOn w:val="BodyText"/>
    <w:uiPriority w:val="2"/>
    <w:qFormat/>
    <w:rsid w:val="00C765C2"/>
    <w:pPr>
      <w:keepLines/>
      <w:spacing w:after="120"/>
    </w:pPr>
    <w:rPr>
      <w:rFonts w:ascii="Montserrat" w:hAnsi="Montserrat"/>
      <w:sz w:val="18"/>
      <w:lang w:val="en-US" w:eastAsia="en-US"/>
    </w:rPr>
  </w:style>
  <w:style w:type="character" w:customStyle="1" w:styleId="Heading1Char">
    <w:name w:val="Heading 1 Char"/>
    <w:basedOn w:val="DefaultParagraphFont"/>
    <w:link w:val="Heading1"/>
    <w:uiPriority w:val="1"/>
    <w:rsid w:val="00C765C2"/>
    <w:rPr>
      <w:rFonts w:ascii="Calibri" w:hAnsi="Calibri" w:cs="Arial"/>
      <w:b/>
      <w:caps/>
      <w:sz w:val="32"/>
      <w:szCs w:val="24"/>
    </w:rPr>
  </w:style>
  <w:style w:type="character" w:customStyle="1" w:styleId="Heading3Char">
    <w:name w:val="Heading 3 Char"/>
    <w:basedOn w:val="DefaultParagraphFont"/>
    <w:link w:val="Heading3"/>
    <w:rsid w:val="007D720C"/>
    <w:rPr>
      <w:rFonts w:ascii="Calibri" w:hAnsi="Calibri" w:cs="Arial"/>
      <w:b/>
      <w:bCs/>
      <w:sz w:val="28"/>
      <w:szCs w:val="28"/>
    </w:rPr>
  </w:style>
  <w:style w:type="character" w:customStyle="1" w:styleId="Heading4Char">
    <w:name w:val="Heading 4 Char"/>
    <w:basedOn w:val="DefaultParagraphFont"/>
    <w:link w:val="Heading4"/>
    <w:rsid w:val="00C765C2"/>
    <w:rPr>
      <w:rFonts w:ascii="Calibri" w:hAnsi="Calibri" w:cs="Arial"/>
      <w:b/>
      <w:bCs/>
      <w:i/>
      <w:sz w:val="26"/>
      <w:szCs w:val="28"/>
    </w:rPr>
  </w:style>
  <w:style w:type="character" w:customStyle="1" w:styleId="Heading5Char">
    <w:name w:val="Heading 5 Char"/>
    <w:basedOn w:val="DefaultParagraphFont"/>
    <w:link w:val="Heading5"/>
    <w:rsid w:val="00C765C2"/>
    <w:rPr>
      <w:rFonts w:ascii="Calibri" w:hAnsi="Calibri" w:cs="Arial"/>
      <w:b/>
      <w:bCs/>
      <w:iCs/>
      <w:sz w:val="26"/>
      <w:szCs w:val="26"/>
    </w:rPr>
  </w:style>
  <w:style w:type="character" w:customStyle="1" w:styleId="Heading6Char">
    <w:name w:val="Heading 6 Char"/>
    <w:basedOn w:val="DefaultParagraphFont"/>
    <w:link w:val="Heading6"/>
    <w:rsid w:val="00C765C2"/>
    <w:rPr>
      <w:rFonts w:ascii="Calibri" w:hAnsi="Calibri" w:cs="Arial"/>
      <w:b/>
      <w:bCs/>
      <w:i/>
      <w:sz w:val="24"/>
      <w:szCs w:val="24"/>
    </w:rPr>
  </w:style>
  <w:style w:type="table" w:customStyle="1" w:styleId="TableHTAsimple1">
    <w:name w:val="Table HTA simple1"/>
    <w:basedOn w:val="TableNormal"/>
    <w:uiPriority w:val="99"/>
    <w:rsid w:val="00C765C2"/>
    <w:rPr>
      <w:rFonts w:asciiTheme="minorHAnsi" w:eastAsia="Calibri" w:hAnsiTheme="minorHAnsi" w:cstheme="minorBidi"/>
      <w:sz w:val="18"/>
      <w:szCs w:val="22"/>
      <w:lang w:val="de-DE" w:eastAsia="en-US"/>
      <w14:ligatures w14:val="standardContextual"/>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Calibri" w:hAnsi="Calibr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EndNoteBibliographyTitle">
    <w:name w:val="EndNote Bibliography Title"/>
    <w:basedOn w:val="Normal"/>
    <w:rsid w:val="00DE5850"/>
    <w:pPr>
      <w:ind w:left="720" w:hanging="720"/>
    </w:pPr>
    <w:rPr>
      <w:rFonts w:cs="Calibri"/>
    </w:rPr>
  </w:style>
  <w:style w:type="paragraph" w:customStyle="1" w:styleId="EndNoteBibliography">
    <w:name w:val="EndNote Bibliography"/>
    <w:basedOn w:val="Normal"/>
    <w:rsid w:val="00DE5850"/>
    <w:pPr>
      <w:ind w:left="720" w:hanging="720"/>
    </w:pPr>
    <w:rPr>
      <w:rFonts w:cs="Calibri"/>
    </w:rPr>
  </w:style>
  <w:style w:type="paragraph" w:styleId="EndnoteText">
    <w:name w:val="endnote text"/>
    <w:basedOn w:val="Normal"/>
    <w:link w:val="EndnoteTextChar"/>
    <w:semiHidden/>
    <w:unhideWhenUsed/>
    <w:rsid w:val="00DE5850"/>
    <w:rPr>
      <w:sz w:val="20"/>
      <w:szCs w:val="20"/>
    </w:rPr>
  </w:style>
  <w:style w:type="character" w:customStyle="1" w:styleId="EndnoteTextChar">
    <w:name w:val="Endnote Text Char"/>
    <w:basedOn w:val="DefaultParagraphFont"/>
    <w:link w:val="EndnoteText"/>
    <w:semiHidden/>
    <w:rsid w:val="00DE5850"/>
    <w:rPr>
      <w:rFonts w:ascii="Calibri" w:hAnsi="Calibri" w:cs="Arial"/>
    </w:rPr>
  </w:style>
  <w:style w:type="character" w:styleId="EndnoteReference">
    <w:name w:val="endnote reference"/>
    <w:basedOn w:val="DefaultParagraphFont"/>
    <w:semiHidden/>
    <w:unhideWhenUsed/>
    <w:rsid w:val="00DE5850"/>
    <w:rPr>
      <w:vertAlign w:val="superscript"/>
    </w:rPr>
  </w:style>
  <w:style w:type="paragraph" w:customStyle="1" w:styleId="pf0">
    <w:name w:val="pf0"/>
    <w:basedOn w:val="Normal"/>
    <w:rsid w:val="00534EF8"/>
    <w:pPr>
      <w:spacing w:before="100" w:beforeAutospacing="1" w:after="100" w:afterAutospacing="1"/>
      <w:jc w:val="left"/>
    </w:pPr>
    <w:rPr>
      <w:rFonts w:ascii="Times New Roman" w:hAnsi="Times New Roman" w:cs="Times New Roman"/>
    </w:rPr>
  </w:style>
  <w:style w:type="table" w:customStyle="1" w:styleId="TableGrid1">
    <w:name w:val="Table Grid1"/>
    <w:basedOn w:val="TableNormal"/>
    <w:next w:val="TableGrid"/>
    <w:uiPriority w:val="39"/>
    <w:rsid w:val="00BC1C41"/>
    <w:rPr>
      <w:rFonts w:eastAsiaTheme="minorHAnsi"/>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1C41"/>
    <w:rPr>
      <w:rFonts w:eastAsiaTheme="minorHAnsi"/>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47AFC"/>
  </w:style>
  <w:style w:type="paragraph" w:customStyle="1" w:styleId="3-SubsectionHeading">
    <w:name w:val="3-Subsection Heading"/>
    <w:basedOn w:val="Heading2"/>
    <w:next w:val="Normal"/>
    <w:link w:val="3-SubsectionHeadingChar"/>
    <w:qFormat/>
    <w:rsid w:val="00696BC0"/>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96BC0"/>
    <w:rPr>
      <w:rFonts w:asciiTheme="minorHAnsi" w:eastAsiaTheme="majorEastAsia" w:hAnsiTheme="minorHAnsi" w:cstheme="majorBidi"/>
      <w:b/>
      <w:i/>
      <w:snapToGrid/>
      <w:spacing w:val="5"/>
      <w:kern w:val="28"/>
      <w:sz w:val="28"/>
      <w:szCs w:val="36"/>
      <w:lang w:eastAsia="en-US"/>
    </w:rPr>
  </w:style>
  <w:style w:type="paragraph" w:customStyle="1" w:styleId="COMexecsummbulletlist">
    <w:name w:val="COM exec summ bullet list"/>
    <w:basedOn w:val="ListParagraph"/>
    <w:link w:val="COMexecsummbulletlistChar"/>
    <w:qFormat/>
    <w:rsid w:val="00AC7378"/>
    <w:pPr>
      <w:numPr>
        <w:numId w:val="3"/>
      </w:numPr>
      <w:tabs>
        <w:tab w:val="clear" w:pos="360"/>
      </w:tabs>
      <w:jc w:val="both"/>
    </w:pPr>
  </w:style>
  <w:style w:type="character" w:customStyle="1" w:styleId="COMexecsummbulletlistChar">
    <w:name w:val="COM exec summ bullet list Char"/>
    <w:basedOn w:val="DefaultParagraphFont"/>
    <w:link w:val="COMexecsummbulletlist"/>
    <w:rsid w:val="00AC7378"/>
    <w:rPr>
      <w:rFonts w:asciiTheme="minorHAnsi" w:hAnsiTheme="minorHAnsi" w:cs="Arial"/>
      <w:snapToGrid w:val="0"/>
      <w:sz w:val="24"/>
      <w:szCs w:val="24"/>
    </w:rPr>
  </w:style>
  <w:style w:type="character" w:customStyle="1" w:styleId="al-author-delim">
    <w:name w:val="al-author-delim"/>
    <w:basedOn w:val="DefaultParagraphFont"/>
    <w:rsid w:val="00104C0D"/>
  </w:style>
  <w:style w:type="character" w:styleId="Emphasis">
    <w:name w:val="Emphasis"/>
    <w:basedOn w:val="DefaultParagraphFont"/>
    <w:uiPriority w:val="20"/>
    <w:qFormat/>
    <w:rsid w:val="00104C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7140217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7437470">
      <w:bodyDiv w:val="1"/>
      <w:marLeft w:val="0"/>
      <w:marRight w:val="0"/>
      <w:marTop w:val="0"/>
      <w:marBottom w:val="0"/>
      <w:divBdr>
        <w:top w:val="none" w:sz="0" w:space="0" w:color="auto"/>
        <w:left w:val="none" w:sz="0" w:space="0" w:color="auto"/>
        <w:bottom w:val="none" w:sz="0" w:space="0" w:color="auto"/>
        <w:right w:val="none" w:sz="0" w:space="0" w:color="auto"/>
      </w:divBdr>
    </w:div>
    <w:div w:id="411582191">
      <w:bodyDiv w:val="1"/>
      <w:marLeft w:val="0"/>
      <w:marRight w:val="0"/>
      <w:marTop w:val="0"/>
      <w:marBottom w:val="0"/>
      <w:divBdr>
        <w:top w:val="none" w:sz="0" w:space="0" w:color="auto"/>
        <w:left w:val="none" w:sz="0" w:space="0" w:color="auto"/>
        <w:bottom w:val="none" w:sz="0" w:space="0" w:color="auto"/>
        <w:right w:val="none" w:sz="0" w:space="0" w:color="auto"/>
      </w:divBdr>
    </w:div>
    <w:div w:id="568154804">
      <w:bodyDiv w:val="1"/>
      <w:marLeft w:val="0"/>
      <w:marRight w:val="0"/>
      <w:marTop w:val="0"/>
      <w:marBottom w:val="0"/>
      <w:divBdr>
        <w:top w:val="none" w:sz="0" w:space="0" w:color="auto"/>
        <w:left w:val="none" w:sz="0" w:space="0" w:color="auto"/>
        <w:bottom w:val="none" w:sz="0" w:space="0" w:color="auto"/>
        <w:right w:val="none" w:sz="0" w:space="0" w:color="auto"/>
      </w:divBdr>
    </w:div>
    <w:div w:id="741414512">
      <w:bodyDiv w:val="1"/>
      <w:marLeft w:val="0"/>
      <w:marRight w:val="0"/>
      <w:marTop w:val="0"/>
      <w:marBottom w:val="0"/>
      <w:divBdr>
        <w:top w:val="none" w:sz="0" w:space="0" w:color="auto"/>
        <w:left w:val="none" w:sz="0" w:space="0" w:color="auto"/>
        <w:bottom w:val="none" w:sz="0" w:space="0" w:color="auto"/>
        <w:right w:val="none" w:sz="0" w:space="0" w:color="auto"/>
      </w:divBdr>
    </w:div>
    <w:div w:id="742065900">
      <w:bodyDiv w:val="1"/>
      <w:marLeft w:val="0"/>
      <w:marRight w:val="0"/>
      <w:marTop w:val="0"/>
      <w:marBottom w:val="0"/>
      <w:divBdr>
        <w:top w:val="none" w:sz="0" w:space="0" w:color="auto"/>
        <w:left w:val="none" w:sz="0" w:space="0" w:color="auto"/>
        <w:bottom w:val="none" w:sz="0" w:space="0" w:color="auto"/>
        <w:right w:val="none" w:sz="0" w:space="0" w:color="auto"/>
      </w:divBdr>
    </w:div>
    <w:div w:id="76330814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4124228">
      <w:bodyDiv w:val="1"/>
      <w:marLeft w:val="0"/>
      <w:marRight w:val="0"/>
      <w:marTop w:val="0"/>
      <w:marBottom w:val="0"/>
      <w:divBdr>
        <w:top w:val="none" w:sz="0" w:space="0" w:color="auto"/>
        <w:left w:val="none" w:sz="0" w:space="0" w:color="auto"/>
        <w:bottom w:val="none" w:sz="0" w:space="0" w:color="auto"/>
        <w:right w:val="none" w:sz="0" w:space="0" w:color="auto"/>
      </w:divBdr>
      <w:divsChild>
        <w:div w:id="82576149">
          <w:marLeft w:val="360"/>
          <w:marRight w:val="0"/>
          <w:marTop w:val="0"/>
          <w:marBottom w:val="0"/>
          <w:divBdr>
            <w:top w:val="none" w:sz="0" w:space="0" w:color="auto"/>
            <w:left w:val="none" w:sz="0" w:space="0" w:color="auto"/>
            <w:bottom w:val="none" w:sz="0" w:space="0" w:color="auto"/>
            <w:right w:val="none" w:sz="0" w:space="0" w:color="auto"/>
          </w:divBdr>
        </w:div>
        <w:div w:id="1139421374">
          <w:marLeft w:val="360"/>
          <w:marRight w:val="0"/>
          <w:marTop w:val="0"/>
          <w:marBottom w:val="0"/>
          <w:divBdr>
            <w:top w:val="none" w:sz="0" w:space="0" w:color="auto"/>
            <w:left w:val="none" w:sz="0" w:space="0" w:color="auto"/>
            <w:bottom w:val="none" w:sz="0" w:space="0" w:color="auto"/>
            <w:right w:val="none" w:sz="0" w:space="0" w:color="auto"/>
          </w:divBdr>
        </w:div>
      </w:divsChild>
    </w:div>
    <w:div w:id="1063409074">
      <w:bodyDiv w:val="1"/>
      <w:marLeft w:val="0"/>
      <w:marRight w:val="0"/>
      <w:marTop w:val="0"/>
      <w:marBottom w:val="0"/>
      <w:divBdr>
        <w:top w:val="none" w:sz="0" w:space="0" w:color="auto"/>
        <w:left w:val="none" w:sz="0" w:space="0" w:color="auto"/>
        <w:bottom w:val="none" w:sz="0" w:space="0" w:color="auto"/>
        <w:right w:val="none" w:sz="0" w:space="0" w:color="auto"/>
      </w:divBdr>
    </w:div>
    <w:div w:id="108503407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856839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14717791">
      <w:bodyDiv w:val="1"/>
      <w:marLeft w:val="0"/>
      <w:marRight w:val="0"/>
      <w:marTop w:val="0"/>
      <w:marBottom w:val="0"/>
      <w:divBdr>
        <w:top w:val="none" w:sz="0" w:space="0" w:color="auto"/>
        <w:left w:val="none" w:sz="0" w:space="0" w:color="auto"/>
        <w:bottom w:val="none" w:sz="0" w:space="0" w:color="auto"/>
        <w:right w:val="none" w:sz="0" w:space="0" w:color="auto"/>
      </w:divBdr>
    </w:div>
    <w:div w:id="1622421220">
      <w:bodyDiv w:val="1"/>
      <w:marLeft w:val="0"/>
      <w:marRight w:val="0"/>
      <w:marTop w:val="0"/>
      <w:marBottom w:val="0"/>
      <w:divBdr>
        <w:top w:val="none" w:sz="0" w:space="0" w:color="auto"/>
        <w:left w:val="none" w:sz="0" w:space="0" w:color="auto"/>
        <w:bottom w:val="none" w:sz="0" w:space="0" w:color="auto"/>
        <w:right w:val="none" w:sz="0" w:space="0" w:color="auto"/>
      </w:divBdr>
    </w:div>
    <w:div w:id="1630360257">
      <w:bodyDiv w:val="1"/>
      <w:marLeft w:val="0"/>
      <w:marRight w:val="0"/>
      <w:marTop w:val="0"/>
      <w:marBottom w:val="0"/>
      <w:divBdr>
        <w:top w:val="none" w:sz="0" w:space="0" w:color="auto"/>
        <w:left w:val="none" w:sz="0" w:space="0" w:color="auto"/>
        <w:bottom w:val="none" w:sz="0" w:space="0" w:color="auto"/>
        <w:right w:val="none" w:sz="0" w:space="0" w:color="auto"/>
      </w:divBdr>
    </w:div>
    <w:div w:id="1645037127">
      <w:bodyDiv w:val="1"/>
      <w:marLeft w:val="0"/>
      <w:marRight w:val="0"/>
      <w:marTop w:val="0"/>
      <w:marBottom w:val="0"/>
      <w:divBdr>
        <w:top w:val="none" w:sz="0" w:space="0" w:color="auto"/>
        <w:left w:val="none" w:sz="0" w:space="0" w:color="auto"/>
        <w:bottom w:val="none" w:sz="0" w:space="0" w:color="auto"/>
        <w:right w:val="none" w:sz="0" w:space="0" w:color="auto"/>
      </w:divBdr>
      <w:divsChild>
        <w:div w:id="1955402772">
          <w:marLeft w:val="1166"/>
          <w:marRight w:val="0"/>
          <w:marTop w:val="72"/>
          <w:marBottom w:val="0"/>
          <w:divBdr>
            <w:top w:val="none" w:sz="0" w:space="0" w:color="auto"/>
            <w:left w:val="none" w:sz="0" w:space="0" w:color="auto"/>
            <w:bottom w:val="none" w:sz="0" w:space="0" w:color="auto"/>
            <w:right w:val="none" w:sz="0" w:space="0" w:color="auto"/>
          </w:divBdr>
        </w:div>
      </w:divsChild>
    </w:div>
    <w:div w:id="1700351371">
      <w:bodyDiv w:val="1"/>
      <w:marLeft w:val="0"/>
      <w:marRight w:val="0"/>
      <w:marTop w:val="0"/>
      <w:marBottom w:val="0"/>
      <w:divBdr>
        <w:top w:val="none" w:sz="0" w:space="0" w:color="auto"/>
        <w:left w:val="none" w:sz="0" w:space="0" w:color="auto"/>
        <w:bottom w:val="none" w:sz="0" w:space="0" w:color="auto"/>
        <w:right w:val="none" w:sz="0" w:space="0" w:color="auto"/>
      </w:divBdr>
    </w:div>
    <w:div w:id="1788039953">
      <w:bodyDiv w:val="1"/>
      <w:marLeft w:val="0"/>
      <w:marRight w:val="0"/>
      <w:marTop w:val="0"/>
      <w:marBottom w:val="0"/>
      <w:divBdr>
        <w:top w:val="none" w:sz="0" w:space="0" w:color="auto"/>
        <w:left w:val="none" w:sz="0" w:space="0" w:color="auto"/>
        <w:bottom w:val="none" w:sz="0" w:space="0" w:color="auto"/>
        <w:right w:val="none" w:sz="0" w:space="0" w:color="auto"/>
      </w:divBdr>
    </w:div>
    <w:div w:id="1788086987">
      <w:bodyDiv w:val="1"/>
      <w:marLeft w:val="0"/>
      <w:marRight w:val="0"/>
      <w:marTop w:val="0"/>
      <w:marBottom w:val="0"/>
      <w:divBdr>
        <w:top w:val="none" w:sz="0" w:space="0" w:color="auto"/>
        <w:left w:val="none" w:sz="0" w:space="0" w:color="auto"/>
        <w:bottom w:val="none" w:sz="0" w:space="0" w:color="auto"/>
        <w:right w:val="none" w:sz="0" w:space="0" w:color="auto"/>
      </w:divBdr>
    </w:div>
    <w:div w:id="1840727810">
      <w:bodyDiv w:val="1"/>
      <w:marLeft w:val="0"/>
      <w:marRight w:val="0"/>
      <w:marTop w:val="0"/>
      <w:marBottom w:val="0"/>
      <w:divBdr>
        <w:top w:val="none" w:sz="0" w:space="0" w:color="auto"/>
        <w:left w:val="none" w:sz="0" w:space="0" w:color="auto"/>
        <w:bottom w:val="none" w:sz="0" w:space="0" w:color="auto"/>
        <w:right w:val="none" w:sz="0" w:space="0" w:color="auto"/>
      </w:divBdr>
    </w:div>
    <w:div w:id="1934584605">
      <w:bodyDiv w:val="1"/>
      <w:marLeft w:val="0"/>
      <w:marRight w:val="0"/>
      <w:marTop w:val="0"/>
      <w:marBottom w:val="0"/>
      <w:divBdr>
        <w:top w:val="none" w:sz="0" w:space="0" w:color="auto"/>
        <w:left w:val="none" w:sz="0" w:space="0" w:color="auto"/>
        <w:bottom w:val="none" w:sz="0" w:space="0" w:color="auto"/>
        <w:right w:val="none" w:sz="0" w:space="0" w:color="auto"/>
      </w:divBdr>
      <w:divsChild>
        <w:div w:id="935552597">
          <w:marLeft w:val="180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24239867">
      <w:bodyDiv w:val="1"/>
      <w:marLeft w:val="0"/>
      <w:marRight w:val="0"/>
      <w:marTop w:val="0"/>
      <w:marBottom w:val="0"/>
      <w:divBdr>
        <w:top w:val="none" w:sz="0" w:space="0" w:color="auto"/>
        <w:left w:val="none" w:sz="0" w:space="0" w:color="auto"/>
        <w:bottom w:val="none" w:sz="0" w:space="0" w:color="auto"/>
        <w:right w:val="none" w:sz="0" w:space="0" w:color="auto"/>
      </w:divBdr>
    </w:div>
    <w:div w:id="2064517447">
      <w:bodyDiv w:val="1"/>
      <w:marLeft w:val="0"/>
      <w:marRight w:val="0"/>
      <w:marTop w:val="0"/>
      <w:marBottom w:val="0"/>
      <w:divBdr>
        <w:top w:val="none" w:sz="0" w:space="0" w:color="auto"/>
        <w:left w:val="none" w:sz="0" w:space="0" w:color="auto"/>
        <w:bottom w:val="none" w:sz="0" w:space="0" w:color="auto"/>
        <w:right w:val="none" w:sz="0" w:space="0" w:color="auto"/>
      </w:divBdr>
    </w:div>
    <w:div w:id="2111930189">
      <w:bodyDiv w:val="1"/>
      <w:marLeft w:val="0"/>
      <w:marRight w:val="0"/>
      <w:marTop w:val="0"/>
      <w:marBottom w:val="0"/>
      <w:divBdr>
        <w:top w:val="none" w:sz="0" w:space="0" w:color="auto"/>
        <w:left w:val="none" w:sz="0" w:space="0" w:color="auto"/>
        <w:bottom w:val="none" w:sz="0" w:space="0" w:color="auto"/>
        <w:right w:val="none" w:sz="0" w:space="0" w:color="auto"/>
      </w:divBdr>
    </w:div>
    <w:div w:id="213332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pbs.gov.au/info/industry/listing/elements/pbac-meetings/agenda/november-2024-pbac-meeting" TargetMode="External"/><Relationship Id="rId1" Type="http://schemas.openxmlformats.org/officeDocument/2006/relationships/hyperlink" Target="https://www.canceraustralia.gov.au/cancer-types/bladder-cancer/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7F87A-948E-4B2B-BB0D-ADC0CB32AA8E}">
  <ds:schemaRefs>
    <ds:schemaRef ds:uri="http://schemas.microsoft.com/sharepoint/v3/contenttype/forms"/>
  </ds:schemaRefs>
</ds:datastoreItem>
</file>

<file path=customXml/itemProps2.xml><?xml version="1.0" encoding="utf-8"?>
<ds:datastoreItem xmlns:ds="http://schemas.openxmlformats.org/officeDocument/2006/customXml" ds:itemID="{0E1C7791-63F8-4DA0-B23D-72F40B2DBD9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059E7221-1D7F-4728-8740-036013517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18743</Words>
  <Characters>106836</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125329</CharactersWithSpaces>
  <SharedDoc>false</SharedDoc>
  <HLinks>
    <vt:vector size="450" baseType="variant">
      <vt:variant>
        <vt:i4>4325391</vt:i4>
      </vt:variant>
      <vt:variant>
        <vt:i4>1420</vt:i4>
      </vt:variant>
      <vt:variant>
        <vt:i4>0</vt:i4>
      </vt:variant>
      <vt:variant>
        <vt:i4>5</vt:i4>
      </vt:variant>
      <vt:variant>
        <vt:lpwstr>https://www.uptodate.com/contents/malignancies-of-the-renal-pelvis-and-ureter</vt:lpwstr>
      </vt:variant>
      <vt:variant>
        <vt:lpwstr/>
      </vt:variant>
      <vt:variant>
        <vt:i4>1310815</vt:i4>
      </vt:variant>
      <vt:variant>
        <vt:i4>1417</vt:i4>
      </vt:variant>
      <vt:variant>
        <vt:i4>0</vt:i4>
      </vt:variant>
      <vt:variant>
        <vt:i4>5</vt:i4>
      </vt:variant>
      <vt:variant>
        <vt:lpwstr>https://www.ncbi.nlm.nih.gov/books/NBK536923/</vt:lpwstr>
      </vt:variant>
      <vt:variant>
        <vt:lpwstr/>
      </vt:variant>
      <vt:variant>
        <vt:i4>2162800</vt:i4>
      </vt:variant>
      <vt:variant>
        <vt:i4>1414</vt:i4>
      </vt:variant>
      <vt:variant>
        <vt:i4>0</vt:i4>
      </vt:variant>
      <vt:variant>
        <vt:i4>5</vt:i4>
      </vt:variant>
      <vt:variant>
        <vt:lpwstr>https://seer.cancer.gov/statistics-network/explorer/application.html?site=640&amp;data_type=1&amp;graph_type=4&amp;compareBy=sex&amp;chk_sex_1=1&amp;race=1&amp;age_range=1&amp;advopt_precision=1&amp;advopt_show_count=on&amp;hdn_view=1&amp;advopt_show_apc=on&amp;advopt_display=1</vt:lpwstr>
      </vt:variant>
      <vt:variant>
        <vt:lpwstr>resultsRegion1</vt:lpwstr>
      </vt:variant>
      <vt:variant>
        <vt:i4>1048644</vt:i4>
      </vt:variant>
      <vt:variant>
        <vt:i4>1411</vt:i4>
      </vt:variant>
      <vt:variant>
        <vt:i4>0</vt:i4>
      </vt:variant>
      <vt:variant>
        <vt:i4>5</vt:i4>
      </vt:variant>
      <vt:variant>
        <vt:lpwstr>https://seer.cancer.gov/statistics-network/explorer/application.html?site=71&amp;data_type=1&amp;graph_type=4&amp;compareBy=sex&amp;chk_sex_1=1&amp;race=1&amp;age_range=1&amp;advopt_precision=1&amp;advopt_show_count=on&amp;hdn_view=1&amp;advopt_show_apc=on&amp;advopt_display=1</vt:lpwstr>
      </vt:variant>
      <vt:variant>
        <vt:lpwstr>resultsRegion1</vt:lpwstr>
      </vt:variant>
      <vt:variant>
        <vt:i4>65621</vt:i4>
      </vt:variant>
      <vt:variant>
        <vt:i4>1408</vt:i4>
      </vt:variant>
      <vt:variant>
        <vt:i4>0</vt:i4>
      </vt:variant>
      <vt:variant>
        <vt:i4>5</vt:i4>
      </vt:variant>
      <vt:variant>
        <vt:lpwstr>https://www.canceraustralia.gov.au/cancer-types/bladder-cancer/statistics</vt:lpwstr>
      </vt:variant>
      <vt:variant>
        <vt:lpwstr/>
      </vt:variant>
      <vt:variant>
        <vt:i4>3604516</vt:i4>
      </vt:variant>
      <vt:variant>
        <vt:i4>978</vt:i4>
      </vt:variant>
      <vt:variant>
        <vt:i4>0</vt:i4>
      </vt:variant>
      <vt:variant>
        <vt:i4>5</vt:i4>
      </vt:variant>
      <vt:variant>
        <vt:lpwstr>https://www.nice.org.uk/guidance/ta788/evidence/appraisal-consultation-committee-papers-pdf-11070547309</vt:lpwstr>
      </vt:variant>
      <vt:variant>
        <vt:lpwstr/>
      </vt:variant>
      <vt:variant>
        <vt:i4>1245243</vt:i4>
      </vt:variant>
      <vt:variant>
        <vt:i4>398</vt:i4>
      </vt:variant>
      <vt:variant>
        <vt:i4>0</vt:i4>
      </vt:variant>
      <vt:variant>
        <vt:i4>5</vt:i4>
      </vt:variant>
      <vt:variant>
        <vt:lpwstr/>
      </vt:variant>
      <vt:variant>
        <vt:lpwstr>_Toc174992781</vt:lpwstr>
      </vt:variant>
      <vt:variant>
        <vt:i4>1245243</vt:i4>
      </vt:variant>
      <vt:variant>
        <vt:i4>392</vt:i4>
      </vt:variant>
      <vt:variant>
        <vt:i4>0</vt:i4>
      </vt:variant>
      <vt:variant>
        <vt:i4>5</vt:i4>
      </vt:variant>
      <vt:variant>
        <vt:lpwstr/>
      </vt:variant>
      <vt:variant>
        <vt:lpwstr>_Toc174992780</vt:lpwstr>
      </vt:variant>
      <vt:variant>
        <vt:i4>1835067</vt:i4>
      </vt:variant>
      <vt:variant>
        <vt:i4>386</vt:i4>
      </vt:variant>
      <vt:variant>
        <vt:i4>0</vt:i4>
      </vt:variant>
      <vt:variant>
        <vt:i4>5</vt:i4>
      </vt:variant>
      <vt:variant>
        <vt:lpwstr/>
      </vt:variant>
      <vt:variant>
        <vt:lpwstr>_Toc174992779</vt:lpwstr>
      </vt:variant>
      <vt:variant>
        <vt:i4>1835067</vt:i4>
      </vt:variant>
      <vt:variant>
        <vt:i4>380</vt:i4>
      </vt:variant>
      <vt:variant>
        <vt:i4>0</vt:i4>
      </vt:variant>
      <vt:variant>
        <vt:i4>5</vt:i4>
      </vt:variant>
      <vt:variant>
        <vt:lpwstr/>
      </vt:variant>
      <vt:variant>
        <vt:lpwstr>_Toc174992778</vt:lpwstr>
      </vt:variant>
      <vt:variant>
        <vt:i4>1835067</vt:i4>
      </vt:variant>
      <vt:variant>
        <vt:i4>374</vt:i4>
      </vt:variant>
      <vt:variant>
        <vt:i4>0</vt:i4>
      </vt:variant>
      <vt:variant>
        <vt:i4>5</vt:i4>
      </vt:variant>
      <vt:variant>
        <vt:lpwstr/>
      </vt:variant>
      <vt:variant>
        <vt:lpwstr>_Toc174992777</vt:lpwstr>
      </vt:variant>
      <vt:variant>
        <vt:i4>1835067</vt:i4>
      </vt:variant>
      <vt:variant>
        <vt:i4>368</vt:i4>
      </vt:variant>
      <vt:variant>
        <vt:i4>0</vt:i4>
      </vt:variant>
      <vt:variant>
        <vt:i4>5</vt:i4>
      </vt:variant>
      <vt:variant>
        <vt:lpwstr/>
      </vt:variant>
      <vt:variant>
        <vt:lpwstr>_Toc174992776</vt:lpwstr>
      </vt:variant>
      <vt:variant>
        <vt:i4>1835067</vt:i4>
      </vt:variant>
      <vt:variant>
        <vt:i4>362</vt:i4>
      </vt:variant>
      <vt:variant>
        <vt:i4>0</vt:i4>
      </vt:variant>
      <vt:variant>
        <vt:i4>5</vt:i4>
      </vt:variant>
      <vt:variant>
        <vt:lpwstr/>
      </vt:variant>
      <vt:variant>
        <vt:lpwstr>_Toc174992775</vt:lpwstr>
      </vt:variant>
      <vt:variant>
        <vt:i4>1835067</vt:i4>
      </vt:variant>
      <vt:variant>
        <vt:i4>356</vt:i4>
      </vt:variant>
      <vt:variant>
        <vt:i4>0</vt:i4>
      </vt:variant>
      <vt:variant>
        <vt:i4>5</vt:i4>
      </vt:variant>
      <vt:variant>
        <vt:lpwstr/>
      </vt:variant>
      <vt:variant>
        <vt:lpwstr>_Toc174992774</vt:lpwstr>
      </vt:variant>
      <vt:variant>
        <vt:i4>1835067</vt:i4>
      </vt:variant>
      <vt:variant>
        <vt:i4>350</vt:i4>
      </vt:variant>
      <vt:variant>
        <vt:i4>0</vt:i4>
      </vt:variant>
      <vt:variant>
        <vt:i4>5</vt:i4>
      </vt:variant>
      <vt:variant>
        <vt:lpwstr/>
      </vt:variant>
      <vt:variant>
        <vt:lpwstr>_Toc174992773</vt:lpwstr>
      </vt:variant>
      <vt:variant>
        <vt:i4>1835067</vt:i4>
      </vt:variant>
      <vt:variant>
        <vt:i4>344</vt:i4>
      </vt:variant>
      <vt:variant>
        <vt:i4>0</vt:i4>
      </vt:variant>
      <vt:variant>
        <vt:i4>5</vt:i4>
      </vt:variant>
      <vt:variant>
        <vt:lpwstr/>
      </vt:variant>
      <vt:variant>
        <vt:lpwstr>_Toc174992772</vt:lpwstr>
      </vt:variant>
      <vt:variant>
        <vt:i4>1835067</vt:i4>
      </vt:variant>
      <vt:variant>
        <vt:i4>338</vt:i4>
      </vt:variant>
      <vt:variant>
        <vt:i4>0</vt:i4>
      </vt:variant>
      <vt:variant>
        <vt:i4>5</vt:i4>
      </vt:variant>
      <vt:variant>
        <vt:lpwstr/>
      </vt:variant>
      <vt:variant>
        <vt:lpwstr>_Toc174992771</vt:lpwstr>
      </vt:variant>
      <vt:variant>
        <vt:i4>1835067</vt:i4>
      </vt:variant>
      <vt:variant>
        <vt:i4>332</vt:i4>
      </vt:variant>
      <vt:variant>
        <vt:i4>0</vt:i4>
      </vt:variant>
      <vt:variant>
        <vt:i4>5</vt:i4>
      </vt:variant>
      <vt:variant>
        <vt:lpwstr/>
      </vt:variant>
      <vt:variant>
        <vt:lpwstr>_Toc174992770</vt:lpwstr>
      </vt:variant>
      <vt:variant>
        <vt:i4>1900603</vt:i4>
      </vt:variant>
      <vt:variant>
        <vt:i4>326</vt:i4>
      </vt:variant>
      <vt:variant>
        <vt:i4>0</vt:i4>
      </vt:variant>
      <vt:variant>
        <vt:i4>5</vt:i4>
      </vt:variant>
      <vt:variant>
        <vt:lpwstr/>
      </vt:variant>
      <vt:variant>
        <vt:lpwstr>_Toc174992769</vt:lpwstr>
      </vt:variant>
      <vt:variant>
        <vt:i4>1900603</vt:i4>
      </vt:variant>
      <vt:variant>
        <vt:i4>320</vt:i4>
      </vt:variant>
      <vt:variant>
        <vt:i4>0</vt:i4>
      </vt:variant>
      <vt:variant>
        <vt:i4>5</vt:i4>
      </vt:variant>
      <vt:variant>
        <vt:lpwstr/>
      </vt:variant>
      <vt:variant>
        <vt:lpwstr>_Toc174992768</vt:lpwstr>
      </vt:variant>
      <vt:variant>
        <vt:i4>1900603</vt:i4>
      </vt:variant>
      <vt:variant>
        <vt:i4>314</vt:i4>
      </vt:variant>
      <vt:variant>
        <vt:i4>0</vt:i4>
      </vt:variant>
      <vt:variant>
        <vt:i4>5</vt:i4>
      </vt:variant>
      <vt:variant>
        <vt:lpwstr/>
      </vt:variant>
      <vt:variant>
        <vt:lpwstr>_Toc174992767</vt:lpwstr>
      </vt:variant>
      <vt:variant>
        <vt:i4>1900603</vt:i4>
      </vt:variant>
      <vt:variant>
        <vt:i4>308</vt:i4>
      </vt:variant>
      <vt:variant>
        <vt:i4>0</vt:i4>
      </vt:variant>
      <vt:variant>
        <vt:i4>5</vt:i4>
      </vt:variant>
      <vt:variant>
        <vt:lpwstr/>
      </vt:variant>
      <vt:variant>
        <vt:lpwstr>_Toc174992766</vt:lpwstr>
      </vt:variant>
      <vt:variant>
        <vt:i4>1900603</vt:i4>
      </vt:variant>
      <vt:variant>
        <vt:i4>302</vt:i4>
      </vt:variant>
      <vt:variant>
        <vt:i4>0</vt:i4>
      </vt:variant>
      <vt:variant>
        <vt:i4>5</vt:i4>
      </vt:variant>
      <vt:variant>
        <vt:lpwstr/>
      </vt:variant>
      <vt:variant>
        <vt:lpwstr>_Toc174992765</vt:lpwstr>
      </vt:variant>
      <vt:variant>
        <vt:i4>1900603</vt:i4>
      </vt:variant>
      <vt:variant>
        <vt:i4>296</vt:i4>
      </vt:variant>
      <vt:variant>
        <vt:i4>0</vt:i4>
      </vt:variant>
      <vt:variant>
        <vt:i4>5</vt:i4>
      </vt:variant>
      <vt:variant>
        <vt:lpwstr/>
      </vt:variant>
      <vt:variant>
        <vt:lpwstr>_Toc174992764</vt:lpwstr>
      </vt:variant>
      <vt:variant>
        <vt:i4>1900603</vt:i4>
      </vt:variant>
      <vt:variant>
        <vt:i4>290</vt:i4>
      </vt:variant>
      <vt:variant>
        <vt:i4>0</vt:i4>
      </vt:variant>
      <vt:variant>
        <vt:i4>5</vt:i4>
      </vt:variant>
      <vt:variant>
        <vt:lpwstr/>
      </vt:variant>
      <vt:variant>
        <vt:lpwstr>_Toc174992763</vt:lpwstr>
      </vt:variant>
      <vt:variant>
        <vt:i4>1900603</vt:i4>
      </vt:variant>
      <vt:variant>
        <vt:i4>284</vt:i4>
      </vt:variant>
      <vt:variant>
        <vt:i4>0</vt:i4>
      </vt:variant>
      <vt:variant>
        <vt:i4>5</vt:i4>
      </vt:variant>
      <vt:variant>
        <vt:lpwstr/>
      </vt:variant>
      <vt:variant>
        <vt:lpwstr>_Toc174992762</vt:lpwstr>
      </vt:variant>
      <vt:variant>
        <vt:i4>1900603</vt:i4>
      </vt:variant>
      <vt:variant>
        <vt:i4>278</vt:i4>
      </vt:variant>
      <vt:variant>
        <vt:i4>0</vt:i4>
      </vt:variant>
      <vt:variant>
        <vt:i4>5</vt:i4>
      </vt:variant>
      <vt:variant>
        <vt:lpwstr/>
      </vt:variant>
      <vt:variant>
        <vt:lpwstr>_Toc174992761</vt:lpwstr>
      </vt:variant>
      <vt:variant>
        <vt:i4>1900603</vt:i4>
      </vt:variant>
      <vt:variant>
        <vt:i4>272</vt:i4>
      </vt:variant>
      <vt:variant>
        <vt:i4>0</vt:i4>
      </vt:variant>
      <vt:variant>
        <vt:i4>5</vt:i4>
      </vt:variant>
      <vt:variant>
        <vt:lpwstr/>
      </vt:variant>
      <vt:variant>
        <vt:lpwstr>_Toc174992760</vt:lpwstr>
      </vt:variant>
      <vt:variant>
        <vt:i4>1966139</vt:i4>
      </vt:variant>
      <vt:variant>
        <vt:i4>266</vt:i4>
      </vt:variant>
      <vt:variant>
        <vt:i4>0</vt:i4>
      </vt:variant>
      <vt:variant>
        <vt:i4>5</vt:i4>
      </vt:variant>
      <vt:variant>
        <vt:lpwstr/>
      </vt:variant>
      <vt:variant>
        <vt:lpwstr>_Toc174992759</vt:lpwstr>
      </vt:variant>
      <vt:variant>
        <vt:i4>1966139</vt:i4>
      </vt:variant>
      <vt:variant>
        <vt:i4>260</vt:i4>
      </vt:variant>
      <vt:variant>
        <vt:i4>0</vt:i4>
      </vt:variant>
      <vt:variant>
        <vt:i4>5</vt:i4>
      </vt:variant>
      <vt:variant>
        <vt:lpwstr/>
      </vt:variant>
      <vt:variant>
        <vt:lpwstr>_Toc174992758</vt:lpwstr>
      </vt:variant>
      <vt:variant>
        <vt:i4>1966139</vt:i4>
      </vt:variant>
      <vt:variant>
        <vt:i4>254</vt:i4>
      </vt:variant>
      <vt:variant>
        <vt:i4>0</vt:i4>
      </vt:variant>
      <vt:variant>
        <vt:i4>5</vt:i4>
      </vt:variant>
      <vt:variant>
        <vt:lpwstr/>
      </vt:variant>
      <vt:variant>
        <vt:lpwstr>_Toc174992757</vt:lpwstr>
      </vt:variant>
      <vt:variant>
        <vt:i4>1966139</vt:i4>
      </vt:variant>
      <vt:variant>
        <vt:i4>248</vt:i4>
      </vt:variant>
      <vt:variant>
        <vt:i4>0</vt:i4>
      </vt:variant>
      <vt:variant>
        <vt:i4>5</vt:i4>
      </vt:variant>
      <vt:variant>
        <vt:lpwstr/>
      </vt:variant>
      <vt:variant>
        <vt:lpwstr>_Toc174992756</vt:lpwstr>
      </vt:variant>
      <vt:variant>
        <vt:i4>1966139</vt:i4>
      </vt:variant>
      <vt:variant>
        <vt:i4>242</vt:i4>
      </vt:variant>
      <vt:variant>
        <vt:i4>0</vt:i4>
      </vt:variant>
      <vt:variant>
        <vt:i4>5</vt:i4>
      </vt:variant>
      <vt:variant>
        <vt:lpwstr/>
      </vt:variant>
      <vt:variant>
        <vt:lpwstr>_Toc174992755</vt:lpwstr>
      </vt:variant>
      <vt:variant>
        <vt:i4>1966139</vt:i4>
      </vt:variant>
      <vt:variant>
        <vt:i4>236</vt:i4>
      </vt:variant>
      <vt:variant>
        <vt:i4>0</vt:i4>
      </vt:variant>
      <vt:variant>
        <vt:i4>5</vt:i4>
      </vt:variant>
      <vt:variant>
        <vt:lpwstr/>
      </vt:variant>
      <vt:variant>
        <vt:lpwstr>_Toc174992754</vt:lpwstr>
      </vt:variant>
      <vt:variant>
        <vt:i4>1966139</vt:i4>
      </vt:variant>
      <vt:variant>
        <vt:i4>230</vt:i4>
      </vt:variant>
      <vt:variant>
        <vt:i4>0</vt:i4>
      </vt:variant>
      <vt:variant>
        <vt:i4>5</vt:i4>
      </vt:variant>
      <vt:variant>
        <vt:lpwstr/>
      </vt:variant>
      <vt:variant>
        <vt:lpwstr>_Toc174992753</vt:lpwstr>
      </vt:variant>
      <vt:variant>
        <vt:i4>1966139</vt:i4>
      </vt:variant>
      <vt:variant>
        <vt:i4>224</vt:i4>
      </vt:variant>
      <vt:variant>
        <vt:i4>0</vt:i4>
      </vt:variant>
      <vt:variant>
        <vt:i4>5</vt:i4>
      </vt:variant>
      <vt:variant>
        <vt:lpwstr/>
      </vt:variant>
      <vt:variant>
        <vt:lpwstr>_Toc174992752</vt:lpwstr>
      </vt:variant>
      <vt:variant>
        <vt:i4>1966139</vt:i4>
      </vt:variant>
      <vt:variant>
        <vt:i4>218</vt:i4>
      </vt:variant>
      <vt:variant>
        <vt:i4>0</vt:i4>
      </vt:variant>
      <vt:variant>
        <vt:i4>5</vt:i4>
      </vt:variant>
      <vt:variant>
        <vt:lpwstr/>
      </vt:variant>
      <vt:variant>
        <vt:lpwstr>_Toc174992751</vt:lpwstr>
      </vt:variant>
      <vt:variant>
        <vt:i4>1966139</vt:i4>
      </vt:variant>
      <vt:variant>
        <vt:i4>212</vt:i4>
      </vt:variant>
      <vt:variant>
        <vt:i4>0</vt:i4>
      </vt:variant>
      <vt:variant>
        <vt:i4>5</vt:i4>
      </vt:variant>
      <vt:variant>
        <vt:lpwstr/>
      </vt:variant>
      <vt:variant>
        <vt:lpwstr>_Toc174992750</vt:lpwstr>
      </vt:variant>
      <vt:variant>
        <vt:i4>2031675</vt:i4>
      </vt:variant>
      <vt:variant>
        <vt:i4>206</vt:i4>
      </vt:variant>
      <vt:variant>
        <vt:i4>0</vt:i4>
      </vt:variant>
      <vt:variant>
        <vt:i4>5</vt:i4>
      </vt:variant>
      <vt:variant>
        <vt:lpwstr/>
      </vt:variant>
      <vt:variant>
        <vt:lpwstr>_Toc174992749</vt:lpwstr>
      </vt:variant>
      <vt:variant>
        <vt:i4>2031675</vt:i4>
      </vt:variant>
      <vt:variant>
        <vt:i4>200</vt:i4>
      </vt:variant>
      <vt:variant>
        <vt:i4>0</vt:i4>
      </vt:variant>
      <vt:variant>
        <vt:i4>5</vt:i4>
      </vt:variant>
      <vt:variant>
        <vt:lpwstr/>
      </vt:variant>
      <vt:variant>
        <vt:lpwstr>_Toc174992748</vt:lpwstr>
      </vt:variant>
      <vt:variant>
        <vt:i4>2031675</vt:i4>
      </vt:variant>
      <vt:variant>
        <vt:i4>194</vt:i4>
      </vt:variant>
      <vt:variant>
        <vt:i4>0</vt:i4>
      </vt:variant>
      <vt:variant>
        <vt:i4>5</vt:i4>
      </vt:variant>
      <vt:variant>
        <vt:lpwstr/>
      </vt:variant>
      <vt:variant>
        <vt:lpwstr>_Toc174992747</vt:lpwstr>
      </vt:variant>
      <vt:variant>
        <vt:i4>2031675</vt:i4>
      </vt:variant>
      <vt:variant>
        <vt:i4>188</vt:i4>
      </vt:variant>
      <vt:variant>
        <vt:i4>0</vt:i4>
      </vt:variant>
      <vt:variant>
        <vt:i4>5</vt:i4>
      </vt:variant>
      <vt:variant>
        <vt:lpwstr/>
      </vt:variant>
      <vt:variant>
        <vt:lpwstr>_Toc174992746</vt:lpwstr>
      </vt:variant>
      <vt:variant>
        <vt:i4>2031675</vt:i4>
      </vt:variant>
      <vt:variant>
        <vt:i4>182</vt:i4>
      </vt:variant>
      <vt:variant>
        <vt:i4>0</vt:i4>
      </vt:variant>
      <vt:variant>
        <vt:i4>5</vt:i4>
      </vt:variant>
      <vt:variant>
        <vt:lpwstr/>
      </vt:variant>
      <vt:variant>
        <vt:lpwstr>_Toc174992745</vt:lpwstr>
      </vt:variant>
      <vt:variant>
        <vt:i4>2031675</vt:i4>
      </vt:variant>
      <vt:variant>
        <vt:i4>176</vt:i4>
      </vt:variant>
      <vt:variant>
        <vt:i4>0</vt:i4>
      </vt:variant>
      <vt:variant>
        <vt:i4>5</vt:i4>
      </vt:variant>
      <vt:variant>
        <vt:lpwstr/>
      </vt:variant>
      <vt:variant>
        <vt:lpwstr>_Toc174992744</vt:lpwstr>
      </vt:variant>
      <vt:variant>
        <vt:i4>2031675</vt:i4>
      </vt:variant>
      <vt:variant>
        <vt:i4>170</vt:i4>
      </vt:variant>
      <vt:variant>
        <vt:i4>0</vt:i4>
      </vt:variant>
      <vt:variant>
        <vt:i4>5</vt:i4>
      </vt:variant>
      <vt:variant>
        <vt:lpwstr/>
      </vt:variant>
      <vt:variant>
        <vt:lpwstr>_Toc174992743</vt:lpwstr>
      </vt:variant>
      <vt:variant>
        <vt:i4>2031675</vt:i4>
      </vt:variant>
      <vt:variant>
        <vt:i4>164</vt:i4>
      </vt:variant>
      <vt:variant>
        <vt:i4>0</vt:i4>
      </vt:variant>
      <vt:variant>
        <vt:i4>5</vt:i4>
      </vt:variant>
      <vt:variant>
        <vt:lpwstr/>
      </vt:variant>
      <vt:variant>
        <vt:lpwstr>_Toc174992742</vt:lpwstr>
      </vt:variant>
      <vt:variant>
        <vt:i4>2031675</vt:i4>
      </vt:variant>
      <vt:variant>
        <vt:i4>158</vt:i4>
      </vt:variant>
      <vt:variant>
        <vt:i4>0</vt:i4>
      </vt:variant>
      <vt:variant>
        <vt:i4>5</vt:i4>
      </vt:variant>
      <vt:variant>
        <vt:lpwstr/>
      </vt:variant>
      <vt:variant>
        <vt:lpwstr>_Toc174992741</vt:lpwstr>
      </vt:variant>
      <vt:variant>
        <vt:i4>2031675</vt:i4>
      </vt:variant>
      <vt:variant>
        <vt:i4>152</vt:i4>
      </vt:variant>
      <vt:variant>
        <vt:i4>0</vt:i4>
      </vt:variant>
      <vt:variant>
        <vt:i4>5</vt:i4>
      </vt:variant>
      <vt:variant>
        <vt:lpwstr/>
      </vt:variant>
      <vt:variant>
        <vt:lpwstr>_Toc174992740</vt:lpwstr>
      </vt:variant>
      <vt:variant>
        <vt:i4>1572923</vt:i4>
      </vt:variant>
      <vt:variant>
        <vt:i4>146</vt:i4>
      </vt:variant>
      <vt:variant>
        <vt:i4>0</vt:i4>
      </vt:variant>
      <vt:variant>
        <vt:i4>5</vt:i4>
      </vt:variant>
      <vt:variant>
        <vt:lpwstr/>
      </vt:variant>
      <vt:variant>
        <vt:lpwstr>_Toc174992739</vt:lpwstr>
      </vt:variant>
      <vt:variant>
        <vt:i4>1572923</vt:i4>
      </vt:variant>
      <vt:variant>
        <vt:i4>140</vt:i4>
      </vt:variant>
      <vt:variant>
        <vt:i4>0</vt:i4>
      </vt:variant>
      <vt:variant>
        <vt:i4>5</vt:i4>
      </vt:variant>
      <vt:variant>
        <vt:lpwstr/>
      </vt:variant>
      <vt:variant>
        <vt:lpwstr>_Toc174992738</vt:lpwstr>
      </vt:variant>
      <vt:variant>
        <vt:i4>1572923</vt:i4>
      </vt:variant>
      <vt:variant>
        <vt:i4>134</vt:i4>
      </vt:variant>
      <vt:variant>
        <vt:i4>0</vt:i4>
      </vt:variant>
      <vt:variant>
        <vt:i4>5</vt:i4>
      </vt:variant>
      <vt:variant>
        <vt:lpwstr/>
      </vt:variant>
      <vt:variant>
        <vt:lpwstr>_Toc174992737</vt:lpwstr>
      </vt:variant>
      <vt:variant>
        <vt:i4>1572923</vt:i4>
      </vt:variant>
      <vt:variant>
        <vt:i4>128</vt:i4>
      </vt:variant>
      <vt:variant>
        <vt:i4>0</vt:i4>
      </vt:variant>
      <vt:variant>
        <vt:i4>5</vt:i4>
      </vt:variant>
      <vt:variant>
        <vt:lpwstr/>
      </vt:variant>
      <vt:variant>
        <vt:lpwstr>_Toc174992736</vt:lpwstr>
      </vt:variant>
      <vt:variant>
        <vt:i4>1572923</vt:i4>
      </vt:variant>
      <vt:variant>
        <vt:i4>122</vt:i4>
      </vt:variant>
      <vt:variant>
        <vt:i4>0</vt:i4>
      </vt:variant>
      <vt:variant>
        <vt:i4>5</vt:i4>
      </vt:variant>
      <vt:variant>
        <vt:lpwstr/>
      </vt:variant>
      <vt:variant>
        <vt:lpwstr>_Toc174992735</vt:lpwstr>
      </vt:variant>
      <vt:variant>
        <vt:i4>1572923</vt:i4>
      </vt:variant>
      <vt:variant>
        <vt:i4>116</vt:i4>
      </vt:variant>
      <vt:variant>
        <vt:i4>0</vt:i4>
      </vt:variant>
      <vt:variant>
        <vt:i4>5</vt:i4>
      </vt:variant>
      <vt:variant>
        <vt:lpwstr/>
      </vt:variant>
      <vt:variant>
        <vt:lpwstr>_Toc174992734</vt:lpwstr>
      </vt:variant>
      <vt:variant>
        <vt:i4>1572923</vt:i4>
      </vt:variant>
      <vt:variant>
        <vt:i4>110</vt:i4>
      </vt:variant>
      <vt:variant>
        <vt:i4>0</vt:i4>
      </vt:variant>
      <vt:variant>
        <vt:i4>5</vt:i4>
      </vt:variant>
      <vt:variant>
        <vt:lpwstr/>
      </vt:variant>
      <vt:variant>
        <vt:lpwstr>_Toc174992733</vt:lpwstr>
      </vt:variant>
      <vt:variant>
        <vt:i4>1572923</vt:i4>
      </vt:variant>
      <vt:variant>
        <vt:i4>104</vt:i4>
      </vt:variant>
      <vt:variant>
        <vt:i4>0</vt:i4>
      </vt:variant>
      <vt:variant>
        <vt:i4>5</vt:i4>
      </vt:variant>
      <vt:variant>
        <vt:lpwstr/>
      </vt:variant>
      <vt:variant>
        <vt:lpwstr>_Toc174992732</vt:lpwstr>
      </vt:variant>
      <vt:variant>
        <vt:i4>1572923</vt:i4>
      </vt:variant>
      <vt:variant>
        <vt:i4>98</vt:i4>
      </vt:variant>
      <vt:variant>
        <vt:i4>0</vt:i4>
      </vt:variant>
      <vt:variant>
        <vt:i4>5</vt:i4>
      </vt:variant>
      <vt:variant>
        <vt:lpwstr/>
      </vt:variant>
      <vt:variant>
        <vt:lpwstr>_Toc174992731</vt:lpwstr>
      </vt:variant>
      <vt:variant>
        <vt:i4>1572923</vt:i4>
      </vt:variant>
      <vt:variant>
        <vt:i4>92</vt:i4>
      </vt:variant>
      <vt:variant>
        <vt:i4>0</vt:i4>
      </vt:variant>
      <vt:variant>
        <vt:i4>5</vt:i4>
      </vt:variant>
      <vt:variant>
        <vt:lpwstr/>
      </vt:variant>
      <vt:variant>
        <vt:lpwstr>_Toc174992730</vt:lpwstr>
      </vt:variant>
      <vt:variant>
        <vt:i4>1638459</vt:i4>
      </vt:variant>
      <vt:variant>
        <vt:i4>86</vt:i4>
      </vt:variant>
      <vt:variant>
        <vt:i4>0</vt:i4>
      </vt:variant>
      <vt:variant>
        <vt:i4>5</vt:i4>
      </vt:variant>
      <vt:variant>
        <vt:lpwstr/>
      </vt:variant>
      <vt:variant>
        <vt:lpwstr>_Toc174992729</vt:lpwstr>
      </vt:variant>
      <vt:variant>
        <vt:i4>1638459</vt:i4>
      </vt:variant>
      <vt:variant>
        <vt:i4>80</vt:i4>
      </vt:variant>
      <vt:variant>
        <vt:i4>0</vt:i4>
      </vt:variant>
      <vt:variant>
        <vt:i4>5</vt:i4>
      </vt:variant>
      <vt:variant>
        <vt:lpwstr/>
      </vt:variant>
      <vt:variant>
        <vt:lpwstr>_Toc174992728</vt:lpwstr>
      </vt:variant>
      <vt:variant>
        <vt:i4>1638459</vt:i4>
      </vt:variant>
      <vt:variant>
        <vt:i4>74</vt:i4>
      </vt:variant>
      <vt:variant>
        <vt:i4>0</vt:i4>
      </vt:variant>
      <vt:variant>
        <vt:i4>5</vt:i4>
      </vt:variant>
      <vt:variant>
        <vt:lpwstr/>
      </vt:variant>
      <vt:variant>
        <vt:lpwstr>_Toc174992727</vt:lpwstr>
      </vt:variant>
      <vt:variant>
        <vt:i4>1638459</vt:i4>
      </vt:variant>
      <vt:variant>
        <vt:i4>68</vt:i4>
      </vt:variant>
      <vt:variant>
        <vt:i4>0</vt:i4>
      </vt:variant>
      <vt:variant>
        <vt:i4>5</vt:i4>
      </vt:variant>
      <vt:variant>
        <vt:lpwstr/>
      </vt:variant>
      <vt:variant>
        <vt:lpwstr>_Toc174992726</vt:lpwstr>
      </vt:variant>
      <vt:variant>
        <vt:i4>1638459</vt:i4>
      </vt:variant>
      <vt:variant>
        <vt:i4>62</vt:i4>
      </vt:variant>
      <vt:variant>
        <vt:i4>0</vt:i4>
      </vt:variant>
      <vt:variant>
        <vt:i4>5</vt:i4>
      </vt:variant>
      <vt:variant>
        <vt:lpwstr/>
      </vt:variant>
      <vt:variant>
        <vt:lpwstr>_Toc174992725</vt:lpwstr>
      </vt:variant>
      <vt:variant>
        <vt:i4>1638459</vt:i4>
      </vt:variant>
      <vt:variant>
        <vt:i4>56</vt:i4>
      </vt:variant>
      <vt:variant>
        <vt:i4>0</vt:i4>
      </vt:variant>
      <vt:variant>
        <vt:i4>5</vt:i4>
      </vt:variant>
      <vt:variant>
        <vt:lpwstr/>
      </vt:variant>
      <vt:variant>
        <vt:lpwstr>_Toc174992724</vt:lpwstr>
      </vt:variant>
      <vt:variant>
        <vt:i4>1638459</vt:i4>
      </vt:variant>
      <vt:variant>
        <vt:i4>50</vt:i4>
      </vt:variant>
      <vt:variant>
        <vt:i4>0</vt:i4>
      </vt:variant>
      <vt:variant>
        <vt:i4>5</vt:i4>
      </vt:variant>
      <vt:variant>
        <vt:lpwstr/>
      </vt:variant>
      <vt:variant>
        <vt:lpwstr>_Toc174992723</vt:lpwstr>
      </vt:variant>
      <vt:variant>
        <vt:i4>1638459</vt:i4>
      </vt:variant>
      <vt:variant>
        <vt:i4>44</vt:i4>
      </vt:variant>
      <vt:variant>
        <vt:i4>0</vt:i4>
      </vt:variant>
      <vt:variant>
        <vt:i4>5</vt:i4>
      </vt:variant>
      <vt:variant>
        <vt:lpwstr/>
      </vt:variant>
      <vt:variant>
        <vt:lpwstr>_Toc174992722</vt:lpwstr>
      </vt:variant>
      <vt:variant>
        <vt:i4>1638459</vt:i4>
      </vt:variant>
      <vt:variant>
        <vt:i4>38</vt:i4>
      </vt:variant>
      <vt:variant>
        <vt:i4>0</vt:i4>
      </vt:variant>
      <vt:variant>
        <vt:i4>5</vt:i4>
      </vt:variant>
      <vt:variant>
        <vt:lpwstr/>
      </vt:variant>
      <vt:variant>
        <vt:lpwstr>_Toc174992721</vt:lpwstr>
      </vt:variant>
      <vt:variant>
        <vt:i4>1638459</vt:i4>
      </vt:variant>
      <vt:variant>
        <vt:i4>32</vt:i4>
      </vt:variant>
      <vt:variant>
        <vt:i4>0</vt:i4>
      </vt:variant>
      <vt:variant>
        <vt:i4>5</vt:i4>
      </vt:variant>
      <vt:variant>
        <vt:lpwstr/>
      </vt:variant>
      <vt:variant>
        <vt:lpwstr>_Toc174992720</vt:lpwstr>
      </vt:variant>
      <vt:variant>
        <vt:i4>1703995</vt:i4>
      </vt:variant>
      <vt:variant>
        <vt:i4>26</vt:i4>
      </vt:variant>
      <vt:variant>
        <vt:i4>0</vt:i4>
      </vt:variant>
      <vt:variant>
        <vt:i4>5</vt:i4>
      </vt:variant>
      <vt:variant>
        <vt:lpwstr/>
      </vt:variant>
      <vt:variant>
        <vt:lpwstr>_Toc174992719</vt:lpwstr>
      </vt:variant>
      <vt:variant>
        <vt:i4>1703995</vt:i4>
      </vt:variant>
      <vt:variant>
        <vt:i4>20</vt:i4>
      </vt:variant>
      <vt:variant>
        <vt:i4>0</vt:i4>
      </vt:variant>
      <vt:variant>
        <vt:i4>5</vt:i4>
      </vt:variant>
      <vt:variant>
        <vt:lpwstr/>
      </vt:variant>
      <vt:variant>
        <vt:lpwstr>_Toc174992718</vt:lpwstr>
      </vt:variant>
      <vt:variant>
        <vt:i4>1703995</vt:i4>
      </vt:variant>
      <vt:variant>
        <vt:i4>14</vt:i4>
      </vt:variant>
      <vt:variant>
        <vt:i4>0</vt:i4>
      </vt:variant>
      <vt:variant>
        <vt:i4>5</vt:i4>
      </vt:variant>
      <vt:variant>
        <vt:lpwstr/>
      </vt:variant>
      <vt:variant>
        <vt:lpwstr>_Toc174992717</vt:lpwstr>
      </vt:variant>
      <vt:variant>
        <vt:i4>1703995</vt:i4>
      </vt:variant>
      <vt:variant>
        <vt:i4>8</vt:i4>
      </vt:variant>
      <vt:variant>
        <vt:i4>0</vt:i4>
      </vt:variant>
      <vt:variant>
        <vt:i4>5</vt:i4>
      </vt:variant>
      <vt:variant>
        <vt:lpwstr/>
      </vt:variant>
      <vt:variant>
        <vt:lpwstr>_Toc174992716</vt:lpwstr>
      </vt:variant>
      <vt:variant>
        <vt:i4>1703995</vt:i4>
      </vt:variant>
      <vt:variant>
        <vt:i4>2</vt:i4>
      </vt:variant>
      <vt:variant>
        <vt:i4>0</vt:i4>
      </vt:variant>
      <vt:variant>
        <vt:i4>5</vt:i4>
      </vt:variant>
      <vt:variant>
        <vt:lpwstr/>
      </vt:variant>
      <vt:variant>
        <vt:lpwstr>_Toc174992715</vt:lpwstr>
      </vt:variant>
      <vt:variant>
        <vt:i4>1245270</vt:i4>
      </vt:variant>
      <vt:variant>
        <vt:i4>3</vt:i4>
      </vt:variant>
      <vt:variant>
        <vt:i4>0</vt:i4>
      </vt:variant>
      <vt:variant>
        <vt:i4>5</vt:i4>
      </vt:variant>
      <vt:variant>
        <vt:lpwstr>https://www.pbs.gov.au/info/industry/listing/elements/pbac-meetings/agenda/november-2024-pbac-meeting</vt:lpwstr>
      </vt:variant>
      <vt:variant>
        <vt:lpwstr/>
      </vt:variant>
      <vt:variant>
        <vt:i4>65621</vt:i4>
      </vt:variant>
      <vt:variant>
        <vt:i4>0</vt:i4>
      </vt:variant>
      <vt:variant>
        <vt:i4>0</vt:i4>
      </vt:variant>
      <vt:variant>
        <vt:i4>5</vt:i4>
      </vt:variant>
      <vt:variant>
        <vt:lpwstr>https://www.canceraustralia.gov.au/cancer-types/bladder-cancer/statistics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2025-03-04T22:02:00Z</dcterms:created>
  <dcterms:modified xsi:type="dcterms:W3CDTF">2025-03-07T02:05:00Z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413100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