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496E86D6" w:rsidR="00B60939" w:rsidRPr="0098262F" w:rsidRDefault="00E14334" w:rsidP="006366D3">
      <w:pPr>
        <w:pStyle w:val="1-MainHeading"/>
      </w:pPr>
      <w:bookmarkStart w:id="0" w:name="_Toc177558639"/>
      <w:r>
        <w:t>5.01</w:t>
      </w:r>
      <w:r w:rsidR="00163F66" w:rsidRPr="0098262F">
        <w:tab/>
      </w:r>
      <w:r w:rsidR="005C62DF">
        <w:t>ABROCITINIB</w:t>
      </w:r>
      <w:r w:rsidR="00163F66" w:rsidRPr="0098262F">
        <w:t>,</w:t>
      </w:r>
      <w:r w:rsidR="00163F66" w:rsidRPr="0098262F">
        <w:br/>
      </w:r>
      <w:r w:rsidR="00290D70" w:rsidRPr="00290D70">
        <w:t>Tablet 5</w:t>
      </w:r>
      <w:r w:rsidR="00E57A8B">
        <w:t>0 mg</w:t>
      </w:r>
      <w:r w:rsidR="00290D70" w:rsidRPr="00290D70">
        <w:br/>
        <w:t>Tablet 10</w:t>
      </w:r>
      <w:r w:rsidR="00E57A8B">
        <w:t>0 mg</w:t>
      </w:r>
      <w:r w:rsidR="00290D70" w:rsidRPr="00290D70">
        <w:br/>
        <w:t>Tablet 20</w:t>
      </w:r>
      <w:r w:rsidR="00E57A8B">
        <w:t>0 mg</w:t>
      </w:r>
      <w:r w:rsidR="00163F66" w:rsidRPr="0098262F">
        <w:t>,</w:t>
      </w:r>
      <w:r w:rsidR="00163F66" w:rsidRPr="0098262F">
        <w:br/>
      </w:r>
      <w:proofErr w:type="spellStart"/>
      <w:r w:rsidR="00985E91">
        <w:t>Cibinqo</w:t>
      </w:r>
      <w:proofErr w:type="spellEnd"/>
      <w:r w:rsidR="00985E91">
        <w:t>®</w:t>
      </w:r>
      <w:r w:rsidR="004A6040" w:rsidRPr="0098262F">
        <w:t>,</w:t>
      </w:r>
      <w:r w:rsidR="004A6040" w:rsidRPr="0098262F">
        <w:br/>
      </w:r>
      <w:r w:rsidR="005C62DF" w:rsidRPr="00290D70">
        <w:t>Pfizer Australia Pty Ltd</w:t>
      </w:r>
      <w:bookmarkEnd w:id="0"/>
    </w:p>
    <w:p w14:paraId="0DF88666" w14:textId="77777777" w:rsidR="0061175D" w:rsidRPr="009F1DD6" w:rsidRDefault="0061175D" w:rsidP="0061175D">
      <w:pPr>
        <w:pStyle w:val="2-SectionHeading"/>
      </w:pPr>
      <w:bookmarkStart w:id="1" w:name="_Toc177558641"/>
      <w:bookmarkStart w:id="2" w:name="_Hlk176811860"/>
      <w:bookmarkStart w:id="3" w:name="_Toc22897645"/>
      <w:r w:rsidRPr="009F1DD6">
        <w:t>Purpose of submission</w:t>
      </w:r>
      <w:bookmarkEnd w:id="1"/>
    </w:p>
    <w:p w14:paraId="1248B2B3" w14:textId="4AAB623F" w:rsidR="0061175D" w:rsidRPr="009A5A91" w:rsidRDefault="0061175D" w:rsidP="0091041C">
      <w:pPr>
        <w:numPr>
          <w:ilvl w:val="1"/>
          <w:numId w:val="6"/>
        </w:numPr>
        <w:spacing w:after="120"/>
        <w:rPr>
          <w:rFonts w:eastAsiaTheme="minorHAnsi" w:cstheme="minorBidi"/>
          <w:szCs w:val="22"/>
        </w:rPr>
      </w:pPr>
      <w:bookmarkStart w:id="4" w:name="_Toc107902078"/>
      <w:bookmarkEnd w:id="4"/>
      <w:r w:rsidRPr="009A5A91">
        <w:rPr>
          <w:rFonts w:eastAsiaTheme="minorHAnsi" w:cstheme="minorBidi"/>
          <w:szCs w:val="22"/>
        </w:rPr>
        <w:t>The</w:t>
      </w:r>
      <w:r w:rsidR="001E4669">
        <w:rPr>
          <w:rFonts w:eastAsiaTheme="minorHAnsi" w:cstheme="minorBidi"/>
          <w:szCs w:val="22"/>
        </w:rPr>
        <w:t xml:space="preserve"> Category 2</w:t>
      </w:r>
      <w:r w:rsidRPr="009A5A91">
        <w:rPr>
          <w:rFonts w:eastAsiaTheme="minorHAnsi" w:cstheme="minorBidi"/>
          <w:szCs w:val="22"/>
        </w:rPr>
        <w:t xml:space="preserve"> submission requested a General Schedule Authority Required (Telephone/Online) listing </w:t>
      </w:r>
      <w:r w:rsidRPr="00AF4843">
        <w:rPr>
          <w:rFonts w:eastAsiaTheme="minorHAnsi" w:cstheme="minorBidi"/>
          <w:szCs w:val="22"/>
        </w:rPr>
        <w:t>for the treatment of adult patients with chronic severe atopic dermatitis (AD)</w:t>
      </w:r>
      <w:r w:rsidR="001E4669">
        <w:rPr>
          <w:rFonts w:eastAsiaTheme="minorHAnsi" w:cstheme="minorBidi"/>
          <w:szCs w:val="22"/>
        </w:rPr>
        <w:t xml:space="preserve">. </w:t>
      </w:r>
      <w:proofErr w:type="spellStart"/>
      <w:r w:rsidR="001E4669">
        <w:rPr>
          <w:rFonts w:eastAsiaTheme="minorHAnsi" w:cstheme="minorBidi"/>
          <w:szCs w:val="22"/>
        </w:rPr>
        <w:t>A</w:t>
      </w:r>
      <w:r w:rsidR="001E4669" w:rsidRPr="009A5A91">
        <w:rPr>
          <w:rFonts w:eastAsiaTheme="minorHAnsi" w:cstheme="minorBidi"/>
          <w:szCs w:val="22"/>
        </w:rPr>
        <w:t>brocitinib</w:t>
      </w:r>
      <w:proofErr w:type="spellEnd"/>
      <w:r w:rsidR="001E4669" w:rsidRPr="009A5A91">
        <w:rPr>
          <w:rFonts w:eastAsiaTheme="minorHAnsi" w:cstheme="minorBidi"/>
          <w:szCs w:val="22"/>
        </w:rPr>
        <w:t xml:space="preserve"> (ABRO) </w:t>
      </w:r>
      <w:r w:rsidR="001E4669">
        <w:rPr>
          <w:rFonts w:eastAsiaTheme="minorHAnsi" w:cstheme="minorBidi"/>
          <w:szCs w:val="22"/>
        </w:rPr>
        <w:t>was requested for listing for patients</w:t>
      </w:r>
      <w:r w:rsidRPr="00AF4843">
        <w:rPr>
          <w:rFonts w:eastAsiaTheme="minorHAnsi" w:cstheme="minorBidi"/>
          <w:szCs w:val="22"/>
        </w:rPr>
        <w:t xml:space="preserve"> who are unable to achieve disease control with daily use of topical treatments for at least 28 days.</w:t>
      </w:r>
    </w:p>
    <w:p w14:paraId="09FC46FC" w14:textId="77777777" w:rsidR="0061175D" w:rsidRDefault="0061175D" w:rsidP="0091041C">
      <w:pPr>
        <w:numPr>
          <w:ilvl w:val="1"/>
          <w:numId w:val="6"/>
        </w:numPr>
        <w:spacing w:after="120"/>
        <w:rPr>
          <w:rFonts w:eastAsiaTheme="minorHAnsi" w:cstheme="minorBidi"/>
          <w:szCs w:val="22"/>
        </w:rPr>
      </w:pPr>
      <w:r w:rsidRPr="009A5A91">
        <w:rPr>
          <w:rFonts w:eastAsiaTheme="minorHAnsi" w:cstheme="minorBidi"/>
          <w:szCs w:val="22"/>
        </w:rPr>
        <w:t>Listing was requested on the basis of a cost-minimisation a</w:t>
      </w:r>
      <w:r>
        <w:rPr>
          <w:rFonts w:eastAsiaTheme="minorHAnsi" w:cstheme="minorBidi"/>
          <w:szCs w:val="22"/>
        </w:rPr>
        <w:t xml:space="preserve">pproach (CMA) </w:t>
      </w:r>
      <w:r w:rsidRPr="009A5A91">
        <w:rPr>
          <w:rFonts w:eastAsiaTheme="minorHAnsi" w:cstheme="minorBidi"/>
          <w:szCs w:val="22"/>
        </w:rPr>
        <w:t>for ABRO 20</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 xml:space="preserve">once daily (QD) </w:t>
      </w:r>
      <w:r w:rsidRPr="00070C35">
        <w:rPr>
          <w:rFonts w:eastAsiaTheme="minorHAnsi" w:cstheme="minorBidi"/>
          <w:szCs w:val="22"/>
        </w:rPr>
        <w:t>versus</w:t>
      </w:r>
      <w:r>
        <w:rPr>
          <w:rFonts w:eastAsiaTheme="minorHAnsi" w:cstheme="minorBidi"/>
          <w:i/>
          <w:iCs/>
          <w:szCs w:val="22"/>
        </w:rPr>
        <w:t xml:space="preserve"> </w:t>
      </w:r>
      <w:r>
        <w:rPr>
          <w:rFonts w:eastAsiaTheme="minorHAnsi" w:cstheme="minorBidi"/>
          <w:szCs w:val="22"/>
        </w:rPr>
        <w:t xml:space="preserve">dupilumab (DUPI) 300 mg every 2 weeks (Q2W) </w:t>
      </w:r>
      <w:r w:rsidRPr="009A5A91">
        <w:rPr>
          <w:rFonts w:eastAsiaTheme="minorHAnsi" w:cstheme="minorBidi"/>
          <w:szCs w:val="22"/>
        </w:rPr>
        <w:t xml:space="preserve">and a cost-effectiveness analysis for ABRO </w:t>
      </w:r>
      <w:r>
        <w:rPr>
          <w:rFonts w:eastAsiaTheme="minorHAnsi" w:cstheme="minorBidi"/>
          <w:szCs w:val="22"/>
        </w:rPr>
        <w:t xml:space="preserve">100 mg QD </w:t>
      </w:r>
      <w:r w:rsidRPr="00070C35">
        <w:rPr>
          <w:rFonts w:eastAsiaTheme="minorHAnsi" w:cstheme="minorBidi"/>
          <w:szCs w:val="22"/>
        </w:rPr>
        <w:t>versus</w:t>
      </w:r>
      <w:r w:rsidRPr="009A5A91">
        <w:rPr>
          <w:rFonts w:eastAsiaTheme="minorHAnsi" w:cstheme="minorBidi"/>
          <w:szCs w:val="22"/>
        </w:rPr>
        <w:t xml:space="preserve"> DUPI</w:t>
      </w:r>
      <w:r w:rsidRPr="00C609D5">
        <w:rPr>
          <w:rFonts w:eastAsiaTheme="minorHAnsi" w:cstheme="minorBidi"/>
          <w:szCs w:val="22"/>
        </w:rPr>
        <w:t xml:space="preserve"> </w:t>
      </w:r>
      <w:r>
        <w:rPr>
          <w:rFonts w:eastAsiaTheme="minorHAnsi" w:cstheme="minorBidi"/>
          <w:szCs w:val="22"/>
        </w:rPr>
        <w:t>300 mg Q2W.</w:t>
      </w:r>
    </w:p>
    <w:p w14:paraId="4C68F65C" w14:textId="3547B9CD" w:rsidR="0061175D" w:rsidRPr="009A5A91" w:rsidRDefault="0061175D" w:rsidP="0061175D">
      <w:pPr>
        <w:keepNext/>
        <w:rPr>
          <w:rFonts w:ascii="Arial Narrow" w:eastAsiaTheme="majorEastAsia" w:hAnsi="Arial Narrow" w:cstheme="majorBidi"/>
          <w:b/>
          <w:bCs/>
          <w:sz w:val="20"/>
        </w:rPr>
      </w:pPr>
      <w:r w:rsidRPr="009A5A91">
        <w:rPr>
          <w:rFonts w:ascii="Arial Narrow" w:eastAsiaTheme="majorEastAsia" w:hAnsi="Arial Narrow" w:cstheme="majorBidi"/>
          <w:b/>
          <w:bCs/>
          <w:sz w:val="20"/>
        </w:rPr>
        <w:t xml:space="preserve">Table </w:t>
      </w:r>
      <w:r w:rsidRPr="009A5A91">
        <w:rPr>
          <w:rFonts w:ascii="Arial Narrow" w:eastAsiaTheme="majorEastAsia" w:hAnsi="Arial Narrow" w:cstheme="majorBidi"/>
          <w:b/>
          <w:bCs/>
          <w:sz w:val="20"/>
        </w:rPr>
        <w:fldChar w:fldCharType="begin" w:fldLock="1"/>
      </w:r>
      <w:r w:rsidRPr="009A5A91">
        <w:rPr>
          <w:rFonts w:ascii="Arial Narrow" w:eastAsiaTheme="majorEastAsia" w:hAnsi="Arial Narrow" w:cstheme="majorBidi"/>
          <w:b/>
          <w:bCs/>
          <w:sz w:val="20"/>
        </w:rPr>
        <w:instrText xml:space="preserve"> SEQ Table \* ARABIC </w:instrText>
      </w:r>
      <w:r w:rsidRPr="009A5A91">
        <w:rPr>
          <w:rFonts w:ascii="Arial Narrow" w:eastAsiaTheme="majorEastAsia" w:hAnsi="Arial Narrow" w:cstheme="majorBidi"/>
          <w:b/>
          <w:bCs/>
          <w:sz w:val="20"/>
        </w:rPr>
        <w:fldChar w:fldCharType="separate"/>
      </w:r>
      <w:r w:rsidR="004F2A70">
        <w:rPr>
          <w:rFonts w:ascii="Arial Narrow" w:eastAsiaTheme="majorEastAsia" w:hAnsi="Arial Narrow" w:cstheme="majorBidi"/>
          <w:b/>
          <w:bCs/>
          <w:noProof/>
          <w:sz w:val="20"/>
        </w:rPr>
        <w:t>1</w:t>
      </w:r>
      <w:r w:rsidRPr="009A5A91">
        <w:rPr>
          <w:rFonts w:ascii="Arial Narrow" w:eastAsiaTheme="majorEastAsia" w:hAnsi="Arial Narrow" w:cstheme="majorBidi"/>
          <w:b/>
          <w:bCs/>
          <w:sz w:val="20"/>
        </w:rPr>
        <w:fldChar w:fldCharType="end"/>
      </w:r>
      <w:r w:rsidRPr="009A5A91">
        <w:rPr>
          <w:rFonts w:ascii="Arial Narrow" w:eastAsiaTheme="majorEastAsia" w:hAnsi="Arial Narrow" w:cstheme="majorBidi"/>
          <w:b/>
          <w:bCs/>
          <w:sz w:val="20"/>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61175D" w:rsidRPr="009A5A91" w14:paraId="5FF80070" w14:textId="77777777" w:rsidTr="00CC1644">
        <w:trPr>
          <w:cantSplit/>
          <w:tblHeader/>
        </w:trPr>
        <w:tc>
          <w:tcPr>
            <w:tcW w:w="924" w:type="pct"/>
            <w:shd w:val="clear" w:color="auto" w:fill="auto"/>
          </w:tcPr>
          <w:p w14:paraId="71BFF2F2" w14:textId="77777777" w:rsidR="0061175D" w:rsidRPr="009A5A91" w:rsidRDefault="0061175D" w:rsidP="00CC1644">
            <w:pPr>
              <w:keepNext/>
              <w:keepLines/>
              <w:rPr>
                <w:rFonts w:ascii="Arial Narrow" w:eastAsiaTheme="majorEastAsia" w:hAnsi="Arial Narrow"/>
                <w:b/>
                <w:sz w:val="20"/>
                <w:szCs w:val="20"/>
                <w:lang w:val="en-US"/>
              </w:rPr>
            </w:pPr>
            <w:bookmarkStart w:id="5" w:name="_Hlk176684328"/>
            <w:r w:rsidRPr="009A5A91">
              <w:rPr>
                <w:rFonts w:ascii="Arial Narrow" w:eastAsiaTheme="majorEastAsia" w:hAnsi="Arial Narrow"/>
                <w:b/>
                <w:sz w:val="20"/>
                <w:lang w:val="en-US"/>
              </w:rPr>
              <w:t>Component</w:t>
            </w:r>
          </w:p>
        </w:tc>
        <w:tc>
          <w:tcPr>
            <w:tcW w:w="4076" w:type="pct"/>
            <w:shd w:val="clear" w:color="auto" w:fill="auto"/>
          </w:tcPr>
          <w:p w14:paraId="6BD831B6"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Description</w:t>
            </w:r>
          </w:p>
        </w:tc>
      </w:tr>
      <w:tr w:rsidR="0061175D" w:rsidRPr="009A5A91" w14:paraId="78DB22FE" w14:textId="77777777" w:rsidTr="00CC1644">
        <w:trPr>
          <w:cantSplit/>
        </w:trPr>
        <w:tc>
          <w:tcPr>
            <w:tcW w:w="924" w:type="pct"/>
          </w:tcPr>
          <w:p w14:paraId="4835A320"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Population</w:t>
            </w:r>
          </w:p>
        </w:tc>
        <w:tc>
          <w:tcPr>
            <w:tcW w:w="4076" w:type="pct"/>
          </w:tcPr>
          <w:p w14:paraId="4CBFE5AE"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Adults with chronic severe AD who are candidates for systemic therapy</w:t>
            </w:r>
          </w:p>
        </w:tc>
      </w:tr>
      <w:tr w:rsidR="0061175D" w:rsidRPr="009A5A91" w14:paraId="1C52A73D" w14:textId="77777777" w:rsidTr="00CC1644">
        <w:trPr>
          <w:cantSplit/>
        </w:trPr>
        <w:tc>
          <w:tcPr>
            <w:tcW w:w="924" w:type="pct"/>
          </w:tcPr>
          <w:p w14:paraId="09DA61DD"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Intervention</w:t>
            </w:r>
          </w:p>
        </w:tc>
        <w:tc>
          <w:tcPr>
            <w:tcW w:w="4076" w:type="pct"/>
          </w:tcPr>
          <w:p w14:paraId="19E90ADE"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A</w:t>
            </w:r>
            <w:r>
              <w:rPr>
                <w:rFonts w:ascii="Arial Narrow" w:eastAsiaTheme="majorEastAsia" w:hAnsi="Arial Narrow" w:cstheme="majorBidi"/>
                <w:bCs/>
                <w:sz w:val="20"/>
                <w:szCs w:val="18"/>
              </w:rPr>
              <w:t>BRO</w:t>
            </w:r>
            <w:r w:rsidRPr="009A5A91">
              <w:rPr>
                <w:rFonts w:ascii="Arial Narrow" w:eastAsiaTheme="majorEastAsia" w:hAnsi="Arial Narrow" w:cstheme="majorBidi"/>
                <w:bCs/>
                <w:sz w:val="20"/>
                <w:szCs w:val="18"/>
              </w:rPr>
              <w:t xml:space="preserve"> 20</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10</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or 5</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orally, </w:t>
            </w:r>
            <w:r>
              <w:rPr>
                <w:rFonts w:ascii="Arial Narrow" w:eastAsiaTheme="majorEastAsia" w:hAnsi="Arial Narrow" w:cstheme="majorBidi"/>
                <w:bCs/>
                <w:sz w:val="20"/>
                <w:szCs w:val="18"/>
              </w:rPr>
              <w:t>QD</w:t>
            </w:r>
            <w:r w:rsidRPr="009A5A91">
              <w:rPr>
                <w:rFonts w:ascii="Arial Narrow" w:eastAsiaTheme="majorEastAsia" w:hAnsi="Arial Narrow" w:cstheme="majorBidi"/>
                <w:bCs/>
                <w:sz w:val="20"/>
                <w:szCs w:val="18"/>
              </w:rPr>
              <w:t>.</w:t>
            </w:r>
          </w:p>
        </w:tc>
      </w:tr>
      <w:tr w:rsidR="0061175D" w:rsidRPr="009A5A91" w14:paraId="57BA3C65" w14:textId="77777777" w:rsidTr="00CC1644">
        <w:trPr>
          <w:cantSplit/>
        </w:trPr>
        <w:tc>
          <w:tcPr>
            <w:tcW w:w="924" w:type="pct"/>
          </w:tcPr>
          <w:p w14:paraId="29E698AB"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Comparator</w:t>
            </w:r>
          </w:p>
        </w:tc>
        <w:tc>
          <w:tcPr>
            <w:tcW w:w="4076" w:type="pct"/>
          </w:tcPr>
          <w:p w14:paraId="0E7B92DE"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Primary</w:t>
            </w:r>
            <w:r w:rsidRPr="009A5A91">
              <w:rPr>
                <w:rFonts w:ascii="Arial Narrow" w:eastAsiaTheme="majorEastAsia" w:hAnsi="Arial Narrow" w:cstheme="majorBidi"/>
                <w:bCs/>
                <w:sz w:val="20"/>
                <w:szCs w:val="18"/>
              </w:rPr>
              <w:t>: D</w:t>
            </w:r>
            <w:r>
              <w:rPr>
                <w:rFonts w:ascii="Arial Narrow" w:eastAsiaTheme="majorEastAsia" w:hAnsi="Arial Narrow" w:cstheme="majorBidi"/>
                <w:bCs/>
                <w:sz w:val="20"/>
                <w:szCs w:val="18"/>
              </w:rPr>
              <w:t>UPI</w:t>
            </w:r>
            <w:r w:rsidRPr="009A5A91">
              <w:rPr>
                <w:rFonts w:ascii="Arial Narrow" w:eastAsiaTheme="majorEastAsia" w:hAnsi="Arial Narrow" w:cstheme="majorBidi"/>
                <w:bCs/>
                <w:sz w:val="20"/>
                <w:szCs w:val="18"/>
              </w:rPr>
              <w:t xml:space="preserve"> 60</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by SC injection loading dose, followed by 30</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by SC injection </w:t>
            </w:r>
            <w:r>
              <w:rPr>
                <w:rFonts w:ascii="Arial Narrow" w:eastAsiaTheme="majorEastAsia" w:hAnsi="Arial Narrow" w:cstheme="majorBidi"/>
                <w:bCs/>
                <w:sz w:val="20"/>
                <w:szCs w:val="18"/>
              </w:rPr>
              <w:t>Q2W</w:t>
            </w:r>
            <w:r w:rsidRPr="009A5A91">
              <w:rPr>
                <w:rFonts w:ascii="Arial Narrow" w:eastAsiaTheme="majorEastAsia" w:hAnsi="Arial Narrow" w:cstheme="majorBidi"/>
                <w:bCs/>
                <w:sz w:val="20"/>
                <w:szCs w:val="18"/>
              </w:rPr>
              <w:t>.</w:t>
            </w:r>
          </w:p>
          <w:p w14:paraId="35BE11B6"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S</w:t>
            </w:r>
            <w:r>
              <w:rPr>
                <w:rFonts w:ascii="Arial Narrow" w:eastAsiaTheme="majorEastAsia" w:hAnsi="Arial Narrow" w:cstheme="majorBidi"/>
                <w:bCs/>
                <w:sz w:val="20"/>
                <w:szCs w:val="18"/>
              </w:rPr>
              <w:t>econdary</w:t>
            </w:r>
            <w:r w:rsidRPr="009A5A91">
              <w:rPr>
                <w:rFonts w:ascii="Arial Narrow" w:eastAsiaTheme="majorEastAsia" w:hAnsi="Arial Narrow" w:cstheme="majorBidi"/>
                <w:bCs/>
                <w:sz w:val="20"/>
                <w:szCs w:val="18"/>
              </w:rPr>
              <w:t>: U</w:t>
            </w:r>
            <w:r>
              <w:rPr>
                <w:rFonts w:ascii="Arial Narrow" w:eastAsiaTheme="majorEastAsia" w:hAnsi="Arial Narrow" w:cstheme="majorBidi"/>
                <w:bCs/>
                <w:sz w:val="20"/>
                <w:szCs w:val="18"/>
              </w:rPr>
              <w:t>PA</w:t>
            </w:r>
            <w:r w:rsidRPr="009A5A91">
              <w:rPr>
                <w:rFonts w:ascii="Arial Narrow" w:eastAsiaTheme="majorEastAsia" w:hAnsi="Arial Narrow" w:cstheme="majorBidi"/>
                <w:bCs/>
                <w:sz w:val="20"/>
                <w:szCs w:val="18"/>
              </w:rPr>
              <w:t xml:space="preserve"> 3</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 xml:space="preserve">or </w:t>
            </w:r>
            <w:r w:rsidRPr="009A5A91">
              <w:rPr>
                <w:rFonts w:ascii="Arial Narrow" w:eastAsiaTheme="majorEastAsia" w:hAnsi="Arial Narrow" w:cstheme="majorBidi"/>
                <w:bCs/>
                <w:sz w:val="20"/>
                <w:szCs w:val="18"/>
              </w:rPr>
              <w:t>15mg or</w:t>
            </w:r>
            <w:r>
              <w:rPr>
                <w:rFonts w:ascii="Arial Narrow" w:eastAsiaTheme="majorEastAsia" w:hAnsi="Arial Narrow" w:cstheme="majorBidi"/>
                <w:bCs/>
                <w:sz w:val="20"/>
                <w:szCs w:val="18"/>
              </w:rPr>
              <w:t>ally</w:t>
            </w:r>
            <w:r w:rsidRPr="009A5A91">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QD</w:t>
            </w:r>
            <w:r w:rsidRPr="009A5A91">
              <w:rPr>
                <w:rFonts w:ascii="Arial Narrow" w:eastAsiaTheme="majorEastAsia" w:hAnsi="Arial Narrow" w:cstheme="majorBidi"/>
                <w:bCs/>
                <w:sz w:val="20"/>
                <w:szCs w:val="18"/>
              </w:rPr>
              <w:t>.</w:t>
            </w:r>
          </w:p>
        </w:tc>
      </w:tr>
      <w:tr w:rsidR="0061175D" w:rsidRPr="009A5A91" w14:paraId="29FDE793" w14:textId="77777777" w:rsidTr="00CC1644">
        <w:trPr>
          <w:cantSplit/>
        </w:trPr>
        <w:tc>
          <w:tcPr>
            <w:tcW w:w="924" w:type="pct"/>
          </w:tcPr>
          <w:p w14:paraId="1EABE142"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Outcomes</w:t>
            </w:r>
          </w:p>
        </w:tc>
        <w:tc>
          <w:tcPr>
            <w:tcW w:w="4076" w:type="pct"/>
          </w:tcPr>
          <w:p w14:paraId="42ED7067" w14:textId="77777777" w:rsidR="0061175D" w:rsidRPr="009A5A91" w:rsidRDefault="0061175D" w:rsidP="00CC1644">
            <w:pPr>
              <w:keepNext/>
              <w:keepLines/>
              <w:rPr>
                <w:rFonts w:ascii="Arial Narrow" w:eastAsiaTheme="majorEastAsia" w:hAnsi="Arial Narrow" w:cstheme="majorBidi"/>
                <w:bCs/>
                <w:snapToGrid w:val="0"/>
                <w:sz w:val="20"/>
                <w:szCs w:val="18"/>
              </w:rPr>
            </w:pPr>
            <w:r w:rsidRPr="00DD2EED">
              <w:rPr>
                <w:rFonts w:ascii="Arial Narrow" w:eastAsiaTheme="majorEastAsia" w:hAnsi="Arial Narrow" w:cstheme="majorBidi"/>
                <w:bCs/>
                <w:sz w:val="20"/>
                <w:szCs w:val="18"/>
              </w:rPr>
              <w:t>EASI50+DLQI≥4, IGA, EASI75, EASI90, PP-NRS4, safety</w:t>
            </w:r>
          </w:p>
        </w:tc>
      </w:tr>
      <w:tr w:rsidR="0061175D" w:rsidRPr="009A5A91" w14:paraId="74EFD07F" w14:textId="77777777" w:rsidTr="00CC1644">
        <w:trPr>
          <w:cantSplit/>
        </w:trPr>
        <w:tc>
          <w:tcPr>
            <w:tcW w:w="924" w:type="pct"/>
          </w:tcPr>
          <w:p w14:paraId="0CA9C92C"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Clinical claim</w:t>
            </w:r>
          </w:p>
        </w:tc>
        <w:tc>
          <w:tcPr>
            <w:tcW w:w="4076" w:type="pct"/>
          </w:tcPr>
          <w:p w14:paraId="68975D7F" w14:textId="77777777" w:rsidR="0061175D" w:rsidRPr="007D72A2" w:rsidRDefault="0061175D" w:rsidP="00CC1644">
            <w:pPr>
              <w:keepNext/>
              <w:keepLines/>
              <w:rPr>
                <w:rFonts w:ascii="Arial Narrow" w:eastAsiaTheme="majorEastAsia" w:hAnsi="Arial Narrow" w:cstheme="majorBidi"/>
                <w:bCs/>
                <w:sz w:val="20"/>
                <w:szCs w:val="18"/>
              </w:rPr>
            </w:pPr>
            <w:r w:rsidRPr="007D72A2">
              <w:rPr>
                <w:rFonts w:ascii="Arial Narrow" w:eastAsiaTheme="majorEastAsia" w:hAnsi="Arial Narrow" w:cstheme="majorBidi"/>
                <w:bCs/>
                <w:sz w:val="20"/>
                <w:szCs w:val="18"/>
              </w:rPr>
              <w:t>ABRO 20</w:t>
            </w:r>
            <w:r>
              <w:rPr>
                <w:rFonts w:ascii="Arial Narrow" w:eastAsiaTheme="majorEastAsia" w:hAnsi="Arial Narrow" w:cstheme="majorBidi"/>
                <w:bCs/>
                <w:sz w:val="20"/>
                <w:szCs w:val="18"/>
              </w:rPr>
              <w:t>0 mg</w:t>
            </w:r>
            <w:r w:rsidRPr="007D72A2">
              <w:rPr>
                <w:rFonts w:ascii="Arial Narrow" w:eastAsiaTheme="majorEastAsia" w:hAnsi="Arial Narrow" w:cstheme="majorBidi"/>
                <w:bCs/>
                <w:sz w:val="20"/>
                <w:szCs w:val="18"/>
              </w:rPr>
              <w:t xml:space="preserve">: non-inferior efficacy and non-inferior safety to </w:t>
            </w:r>
            <w:r>
              <w:rPr>
                <w:rFonts w:ascii="Arial Narrow" w:eastAsiaTheme="majorEastAsia" w:hAnsi="Arial Narrow" w:cstheme="majorBidi"/>
                <w:bCs/>
                <w:sz w:val="20"/>
                <w:szCs w:val="18"/>
              </w:rPr>
              <w:t>DUPI</w:t>
            </w:r>
          </w:p>
          <w:p w14:paraId="11EABA0A" w14:textId="77777777" w:rsidR="0061175D" w:rsidRPr="009A5A91" w:rsidRDefault="0061175D" w:rsidP="00CC1644">
            <w:pPr>
              <w:keepNext/>
              <w:keepLines/>
              <w:rPr>
                <w:rFonts w:ascii="Arial Narrow" w:eastAsiaTheme="majorEastAsia" w:hAnsi="Arial Narrow" w:cstheme="majorBidi"/>
                <w:bCs/>
                <w:snapToGrid w:val="0"/>
                <w:sz w:val="20"/>
                <w:szCs w:val="18"/>
              </w:rPr>
            </w:pPr>
            <w:r w:rsidRPr="007D72A2">
              <w:rPr>
                <w:rFonts w:ascii="Arial Narrow" w:eastAsiaTheme="majorEastAsia" w:hAnsi="Arial Narrow" w:cstheme="majorBidi"/>
                <w:bCs/>
                <w:sz w:val="20"/>
                <w:szCs w:val="18"/>
              </w:rPr>
              <w:t>ABRO 10</w:t>
            </w:r>
            <w:r>
              <w:rPr>
                <w:rFonts w:ascii="Arial Narrow" w:eastAsiaTheme="majorEastAsia" w:hAnsi="Arial Narrow" w:cstheme="majorBidi"/>
                <w:bCs/>
                <w:sz w:val="20"/>
                <w:szCs w:val="18"/>
              </w:rPr>
              <w:t>0 mg:</w:t>
            </w:r>
            <w:r w:rsidRPr="007D72A2">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not non-</w:t>
            </w:r>
            <w:r w:rsidRPr="007D72A2">
              <w:rPr>
                <w:rFonts w:ascii="Arial Narrow" w:eastAsiaTheme="majorEastAsia" w:hAnsi="Arial Narrow" w:cstheme="majorBidi"/>
                <w:bCs/>
                <w:sz w:val="20"/>
                <w:szCs w:val="18"/>
              </w:rPr>
              <w:t xml:space="preserve">inferior efficacy and non-inferior safety to </w:t>
            </w:r>
            <w:r>
              <w:rPr>
                <w:rFonts w:ascii="Arial Narrow" w:eastAsiaTheme="majorEastAsia" w:hAnsi="Arial Narrow" w:cstheme="majorBidi"/>
                <w:bCs/>
                <w:sz w:val="20"/>
                <w:szCs w:val="18"/>
              </w:rPr>
              <w:t>DUPI</w:t>
            </w:r>
          </w:p>
        </w:tc>
      </w:tr>
    </w:tbl>
    <w:bookmarkEnd w:id="5"/>
    <w:p w14:paraId="2F1E8130" w14:textId="77777777" w:rsidR="0061175D" w:rsidRPr="00314011" w:rsidRDefault="0061175D" w:rsidP="0061175D">
      <w:pPr>
        <w:spacing w:after="120"/>
        <w:contextualSpacing/>
        <w:rPr>
          <w:rFonts w:ascii="Arial Narrow" w:hAnsi="Arial Narrow"/>
          <w:iCs/>
          <w:snapToGrid w:val="0"/>
          <w:sz w:val="18"/>
          <w:szCs w:val="22"/>
        </w:rPr>
      </w:pPr>
      <w:r w:rsidRPr="00314011">
        <w:rPr>
          <w:rFonts w:ascii="Arial Narrow" w:hAnsi="Arial Narrow"/>
          <w:iCs/>
          <w:snapToGrid w:val="0"/>
          <w:sz w:val="18"/>
          <w:szCs w:val="22"/>
        </w:rPr>
        <w:t>Source: Table 1.1.1, p2 of the submission.</w:t>
      </w:r>
    </w:p>
    <w:p w14:paraId="404EDB64" w14:textId="77777777" w:rsidR="0061175D" w:rsidRPr="00314011" w:rsidRDefault="0061175D" w:rsidP="0061175D">
      <w:pPr>
        <w:spacing w:after="120"/>
        <w:contextualSpacing/>
        <w:rPr>
          <w:rFonts w:ascii="Arial Narrow" w:hAnsi="Arial Narrow"/>
          <w:iCs/>
          <w:snapToGrid w:val="0"/>
          <w:sz w:val="18"/>
          <w:szCs w:val="22"/>
        </w:rPr>
      </w:pPr>
      <w:r>
        <w:rPr>
          <w:rFonts w:ascii="Arial Narrow" w:hAnsi="Arial Narrow"/>
          <w:iCs/>
          <w:snapToGrid w:val="0"/>
          <w:sz w:val="18"/>
          <w:szCs w:val="22"/>
        </w:rPr>
        <w:t xml:space="preserve">ABRO = </w:t>
      </w:r>
      <w:proofErr w:type="spellStart"/>
      <w:r>
        <w:rPr>
          <w:rFonts w:ascii="Arial Narrow" w:hAnsi="Arial Narrow"/>
          <w:iCs/>
          <w:snapToGrid w:val="0"/>
          <w:sz w:val="18"/>
          <w:szCs w:val="22"/>
        </w:rPr>
        <w:t>abrocitinib</w:t>
      </w:r>
      <w:proofErr w:type="spellEnd"/>
      <w:r w:rsidRPr="00314011">
        <w:rPr>
          <w:rFonts w:ascii="Arial Narrow" w:hAnsi="Arial Narrow"/>
          <w:iCs/>
          <w:snapToGrid w:val="0"/>
          <w:sz w:val="18"/>
          <w:szCs w:val="22"/>
        </w:rPr>
        <w:t xml:space="preserve">; DLQI = Dermatology Life Quality Index; DLQI≥4 = Proportion of patients with improvement in baseline DLQI of ≥4 points from baseline; DUPI = </w:t>
      </w:r>
      <w:r>
        <w:rPr>
          <w:rFonts w:ascii="Arial Narrow" w:hAnsi="Arial Narrow"/>
          <w:iCs/>
          <w:snapToGrid w:val="0"/>
          <w:sz w:val="18"/>
          <w:szCs w:val="22"/>
        </w:rPr>
        <w:t>DUPI</w:t>
      </w:r>
      <w:r w:rsidRPr="00314011">
        <w:rPr>
          <w:rFonts w:ascii="Arial Narrow" w:hAnsi="Arial Narrow"/>
          <w:iCs/>
          <w:snapToGrid w:val="0"/>
          <w:sz w:val="18"/>
          <w:szCs w:val="22"/>
        </w:rPr>
        <w:t xml:space="preserve">; EASI50 = Proportion of patients with improvement of ≥50% from baseline in Eczema Area and Severity Index; EASI75 = Proportion of patients with improvement of ≥75% from baseline in Eczema Area and Severity Index; EASI90 = Proportion of patients with improvement of ≥90% from baseline in Eczema Area and Severity Index; IGA = Investigator's Global Assessment; PP-NRS4 = Proportion of patients with ≥4 points improvement from baseline in PP-NRS; </w:t>
      </w:r>
      <w:r w:rsidRPr="00D52705">
        <w:rPr>
          <w:rFonts w:ascii="Arial Narrow" w:hAnsi="Arial Narrow"/>
          <w:iCs/>
          <w:snapToGrid w:val="0"/>
          <w:sz w:val="18"/>
          <w:szCs w:val="22"/>
        </w:rPr>
        <w:t xml:space="preserve">Q2W = Once every 2 weeks; QD = Once Daily; </w:t>
      </w:r>
      <w:r w:rsidRPr="00314011">
        <w:rPr>
          <w:rFonts w:ascii="Arial Narrow" w:hAnsi="Arial Narrow"/>
          <w:iCs/>
          <w:snapToGrid w:val="0"/>
          <w:sz w:val="18"/>
          <w:szCs w:val="22"/>
        </w:rPr>
        <w:t>SC = Subcutaneous; UPA = upadacitinib</w:t>
      </w:r>
    </w:p>
    <w:p w14:paraId="2DEF326D" w14:textId="77777777" w:rsidR="0061175D" w:rsidRPr="009A5A91" w:rsidRDefault="0061175D" w:rsidP="0061175D">
      <w:pPr>
        <w:pStyle w:val="2-SectionHeading"/>
      </w:pPr>
      <w:bookmarkStart w:id="6" w:name="_Toc177558642"/>
      <w:r w:rsidRPr="009A5A91">
        <w:t>Background</w:t>
      </w:r>
      <w:bookmarkEnd w:id="6"/>
    </w:p>
    <w:p w14:paraId="4C6E5A1C" w14:textId="77777777" w:rsidR="0061175D" w:rsidRPr="009A5A91" w:rsidRDefault="0061175D" w:rsidP="0061175D">
      <w:pPr>
        <w:keepNext/>
        <w:spacing w:before="120" w:after="120"/>
        <w:outlineLvl w:val="1"/>
        <w:rPr>
          <w:rFonts w:eastAsiaTheme="majorEastAsia" w:cstheme="majorBidi"/>
          <w:b/>
          <w:i/>
          <w:spacing w:val="5"/>
          <w:kern w:val="28"/>
          <w:sz w:val="28"/>
          <w:szCs w:val="36"/>
          <w:lang w:eastAsia="en-US"/>
        </w:rPr>
      </w:pPr>
      <w:bookmarkStart w:id="7" w:name="_Hlk176684564"/>
      <w:r w:rsidRPr="009A5A91">
        <w:rPr>
          <w:rFonts w:eastAsiaTheme="majorEastAsia" w:cstheme="majorBidi"/>
          <w:b/>
          <w:i/>
          <w:spacing w:val="5"/>
          <w:kern w:val="28"/>
          <w:sz w:val="28"/>
          <w:szCs w:val="36"/>
          <w:lang w:eastAsia="en-US"/>
        </w:rPr>
        <w:t>Registration status</w:t>
      </w:r>
    </w:p>
    <w:bookmarkEnd w:id="7"/>
    <w:p w14:paraId="4083CE32" w14:textId="56E25C84" w:rsidR="0061175D" w:rsidRDefault="0061175D" w:rsidP="0091041C">
      <w:pPr>
        <w:numPr>
          <w:ilvl w:val="1"/>
          <w:numId w:val="6"/>
        </w:numPr>
        <w:spacing w:after="120"/>
        <w:rPr>
          <w:rFonts w:eastAsiaTheme="minorHAnsi" w:cstheme="minorBidi"/>
          <w:szCs w:val="22"/>
        </w:rPr>
      </w:pPr>
      <w:r w:rsidRPr="007912A0">
        <w:rPr>
          <w:rFonts w:eastAsiaTheme="minorHAnsi" w:cstheme="minorBidi"/>
          <w:szCs w:val="22"/>
        </w:rPr>
        <w:t xml:space="preserve">ABRO </w:t>
      </w:r>
      <w:r w:rsidR="00C93BF8">
        <w:rPr>
          <w:rFonts w:eastAsiaTheme="minorHAnsi" w:cstheme="minorBidi"/>
          <w:szCs w:val="22"/>
        </w:rPr>
        <w:t>is</w:t>
      </w:r>
      <w:r w:rsidR="00C93BF8" w:rsidRPr="007912A0">
        <w:rPr>
          <w:rFonts w:eastAsiaTheme="minorHAnsi" w:cstheme="minorBidi"/>
          <w:szCs w:val="22"/>
        </w:rPr>
        <w:t xml:space="preserve"> </w:t>
      </w:r>
      <w:r w:rsidRPr="007912A0">
        <w:rPr>
          <w:rFonts w:eastAsiaTheme="minorHAnsi" w:cstheme="minorBidi"/>
          <w:szCs w:val="22"/>
        </w:rPr>
        <w:t xml:space="preserve">TGA </w:t>
      </w:r>
      <w:r>
        <w:rPr>
          <w:rFonts w:eastAsiaTheme="minorHAnsi" w:cstheme="minorBidi"/>
          <w:szCs w:val="22"/>
        </w:rPr>
        <w:t>approved</w:t>
      </w:r>
      <w:r w:rsidRPr="007912A0">
        <w:rPr>
          <w:rFonts w:eastAsiaTheme="minorHAnsi" w:cstheme="minorBidi"/>
          <w:szCs w:val="22"/>
        </w:rPr>
        <w:t xml:space="preserve"> </w:t>
      </w:r>
      <w:r>
        <w:rPr>
          <w:rFonts w:eastAsiaTheme="minorHAnsi" w:cstheme="minorBidi"/>
          <w:szCs w:val="22"/>
        </w:rPr>
        <w:t>for the following indication</w:t>
      </w:r>
      <w:r w:rsidRPr="007912A0">
        <w:rPr>
          <w:rFonts w:eastAsiaTheme="minorHAnsi" w:cstheme="minorBidi"/>
          <w:szCs w:val="22"/>
        </w:rPr>
        <w:t xml:space="preserve">: </w:t>
      </w:r>
      <w:bookmarkStart w:id="8" w:name="_Hlk176685034"/>
    </w:p>
    <w:p w14:paraId="1B8A2ED4" w14:textId="77777777" w:rsidR="0061175D" w:rsidRDefault="0061175D" w:rsidP="0091041C">
      <w:pPr>
        <w:spacing w:after="120"/>
        <w:ind w:left="1134"/>
        <w:rPr>
          <w:rFonts w:eastAsiaTheme="minorHAnsi" w:cstheme="minorBidi"/>
          <w:szCs w:val="22"/>
        </w:rPr>
      </w:pPr>
      <w:proofErr w:type="spellStart"/>
      <w:r>
        <w:rPr>
          <w:rFonts w:eastAsiaTheme="minorHAnsi" w:cstheme="minorBidi"/>
          <w:szCs w:val="22"/>
        </w:rPr>
        <w:t>C</w:t>
      </w:r>
      <w:r w:rsidRPr="007912A0">
        <w:rPr>
          <w:rFonts w:eastAsiaTheme="minorHAnsi" w:cstheme="minorBidi"/>
          <w:szCs w:val="22"/>
        </w:rPr>
        <w:t>ibinqo</w:t>
      </w:r>
      <w:bookmarkEnd w:id="8"/>
      <w:proofErr w:type="spellEnd"/>
      <w:r w:rsidRPr="007912A0">
        <w:rPr>
          <w:rFonts w:eastAsiaTheme="minorHAnsi" w:cstheme="minorBidi"/>
          <w:szCs w:val="22"/>
        </w:rPr>
        <w:t xml:space="preserve"> is indicated for the treatment of moderate-to-severe atopic dermatitis in adults who are candidates for systemic therapy. </w:t>
      </w:r>
      <w:proofErr w:type="spellStart"/>
      <w:r w:rsidRPr="007912A0">
        <w:rPr>
          <w:rFonts w:eastAsiaTheme="minorHAnsi" w:cstheme="minorBidi"/>
          <w:szCs w:val="22"/>
        </w:rPr>
        <w:t>Cibinqo</w:t>
      </w:r>
      <w:proofErr w:type="spellEnd"/>
      <w:r w:rsidRPr="007912A0">
        <w:rPr>
          <w:rFonts w:eastAsiaTheme="minorHAnsi" w:cstheme="minorBidi"/>
          <w:szCs w:val="22"/>
        </w:rPr>
        <w:t xml:space="preserve"> can be used with or without medicated topical therapies for atopic dermatitis. </w:t>
      </w:r>
    </w:p>
    <w:p w14:paraId="1F334C9D" w14:textId="77777777" w:rsidR="0061175D" w:rsidRPr="007912A0" w:rsidRDefault="0061175D" w:rsidP="0091041C">
      <w:pPr>
        <w:numPr>
          <w:ilvl w:val="1"/>
          <w:numId w:val="6"/>
        </w:numPr>
        <w:spacing w:after="120"/>
        <w:rPr>
          <w:rFonts w:eastAsiaTheme="minorHAnsi" w:cstheme="minorBidi"/>
          <w:szCs w:val="22"/>
        </w:rPr>
      </w:pPr>
      <w:r w:rsidRPr="007912A0">
        <w:rPr>
          <w:rFonts w:eastAsiaTheme="minorHAnsi" w:cstheme="minorBidi"/>
          <w:szCs w:val="22"/>
        </w:rPr>
        <w:lastRenderedPageBreak/>
        <w:t>ABRO is available as 20</w:t>
      </w:r>
      <w:r>
        <w:rPr>
          <w:rFonts w:eastAsiaTheme="minorHAnsi" w:cstheme="minorBidi"/>
          <w:szCs w:val="22"/>
        </w:rPr>
        <w:t>0 mg</w:t>
      </w:r>
      <w:r w:rsidRPr="007912A0">
        <w:rPr>
          <w:rFonts w:eastAsiaTheme="minorHAnsi" w:cstheme="minorBidi"/>
          <w:szCs w:val="22"/>
        </w:rPr>
        <w:t>, 10</w:t>
      </w:r>
      <w:r>
        <w:rPr>
          <w:rFonts w:eastAsiaTheme="minorHAnsi" w:cstheme="minorBidi"/>
          <w:szCs w:val="22"/>
        </w:rPr>
        <w:t>0 mg</w:t>
      </w:r>
      <w:r w:rsidRPr="007912A0">
        <w:rPr>
          <w:rFonts w:eastAsiaTheme="minorHAnsi" w:cstheme="minorBidi"/>
          <w:szCs w:val="22"/>
        </w:rPr>
        <w:t xml:space="preserve"> and 5</w:t>
      </w:r>
      <w:r>
        <w:rPr>
          <w:rFonts w:eastAsiaTheme="minorHAnsi" w:cstheme="minorBidi"/>
          <w:szCs w:val="22"/>
        </w:rPr>
        <w:t>0 mg</w:t>
      </w:r>
      <w:r w:rsidRPr="007912A0">
        <w:rPr>
          <w:rFonts w:eastAsiaTheme="minorHAnsi" w:cstheme="minorBidi"/>
          <w:szCs w:val="22"/>
        </w:rPr>
        <w:t xml:space="preserve"> tablets. </w:t>
      </w:r>
      <w:r>
        <w:rPr>
          <w:rFonts w:eastAsiaTheme="minorHAnsi" w:cstheme="minorBidi"/>
          <w:szCs w:val="22"/>
        </w:rPr>
        <w:t xml:space="preserve">The Product Information (PI) states the tablets should not be split or crushed. </w:t>
      </w:r>
      <w:r w:rsidRPr="007912A0">
        <w:rPr>
          <w:rFonts w:eastAsiaTheme="minorHAnsi" w:cstheme="minorBidi"/>
          <w:szCs w:val="22"/>
        </w:rPr>
        <w:t>The recommended starting dose is 10</w:t>
      </w:r>
      <w:r>
        <w:rPr>
          <w:rFonts w:eastAsiaTheme="minorHAnsi" w:cstheme="minorBidi"/>
          <w:szCs w:val="22"/>
        </w:rPr>
        <w:t>0 mg</w:t>
      </w:r>
      <w:r w:rsidRPr="007912A0">
        <w:rPr>
          <w:rFonts w:eastAsiaTheme="minorHAnsi" w:cstheme="minorBidi"/>
          <w:szCs w:val="22"/>
        </w:rPr>
        <w:t xml:space="preserve"> or 20</w:t>
      </w:r>
      <w:r>
        <w:rPr>
          <w:rFonts w:eastAsiaTheme="minorHAnsi" w:cstheme="minorBidi"/>
          <w:szCs w:val="22"/>
        </w:rPr>
        <w:t>0 mg</w:t>
      </w:r>
      <w:r w:rsidRPr="007912A0">
        <w:rPr>
          <w:rFonts w:eastAsiaTheme="minorHAnsi" w:cstheme="minorBidi"/>
          <w:szCs w:val="22"/>
        </w:rPr>
        <w:t xml:space="preserve"> </w:t>
      </w:r>
      <w:r>
        <w:rPr>
          <w:rFonts w:eastAsiaTheme="minorHAnsi" w:cstheme="minorBidi"/>
          <w:szCs w:val="22"/>
        </w:rPr>
        <w:t xml:space="preserve">orally </w:t>
      </w:r>
      <w:r w:rsidRPr="007912A0">
        <w:rPr>
          <w:rFonts w:eastAsiaTheme="minorHAnsi" w:cstheme="minorBidi"/>
          <w:szCs w:val="22"/>
        </w:rPr>
        <w:t>QD based on individual patient characteristics. The starting dose of 10</w:t>
      </w:r>
      <w:r>
        <w:rPr>
          <w:rFonts w:eastAsiaTheme="minorHAnsi" w:cstheme="minorBidi"/>
          <w:szCs w:val="22"/>
        </w:rPr>
        <w:t>0 mg</w:t>
      </w:r>
      <w:r w:rsidRPr="007912A0">
        <w:rPr>
          <w:rFonts w:eastAsiaTheme="minorHAnsi" w:cstheme="minorBidi"/>
          <w:szCs w:val="22"/>
        </w:rPr>
        <w:t xml:space="preserve"> QD is recommended for patients </w:t>
      </w:r>
      <w:r>
        <w:rPr>
          <w:rFonts w:eastAsiaTheme="minorHAnsi" w:cstheme="minorBidi"/>
          <w:szCs w:val="22"/>
        </w:rPr>
        <w:t xml:space="preserve">aged 65 years or more, or for patients </w:t>
      </w:r>
      <w:r w:rsidRPr="007912A0">
        <w:rPr>
          <w:rFonts w:eastAsiaTheme="minorHAnsi" w:cstheme="minorBidi"/>
          <w:szCs w:val="22"/>
        </w:rPr>
        <w:t xml:space="preserve">at higher risk of venous thromboembolism (VTE), major adverse cardiovascular event (MACE) and malignancy. A dose of </w:t>
      </w:r>
      <w:r>
        <w:rPr>
          <w:rFonts w:eastAsiaTheme="minorHAnsi" w:cstheme="minorBidi"/>
          <w:szCs w:val="22"/>
        </w:rPr>
        <w:t xml:space="preserve">ABRO </w:t>
      </w:r>
      <w:r w:rsidRPr="007912A0">
        <w:rPr>
          <w:rFonts w:eastAsiaTheme="minorHAnsi" w:cstheme="minorBidi"/>
          <w:szCs w:val="22"/>
        </w:rPr>
        <w:t>20</w:t>
      </w:r>
      <w:r>
        <w:rPr>
          <w:rFonts w:eastAsiaTheme="minorHAnsi" w:cstheme="minorBidi"/>
          <w:szCs w:val="22"/>
        </w:rPr>
        <w:t>0 mg</w:t>
      </w:r>
      <w:r w:rsidRPr="007912A0">
        <w:rPr>
          <w:rFonts w:eastAsiaTheme="minorHAnsi" w:cstheme="minorBidi"/>
          <w:szCs w:val="22"/>
        </w:rPr>
        <w:t xml:space="preserve"> QD may be appropriate for patients with high disease burden who are not at higher risk of VTE, MACE and malignancy or for patients with an inadequate response to </w:t>
      </w:r>
      <w:r>
        <w:rPr>
          <w:rFonts w:eastAsiaTheme="minorHAnsi" w:cstheme="minorBidi"/>
          <w:szCs w:val="22"/>
        </w:rPr>
        <w:t xml:space="preserve">ABRO </w:t>
      </w:r>
      <w:r w:rsidRPr="007912A0">
        <w:rPr>
          <w:rFonts w:eastAsiaTheme="minorHAnsi" w:cstheme="minorBidi"/>
          <w:szCs w:val="22"/>
        </w:rPr>
        <w:t>10</w:t>
      </w:r>
      <w:r>
        <w:rPr>
          <w:rFonts w:eastAsiaTheme="minorHAnsi" w:cstheme="minorBidi"/>
          <w:szCs w:val="22"/>
        </w:rPr>
        <w:t>0 mg</w:t>
      </w:r>
      <w:r w:rsidRPr="007912A0">
        <w:rPr>
          <w:rFonts w:eastAsiaTheme="minorHAnsi" w:cstheme="minorBidi"/>
          <w:szCs w:val="22"/>
        </w:rPr>
        <w:t xml:space="preserve"> QD. Upon disease control, the dose should be decreased to </w:t>
      </w:r>
      <w:r>
        <w:rPr>
          <w:rFonts w:eastAsiaTheme="minorHAnsi" w:cstheme="minorBidi"/>
          <w:szCs w:val="22"/>
        </w:rPr>
        <w:t xml:space="preserve">ABRO </w:t>
      </w:r>
      <w:r w:rsidRPr="007912A0">
        <w:rPr>
          <w:rFonts w:eastAsiaTheme="minorHAnsi" w:cstheme="minorBidi"/>
          <w:szCs w:val="22"/>
        </w:rPr>
        <w:t>10</w:t>
      </w:r>
      <w:r>
        <w:rPr>
          <w:rFonts w:eastAsiaTheme="minorHAnsi" w:cstheme="minorBidi"/>
          <w:szCs w:val="22"/>
        </w:rPr>
        <w:t>0 mg</w:t>
      </w:r>
      <w:r w:rsidRPr="007912A0">
        <w:rPr>
          <w:rFonts w:eastAsiaTheme="minorHAnsi" w:cstheme="minorBidi"/>
          <w:szCs w:val="22"/>
        </w:rPr>
        <w:t xml:space="preserve"> QD. If disease control is not maintained after a dose reduction to </w:t>
      </w:r>
      <w:r>
        <w:rPr>
          <w:rFonts w:eastAsiaTheme="minorHAnsi" w:cstheme="minorBidi"/>
          <w:szCs w:val="22"/>
        </w:rPr>
        <w:t xml:space="preserve">ABRO </w:t>
      </w:r>
      <w:r w:rsidRPr="007912A0">
        <w:rPr>
          <w:rFonts w:eastAsiaTheme="minorHAnsi" w:cstheme="minorBidi"/>
          <w:szCs w:val="22"/>
        </w:rPr>
        <w:t>10</w:t>
      </w:r>
      <w:r>
        <w:rPr>
          <w:rFonts w:eastAsiaTheme="minorHAnsi" w:cstheme="minorBidi"/>
          <w:szCs w:val="22"/>
        </w:rPr>
        <w:t>0 mg</w:t>
      </w:r>
      <w:r w:rsidRPr="007912A0">
        <w:rPr>
          <w:rFonts w:eastAsiaTheme="minorHAnsi" w:cstheme="minorBidi"/>
          <w:szCs w:val="22"/>
        </w:rPr>
        <w:t xml:space="preserve"> QD, re-treatment with </w:t>
      </w:r>
      <w:r>
        <w:rPr>
          <w:rFonts w:eastAsiaTheme="minorHAnsi" w:cstheme="minorBidi"/>
          <w:szCs w:val="22"/>
        </w:rPr>
        <w:t xml:space="preserve">ABRO </w:t>
      </w:r>
      <w:r w:rsidRPr="007912A0">
        <w:rPr>
          <w:rFonts w:eastAsiaTheme="minorHAnsi" w:cstheme="minorBidi"/>
          <w:szCs w:val="22"/>
        </w:rPr>
        <w:t>20</w:t>
      </w:r>
      <w:r>
        <w:rPr>
          <w:rFonts w:eastAsiaTheme="minorHAnsi" w:cstheme="minorBidi"/>
          <w:szCs w:val="22"/>
        </w:rPr>
        <w:t>0 mg</w:t>
      </w:r>
      <w:r w:rsidRPr="007912A0">
        <w:rPr>
          <w:rFonts w:eastAsiaTheme="minorHAnsi" w:cstheme="minorBidi"/>
          <w:szCs w:val="22"/>
        </w:rPr>
        <w:t xml:space="preserve"> QD can be considered. The lowest effective dose should be considered for maintenance treatment and treatment discontinuation should be considered in patients who show no evidence of therapeutic benefit after 24 weeks.</w:t>
      </w:r>
    </w:p>
    <w:p w14:paraId="0E0EF576" w14:textId="77777777" w:rsidR="0061175D" w:rsidRDefault="0061175D" w:rsidP="0091041C">
      <w:pPr>
        <w:numPr>
          <w:ilvl w:val="1"/>
          <w:numId w:val="6"/>
        </w:numPr>
        <w:spacing w:after="120"/>
        <w:rPr>
          <w:rFonts w:eastAsiaTheme="minorHAnsi" w:cstheme="minorBidi"/>
          <w:szCs w:val="22"/>
        </w:rPr>
      </w:pPr>
      <w:r w:rsidRPr="009A5A91">
        <w:rPr>
          <w:rFonts w:eastAsiaTheme="minorHAnsi" w:cstheme="minorBidi"/>
          <w:szCs w:val="22"/>
        </w:rPr>
        <w:t>ABRO 5</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QD</w:t>
      </w:r>
      <w:r w:rsidRPr="009A5A91">
        <w:rPr>
          <w:rFonts w:eastAsiaTheme="minorHAnsi" w:cstheme="minorBidi"/>
          <w:szCs w:val="22"/>
        </w:rPr>
        <w:t xml:space="preserve"> is the recommended dose for patients taking strong inhibitors of cytochrome P450 (CYP) 2C19</w:t>
      </w:r>
      <w:r w:rsidRPr="00ED59F4">
        <w:t xml:space="preserve"> </w:t>
      </w:r>
      <w:r w:rsidRPr="00ED59F4">
        <w:rPr>
          <w:rFonts w:eastAsiaTheme="minorHAnsi" w:cstheme="minorBidi"/>
          <w:szCs w:val="22"/>
        </w:rPr>
        <w:t>and/or patients with moderate or severe renal impairment</w:t>
      </w:r>
      <w:r>
        <w:rPr>
          <w:rFonts w:eastAsiaTheme="minorHAnsi" w:cstheme="minorBidi"/>
          <w:szCs w:val="22"/>
        </w:rPr>
        <w:t>.</w:t>
      </w:r>
    </w:p>
    <w:p w14:paraId="6EEB5BD9" w14:textId="77777777" w:rsidR="0061175D" w:rsidRPr="009A5A91" w:rsidRDefault="0061175D" w:rsidP="0061175D">
      <w:pPr>
        <w:keepNext/>
        <w:spacing w:before="120" w:after="120"/>
        <w:outlineLvl w:val="1"/>
        <w:rPr>
          <w:rFonts w:eastAsiaTheme="majorEastAsia" w:cstheme="majorBidi"/>
          <w:b/>
          <w:i/>
          <w:spacing w:val="5"/>
          <w:kern w:val="28"/>
          <w:sz w:val="28"/>
          <w:szCs w:val="36"/>
          <w:lang w:eastAsia="en-US"/>
        </w:rPr>
      </w:pPr>
      <w:bookmarkStart w:id="9" w:name="_Hlk176708899"/>
      <w:r>
        <w:rPr>
          <w:rFonts w:eastAsiaTheme="majorEastAsia" w:cstheme="majorBidi"/>
          <w:b/>
          <w:i/>
          <w:spacing w:val="5"/>
          <w:kern w:val="28"/>
          <w:sz w:val="28"/>
          <w:szCs w:val="36"/>
          <w:lang w:eastAsia="en-US"/>
        </w:rPr>
        <w:t>Previous PBAC consideration</w:t>
      </w:r>
    </w:p>
    <w:p w14:paraId="562F8592" w14:textId="12739A57" w:rsidR="0061175D" w:rsidRPr="00CE3CDC" w:rsidRDefault="0061175D" w:rsidP="0091041C">
      <w:pPr>
        <w:numPr>
          <w:ilvl w:val="1"/>
          <w:numId w:val="6"/>
        </w:numPr>
        <w:spacing w:after="120"/>
        <w:rPr>
          <w:rFonts w:eastAsiaTheme="minorHAnsi" w:cstheme="minorBidi"/>
          <w:szCs w:val="22"/>
        </w:rPr>
      </w:pPr>
      <w:bookmarkStart w:id="10" w:name="_Hlk176812793"/>
      <w:r w:rsidRPr="00CE3CDC">
        <w:rPr>
          <w:rFonts w:eastAsiaTheme="minorHAnsi" w:cstheme="minorBidi"/>
          <w:szCs w:val="22"/>
        </w:rPr>
        <w:t xml:space="preserve">A PBAC submission was previously submitted for ABRO, </w:t>
      </w:r>
      <w:r>
        <w:rPr>
          <w:rFonts w:eastAsiaTheme="minorHAnsi" w:cstheme="minorBidi"/>
          <w:szCs w:val="22"/>
        </w:rPr>
        <w:t xml:space="preserve">which was </w:t>
      </w:r>
      <w:r w:rsidRPr="00CE3CDC">
        <w:rPr>
          <w:rFonts w:eastAsiaTheme="minorHAnsi" w:cstheme="minorBidi"/>
          <w:szCs w:val="22"/>
        </w:rPr>
        <w:t xml:space="preserve">to be considered at the November 2021 PBAC meeting. Because </w:t>
      </w:r>
      <w:r>
        <w:rPr>
          <w:rFonts w:eastAsiaTheme="minorHAnsi" w:cstheme="minorBidi"/>
          <w:szCs w:val="22"/>
        </w:rPr>
        <w:t>a positive</w:t>
      </w:r>
      <w:r w:rsidRPr="00CE3CDC">
        <w:rPr>
          <w:rFonts w:eastAsiaTheme="minorHAnsi" w:cstheme="minorBidi"/>
          <w:szCs w:val="22"/>
        </w:rPr>
        <w:t xml:space="preserve"> </w:t>
      </w:r>
      <w:r>
        <w:rPr>
          <w:rFonts w:eastAsiaTheme="minorHAnsi" w:cstheme="minorBidi"/>
          <w:szCs w:val="22"/>
        </w:rPr>
        <w:t xml:space="preserve">TGA </w:t>
      </w:r>
      <w:r w:rsidRPr="00CE3CDC">
        <w:rPr>
          <w:rFonts w:eastAsiaTheme="minorHAnsi" w:cstheme="minorBidi"/>
          <w:szCs w:val="22"/>
        </w:rPr>
        <w:t>Delegate</w:t>
      </w:r>
      <w:r w:rsidR="00C93BF8">
        <w:rPr>
          <w:rFonts w:eastAsiaTheme="minorHAnsi" w:cstheme="minorBidi"/>
          <w:szCs w:val="22"/>
        </w:rPr>
        <w:t>’</w:t>
      </w:r>
      <w:r w:rsidRPr="00CE3CDC">
        <w:rPr>
          <w:rFonts w:eastAsiaTheme="minorHAnsi" w:cstheme="minorBidi"/>
          <w:szCs w:val="22"/>
        </w:rPr>
        <w:t xml:space="preserve">s Overview </w:t>
      </w:r>
      <w:r>
        <w:rPr>
          <w:rFonts w:eastAsiaTheme="minorHAnsi" w:cstheme="minorBidi"/>
          <w:szCs w:val="22"/>
        </w:rPr>
        <w:t>was not received prior to</w:t>
      </w:r>
      <w:r w:rsidRPr="00CE3CDC">
        <w:rPr>
          <w:rFonts w:eastAsiaTheme="minorHAnsi" w:cstheme="minorBidi"/>
          <w:szCs w:val="22"/>
        </w:rPr>
        <w:t xml:space="preserve"> PBAC </w:t>
      </w:r>
      <w:r>
        <w:rPr>
          <w:rFonts w:eastAsiaTheme="minorHAnsi" w:cstheme="minorBidi"/>
          <w:szCs w:val="22"/>
        </w:rPr>
        <w:t xml:space="preserve">consideration of the </w:t>
      </w:r>
      <w:r w:rsidRPr="00CE3CDC">
        <w:rPr>
          <w:rFonts w:eastAsiaTheme="minorHAnsi" w:cstheme="minorBidi"/>
          <w:szCs w:val="22"/>
        </w:rPr>
        <w:t xml:space="preserve">submission, it was determined that ABRO should be considered at a later meeting. Following completion of the TGA review and approval, together with advice from the Department in early 2024, the original submission that had been </w:t>
      </w:r>
      <w:r>
        <w:rPr>
          <w:rFonts w:eastAsiaTheme="minorHAnsi" w:cstheme="minorBidi"/>
          <w:szCs w:val="22"/>
        </w:rPr>
        <w:t>submitted</w:t>
      </w:r>
      <w:r w:rsidRPr="00CE3CDC">
        <w:rPr>
          <w:rFonts w:eastAsiaTheme="minorHAnsi" w:cstheme="minorBidi"/>
          <w:szCs w:val="22"/>
        </w:rPr>
        <w:t xml:space="preserve"> was considered outdated</w:t>
      </w:r>
      <w:r>
        <w:rPr>
          <w:rFonts w:eastAsiaTheme="minorHAnsi" w:cstheme="minorBidi"/>
          <w:szCs w:val="22"/>
        </w:rPr>
        <w:t xml:space="preserve"> and</w:t>
      </w:r>
      <w:r w:rsidRPr="00CE3CDC">
        <w:rPr>
          <w:rFonts w:eastAsiaTheme="minorHAnsi" w:cstheme="minorBidi"/>
          <w:szCs w:val="22"/>
        </w:rPr>
        <w:t xml:space="preserve"> was withdrawn</w:t>
      </w:r>
      <w:r>
        <w:rPr>
          <w:rFonts w:eastAsiaTheme="minorHAnsi" w:cstheme="minorBidi"/>
          <w:szCs w:val="22"/>
        </w:rPr>
        <w:t xml:space="preserve">. A </w:t>
      </w:r>
      <w:r w:rsidRPr="00CE3CDC">
        <w:rPr>
          <w:rFonts w:eastAsiaTheme="minorHAnsi" w:cstheme="minorBidi"/>
          <w:szCs w:val="22"/>
        </w:rPr>
        <w:t>new submission was presented.</w:t>
      </w:r>
    </w:p>
    <w:p w14:paraId="1E2157C9" w14:textId="77777777" w:rsidR="0061175D" w:rsidRPr="009A5A91" w:rsidRDefault="0061175D" w:rsidP="0061175D">
      <w:pPr>
        <w:pStyle w:val="2-SectionHeading"/>
      </w:pPr>
      <w:bookmarkStart w:id="11" w:name="_Toc177558643"/>
      <w:bookmarkEnd w:id="9"/>
      <w:bookmarkEnd w:id="10"/>
      <w:r w:rsidRPr="009A5A91">
        <w:t>Requested listing</w:t>
      </w:r>
      <w:bookmarkEnd w:id="11"/>
    </w:p>
    <w:p w14:paraId="4F26B7DD" w14:textId="77777777" w:rsidR="006B10E4" w:rsidRDefault="006B10E4" w:rsidP="006B10E4">
      <w:pPr>
        <w:pStyle w:val="3-BodyText"/>
      </w:pPr>
      <w:bookmarkStart w:id="12" w:name="_Hlk182563204"/>
      <w:r w:rsidRPr="00E10DE3">
        <w:t xml:space="preserve">The requested listing is presented below. </w:t>
      </w:r>
      <w:bookmarkEnd w:id="1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533"/>
        <w:gridCol w:w="953"/>
        <w:gridCol w:w="931"/>
        <w:gridCol w:w="812"/>
        <w:gridCol w:w="1577"/>
      </w:tblGrid>
      <w:tr w:rsidR="002A57D9" w:rsidRPr="009A5A91" w14:paraId="334B59B9" w14:textId="77777777" w:rsidTr="00347481">
        <w:trPr>
          <w:cantSplit/>
          <w:trHeight w:val="20"/>
        </w:trPr>
        <w:tc>
          <w:tcPr>
            <w:tcW w:w="1228" w:type="pct"/>
            <w:vAlign w:val="center"/>
          </w:tcPr>
          <w:p w14:paraId="7AC27E51" w14:textId="77777777" w:rsidR="002A57D9" w:rsidRPr="009A5A91" w:rsidRDefault="002A57D9" w:rsidP="00AD7807">
            <w:pPr>
              <w:spacing w:before="40" w:after="40"/>
              <w:rPr>
                <w:rFonts w:ascii="Arial Narrow" w:hAnsi="Arial Narrow" w:cs="Arial Narrow"/>
                <w:b/>
                <w:bCs/>
                <w:snapToGrid w:val="0"/>
                <w:sz w:val="20"/>
              </w:rPr>
            </w:pPr>
            <w:bookmarkStart w:id="13" w:name="_Hlk176812866"/>
            <w:r w:rsidRPr="009A5A91">
              <w:rPr>
                <w:rFonts w:ascii="Arial Narrow" w:hAnsi="Arial Narrow" w:cs="Arial Narrow"/>
                <w:b/>
                <w:bCs/>
                <w:snapToGrid w:val="0"/>
                <w:sz w:val="20"/>
              </w:rPr>
              <w:t>MEDICINAL PRODUCT</w:t>
            </w:r>
          </w:p>
          <w:p w14:paraId="1274E031"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medicinal product pack</w:t>
            </w:r>
          </w:p>
        </w:tc>
        <w:tc>
          <w:tcPr>
            <w:tcW w:w="1404" w:type="pct"/>
            <w:vAlign w:val="center"/>
          </w:tcPr>
          <w:p w14:paraId="28C97E76"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 xml:space="preserve">Dispensed Price for Max. Qty </w:t>
            </w:r>
          </w:p>
        </w:tc>
        <w:tc>
          <w:tcPr>
            <w:tcW w:w="528" w:type="pct"/>
            <w:vAlign w:val="center"/>
          </w:tcPr>
          <w:p w14:paraId="5505335B"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Max. qty packs</w:t>
            </w:r>
          </w:p>
        </w:tc>
        <w:tc>
          <w:tcPr>
            <w:tcW w:w="516" w:type="pct"/>
            <w:vAlign w:val="center"/>
          </w:tcPr>
          <w:p w14:paraId="439016A1"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Max. qty units</w:t>
            </w:r>
          </w:p>
        </w:tc>
        <w:tc>
          <w:tcPr>
            <w:tcW w:w="450" w:type="pct"/>
            <w:vAlign w:val="center"/>
          </w:tcPr>
          <w:p w14:paraId="09C0FFE6"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№.of</w:t>
            </w:r>
          </w:p>
          <w:p w14:paraId="4C25D320"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Rpts</w:t>
            </w:r>
          </w:p>
        </w:tc>
        <w:tc>
          <w:tcPr>
            <w:tcW w:w="874" w:type="pct"/>
            <w:vAlign w:val="center"/>
          </w:tcPr>
          <w:p w14:paraId="622151C8" w14:textId="77777777" w:rsidR="002A57D9" w:rsidRPr="009A5A91" w:rsidRDefault="002A57D9" w:rsidP="00AD7807">
            <w:pPr>
              <w:spacing w:before="40" w:after="40"/>
              <w:rPr>
                <w:rFonts w:ascii="Arial Narrow" w:hAnsi="Arial Narrow" w:cs="Arial Narrow"/>
                <w:b/>
                <w:bCs/>
                <w:snapToGrid w:val="0"/>
                <w:sz w:val="20"/>
              </w:rPr>
            </w:pPr>
            <w:r w:rsidRPr="009A5A91">
              <w:rPr>
                <w:rFonts w:ascii="Arial Narrow" w:hAnsi="Arial Narrow" w:cs="Arial Narrow"/>
                <w:b/>
                <w:bCs/>
                <w:snapToGrid w:val="0"/>
                <w:sz w:val="20"/>
              </w:rPr>
              <w:t>Available brands</w:t>
            </w:r>
          </w:p>
        </w:tc>
      </w:tr>
      <w:tr w:rsidR="002A57D9" w:rsidRPr="009A5A91" w14:paraId="48CFF052" w14:textId="77777777" w:rsidTr="00DF0A1B">
        <w:trPr>
          <w:cantSplit/>
          <w:trHeight w:val="20"/>
        </w:trPr>
        <w:tc>
          <w:tcPr>
            <w:tcW w:w="5000" w:type="pct"/>
            <w:gridSpan w:val="6"/>
            <w:vAlign w:val="center"/>
          </w:tcPr>
          <w:p w14:paraId="6CBDCF8B" w14:textId="77777777" w:rsidR="002A57D9" w:rsidRPr="009A5A91" w:rsidRDefault="002A57D9" w:rsidP="00AD7807">
            <w:pPr>
              <w:spacing w:before="40" w:after="40"/>
              <w:rPr>
                <w:rFonts w:ascii="Arial Narrow" w:hAnsi="Arial Narrow" w:cs="Arial Narrow"/>
                <w:b/>
                <w:bCs/>
                <w:snapToGrid w:val="0"/>
                <w:sz w:val="20"/>
              </w:rPr>
            </w:pPr>
            <w:proofErr w:type="spellStart"/>
            <w:r>
              <w:rPr>
                <w:rFonts w:ascii="Arial Narrow" w:hAnsi="Arial Narrow" w:cs="Arial Narrow"/>
                <w:b/>
                <w:bCs/>
                <w:snapToGrid w:val="0"/>
                <w:sz w:val="20"/>
              </w:rPr>
              <w:t>Abrocitinib</w:t>
            </w:r>
            <w:proofErr w:type="spellEnd"/>
            <w:r w:rsidRPr="009A5A91">
              <w:rPr>
                <w:rFonts w:ascii="Arial Narrow" w:hAnsi="Arial Narrow" w:cs="Arial Narrow"/>
                <w:b/>
                <w:bCs/>
                <w:snapToGrid w:val="0"/>
                <w:color w:val="0066FF"/>
                <w:sz w:val="20"/>
              </w:rPr>
              <w:t xml:space="preserve"> </w:t>
            </w:r>
            <w:r w:rsidRPr="009A5A91">
              <w:rPr>
                <w:rFonts w:ascii="Arial Narrow" w:hAnsi="Arial Narrow" w:cs="Arial Narrow"/>
                <w:b/>
                <w:bCs/>
                <w:snapToGrid w:val="0"/>
                <w:sz w:val="20"/>
              </w:rPr>
              <w:t>– Initial treatment</w:t>
            </w:r>
          </w:p>
        </w:tc>
      </w:tr>
      <w:tr w:rsidR="002A57D9" w:rsidRPr="009A5A91" w14:paraId="4E2AED62" w14:textId="77777777" w:rsidTr="00347481">
        <w:trPr>
          <w:cantSplit/>
          <w:trHeight w:val="20"/>
        </w:trPr>
        <w:tc>
          <w:tcPr>
            <w:tcW w:w="1228" w:type="pct"/>
            <w:vAlign w:val="center"/>
          </w:tcPr>
          <w:p w14:paraId="6C43581F" w14:textId="77777777" w:rsidR="002A57D9" w:rsidRPr="009A5A91" w:rsidRDefault="002A57D9" w:rsidP="00AD7807">
            <w:pPr>
              <w:widowControl w:val="0"/>
              <w:rPr>
                <w:rFonts w:ascii="Arial Narrow" w:hAnsi="Arial Narrow"/>
                <w:snapToGrid w:val="0"/>
                <w:color w:val="0066FF"/>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20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6E989166"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6E0EE4DF" w14:textId="722DADE3"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6"/>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6"/>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4C6F31BA"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60D38A01"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2E62359C"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08AF7512" w14:textId="77777777" w:rsidR="002A57D9" w:rsidRPr="009A5A91" w:rsidRDefault="002A57D9" w:rsidP="00AD7807">
            <w:pPr>
              <w:widowControl w:val="0"/>
              <w:rPr>
                <w:rFonts w:ascii="Arial Narrow" w:hAnsi="Arial Narrow"/>
                <w:snapToGrid w:val="0"/>
                <w:color w:val="0066FF"/>
                <w:sz w:val="20"/>
              </w:rPr>
            </w:pPr>
            <w:proofErr w:type="spellStart"/>
            <w:r w:rsidRPr="009A5A91">
              <w:rPr>
                <w:rFonts w:ascii="Arial Narrow" w:hAnsi="Arial Narrow"/>
                <w:snapToGrid w:val="0"/>
                <w:sz w:val="20"/>
              </w:rPr>
              <w:t>Cibinqo</w:t>
            </w:r>
            <w:proofErr w:type="spellEnd"/>
          </w:p>
        </w:tc>
      </w:tr>
      <w:tr w:rsidR="002A57D9" w:rsidRPr="009A5A91" w14:paraId="33CE9220" w14:textId="77777777" w:rsidTr="00347481">
        <w:trPr>
          <w:cantSplit/>
          <w:trHeight w:val="20"/>
        </w:trPr>
        <w:tc>
          <w:tcPr>
            <w:tcW w:w="1228" w:type="pct"/>
            <w:vAlign w:val="center"/>
          </w:tcPr>
          <w:p w14:paraId="5FE1AB21" w14:textId="77777777" w:rsidR="002A57D9" w:rsidRPr="009A5A91" w:rsidRDefault="002A57D9" w:rsidP="00AD7807">
            <w:pPr>
              <w:widowControl w:val="0"/>
              <w:rPr>
                <w:rFonts w:ascii="Arial Narrow" w:hAnsi="Arial Narrow"/>
                <w:snapToGrid w:val="0"/>
                <w:color w:val="0066FF"/>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10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6F6F0BB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12217FEB" w14:textId="1BB01DF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5"/>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5"/>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2A35076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4F69DAA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2AF50EA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16401767" w14:textId="77777777" w:rsidR="002A57D9" w:rsidRPr="009A5A91" w:rsidRDefault="002A57D9" w:rsidP="00AD7807">
            <w:pPr>
              <w:widowControl w:val="0"/>
              <w:rPr>
                <w:rFonts w:ascii="Arial Narrow" w:hAnsi="Arial Narrow"/>
                <w:snapToGrid w:val="0"/>
                <w:color w:val="0066FF"/>
                <w:sz w:val="20"/>
              </w:rPr>
            </w:pPr>
            <w:proofErr w:type="spellStart"/>
            <w:r w:rsidRPr="009A5A91">
              <w:rPr>
                <w:rFonts w:ascii="Arial Narrow" w:hAnsi="Arial Narrow"/>
                <w:snapToGrid w:val="0"/>
                <w:sz w:val="20"/>
              </w:rPr>
              <w:t>Cibinqo</w:t>
            </w:r>
            <w:proofErr w:type="spellEnd"/>
          </w:p>
        </w:tc>
      </w:tr>
      <w:tr w:rsidR="002A57D9" w:rsidRPr="009A5A91" w14:paraId="6EB886DB" w14:textId="77777777" w:rsidTr="00347481">
        <w:trPr>
          <w:cantSplit/>
          <w:trHeight w:val="20"/>
        </w:trPr>
        <w:tc>
          <w:tcPr>
            <w:tcW w:w="1228" w:type="pct"/>
            <w:vAlign w:val="center"/>
          </w:tcPr>
          <w:p w14:paraId="16C8A8F3" w14:textId="77777777" w:rsidR="002A57D9" w:rsidRPr="009A5A91" w:rsidRDefault="002A57D9" w:rsidP="00AD7807">
            <w:pPr>
              <w:widowControl w:val="0"/>
              <w:rPr>
                <w:rFonts w:ascii="Arial Narrow" w:hAnsi="Arial Narrow"/>
                <w:snapToGrid w:val="0"/>
                <w:color w:val="0066FF"/>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5</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2B06252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25CC2FD2" w14:textId="02B985F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4"/>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4"/>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25535F49"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0A7B3EC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35230D5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1CC28D6E"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68F52C6B" w14:textId="77777777" w:rsidTr="00DF0A1B">
        <w:trPr>
          <w:cantSplit/>
          <w:trHeight w:val="20"/>
        </w:trPr>
        <w:tc>
          <w:tcPr>
            <w:tcW w:w="5000" w:type="pct"/>
            <w:gridSpan w:val="6"/>
            <w:vAlign w:val="center"/>
          </w:tcPr>
          <w:p w14:paraId="381A6DDB" w14:textId="77777777" w:rsidR="002A57D9" w:rsidRPr="009A5A91" w:rsidRDefault="002A57D9" w:rsidP="00AD7807">
            <w:pPr>
              <w:spacing w:before="40" w:after="40"/>
              <w:rPr>
                <w:rFonts w:ascii="Arial Narrow" w:hAnsi="Arial Narrow" w:cs="Arial Narrow"/>
                <w:b/>
                <w:bCs/>
                <w:snapToGrid w:val="0"/>
                <w:sz w:val="20"/>
              </w:rPr>
            </w:pPr>
            <w:proofErr w:type="spellStart"/>
            <w:r>
              <w:rPr>
                <w:rFonts w:ascii="Arial Narrow" w:hAnsi="Arial Narrow" w:cs="Arial Narrow"/>
                <w:b/>
                <w:bCs/>
                <w:snapToGrid w:val="0"/>
                <w:sz w:val="20"/>
              </w:rPr>
              <w:t>Abrocitinib</w:t>
            </w:r>
            <w:proofErr w:type="spellEnd"/>
            <w:r w:rsidRPr="009A5A91">
              <w:rPr>
                <w:rFonts w:ascii="Arial Narrow" w:hAnsi="Arial Narrow" w:cs="Arial Narrow"/>
                <w:b/>
                <w:bCs/>
                <w:snapToGrid w:val="0"/>
                <w:sz w:val="20"/>
              </w:rPr>
              <w:t xml:space="preserve"> – Continuing treatment</w:t>
            </w:r>
          </w:p>
        </w:tc>
      </w:tr>
      <w:tr w:rsidR="002A57D9" w:rsidRPr="009A5A91" w14:paraId="0F579945" w14:textId="77777777" w:rsidTr="00347481">
        <w:trPr>
          <w:cantSplit/>
          <w:trHeight w:val="20"/>
        </w:trPr>
        <w:tc>
          <w:tcPr>
            <w:tcW w:w="1228" w:type="pct"/>
            <w:vAlign w:val="center"/>
          </w:tcPr>
          <w:p w14:paraId="20B5F81D"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20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7FFC31F2"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091500B6" w14:textId="22264301"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3"/>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3"/>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05C8F9E6"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0A278D6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2A6764C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5</w:t>
            </w:r>
          </w:p>
        </w:tc>
        <w:tc>
          <w:tcPr>
            <w:tcW w:w="874" w:type="pct"/>
            <w:vAlign w:val="center"/>
          </w:tcPr>
          <w:p w14:paraId="5B921C61"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1022B483" w14:textId="77777777" w:rsidTr="00347481">
        <w:trPr>
          <w:cantSplit/>
          <w:trHeight w:val="20"/>
        </w:trPr>
        <w:tc>
          <w:tcPr>
            <w:tcW w:w="1228" w:type="pct"/>
            <w:vAlign w:val="center"/>
          </w:tcPr>
          <w:p w14:paraId="2E9FB25A"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10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3F89E8B5"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28B14292" w14:textId="38B98F00"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2"/>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2"/>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33539436"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2869A5CC"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780A5634"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5</w:t>
            </w:r>
          </w:p>
        </w:tc>
        <w:tc>
          <w:tcPr>
            <w:tcW w:w="874" w:type="pct"/>
            <w:vAlign w:val="center"/>
          </w:tcPr>
          <w:p w14:paraId="3F99F397"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68E59CBB" w14:textId="77777777" w:rsidTr="00347481">
        <w:trPr>
          <w:cantSplit/>
          <w:trHeight w:val="20"/>
        </w:trPr>
        <w:tc>
          <w:tcPr>
            <w:tcW w:w="1228" w:type="pct"/>
            <w:vAlign w:val="center"/>
          </w:tcPr>
          <w:p w14:paraId="1E73B21A"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5</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57843EE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076CF065" w14:textId="06683111"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331"/>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331"/>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794EFE12"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6675FF42"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57CE779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5</w:t>
            </w:r>
          </w:p>
        </w:tc>
        <w:tc>
          <w:tcPr>
            <w:tcW w:w="874" w:type="pct"/>
            <w:vAlign w:val="center"/>
          </w:tcPr>
          <w:p w14:paraId="26CEDC49"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52653080" w14:textId="77777777" w:rsidTr="00DF0A1B">
        <w:trPr>
          <w:cantSplit/>
          <w:trHeight w:val="20"/>
        </w:trPr>
        <w:tc>
          <w:tcPr>
            <w:tcW w:w="5000" w:type="pct"/>
            <w:gridSpan w:val="6"/>
            <w:vAlign w:val="center"/>
          </w:tcPr>
          <w:p w14:paraId="4BBAA553" w14:textId="77777777" w:rsidR="002A57D9" w:rsidRPr="009A5A91" w:rsidRDefault="002A57D9" w:rsidP="00AD7807">
            <w:pPr>
              <w:spacing w:before="40" w:after="40"/>
              <w:rPr>
                <w:rFonts w:ascii="Arial Narrow" w:hAnsi="Arial Narrow" w:cs="Arial Narrow"/>
                <w:b/>
                <w:bCs/>
                <w:snapToGrid w:val="0"/>
                <w:sz w:val="20"/>
              </w:rPr>
            </w:pPr>
            <w:proofErr w:type="spellStart"/>
            <w:r>
              <w:rPr>
                <w:rFonts w:ascii="Arial Narrow" w:hAnsi="Arial Narrow" w:cs="Arial Narrow"/>
                <w:b/>
                <w:bCs/>
                <w:snapToGrid w:val="0"/>
                <w:sz w:val="20"/>
              </w:rPr>
              <w:lastRenderedPageBreak/>
              <w:t>Abrocitinib</w:t>
            </w:r>
            <w:proofErr w:type="spellEnd"/>
            <w:r w:rsidRPr="009A5A91">
              <w:rPr>
                <w:rFonts w:ascii="Arial Narrow" w:hAnsi="Arial Narrow" w:cs="Arial Narrow"/>
                <w:b/>
                <w:bCs/>
                <w:snapToGrid w:val="0"/>
                <w:sz w:val="20"/>
              </w:rPr>
              <w:t xml:space="preserve"> – Dose change</w:t>
            </w:r>
          </w:p>
        </w:tc>
      </w:tr>
      <w:tr w:rsidR="002A57D9" w:rsidRPr="009A5A91" w14:paraId="1AFE6258" w14:textId="77777777" w:rsidTr="00347481">
        <w:trPr>
          <w:cantSplit/>
          <w:trHeight w:val="20"/>
        </w:trPr>
        <w:tc>
          <w:tcPr>
            <w:tcW w:w="1228" w:type="pct"/>
            <w:vAlign w:val="center"/>
          </w:tcPr>
          <w:p w14:paraId="0F02860E"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20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6EDD7B9C"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41DBF62D" w14:textId="67DE4F73"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80"/>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80"/>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2E7FE26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7B1D834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3641156D"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79DFD514"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02D5F836" w14:textId="77777777" w:rsidTr="00347481">
        <w:trPr>
          <w:cantSplit/>
          <w:trHeight w:val="20"/>
        </w:trPr>
        <w:tc>
          <w:tcPr>
            <w:tcW w:w="1228" w:type="pct"/>
            <w:vAlign w:val="center"/>
          </w:tcPr>
          <w:p w14:paraId="2C0F8A09"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10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6B2F3A5B"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0DDEB304" w14:textId="0ECA5091"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79"/>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79"/>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338660F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4542CCA1"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2EB121B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5C675287"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02764481" w14:textId="77777777" w:rsidTr="00347481">
        <w:trPr>
          <w:cantSplit/>
          <w:trHeight w:val="20"/>
        </w:trPr>
        <w:tc>
          <w:tcPr>
            <w:tcW w:w="1228" w:type="pct"/>
            <w:vAlign w:val="center"/>
          </w:tcPr>
          <w:p w14:paraId="659FEA0F"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5</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42E3355E"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2183218E" w14:textId="7DE8172C"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78"/>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78"/>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3EAB0639"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421A970B"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11214EC6"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45D7CA3C"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32B41F01" w14:textId="77777777" w:rsidTr="00DF0A1B">
        <w:trPr>
          <w:cantSplit/>
          <w:trHeight w:val="20"/>
        </w:trPr>
        <w:tc>
          <w:tcPr>
            <w:tcW w:w="5000" w:type="pct"/>
            <w:gridSpan w:val="6"/>
            <w:vAlign w:val="center"/>
          </w:tcPr>
          <w:p w14:paraId="0E2EC123" w14:textId="77777777" w:rsidR="002A57D9" w:rsidRPr="009A5A91" w:rsidRDefault="002A57D9" w:rsidP="00AD7807">
            <w:pPr>
              <w:spacing w:before="40" w:after="40"/>
              <w:rPr>
                <w:rFonts w:ascii="Arial Narrow" w:hAnsi="Arial Narrow" w:cs="Arial Narrow"/>
                <w:b/>
                <w:bCs/>
                <w:snapToGrid w:val="0"/>
                <w:sz w:val="20"/>
              </w:rPr>
            </w:pPr>
            <w:proofErr w:type="spellStart"/>
            <w:r>
              <w:rPr>
                <w:rFonts w:ascii="Arial Narrow" w:hAnsi="Arial Narrow" w:cs="Arial Narrow"/>
                <w:b/>
                <w:bCs/>
                <w:snapToGrid w:val="0"/>
                <w:sz w:val="20"/>
              </w:rPr>
              <w:t>Abrocitinib</w:t>
            </w:r>
            <w:proofErr w:type="spellEnd"/>
            <w:r w:rsidRPr="009A5A91">
              <w:rPr>
                <w:rFonts w:ascii="Arial Narrow" w:hAnsi="Arial Narrow" w:cs="Arial Narrow"/>
                <w:b/>
                <w:bCs/>
                <w:snapToGrid w:val="0"/>
                <w:sz w:val="20"/>
              </w:rPr>
              <w:t xml:space="preserve"> – Grandfathering</w:t>
            </w:r>
          </w:p>
        </w:tc>
      </w:tr>
      <w:tr w:rsidR="002A57D9" w:rsidRPr="009A5A91" w14:paraId="0D8350D9" w14:textId="77777777" w:rsidTr="00347481">
        <w:trPr>
          <w:cantSplit/>
          <w:trHeight w:val="20"/>
        </w:trPr>
        <w:tc>
          <w:tcPr>
            <w:tcW w:w="1228" w:type="pct"/>
            <w:vAlign w:val="center"/>
          </w:tcPr>
          <w:p w14:paraId="43163830"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20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46766693"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4749E6C6" w14:textId="66FB4D75"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77"/>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77"/>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79271DCE"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6CAF6CE8"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20F1F0E7"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7CB381B1"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5A6C9D39" w14:textId="77777777" w:rsidTr="00347481">
        <w:trPr>
          <w:cantSplit/>
          <w:trHeight w:val="20"/>
        </w:trPr>
        <w:tc>
          <w:tcPr>
            <w:tcW w:w="1228" w:type="pct"/>
            <w:vAlign w:val="center"/>
          </w:tcPr>
          <w:p w14:paraId="01C15DE4"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10</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723BAB1F"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7620C669" w14:textId="5756B051"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76"/>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76"/>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6268AE8B"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64FCE2D6"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54970B80"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41A10C96"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tr w:rsidR="002A57D9" w:rsidRPr="009A5A91" w14:paraId="5BD252F4" w14:textId="77777777" w:rsidTr="00347481">
        <w:trPr>
          <w:cantSplit/>
          <w:trHeight w:val="20"/>
        </w:trPr>
        <w:tc>
          <w:tcPr>
            <w:tcW w:w="1228" w:type="pct"/>
            <w:vAlign w:val="center"/>
          </w:tcPr>
          <w:p w14:paraId="13D87F88" w14:textId="77777777" w:rsidR="002A57D9" w:rsidRPr="009A5A91" w:rsidRDefault="002A57D9" w:rsidP="00AD7807">
            <w:pPr>
              <w:widowControl w:val="0"/>
              <w:rPr>
                <w:rFonts w:ascii="Arial Narrow" w:hAnsi="Arial Narrow"/>
                <w:snapToGrid w:val="0"/>
                <w:sz w:val="20"/>
              </w:rPr>
            </w:pPr>
            <w:proofErr w:type="spellStart"/>
            <w:r>
              <w:rPr>
                <w:rFonts w:ascii="Arial Narrow" w:hAnsi="Arial Narrow"/>
                <w:snapToGrid w:val="0"/>
                <w:sz w:val="20"/>
              </w:rPr>
              <w:t>Abrocitinib</w:t>
            </w:r>
            <w:proofErr w:type="spellEnd"/>
            <w:r w:rsidRPr="009A5A91">
              <w:rPr>
                <w:rFonts w:ascii="Arial Narrow" w:hAnsi="Arial Narrow"/>
                <w:snapToGrid w:val="0"/>
                <w:sz w:val="20"/>
              </w:rPr>
              <w:t xml:space="preserve"> 5</w:t>
            </w:r>
            <w:r>
              <w:rPr>
                <w:rFonts w:ascii="Arial Narrow" w:hAnsi="Arial Narrow"/>
                <w:snapToGrid w:val="0"/>
                <w:sz w:val="20"/>
              </w:rPr>
              <w:t>0 mg</w:t>
            </w:r>
            <w:r w:rsidRPr="009A5A91">
              <w:rPr>
                <w:rFonts w:ascii="Arial Narrow" w:hAnsi="Arial Narrow"/>
                <w:snapToGrid w:val="0"/>
                <w:sz w:val="20"/>
              </w:rPr>
              <w:t xml:space="preserve"> tablet</w:t>
            </w:r>
          </w:p>
        </w:tc>
        <w:tc>
          <w:tcPr>
            <w:tcW w:w="1404" w:type="pct"/>
            <w:vAlign w:val="center"/>
          </w:tcPr>
          <w:p w14:paraId="73A1467D"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r>
              <w:rPr>
                <w:rFonts w:ascii="Arial Narrow" w:hAnsi="Arial Narrow"/>
                <w:snapToGrid w:val="0"/>
                <w:sz w:val="20"/>
              </w:rPr>
              <w:t>,</w:t>
            </w:r>
            <w:r w:rsidRPr="009A5A91">
              <w:rPr>
                <w:rFonts w:ascii="Arial Narrow" w:hAnsi="Arial Narrow"/>
                <w:snapToGrid w:val="0"/>
                <w:sz w:val="20"/>
              </w:rPr>
              <w:t>416.19 published price</w:t>
            </w:r>
          </w:p>
          <w:p w14:paraId="0D1A318F" w14:textId="49D11301"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w:t>
            </w:r>
            <w:r w:rsidR="008B4079" w:rsidRPr="001E518D">
              <w:rPr>
                <w:rFonts w:ascii="Arial Narrow" w:hAnsi="Arial Narrow"/>
                <w:snapToGrid w:val="0"/>
                <w:color w:val="777777"/>
                <w:spacing w:val="10"/>
                <w:sz w:val="20"/>
                <w:shd w:val="solid" w:color="000000" w:fill="000000"/>
                <w:fitText w:val="314" w:id="-760590075"/>
                <w14:textFill>
                  <w14:solidFill>
                    <w14:srgbClr w14:val="777777">
                      <w14:alpha w14:val="100000"/>
                    </w14:srgbClr>
                  </w14:solidFill>
                </w14:textFill>
              </w:rPr>
              <w:t>||  |</w:t>
            </w:r>
            <w:r w:rsidR="008B4079" w:rsidRPr="001E518D">
              <w:rPr>
                <w:rFonts w:ascii="Arial Narrow" w:hAnsi="Arial Narrow"/>
                <w:snapToGrid w:val="0"/>
                <w:color w:val="777777"/>
                <w:spacing w:val="3"/>
                <w:sz w:val="20"/>
                <w:shd w:val="solid" w:color="000000" w:fill="000000"/>
                <w:fitText w:val="314" w:id="-760590075"/>
                <w14:textFill>
                  <w14:solidFill>
                    <w14:srgbClr w14:val="777777">
                      <w14:alpha w14:val="100000"/>
                    </w14:srgbClr>
                  </w14:solidFill>
                </w14:textFill>
              </w:rPr>
              <w:t>|</w:t>
            </w:r>
            <w:r w:rsidRPr="009A5A91">
              <w:rPr>
                <w:rFonts w:ascii="Arial Narrow" w:hAnsi="Arial Narrow"/>
                <w:snapToGrid w:val="0"/>
                <w:sz w:val="20"/>
              </w:rPr>
              <w:t xml:space="preserve"> effective price</w:t>
            </w:r>
          </w:p>
        </w:tc>
        <w:tc>
          <w:tcPr>
            <w:tcW w:w="528" w:type="pct"/>
            <w:vAlign w:val="center"/>
          </w:tcPr>
          <w:p w14:paraId="40EBF013"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1</w:t>
            </w:r>
          </w:p>
        </w:tc>
        <w:tc>
          <w:tcPr>
            <w:tcW w:w="516" w:type="pct"/>
            <w:vAlign w:val="center"/>
          </w:tcPr>
          <w:p w14:paraId="3665DA6D"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28</w:t>
            </w:r>
          </w:p>
        </w:tc>
        <w:tc>
          <w:tcPr>
            <w:tcW w:w="450" w:type="pct"/>
            <w:vAlign w:val="center"/>
          </w:tcPr>
          <w:p w14:paraId="7C79530C" w14:textId="77777777" w:rsidR="002A57D9" w:rsidRPr="009A5A91" w:rsidRDefault="002A57D9" w:rsidP="00AD7807">
            <w:pPr>
              <w:widowControl w:val="0"/>
              <w:rPr>
                <w:rFonts w:ascii="Arial Narrow" w:hAnsi="Arial Narrow"/>
                <w:snapToGrid w:val="0"/>
                <w:sz w:val="20"/>
              </w:rPr>
            </w:pPr>
            <w:r w:rsidRPr="009A5A91">
              <w:rPr>
                <w:rFonts w:ascii="Arial Narrow" w:hAnsi="Arial Narrow"/>
                <w:snapToGrid w:val="0"/>
                <w:sz w:val="20"/>
              </w:rPr>
              <w:t>3</w:t>
            </w:r>
          </w:p>
        </w:tc>
        <w:tc>
          <w:tcPr>
            <w:tcW w:w="874" w:type="pct"/>
            <w:vAlign w:val="center"/>
          </w:tcPr>
          <w:p w14:paraId="5573F030" w14:textId="77777777" w:rsidR="002A57D9" w:rsidRPr="009A5A91" w:rsidRDefault="002A57D9" w:rsidP="00AD7807">
            <w:pPr>
              <w:widowControl w:val="0"/>
              <w:rPr>
                <w:rFonts w:ascii="Arial Narrow" w:hAnsi="Arial Narrow"/>
                <w:snapToGrid w:val="0"/>
                <w:sz w:val="20"/>
              </w:rPr>
            </w:pPr>
            <w:proofErr w:type="spellStart"/>
            <w:r w:rsidRPr="009A5A91">
              <w:rPr>
                <w:rFonts w:ascii="Arial Narrow" w:hAnsi="Arial Narrow"/>
                <w:snapToGrid w:val="0"/>
                <w:sz w:val="20"/>
              </w:rPr>
              <w:t>Cibinqo</w:t>
            </w:r>
            <w:proofErr w:type="spellEnd"/>
          </w:p>
        </w:tc>
      </w:tr>
      <w:bookmarkEnd w:id="13"/>
    </w:tbl>
    <w:p w14:paraId="2EC53B99" w14:textId="77777777" w:rsidR="002A57D9" w:rsidRDefault="002A57D9" w:rsidP="00AD78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2A57D9" w:rsidRPr="00DD6DB1" w14:paraId="214FDC10" w14:textId="77777777" w:rsidTr="00DF0A1B">
        <w:trPr>
          <w:cantSplit/>
          <w:trHeight w:val="20"/>
        </w:trPr>
        <w:tc>
          <w:tcPr>
            <w:tcW w:w="5000" w:type="pct"/>
          </w:tcPr>
          <w:p w14:paraId="5F8C3811" w14:textId="77777777" w:rsidR="002A57D9" w:rsidRPr="00DD6DB1" w:rsidRDefault="002A57D9" w:rsidP="00AD7807">
            <w:pPr>
              <w:widowControl w:val="0"/>
              <w:rPr>
                <w:rFonts w:ascii="Arial Narrow" w:eastAsiaTheme="majorEastAsia" w:hAnsi="Arial Narrow" w:cstheme="majorBidi"/>
                <w:bCs/>
                <w:sz w:val="20"/>
                <w:szCs w:val="18"/>
              </w:rPr>
            </w:pPr>
            <w:bookmarkStart w:id="14" w:name="_Hlk176466361"/>
            <w:r w:rsidRPr="00DD6DB1">
              <w:rPr>
                <w:rFonts w:ascii="Arial Narrow" w:eastAsiaTheme="majorEastAsia" w:hAnsi="Arial Narrow" w:cstheme="majorBidi"/>
                <w:b/>
                <w:bCs/>
                <w:sz w:val="20"/>
                <w:szCs w:val="18"/>
              </w:rPr>
              <w:t xml:space="preserve">Category / Program: </w:t>
            </w:r>
            <w:r w:rsidRPr="00DD6DB1">
              <w:rPr>
                <w:rFonts w:ascii="Arial Narrow" w:eastAsiaTheme="majorEastAsia" w:hAnsi="Arial Narrow" w:cstheme="majorBidi"/>
                <w:bCs/>
                <w:sz w:val="20"/>
                <w:szCs w:val="18"/>
              </w:rPr>
              <w:t>General Schedule</w:t>
            </w:r>
          </w:p>
        </w:tc>
      </w:tr>
      <w:tr w:rsidR="002A57D9" w:rsidRPr="00DD6DB1" w14:paraId="7201902B" w14:textId="77777777" w:rsidTr="00DF0A1B">
        <w:trPr>
          <w:cantSplit/>
          <w:trHeight w:val="20"/>
        </w:trPr>
        <w:tc>
          <w:tcPr>
            <w:tcW w:w="5000" w:type="pct"/>
          </w:tcPr>
          <w:p w14:paraId="0FBA1D45" w14:textId="77777777" w:rsidR="002A57D9" w:rsidRPr="00DD6DB1" w:rsidRDefault="002A57D9" w:rsidP="00AD7807">
            <w:pPr>
              <w:widowControl w:val="0"/>
              <w:rPr>
                <w:rFonts w:ascii="Arial Narrow" w:eastAsiaTheme="majorEastAsia" w:hAnsi="Arial Narrow" w:cstheme="majorBidi"/>
                <w:b/>
                <w:bCs/>
                <w:sz w:val="20"/>
                <w:szCs w:val="18"/>
              </w:rPr>
            </w:pPr>
            <w:r w:rsidRPr="00DD6DB1">
              <w:rPr>
                <w:rFonts w:ascii="Arial Narrow" w:eastAsiaTheme="majorEastAsia" w:hAnsi="Arial Narrow" w:cstheme="majorBidi"/>
                <w:b/>
                <w:bCs/>
                <w:sz w:val="20"/>
                <w:szCs w:val="18"/>
              </w:rPr>
              <w:t xml:space="preserve">Prescriber type: </w:t>
            </w:r>
            <w:r w:rsidRPr="00DD6DB1">
              <w:rPr>
                <w:rFonts w:ascii="Arial Narrow" w:eastAsiaTheme="majorEastAsia" w:hAnsi="Arial Narrow"/>
                <w:bCs/>
                <w:sz w:val="20"/>
                <w:szCs w:val="18"/>
              </w:rPr>
              <w:fldChar w:fldCharType="begin" w:fldLock="1">
                <w:ffData>
                  <w:name w:val=""/>
                  <w:enabled/>
                  <w:calcOnExit w:val="0"/>
                  <w:checkBox>
                    <w:sizeAuto/>
                    <w:default w:val="1"/>
                  </w:checkBox>
                </w:ffData>
              </w:fldChar>
            </w:r>
            <w:r w:rsidRPr="00DD6DB1">
              <w:rPr>
                <w:rFonts w:ascii="Arial Narrow" w:eastAsiaTheme="majorEastAsia" w:hAnsi="Arial Narrow"/>
                <w:bCs/>
                <w:sz w:val="20"/>
                <w:szCs w:val="18"/>
              </w:rPr>
              <w:instrText xml:space="preserve"> FORMCHECKBOX </w:instrText>
            </w:r>
            <w:r w:rsidRPr="00DD6DB1">
              <w:rPr>
                <w:rFonts w:ascii="Arial Narrow" w:eastAsiaTheme="majorEastAsia" w:hAnsi="Arial Narrow"/>
                <w:bCs/>
                <w:sz w:val="20"/>
                <w:szCs w:val="18"/>
              </w:rPr>
            </w:r>
            <w:r w:rsidRPr="00DD6DB1">
              <w:rPr>
                <w:rFonts w:ascii="Arial Narrow" w:eastAsiaTheme="majorEastAsia" w:hAnsi="Arial Narrow"/>
                <w:bCs/>
                <w:sz w:val="20"/>
                <w:szCs w:val="18"/>
              </w:rPr>
              <w:fldChar w:fldCharType="separate"/>
            </w:r>
            <w:r w:rsidRPr="00DD6DB1">
              <w:rPr>
                <w:rFonts w:ascii="Arial Narrow" w:eastAsiaTheme="majorEastAsia" w:hAnsi="Arial Narrow"/>
                <w:bCs/>
                <w:sz w:val="20"/>
                <w:szCs w:val="18"/>
              </w:rPr>
              <w:fldChar w:fldCharType="end"/>
            </w:r>
            <w:r w:rsidRPr="00DD6DB1">
              <w:rPr>
                <w:rFonts w:ascii="Arial Narrow" w:eastAsiaTheme="majorEastAsia" w:hAnsi="Arial Narrow"/>
                <w:bCs/>
                <w:sz w:val="20"/>
                <w:szCs w:val="18"/>
              </w:rPr>
              <w:t xml:space="preserve"> </w:t>
            </w:r>
            <w:r w:rsidRPr="00DD6DB1">
              <w:rPr>
                <w:rFonts w:ascii="Arial Narrow" w:eastAsiaTheme="majorEastAsia" w:hAnsi="Arial Narrow" w:cstheme="majorBidi"/>
                <w:bCs/>
                <w:sz w:val="20"/>
                <w:szCs w:val="18"/>
              </w:rPr>
              <w:t>Medical Practitioners</w:t>
            </w:r>
          </w:p>
        </w:tc>
      </w:tr>
      <w:tr w:rsidR="002A57D9" w:rsidRPr="00DD6DB1" w14:paraId="6C536701" w14:textId="77777777" w:rsidTr="00DF0A1B">
        <w:trPr>
          <w:cantSplit/>
          <w:trHeight w:val="20"/>
        </w:trPr>
        <w:tc>
          <w:tcPr>
            <w:tcW w:w="5000" w:type="pct"/>
          </w:tcPr>
          <w:p w14:paraId="4104B2FD" w14:textId="77777777" w:rsidR="002A57D9" w:rsidRPr="00DD6DB1" w:rsidRDefault="002A57D9" w:rsidP="00AD7807">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 xml:space="preserve">Restriction type: </w:t>
            </w:r>
            <w:r w:rsidRPr="00DD6DB1">
              <w:rPr>
                <w:rFonts w:ascii="Arial Narrow" w:eastAsiaTheme="majorEastAsia" w:hAnsi="Arial Narrow"/>
                <w:bCs/>
                <w:sz w:val="20"/>
                <w:szCs w:val="18"/>
              </w:rPr>
              <w:fldChar w:fldCharType="begin" w:fldLock="1">
                <w:ffData>
                  <w:name w:val=""/>
                  <w:enabled/>
                  <w:calcOnExit w:val="0"/>
                  <w:checkBox>
                    <w:sizeAuto/>
                    <w:default w:val="1"/>
                  </w:checkBox>
                </w:ffData>
              </w:fldChar>
            </w:r>
            <w:r w:rsidRPr="00DD6DB1">
              <w:rPr>
                <w:rFonts w:ascii="Arial Narrow" w:eastAsiaTheme="majorEastAsia" w:hAnsi="Arial Narrow"/>
                <w:bCs/>
                <w:sz w:val="20"/>
                <w:szCs w:val="18"/>
              </w:rPr>
              <w:instrText xml:space="preserve"> FORMCHECKBOX </w:instrText>
            </w:r>
            <w:r w:rsidRPr="00DD6DB1">
              <w:rPr>
                <w:rFonts w:ascii="Arial Narrow" w:eastAsiaTheme="majorEastAsia" w:hAnsi="Arial Narrow"/>
                <w:bCs/>
                <w:sz w:val="20"/>
                <w:szCs w:val="18"/>
              </w:rPr>
            </w:r>
            <w:r w:rsidRPr="00DD6DB1">
              <w:rPr>
                <w:rFonts w:ascii="Arial Narrow" w:eastAsiaTheme="majorEastAsia" w:hAnsi="Arial Narrow"/>
                <w:bCs/>
                <w:sz w:val="20"/>
                <w:szCs w:val="18"/>
              </w:rPr>
              <w:fldChar w:fldCharType="separate"/>
            </w:r>
            <w:r w:rsidRPr="00DD6DB1">
              <w:rPr>
                <w:rFonts w:ascii="Arial Narrow" w:eastAsiaTheme="majorEastAsia" w:hAnsi="Arial Narrow"/>
                <w:bCs/>
                <w:sz w:val="20"/>
                <w:szCs w:val="18"/>
              </w:rPr>
              <w:fldChar w:fldCharType="end"/>
            </w:r>
            <w:r w:rsidRPr="00DD6DB1">
              <w:rPr>
                <w:rFonts w:ascii="Arial Narrow" w:eastAsiaTheme="majorEastAsia" w:hAnsi="Arial Narrow"/>
                <w:bCs/>
                <w:sz w:val="20"/>
                <w:szCs w:val="18"/>
              </w:rPr>
              <w:t xml:space="preserve"> </w:t>
            </w:r>
            <w:r w:rsidRPr="00DD6DB1">
              <w:rPr>
                <w:rFonts w:ascii="Arial Narrow" w:eastAsiaTheme="majorEastAsia" w:hAnsi="Arial Narrow" w:cstheme="majorBidi"/>
                <w:bCs/>
                <w:sz w:val="20"/>
                <w:szCs w:val="18"/>
              </w:rPr>
              <w:t xml:space="preserve">Authority Required (telephone/online PBS Authorities system) </w:t>
            </w:r>
          </w:p>
        </w:tc>
      </w:tr>
      <w:tr w:rsidR="002A57D9" w:rsidRPr="00DD6DB1" w14:paraId="58DB3E77" w14:textId="77777777" w:rsidTr="00DF0A1B">
        <w:trPr>
          <w:cantSplit/>
          <w:trHeight w:val="20"/>
        </w:trPr>
        <w:tc>
          <w:tcPr>
            <w:tcW w:w="5000" w:type="pct"/>
            <w:vAlign w:val="center"/>
          </w:tcPr>
          <w:p w14:paraId="56A37C0F" w14:textId="77777777" w:rsidR="002A57D9" w:rsidRPr="00DD6DB1" w:rsidRDefault="002A57D9" w:rsidP="00AD7807">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 xml:space="preserve">Episodicity: </w:t>
            </w:r>
            <w:r w:rsidRPr="00DD6DB1">
              <w:rPr>
                <w:rFonts w:ascii="Arial Narrow" w:eastAsiaTheme="majorEastAsia" w:hAnsi="Arial Narrow" w:cstheme="majorBidi"/>
                <w:sz w:val="20"/>
                <w:szCs w:val="18"/>
              </w:rPr>
              <w:t>Chronic</w:t>
            </w:r>
          </w:p>
        </w:tc>
      </w:tr>
      <w:tr w:rsidR="002A57D9" w:rsidRPr="00DD6DB1" w14:paraId="650D713C" w14:textId="77777777" w:rsidTr="00DF0A1B">
        <w:trPr>
          <w:cantSplit/>
          <w:trHeight w:val="20"/>
        </w:trPr>
        <w:tc>
          <w:tcPr>
            <w:tcW w:w="5000" w:type="pct"/>
            <w:vAlign w:val="center"/>
          </w:tcPr>
          <w:p w14:paraId="6DF82E19" w14:textId="77777777" w:rsidR="002A57D9" w:rsidRPr="00DD6DB1" w:rsidRDefault="002A57D9" w:rsidP="00AD7807">
            <w:pPr>
              <w:widowControl w:val="0"/>
              <w:rPr>
                <w:rFonts w:ascii="Arial Narrow" w:eastAsiaTheme="majorEastAsia" w:hAnsi="Arial Narrow" w:cstheme="majorBidi"/>
                <w:sz w:val="20"/>
                <w:szCs w:val="18"/>
              </w:rPr>
            </w:pPr>
            <w:r w:rsidRPr="00DD6DB1">
              <w:rPr>
                <w:rFonts w:ascii="Arial Narrow" w:eastAsiaTheme="majorEastAsia" w:hAnsi="Arial Narrow" w:cstheme="majorBidi"/>
                <w:b/>
                <w:bCs/>
                <w:sz w:val="20"/>
                <w:szCs w:val="18"/>
              </w:rPr>
              <w:t xml:space="preserve">Severity: </w:t>
            </w:r>
            <w:r w:rsidRPr="00DD6DB1">
              <w:rPr>
                <w:rFonts w:ascii="Arial Narrow" w:eastAsiaTheme="majorEastAsia" w:hAnsi="Arial Narrow" w:cstheme="majorBidi"/>
                <w:sz w:val="20"/>
                <w:szCs w:val="18"/>
              </w:rPr>
              <w:t>Severe</w:t>
            </w:r>
          </w:p>
        </w:tc>
      </w:tr>
      <w:tr w:rsidR="002A57D9" w:rsidRPr="00DD6DB1" w14:paraId="489C11F7" w14:textId="77777777" w:rsidTr="00DF0A1B">
        <w:trPr>
          <w:cantSplit/>
          <w:trHeight w:val="20"/>
        </w:trPr>
        <w:tc>
          <w:tcPr>
            <w:tcW w:w="5000" w:type="pct"/>
            <w:vAlign w:val="center"/>
          </w:tcPr>
          <w:p w14:paraId="4FBE0A40" w14:textId="77777777" w:rsidR="002A57D9" w:rsidRPr="00DD6DB1" w:rsidRDefault="002A57D9" w:rsidP="00AD7807">
            <w:pPr>
              <w:widowControl w:val="0"/>
              <w:rPr>
                <w:rFonts w:ascii="Arial Narrow" w:eastAsiaTheme="majorEastAsia" w:hAnsi="Arial Narrow" w:cstheme="majorBidi"/>
                <w:sz w:val="20"/>
                <w:szCs w:val="18"/>
              </w:rPr>
            </w:pPr>
            <w:r w:rsidRPr="00DD6DB1">
              <w:rPr>
                <w:rFonts w:ascii="Arial Narrow" w:eastAsiaTheme="majorEastAsia" w:hAnsi="Arial Narrow" w:cstheme="majorBidi"/>
                <w:b/>
                <w:bCs/>
                <w:sz w:val="20"/>
                <w:szCs w:val="18"/>
              </w:rPr>
              <w:t xml:space="preserve">Condition: </w:t>
            </w:r>
            <w:r w:rsidRPr="00DD6DB1">
              <w:rPr>
                <w:rFonts w:ascii="Arial Narrow" w:eastAsiaTheme="majorEastAsia" w:hAnsi="Arial Narrow" w:cstheme="majorBidi"/>
                <w:sz w:val="20"/>
                <w:szCs w:val="18"/>
              </w:rPr>
              <w:t>Atopic dermatitis</w:t>
            </w:r>
          </w:p>
        </w:tc>
      </w:tr>
      <w:tr w:rsidR="002A57D9" w:rsidRPr="00DD6DB1" w14:paraId="4D805092" w14:textId="77777777" w:rsidTr="00DF0A1B">
        <w:trPr>
          <w:cantSplit/>
          <w:trHeight w:val="20"/>
        </w:trPr>
        <w:tc>
          <w:tcPr>
            <w:tcW w:w="5000" w:type="pct"/>
            <w:vAlign w:val="center"/>
            <w:hideMark/>
          </w:tcPr>
          <w:p w14:paraId="266A0CF8" w14:textId="77777777" w:rsidR="002A57D9" w:rsidRPr="00DD6DB1" w:rsidRDefault="002A57D9" w:rsidP="00AD7807">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Indication:</w:t>
            </w:r>
            <w:r w:rsidRPr="00DD6DB1">
              <w:rPr>
                <w:rFonts w:ascii="Arial Narrow" w:eastAsiaTheme="majorEastAsia" w:hAnsi="Arial Narrow" w:cstheme="majorBidi"/>
                <w:bCs/>
                <w:sz w:val="20"/>
                <w:szCs w:val="18"/>
              </w:rPr>
              <w:t xml:space="preserve"> Chronic severe atopic dermatitis</w:t>
            </w:r>
          </w:p>
        </w:tc>
      </w:tr>
      <w:tr w:rsidR="002A57D9" w:rsidRPr="00DD6DB1" w14:paraId="666186F0" w14:textId="77777777" w:rsidTr="00DF0A1B">
        <w:trPr>
          <w:cantSplit/>
          <w:trHeight w:val="20"/>
        </w:trPr>
        <w:tc>
          <w:tcPr>
            <w:tcW w:w="5000" w:type="pct"/>
            <w:shd w:val="clear" w:color="auto" w:fill="D9D9D9" w:themeFill="background1" w:themeFillShade="D9"/>
            <w:vAlign w:val="center"/>
            <w:hideMark/>
          </w:tcPr>
          <w:p w14:paraId="4E9FE002" w14:textId="77777777" w:rsidR="002A57D9" w:rsidRPr="00DD6DB1" w:rsidRDefault="002A57D9" w:rsidP="00AD7807">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Treatment Phase:</w:t>
            </w:r>
            <w:r w:rsidRPr="00DD6DB1">
              <w:rPr>
                <w:rFonts w:ascii="Arial Narrow" w:eastAsiaTheme="majorEastAsia" w:hAnsi="Arial Narrow" w:cstheme="majorBidi"/>
                <w:bCs/>
                <w:sz w:val="20"/>
                <w:szCs w:val="18"/>
              </w:rPr>
              <w:t xml:space="preserve"> Initial treatment of the whole body</w:t>
            </w:r>
          </w:p>
        </w:tc>
      </w:tr>
      <w:tr w:rsidR="002A57D9" w:rsidRPr="00DD6DB1" w14:paraId="1B4F532D" w14:textId="77777777" w:rsidTr="00DF0A1B">
        <w:trPr>
          <w:cantSplit/>
          <w:trHeight w:val="20"/>
        </w:trPr>
        <w:tc>
          <w:tcPr>
            <w:tcW w:w="5000" w:type="pct"/>
            <w:vAlign w:val="center"/>
            <w:hideMark/>
          </w:tcPr>
          <w:p w14:paraId="468299B3" w14:textId="77777777" w:rsidR="002A57D9" w:rsidRPr="00DD6DB1" w:rsidRDefault="002A57D9" w:rsidP="00DF0A1B">
            <w:pPr>
              <w:keepNext/>
              <w:widowControl w:val="0"/>
              <w:rPr>
                <w:rFonts w:ascii="Arial Narrow" w:eastAsiaTheme="majorEastAsia" w:hAnsi="Arial Narrow" w:cstheme="majorBidi"/>
                <w:b/>
                <w:sz w:val="20"/>
                <w:szCs w:val="18"/>
              </w:rPr>
            </w:pPr>
            <w:r w:rsidRPr="00DD6DB1">
              <w:rPr>
                <w:rFonts w:ascii="Arial Narrow" w:eastAsiaTheme="majorEastAsia" w:hAnsi="Arial Narrow" w:cstheme="majorBidi"/>
                <w:b/>
                <w:sz w:val="20"/>
                <w:szCs w:val="18"/>
              </w:rPr>
              <w:t>Clinical criteria:</w:t>
            </w:r>
          </w:p>
        </w:tc>
      </w:tr>
      <w:tr w:rsidR="002A57D9" w:rsidRPr="00DD6DB1" w14:paraId="77E34903" w14:textId="77777777" w:rsidTr="00DF0A1B">
        <w:trPr>
          <w:cantSplit/>
          <w:trHeight w:val="20"/>
        </w:trPr>
        <w:tc>
          <w:tcPr>
            <w:tcW w:w="5000" w:type="pct"/>
            <w:vAlign w:val="center"/>
            <w:hideMark/>
          </w:tcPr>
          <w:p w14:paraId="4D36B572" w14:textId="77777777" w:rsidR="002A57D9" w:rsidRPr="00F829F6" w:rsidRDefault="002A57D9" w:rsidP="00DF0A1B">
            <w:pPr>
              <w:widowControl w:val="0"/>
              <w:rPr>
                <w:rFonts w:ascii="Arial Narrow" w:eastAsiaTheme="majorEastAsia" w:hAnsi="Arial Narrow" w:cstheme="majorBidi"/>
                <w:b/>
                <w:bCs/>
                <w:sz w:val="20"/>
                <w:szCs w:val="18"/>
              </w:rPr>
            </w:pPr>
            <w:r w:rsidRPr="00F829F6">
              <w:rPr>
                <w:rFonts w:ascii="Arial Narrow" w:eastAsiaTheme="majorEastAsia" w:hAnsi="Arial Narrow" w:cstheme="majorBidi"/>
                <w:bCs/>
                <w:sz w:val="20"/>
                <w:szCs w:val="18"/>
              </w:rPr>
              <w:t>Patient must have a Physicians Global Assessment (PGA) (5-point scale) baseline score of at least 4 as evidence of severe disease despite treatment with daily topical therapy (corticosteroid of medium to high potency/calcineurin inhibitor), for at least 28 days,</w:t>
            </w:r>
          </w:p>
          <w:p w14:paraId="46DBB6EC" w14:textId="77777777" w:rsidR="002A57D9" w:rsidRPr="002601BA" w:rsidRDefault="002A57D9" w:rsidP="00DF0A1B">
            <w:pPr>
              <w:widowControl w:val="0"/>
              <w:rPr>
                <w:rFonts w:ascii="Arial Narrow" w:eastAsiaTheme="majorEastAsia" w:hAnsi="Arial Narrow" w:cstheme="majorBidi"/>
                <w:sz w:val="20"/>
                <w:szCs w:val="18"/>
              </w:rPr>
            </w:pPr>
            <w:r w:rsidRPr="002601BA">
              <w:rPr>
                <w:rFonts w:ascii="Arial Narrow" w:eastAsiaTheme="majorEastAsia" w:hAnsi="Arial Narrow" w:cstheme="majorBidi"/>
                <w:sz w:val="20"/>
                <w:szCs w:val="18"/>
              </w:rPr>
              <w:t>AND</w:t>
            </w:r>
          </w:p>
          <w:p w14:paraId="760553C6" w14:textId="77777777" w:rsidR="002A57D9" w:rsidRPr="00F829F6" w:rsidRDefault="002A57D9" w:rsidP="00DF0A1B">
            <w:pPr>
              <w:widowControl w:val="0"/>
              <w:rPr>
                <w:rFonts w:ascii="Arial Narrow" w:eastAsiaTheme="majorEastAsia" w:hAnsi="Arial Narrow" w:cstheme="majorBidi"/>
                <w:bCs/>
                <w:sz w:val="20"/>
                <w:szCs w:val="18"/>
              </w:rPr>
            </w:pPr>
            <w:r w:rsidRPr="00F829F6">
              <w:rPr>
                <w:rFonts w:ascii="Arial Narrow" w:eastAsiaTheme="majorEastAsia" w:hAnsi="Arial Narrow" w:cstheme="majorBidi"/>
                <w:bCs/>
                <w:sz w:val="20"/>
                <w:szCs w:val="18"/>
              </w:rPr>
              <w:t>Patient must have an Eczema Area and Severity Index (EASI) baseline score of at least 20 despite treatment with daily topical therapy (corticosteroid of medium to high potency/calcineurin inhibitor), for at least 28 days,</w:t>
            </w:r>
          </w:p>
          <w:p w14:paraId="456BBD2E" w14:textId="77777777" w:rsidR="002A57D9" w:rsidRPr="002601BA" w:rsidRDefault="002A57D9" w:rsidP="00DF0A1B">
            <w:pPr>
              <w:widowControl w:val="0"/>
              <w:rPr>
                <w:rFonts w:ascii="Arial Narrow" w:eastAsiaTheme="majorEastAsia" w:hAnsi="Arial Narrow" w:cstheme="majorBidi"/>
                <w:sz w:val="20"/>
                <w:szCs w:val="18"/>
              </w:rPr>
            </w:pPr>
            <w:r w:rsidRPr="002601BA">
              <w:rPr>
                <w:rFonts w:ascii="Arial Narrow" w:eastAsiaTheme="majorEastAsia" w:hAnsi="Arial Narrow" w:cstheme="majorBidi"/>
                <w:sz w:val="20"/>
                <w:szCs w:val="18"/>
              </w:rPr>
              <w:t>AND</w:t>
            </w:r>
          </w:p>
          <w:p w14:paraId="51455711" w14:textId="77777777" w:rsidR="002A57D9" w:rsidRPr="00F829F6" w:rsidRDefault="002A57D9" w:rsidP="00DF0A1B">
            <w:pPr>
              <w:widowControl w:val="0"/>
              <w:rPr>
                <w:rFonts w:ascii="Arial Narrow" w:eastAsiaTheme="majorEastAsia" w:hAnsi="Arial Narrow" w:cstheme="majorBidi"/>
                <w:bCs/>
                <w:sz w:val="20"/>
                <w:szCs w:val="18"/>
              </w:rPr>
            </w:pPr>
            <w:r w:rsidRPr="00F829F6">
              <w:rPr>
                <w:rFonts w:ascii="Arial Narrow" w:eastAsiaTheme="majorEastAsia" w:hAnsi="Arial Narrow" w:cstheme="majorBidi"/>
                <w:bCs/>
                <w:sz w:val="20"/>
                <w:szCs w:val="18"/>
              </w:rPr>
              <w:t>Patient must have an age appropriate Dermatology Life Quality Index (DLQI) baseline score (of any value) measured following treatment with daily topical therapy (corticosteroid of medium to high potency/calcineurin inhibitor), for at least 28 days,</w:t>
            </w:r>
          </w:p>
          <w:p w14:paraId="6C29FA58" w14:textId="77777777" w:rsidR="002A57D9" w:rsidRPr="002601BA" w:rsidRDefault="002A57D9" w:rsidP="00DF0A1B">
            <w:pPr>
              <w:widowControl w:val="0"/>
              <w:rPr>
                <w:rFonts w:ascii="Arial Narrow" w:eastAsiaTheme="majorEastAsia" w:hAnsi="Arial Narrow" w:cstheme="majorBidi"/>
                <w:sz w:val="20"/>
                <w:szCs w:val="18"/>
              </w:rPr>
            </w:pPr>
            <w:r w:rsidRPr="002601BA">
              <w:rPr>
                <w:rFonts w:ascii="Arial Narrow" w:eastAsiaTheme="majorEastAsia" w:hAnsi="Arial Narrow" w:cstheme="majorBidi"/>
                <w:sz w:val="20"/>
                <w:szCs w:val="18"/>
              </w:rPr>
              <w:t>AND</w:t>
            </w:r>
          </w:p>
          <w:p w14:paraId="2175F3A3" w14:textId="77777777" w:rsidR="002A57D9" w:rsidRPr="00F829F6" w:rsidRDefault="002A57D9" w:rsidP="00DF0A1B">
            <w:pPr>
              <w:widowControl w:val="0"/>
              <w:rPr>
                <w:rFonts w:ascii="Arial Narrow" w:eastAsiaTheme="majorEastAsia" w:hAnsi="Arial Narrow" w:cstheme="majorBidi"/>
                <w:bCs/>
                <w:sz w:val="20"/>
                <w:szCs w:val="18"/>
              </w:rPr>
            </w:pPr>
            <w:r w:rsidRPr="00F829F6">
              <w:rPr>
                <w:rFonts w:ascii="Arial Narrow" w:eastAsiaTheme="majorEastAsia" w:hAnsi="Arial Narrow" w:cstheme="majorBidi"/>
                <w:bCs/>
                <w:sz w:val="20"/>
                <w:szCs w:val="18"/>
              </w:rPr>
              <w:t>The condition must have had lesions for at least 6 months from the time of the initial diagnosis of chronic severe atopic dermatitis affecting either of: (i) the whole body, (ii) face/hands,</w:t>
            </w:r>
          </w:p>
          <w:p w14:paraId="45107CD2" w14:textId="77777777" w:rsidR="002A57D9" w:rsidRPr="002601BA" w:rsidRDefault="002A57D9" w:rsidP="00DF0A1B">
            <w:pPr>
              <w:widowControl w:val="0"/>
              <w:rPr>
                <w:rFonts w:ascii="Arial Narrow" w:eastAsiaTheme="majorEastAsia" w:hAnsi="Arial Narrow" w:cstheme="majorBidi"/>
                <w:sz w:val="20"/>
                <w:szCs w:val="18"/>
              </w:rPr>
            </w:pPr>
            <w:r w:rsidRPr="002601BA">
              <w:rPr>
                <w:rFonts w:ascii="Arial Narrow" w:eastAsiaTheme="majorEastAsia" w:hAnsi="Arial Narrow" w:cstheme="majorBidi"/>
                <w:sz w:val="20"/>
                <w:szCs w:val="18"/>
              </w:rPr>
              <w:t>AND</w:t>
            </w:r>
          </w:p>
          <w:p w14:paraId="24915E81" w14:textId="77777777" w:rsidR="002A57D9" w:rsidRPr="00DD6DB1" w:rsidRDefault="002A57D9" w:rsidP="00DF0A1B">
            <w:pPr>
              <w:widowControl w:val="0"/>
              <w:rPr>
                <w:rFonts w:ascii="Arial Narrow" w:eastAsiaTheme="majorEastAsia" w:hAnsi="Arial Narrow" w:cstheme="majorBidi"/>
                <w:bCs/>
                <w:sz w:val="20"/>
                <w:szCs w:val="18"/>
              </w:rPr>
            </w:pPr>
            <w:r w:rsidRPr="00F829F6">
              <w:rPr>
                <w:rFonts w:ascii="Arial Narrow" w:eastAsiaTheme="majorEastAsia" w:hAnsi="Arial Narrow" w:cstheme="majorBidi"/>
                <w:bCs/>
                <w:sz w:val="20"/>
                <w:szCs w:val="18"/>
              </w:rPr>
              <w:t>Patient must not have experienced an inadequate response to this therapy</w:t>
            </w:r>
          </w:p>
        </w:tc>
      </w:tr>
      <w:tr w:rsidR="002A57D9" w:rsidRPr="00DD6DB1" w14:paraId="503E6B68" w14:textId="77777777" w:rsidTr="00DF0A1B">
        <w:trPr>
          <w:cantSplit/>
          <w:trHeight w:val="20"/>
        </w:trPr>
        <w:tc>
          <w:tcPr>
            <w:tcW w:w="5000" w:type="pct"/>
            <w:vAlign w:val="center"/>
            <w:hideMark/>
          </w:tcPr>
          <w:p w14:paraId="6574E33C" w14:textId="77777777" w:rsidR="002A57D9" w:rsidRPr="00DD6DB1" w:rsidRDefault="002A57D9" w:rsidP="00DF0A1B">
            <w:pPr>
              <w:widowControl w:val="0"/>
              <w:rPr>
                <w:rFonts w:ascii="Arial Narrow" w:eastAsiaTheme="majorEastAsia" w:hAnsi="Arial Narrow" w:cstheme="majorBidi"/>
                <w:b/>
                <w:sz w:val="20"/>
                <w:szCs w:val="18"/>
              </w:rPr>
            </w:pPr>
            <w:r w:rsidRPr="00DD6DB1">
              <w:rPr>
                <w:rFonts w:ascii="Arial Narrow" w:eastAsiaTheme="majorEastAsia" w:hAnsi="Arial Narrow" w:cstheme="majorBidi"/>
                <w:b/>
                <w:sz w:val="20"/>
                <w:szCs w:val="18"/>
              </w:rPr>
              <w:t>Treatment criteria:</w:t>
            </w:r>
          </w:p>
        </w:tc>
      </w:tr>
      <w:tr w:rsidR="002A57D9" w:rsidRPr="00DD6DB1" w14:paraId="57F8D20E" w14:textId="77777777" w:rsidTr="00DF0A1B">
        <w:trPr>
          <w:cantSplit/>
          <w:trHeight w:val="20"/>
        </w:trPr>
        <w:tc>
          <w:tcPr>
            <w:tcW w:w="5000" w:type="pct"/>
            <w:vAlign w:val="center"/>
            <w:hideMark/>
          </w:tcPr>
          <w:p w14:paraId="05AB633B"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Must be treated by a dermatologist; OR</w:t>
            </w:r>
          </w:p>
          <w:p w14:paraId="1B0A77DF"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Must be treated by a clinical immunologist; </w:t>
            </w:r>
          </w:p>
          <w:p w14:paraId="7BA56AA5"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13F92478" w14:textId="77777777" w:rsidR="002A57D9" w:rsidRPr="00DD6DB1" w:rsidRDefault="002A57D9" w:rsidP="00DF0A1B">
            <w:pPr>
              <w:widowControl w:val="0"/>
              <w:rPr>
                <w:rFonts w:ascii="Arial Narrow" w:eastAsiaTheme="majorEastAsia" w:hAnsi="Arial Narrow" w:cstheme="majorBidi"/>
                <w:b/>
                <w:bCs/>
                <w:sz w:val="20"/>
                <w:szCs w:val="18"/>
                <w:lang w:val="en-US"/>
              </w:rPr>
            </w:pPr>
            <w:r w:rsidRPr="00DD6DB1">
              <w:rPr>
                <w:rFonts w:ascii="Arial Narrow" w:eastAsiaTheme="majorEastAsia" w:hAnsi="Arial Narrow" w:cstheme="majorBidi"/>
                <w:bCs/>
                <w:sz w:val="20"/>
                <w:szCs w:val="18"/>
              </w:rPr>
              <w:t>Patient must be undergoing treatment with this drug as the sole PBS-subsidised therapy with this PBS indication (combination with oral corticosteroids is permitted as these are not listed with the PBS indication: chronic severe atopic dermatitis).</w:t>
            </w:r>
          </w:p>
        </w:tc>
      </w:tr>
      <w:tr w:rsidR="002A57D9" w:rsidRPr="00DD6DB1" w14:paraId="1B9ABA24" w14:textId="77777777" w:rsidTr="00DF0A1B">
        <w:trPr>
          <w:cantSplit/>
          <w:trHeight w:val="20"/>
        </w:trPr>
        <w:tc>
          <w:tcPr>
            <w:tcW w:w="5000" w:type="pct"/>
            <w:vAlign w:val="center"/>
            <w:hideMark/>
          </w:tcPr>
          <w:p w14:paraId="7F9F4158" w14:textId="77777777" w:rsidR="002A57D9" w:rsidRPr="00DD6DB1" w:rsidRDefault="002A57D9" w:rsidP="00DF0A1B">
            <w:pPr>
              <w:widowControl w:val="0"/>
              <w:rPr>
                <w:rFonts w:ascii="Arial Narrow" w:eastAsiaTheme="majorEastAsia" w:hAnsi="Arial Narrow" w:cstheme="majorBidi"/>
                <w:b/>
                <w:sz w:val="20"/>
                <w:szCs w:val="18"/>
              </w:rPr>
            </w:pPr>
            <w:r w:rsidRPr="00DD6DB1">
              <w:rPr>
                <w:rFonts w:ascii="Arial Narrow" w:eastAsiaTheme="majorEastAsia" w:hAnsi="Arial Narrow" w:cstheme="majorBidi"/>
                <w:b/>
                <w:sz w:val="20"/>
                <w:szCs w:val="18"/>
              </w:rPr>
              <w:t>Population criteria:</w:t>
            </w:r>
          </w:p>
        </w:tc>
      </w:tr>
      <w:tr w:rsidR="002A57D9" w:rsidRPr="00DD6DB1" w14:paraId="51D2F010" w14:textId="77777777" w:rsidTr="00DF0A1B">
        <w:trPr>
          <w:cantSplit/>
          <w:trHeight w:val="20"/>
        </w:trPr>
        <w:tc>
          <w:tcPr>
            <w:tcW w:w="5000" w:type="pct"/>
            <w:vAlign w:val="center"/>
          </w:tcPr>
          <w:p w14:paraId="19E3C395"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be aged 18 years or older.</w:t>
            </w:r>
          </w:p>
        </w:tc>
      </w:tr>
      <w:tr w:rsidR="002A57D9" w:rsidRPr="00DD6DB1" w14:paraId="3D792419"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5073D9" w14:textId="77777777" w:rsidR="002A57D9" w:rsidRPr="00DD6DB1" w:rsidRDefault="002A57D9" w:rsidP="00DF0A1B">
            <w:pPr>
              <w:widowControl w:val="0"/>
              <w:rPr>
                <w:rFonts w:ascii="Arial Narrow" w:eastAsiaTheme="majorEastAsia" w:hAnsi="Arial Narrow" w:cstheme="majorBidi"/>
                <w:bCs/>
                <w:sz w:val="20"/>
                <w:szCs w:val="18"/>
              </w:rPr>
            </w:pPr>
            <w:r w:rsidRPr="00CE3CDC">
              <w:rPr>
                <w:rFonts w:ascii="Arial Narrow" w:eastAsiaTheme="majorEastAsia" w:hAnsi="Arial Narrow" w:cstheme="majorBidi"/>
                <w:b/>
                <w:sz w:val="20"/>
                <w:szCs w:val="18"/>
              </w:rPr>
              <w:t>Treatment Phase:</w:t>
            </w:r>
            <w:r w:rsidRPr="007920F8">
              <w:rPr>
                <w:rFonts w:ascii="Arial Narrow" w:eastAsiaTheme="majorEastAsia" w:hAnsi="Arial Narrow" w:cstheme="majorBidi"/>
                <w:bCs/>
                <w:sz w:val="20"/>
                <w:szCs w:val="18"/>
              </w:rPr>
              <w:t xml:space="preserve"> Continuing treatment of whole body</w:t>
            </w:r>
          </w:p>
        </w:tc>
      </w:tr>
      <w:tr w:rsidR="002A57D9" w:rsidRPr="00DD6DB1" w14:paraId="76506D37"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B6AABDF" w14:textId="77777777" w:rsidR="002A57D9" w:rsidRPr="00CE3CDC" w:rsidRDefault="002A57D9" w:rsidP="00DF0A1B">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Clinical criteria:</w:t>
            </w:r>
          </w:p>
        </w:tc>
      </w:tr>
      <w:tr w:rsidR="002A57D9" w:rsidRPr="00DD6DB1" w14:paraId="23665696"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7AC3B5"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lastRenderedPageBreak/>
              <w:t xml:space="preserve">Patient must have received PBS-subsidised treatment with this therapy for the treatment of chronic severe atopic dermatitis affecting the whole body, </w:t>
            </w:r>
          </w:p>
          <w:p w14:paraId="2EB29972"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14B58814"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have achieved an adequate response prior to this first continuing treatment authority application; OR</w:t>
            </w:r>
          </w:p>
          <w:p w14:paraId="13321CB1" w14:textId="77777777" w:rsidR="002A57D9"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 xml:space="preserve">Patient must have maintained an adequate response to their most recent supply of this therapy for this PBS indication if this is any Continuing treatment authority application other than the first; </w:t>
            </w:r>
          </w:p>
          <w:p w14:paraId="04837956"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OR</w:t>
            </w:r>
          </w:p>
          <w:p w14:paraId="42D29336"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2A57D9" w:rsidRPr="00DD6DB1" w14:paraId="33E90A79"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8147569" w14:textId="77777777" w:rsidR="002A57D9" w:rsidRPr="00CE3CDC" w:rsidRDefault="002A57D9" w:rsidP="00DF0A1B">
            <w:pPr>
              <w:keepNext/>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Treatment criteria:</w:t>
            </w:r>
          </w:p>
        </w:tc>
      </w:tr>
      <w:tr w:rsidR="002A57D9" w:rsidRPr="00DD6DB1" w14:paraId="35B23BD9"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E4388D2"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Must be treated by a dermatologist; OR</w:t>
            </w:r>
          </w:p>
          <w:p w14:paraId="4FE490FE"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Must be treated by a clinical immunologist; </w:t>
            </w:r>
          </w:p>
          <w:p w14:paraId="0E9B3CAA"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7472F7CF"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Patient must be undergoing treatment with this drug as the sole PBS-subsidised therapy with this PBS indication (combination with oral corticosteroids is permitted as these are not listed with the PBS indication: chronic severe atopic dermatitis).</w:t>
            </w:r>
          </w:p>
          <w:p w14:paraId="7999A6EC" w14:textId="77777777" w:rsidR="002A57D9" w:rsidRPr="007920F8" w:rsidRDefault="002A57D9" w:rsidP="00DF0A1B">
            <w:pPr>
              <w:widowControl w:val="0"/>
              <w:rPr>
                <w:rFonts w:ascii="Arial Narrow" w:eastAsiaTheme="majorEastAsia" w:hAnsi="Arial Narrow" w:cstheme="majorBidi"/>
                <w:bCs/>
                <w:sz w:val="20"/>
                <w:szCs w:val="18"/>
              </w:rPr>
            </w:pPr>
          </w:p>
          <w:p w14:paraId="16A5AD23"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For the purposes of this restriction, an adequate response to treatment is defined as:</w:t>
            </w:r>
          </w:p>
          <w:p w14:paraId="6CEFE5DD"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 An improvement/maintenance in the Eczema Area and Severity Index (EASI) score of at least 50% compared to baseline; and</w:t>
            </w:r>
          </w:p>
          <w:p w14:paraId="4A523A6F"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(b) An improvement/maintenance in Dermatology Life Quality Index (DLQI) score of at least 4 points compared to baseline</w:t>
            </w:r>
          </w:p>
          <w:p w14:paraId="4F988492" w14:textId="77777777" w:rsidR="002A57D9" w:rsidRPr="007920F8" w:rsidRDefault="002A57D9" w:rsidP="00DF0A1B">
            <w:pPr>
              <w:widowControl w:val="0"/>
              <w:rPr>
                <w:rFonts w:ascii="Arial Narrow" w:eastAsiaTheme="majorEastAsia" w:hAnsi="Arial Narrow" w:cstheme="majorBidi"/>
                <w:bCs/>
                <w:sz w:val="20"/>
                <w:szCs w:val="18"/>
              </w:rPr>
            </w:pPr>
          </w:p>
          <w:p w14:paraId="2922C37C" w14:textId="77777777" w:rsidR="002A57D9" w:rsidRPr="00DD6DB1"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tc>
      </w:tr>
      <w:tr w:rsidR="002A57D9" w:rsidRPr="00DD6DB1" w14:paraId="76E795C1"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1AEB878" w14:textId="77777777" w:rsidR="002A57D9" w:rsidRPr="00CE3CDC" w:rsidRDefault="002A57D9" w:rsidP="00DF0A1B">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Population criteria:</w:t>
            </w:r>
          </w:p>
        </w:tc>
      </w:tr>
      <w:tr w:rsidR="002A57D9" w:rsidRPr="00DD6DB1" w14:paraId="2EACF6BA"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D68F5DD" w14:textId="77777777" w:rsidR="002A57D9" w:rsidRPr="007920F8"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be aged 18 years or older.</w:t>
            </w:r>
          </w:p>
        </w:tc>
      </w:tr>
      <w:tr w:rsidR="002A57D9" w:rsidRPr="00DD6DB1" w14:paraId="65A38A7F"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21670" w14:textId="77777777" w:rsidR="002A57D9" w:rsidRPr="00DD6DB1" w:rsidRDefault="002A57D9" w:rsidP="00DF0A1B">
            <w:pPr>
              <w:widowControl w:val="0"/>
              <w:rPr>
                <w:rFonts w:ascii="Arial Narrow" w:eastAsiaTheme="majorEastAsia" w:hAnsi="Arial Narrow" w:cstheme="majorBidi"/>
                <w:bCs/>
                <w:sz w:val="20"/>
                <w:szCs w:val="18"/>
              </w:rPr>
            </w:pPr>
            <w:r w:rsidRPr="00CE3CDC">
              <w:rPr>
                <w:rFonts w:ascii="Arial Narrow" w:eastAsiaTheme="majorEastAsia" w:hAnsi="Arial Narrow" w:cstheme="majorBidi"/>
                <w:b/>
                <w:sz w:val="20"/>
                <w:szCs w:val="18"/>
              </w:rPr>
              <w:t>Treatment Phase:</w:t>
            </w:r>
            <w:r w:rsidRPr="007920F8">
              <w:rPr>
                <w:rFonts w:ascii="Arial Narrow" w:eastAsiaTheme="majorEastAsia" w:hAnsi="Arial Narrow" w:cstheme="majorBidi"/>
                <w:bCs/>
                <w:sz w:val="20"/>
                <w:szCs w:val="18"/>
              </w:rPr>
              <w:t xml:space="preserve"> Grandfathering - treatment of the whole body</w:t>
            </w:r>
          </w:p>
        </w:tc>
      </w:tr>
      <w:tr w:rsidR="002A57D9" w:rsidRPr="00DD6DB1" w14:paraId="33ACA604"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E0512BC" w14:textId="77777777" w:rsidR="002A57D9" w:rsidRPr="00CE3CDC" w:rsidRDefault="002A57D9" w:rsidP="00DF0A1B">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Clinical criteria:</w:t>
            </w:r>
          </w:p>
        </w:tc>
      </w:tr>
      <w:tr w:rsidR="002A57D9" w:rsidRPr="00DD6DB1" w14:paraId="218C9525"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169BAA1"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Patient must have been receiving non-PBS-subsidised treatment with this medicine for the treatment of chronic severe atopic dermatitis affecting the whole body; </w:t>
            </w:r>
          </w:p>
          <w:p w14:paraId="5029576D"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5D0BDF7E"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Prior to commencing treatment with this drug for this condition:</w:t>
            </w:r>
          </w:p>
          <w:p w14:paraId="2B89C37C" w14:textId="77777777" w:rsidR="002A57D9" w:rsidRPr="007920F8" w:rsidRDefault="002A57D9" w:rsidP="002A57D9">
            <w:pPr>
              <w:widowControl w:val="0"/>
              <w:numPr>
                <w:ilvl w:val="0"/>
                <w:numId w:val="8"/>
              </w:numPr>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Patient must have a Physicians Global Assessment (PGA) (5-point scale) baseline score of at least 4 as evidence of severe disease despite treatment with daily topical therapy (corticosteroid of medium to high potency/calcineurin inhibitor), for at least 28 days, </w:t>
            </w:r>
          </w:p>
          <w:p w14:paraId="5F1D364D"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7EB90208" w14:textId="77777777" w:rsidR="002A57D9" w:rsidRPr="007920F8" w:rsidRDefault="002A57D9" w:rsidP="002A57D9">
            <w:pPr>
              <w:widowControl w:val="0"/>
              <w:numPr>
                <w:ilvl w:val="0"/>
                <w:numId w:val="8"/>
              </w:numPr>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Patient must have an Eczema Area and Severity Index (EASI) baseline score of at least 20 despite treatment with daily topical therapy (corticosteroid of medium to high potency/calcineurin inhibitor), for at least 28 days, </w:t>
            </w:r>
          </w:p>
          <w:p w14:paraId="1A8FF9D9"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2070C6EF" w14:textId="77777777" w:rsidR="002A57D9" w:rsidRPr="00DD6DB1"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Patient must have an age appropriate Dermatology Life Quality Index (DLQI) baseline score (of any value) measured following treatment with daily topical therapy (corticosteroid of medium to high potency/calcineurin inhibitor), for at least 28 days,</w:t>
            </w:r>
          </w:p>
        </w:tc>
      </w:tr>
      <w:tr w:rsidR="002A57D9" w:rsidRPr="00DD6DB1" w14:paraId="73D67B7D"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9426982" w14:textId="77777777" w:rsidR="002A57D9" w:rsidRPr="00CE3CDC" w:rsidRDefault="002A57D9" w:rsidP="00DF0A1B">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Treatment criteria:</w:t>
            </w:r>
          </w:p>
        </w:tc>
      </w:tr>
      <w:tr w:rsidR="002A57D9" w:rsidRPr="00DD6DB1" w14:paraId="4F6AB9A8"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64C4D65" w14:textId="77777777" w:rsidR="002A57D9" w:rsidRPr="007920F8"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Must be treated by a dermatologist; OR</w:t>
            </w:r>
          </w:p>
          <w:p w14:paraId="3841CD38" w14:textId="77777777" w:rsidR="002A57D9" w:rsidRPr="00DD6DB1" w:rsidRDefault="002A57D9" w:rsidP="00DF0A1B">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Must be treated by a clinical immunologist.</w:t>
            </w:r>
          </w:p>
        </w:tc>
      </w:tr>
      <w:tr w:rsidR="002A57D9" w:rsidRPr="00DD6DB1" w14:paraId="4800BA2B"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C61337A" w14:textId="77777777" w:rsidR="002A57D9" w:rsidRPr="00CE3CDC" w:rsidRDefault="002A57D9" w:rsidP="00DF0A1B">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Population criteria:</w:t>
            </w:r>
          </w:p>
        </w:tc>
      </w:tr>
      <w:tr w:rsidR="002A57D9" w:rsidRPr="00DD6DB1" w14:paraId="2643883F"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EF2DE35"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be aged 18 years or older.</w:t>
            </w:r>
          </w:p>
        </w:tc>
      </w:tr>
      <w:bookmarkEnd w:id="14"/>
    </w:tbl>
    <w:p w14:paraId="07CEAF6F" w14:textId="77777777" w:rsidR="002A57D9" w:rsidRDefault="002A57D9" w:rsidP="002A5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2A57D9" w:rsidRPr="00DD6DB1" w14:paraId="17BDFFBA" w14:textId="77777777" w:rsidTr="00DF0A1B">
        <w:trPr>
          <w:cantSplit/>
          <w:trHeight w:val="20"/>
        </w:trPr>
        <w:tc>
          <w:tcPr>
            <w:tcW w:w="5000" w:type="pct"/>
            <w:shd w:val="clear" w:color="auto" w:fill="D9D9D9" w:themeFill="background1" w:themeFillShade="D9"/>
            <w:vAlign w:val="center"/>
          </w:tcPr>
          <w:p w14:paraId="1F2CE0EF" w14:textId="77777777" w:rsidR="002A57D9" w:rsidRPr="00DD6DB1" w:rsidRDefault="002A57D9" w:rsidP="00DF0A1B">
            <w:pPr>
              <w:keepNext/>
              <w:widowControl w:val="0"/>
              <w:rPr>
                <w:rFonts w:ascii="Arial Narrow" w:eastAsiaTheme="majorEastAsia" w:hAnsi="Arial Narrow" w:cstheme="majorBidi"/>
                <w:bCs/>
                <w:sz w:val="20"/>
                <w:szCs w:val="18"/>
              </w:rPr>
            </w:pPr>
            <w:bookmarkStart w:id="15" w:name="_Hlk176466405"/>
            <w:r w:rsidRPr="00DD6DB1">
              <w:rPr>
                <w:rFonts w:ascii="Arial Narrow" w:eastAsiaTheme="majorEastAsia" w:hAnsi="Arial Narrow" w:cstheme="majorBidi"/>
                <w:b/>
                <w:bCs/>
                <w:sz w:val="20"/>
                <w:szCs w:val="18"/>
              </w:rPr>
              <w:lastRenderedPageBreak/>
              <w:t>Treatment Phase:</w:t>
            </w:r>
            <w:r w:rsidRPr="00DD6DB1">
              <w:rPr>
                <w:rFonts w:ascii="Arial Narrow" w:eastAsiaTheme="majorEastAsia" w:hAnsi="Arial Narrow" w:cstheme="majorBidi"/>
                <w:bCs/>
                <w:sz w:val="20"/>
                <w:szCs w:val="18"/>
              </w:rPr>
              <w:t xml:space="preserve"> Initial treatment of face and/or hands</w:t>
            </w:r>
          </w:p>
        </w:tc>
      </w:tr>
      <w:tr w:rsidR="002A57D9" w:rsidRPr="00DD6DB1" w14:paraId="2A980A51" w14:textId="77777777" w:rsidTr="00DF0A1B">
        <w:trPr>
          <w:cantSplit/>
          <w:trHeight w:val="20"/>
        </w:trPr>
        <w:tc>
          <w:tcPr>
            <w:tcW w:w="5000" w:type="pct"/>
            <w:vAlign w:val="center"/>
          </w:tcPr>
          <w:p w14:paraId="6F08404F" w14:textId="77777777" w:rsidR="002A57D9" w:rsidRPr="00DD6DB1" w:rsidRDefault="002A57D9" w:rsidP="00DF0A1B">
            <w:pPr>
              <w:keepNext/>
              <w:widowControl w:val="0"/>
              <w:rPr>
                <w:rFonts w:ascii="Arial Narrow" w:eastAsiaTheme="majorEastAsia" w:hAnsi="Arial Narrow" w:cstheme="majorBidi"/>
                <w:bCs/>
                <w:sz w:val="20"/>
                <w:szCs w:val="18"/>
              </w:rPr>
            </w:pPr>
            <w:r w:rsidRPr="00DD6DB1">
              <w:rPr>
                <w:rFonts w:ascii="Arial Narrow" w:eastAsiaTheme="majorEastAsia" w:hAnsi="Arial Narrow" w:cstheme="majorBidi"/>
                <w:b/>
                <w:sz w:val="20"/>
                <w:szCs w:val="18"/>
              </w:rPr>
              <w:t>Clinical criteria:</w:t>
            </w:r>
          </w:p>
        </w:tc>
      </w:tr>
      <w:tr w:rsidR="002A57D9" w:rsidRPr="00DD6DB1" w14:paraId="57135806" w14:textId="77777777" w:rsidTr="00DF0A1B">
        <w:trPr>
          <w:cantSplit/>
          <w:trHeight w:val="20"/>
        </w:trPr>
        <w:tc>
          <w:tcPr>
            <w:tcW w:w="5000" w:type="pct"/>
            <w:vAlign w:val="center"/>
          </w:tcPr>
          <w:p w14:paraId="25D08365"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The condition must have at least 2 of the following Eczema Area and Severity Index (EASI) symptom sub-scores for erythema, oedema/papulation, excoriation, </w:t>
            </w:r>
            <w:proofErr w:type="spellStart"/>
            <w:r w:rsidRPr="00DD6DB1">
              <w:rPr>
                <w:rFonts w:ascii="Arial Narrow" w:eastAsiaTheme="majorEastAsia" w:hAnsi="Arial Narrow" w:cstheme="majorBidi"/>
                <w:bCs/>
                <w:sz w:val="20"/>
                <w:szCs w:val="18"/>
                <w:lang w:val="en-US"/>
              </w:rPr>
              <w:t>lichenification</w:t>
            </w:r>
            <w:proofErr w:type="spellEnd"/>
            <w:r w:rsidRPr="00DD6DB1">
              <w:rPr>
                <w:rFonts w:ascii="Arial Narrow" w:eastAsiaTheme="majorEastAsia" w:hAnsi="Arial Narrow" w:cstheme="majorBidi"/>
                <w:bCs/>
                <w:sz w:val="20"/>
                <w:szCs w:val="18"/>
                <w:lang w:val="en-US"/>
              </w:rPr>
              <w:t xml:space="preserve"> rated as severe despite treatment with daily topical therapy (corticosteroid of medium to high potency/calcineurin inhibitor), for at least 28 days; </w:t>
            </w:r>
          </w:p>
          <w:p w14:paraId="4B4D757C"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OR</w:t>
            </w:r>
          </w:p>
          <w:p w14:paraId="75A0EDEF"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The condition must have affected at least 30% of the face/hands surface area despite treatment with daily topical therapy (corticosteroid of medium to high potency/calcineurin inhibitor), for at least 28 days, </w:t>
            </w:r>
          </w:p>
          <w:p w14:paraId="39D4EC80"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3881BBF3"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Patient must have an age</w:t>
            </w:r>
            <w:r>
              <w:rPr>
                <w:rFonts w:ascii="Arial Narrow" w:eastAsiaTheme="majorEastAsia" w:hAnsi="Arial Narrow" w:cstheme="majorBidi"/>
                <w:bCs/>
                <w:sz w:val="20"/>
                <w:szCs w:val="18"/>
                <w:lang w:val="en-US"/>
              </w:rPr>
              <w:t>-</w:t>
            </w:r>
            <w:r w:rsidRPr="00DD6DB1">
              <w:rPr>
                <w:rFonts w:ascii="Arial Narrow" w:eastAsiaTheme="majorEastAsia" w:hAnsi="Arial Narrow" w:cstheme="majorBidi"/>
                <w:bCs/>
                <w:sz w:val="20"/>
                <w:szCs w:val="18"/>
                <w:lang w:val="en-US"/>
              </w:rPr>
              <w:t xml:space="preserve">appropriate Dermatology Life Quality Index (DLQI) baseline score (of any value) measured following treatment with daily topical therapy (corticosteroid of medium to high potency/calcineurin inhibitor), for at least 28 days, </w:t>
            </w:r>
          </w:p>
          <w:p w14:paraId="64141DC3"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72C69C6D"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The condition must have had lesions for at least 6 months from the time of the initial diagnosis of chronic severe atopic dermatitis affecting either of: (i) the whole body, (ii) face/hands, </w:t>
            </w:r>
          </w:p>
          <w:p w14:paraId="486BF297"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70466165"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lang w:val="en-US"/>
              </w:rPr>
              <w:t>Patient must not have experienced an inadequate response to this therapy.</w:t>
            </w:r>
          </w:p>
        </w:tc>
      </w:tr>
      <w:tr w:rsidR="002A57D9" w:rsidRPr="00DD6DB1" w14:paraId="4BD639E5" w14:textId="77777777" w:rsidTr="00DF0A1B">
        <w:trPr>
          <w:cantSplit/>
          <w:trHeight w:val="20"/>
        </w:trPr>
        <w:tc>
          <w:tcPr>
            <w:tcW w:w="5000" w:type="pct"/>
            <w:vAlign w:val="center"/>
          </w:tcPr>
          <w:p w14:paraId="1C24D398"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Treatment criteria:</w:t>
            </w:r>
          </w:p>
        </w:tc>
      </w:tr>
      <w:tr w:rsidR="002A57D9" w:rsidRPr="00DD6DB1" w14:paraId="455A4993" w14:textId="77777777" w:rsidTr="00DF0A1B">
        <w:trPr>
          <w:cantSplit/>
          <w:trHeight w:val="20"/>
        </w:trPr>
        <w:tc>
          <w:tcPr>
            <w:tcW w:w="5000" w:type="pct"/>
            <w:vAlign w:val="center"/>
          </w:tcPr>
          <w:p w14:paraId="7477F190"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Must be treated by a dermatologist; OR</w:t>
            </w:r>
          </w:p>
          <w:p w14:paraId="387B0651"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Must be treated by a clinical immunologist; </w:t>
            </w:r>
          </w:p>
          <w:p w14:paraId="62AE2592"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4DE42B34"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be undergoing treatment with this drug as the sole PBS-subsidised therapy with this PBS indication (combination with oral corticosteroids is permitted as these are not listed with the PBS indication: chronic severe atopic dermatitis).</w:t>
            </w:r>
          </w:p>
        </w:tc>
      </w:tr>
      <w:tr w:rsidR="002A57D9" w:rsidRPr="00DD6DB1" w14:paraId="36AE0D2C" w14:textId="77777777" w:rsidTr="00DF0A1B">
        <w:trPr>
          <w:cantSplit/>
          <w:trHeight w:val="20"/>
        </w:trPr>
        <w:tc>
          <w:tcPr>
            <w:tcW w:w="5000" w:type="pct"/>
            <w:vAlign w:val="center"/>
          </w:tcPr>
          <w:p w14:paraId="33C56485"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Population criteria:</w:t>
            </w:r>
          </w:p>
        </w:tc>
      </w:tr>
      <w:tr w:rsidR="002A57D9" w:rsidRPr="00DD6DB1" w14:paraId="72277625" w14:textId="77777777" w:rsidTr="00DF0A1B">
        <w:trPr>
          <w:cantSplit/>
          <w:trHeight w:val="20"/>
        </w:trPr>
        <w:tc>
          <w:tcPr>
            <w:tcW w:w="5000" w:type="pct"/>
            <w:vAlign w:val="center"/>
          </w:tcPr>
          <w:p w14:paraId="4E3C1611"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rPr>
              <w:t>Patient must be aged 18 years or older.</w:t>
            </w:r>
          </w:p>
        </w:tc>
      </w:tr>
      <w:tr w:rsidR="002A57D9" w:rsidRPr="00DD6DB1" w14:paraId="7D25218D" w14:textId="77777777" w:rsidTr="00DF0A1B">
        <w:trPr>
          <w:cantSplit/>
          <w:trHeight w:val="20"/>
        </w:trPr>
        <w:tc>
          <w:tcPr>
            <w:tcW w:w="5000" w:type="pct"/>
            <w:shd w:val="clear" w:color="auto" w:fill="D9D9D9" w:themeFill="background1" w:themeFillShade="D9"/>
            <w:vAlign w:val="center"/>
          </w:tcPr>
          <w:p w14:paraId="6EEC5FD3"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 xml:space="preserve">Treatment Phase: </w:t>
            </w:r>
            <w:r w:rsidRPr="00DD6DB1">
              <w:rPr>
                <w:rFonts w:ascii="Arial Narrow" w:eastAsiaTheme="majorEastAsia" w:hAnsi="Arial Narrow" w:cstheme="majorBidi"/>
                <w:bCs/>
                <w:sz w:val="20"/>
                <w:szCs w:val="18"/>
              </w:rPr>
              <w:t>Continuing treatment of face and/or hands</w:t>
            </w:r>
          </w:p>
        </w:tc>
      </w:tr>
      <w:tr w:rsidR="002A57D9" w:rsidRPr="00DD6DB1" w14:paraId="52490935" w14:textId="77777777" w:rsidTr="00DF0A1B">
        <w:trPr>
          <w:cantSplit/>
          <w:trHeight w:val="20"/>
        </w:trPr>
        <w:tc>
          <w:tcPr>
            <w:tcW w:w="5000" w:type="pct"/>
            <w:vAlign w:val="center"/>
          </w:tcPr>
          <w:p w14:paraId="148520D3"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Clinical criteria:</w:t>
            </w:r>
          </w:p>
        </w:tc>
      </w:tr>
      <w:tr w:rsidR="002A57D9" w:rsidRPr="00DD6DB1" w14:paraId="36745CE9" w14:textId="77777777" w:rsidTr="00DF0A1B">
        <w:trPr>
          <w:cantSplit/>
          <w:trHeight w:val="20"/>
        </w:trPr>
        <w:tc>
          <w:tcPr>
            <w:tcW w:w="5000" w:type="pct"/>
            <w:vAlign w:val="center"/>
          </w:tcPr>
          <w:p w14:paraId="56F305D4"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Patient must have received PBS-</w:t>
            </w:r>
            <w:proofErr w:type="spellStart"/>
            <w:r w:rsidRPr="00DD6DB1">
              <w:rPr>
                <w:rFonts w:ascii="Arial Narrow" w:eastAsiaTheme="majorEastAsia" w:hAnsi="Arial Narrow" w:cstheme="majorBidi"/>
                <w:bCs/>
                <w:sz w:val="20"/>
                <w:szCs w:val="18"/>
                <w:lang w:val="en-US"/>
              </w:rPr>
              <w:t>subsidised</w:t>
            </w:r>
            <w:proofErr w:type="spellEnd"/>
            <w:r w:rsidRPr="00DD6DB1">
              <w:rPr>
                <w:rFonts w:ascii="Arial Narrow" w:eastAsiaTheme="majorEastAsia" w:hAnsi="Arial Narrow" w:cstheme="majorBidi"/>
                <w:bCs/>
                <w:sz w:val="20"/>
                <w:szCs w:val="18"/>
                <w:lang w:val="en-US"/>
              </w:rPr>
              <w:t xml:space="preserve"> treatment with this therapy for the treatment of chronic severe atopic dermatitis affecting the face/hands, </w:t>
            </w:r>
          </w:p>
          <w:p w14:paraId="44336C1C"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03C73CB3"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Patient must have achieved an adequate response prior to this first continuing treatment authority application; </w:t>
            </w:r>
          </w:p>
          <w:p w14:paraId="0D70604B"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OR</w:t>
            </w:r>
          </w:p>
          <w:p w14:paraId="2B2AD8BE"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Patient must have maintained an adequate response to their most recent supply of this therapy for this PBS indication if this is any Continuing treatment authority application other than the first; </w:t>
            </w:r>
          </w:p>
          <w:p w14:paraId="25C9AD0B"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OR</w:t>
            </w:r>
          </w:p>
          <w:p w14:paraId="4500456E" w14:textId="77777777" w:rsidR="002A57D9" w:rsidRPr="00DD6DB1" w:rsidRDefault="002A57D9" w:rsidP="00DF0A1B">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lang w:val="en-US"/>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2A57D9" w:rsidRPr="00DD6DB1" w14:paraId="5EC30343" w14:textId="77777777" w:rsidTr="00DF0A1B">
        <w:trPr>
          <w:cantSplit/>
          <w:trHeight w:val="20"/>
        </w:trPr>
        <w:tc>
          <w:tcPr>
            <w:tcW w:w="5000" w:type="pct"/>
            <w:vAlign w:val="center"/>
          </w:tcPr>
          <w:p w14:paraId="291D2938" w14:textId="77777777" w:rsidR="002A57D9" w:rsidRPr="00DD6DB1" w:rsidRDefault="002A57D9" w:rsidP="00E25FE6">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
                <w:bCs/>
                <w:sz w:val="20"/>
                <w:szCs w:val="18"/>
              </w:rPr>
              <w:t>Treatment criteria:</w:t>
            </w:r>
          </w:p>
        </w:tc>
      </w:tr>
      <w:tr w:rsidR="002A57D9" w:rsidRPr="00DD6DB1" w14:paraId="067F37B6" w14:textId="77777777" w:rsidTr="00E25FE6">
        <w:trPr>
          <w:trHeight w:val="20"/>
        </w:trPr>
        <w:tc>
          <w:tcPr>
            <w:tcW w:w="5000" w:type="pct"/>
            <w:vAlign w:val="center"/>
          </w:tcPr>
          <w:p w14:paraId="7A610AD6"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Must be treated by a dermatologist; OR</w:t>
            </w:r>
          </w:p>
          <w:p w14:paraId="77E9AA5A" w14:textId="77777777" w:rsidR="002A57D9"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Must be treated by a clinical immunologist; </w:t>
            </w:r>
          </w:p>
          <w:p w14:paraId="5A392D37"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5E886DD2"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Patient must be undergoing treatment with this drug as the sole PBS-</w:t>
            </w:r>
            <w:proofErr w:type="spellStart"/>
            <w:r w:rsidRPr="00DD6DB1">
              <w:rPr>
                <w:rFonts w:ascii="Arial Narrow" w:eastAsiaTheme="majorEastAsia" w:hAnsi="Arial Narrow" w:cstheme="majorBidi"/>
                <w:bCs/>
                <w:sz w:val="20"/>
                <w:szCs w:val="18"/>
                <w:lang w:val="en-US"/>
              </w:rPr>
              <w:t>subsidised</w:t>
            </w:r>
            <w:proofErr w:type="spellEnd"/>
            <w:r w:rsidRPr="00DD6DB1">
              <w:rPr>
                <w:rFonts w:ascii="Arial Narrow" w:eastAsiaTheme="majorEastAsia" w:hAnsi="Arial Narrow" w:cstheme="majorBidi"/>
                <w:bCs/>
                <w:sz w:val="20"/>
                <w:szCs w:val="18"/>
                <w:lang w:val="en-US"/>
              </w:rPr>
              <w:t xml:space="preserve"> therapy with this PBS indication (combination with oral corticosteroids is permitted as these are not listed with the PBS indication: chronic severe atopic dermatitis).</w:t>
            </w:r>
          </w:p>
          <w:p w14:paraId="32E9FF23" w14:textId="77777777" w:rsidR="002A57D9" w:rsidRPr="00DD6DB1" w:rsidRDefault="002A57D9" w:rsidP="00E25FE6">
            <w:pPr>
              <w:widowControl w:val="0"/>
              <w:rPr>
                <w:rFonts w:ascii="Arial Narrow" w:eastAsiaTheme="majorEastAsia" w:hAnsi="Arial Narrow" w:cstheme="majorBidi"/>
                <w:bCs/>
                <w:sz w:val="20"/>
                <w:szCs w:val="18"/>
                <w:lang w:val="en-US"/>
              </w:rPr>
            </w:pPr>
          </w:p>
          <w:p w14:paraId="55EDA021"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For the purposes of this restriction, an adequate response to treatment of the face/hands is defined as:</w:t>
            </w:r>
          </w:p>
          <w:p w14:paraId="1824F798"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(a) (i) A rating of either mild (1) to none (0) on at least 3 of the assessments of erythema, oedema/papulation, excoriation and </w:t>
            </w:r>
            <w:proofErr w:type="spellStart"/>
            <w:r w:rsidRPr="00DD6DB1">
              <w:rPr>
                <w:rFonts w:ascii="Arial Narrow" w:eastAsiaTheme="majorEastAsia" w:hAnsi="Arial Narrow" w:cstheme="majorBidi"/>
                <w:bCs/>
                <w:sz w:val="20"/>
                <w:szCs w:val="18"/>
                <w:lang w:val="en-US"/>
              </w:rPr>
              <w:t>lichenification</w:t>
            </w:r>
            <w:proofErr w:type="spellEnd"/>
            <w:r w:rsidRPr="00DD6DB1">
              <w:rPr>
                <w:rFonts w:ascii="Arial Narrow" w:eastAsiaTheme="majorEastAsia" w:hAnsi="Arial Narrow" w:cstheme="majorBidi"/>
                <w:bCs/>
                <w:sz w:val="20"/>
                <w:szCs w:val="18"/>
                <w:lang w:val="en-US"/>
              </w:rPr>
              <w:t xml:space="preserve"> mentioned in the Eczema Area and Severity Index (EASI); </w:t>
            </w:r>
            <w:r>
              <w:rPr>
                <w:rFonts w:ascii="Arial Narrow" w:eastAsiaTheme="majorEastAsia" w:hAnsi="Arial Narrow" w:cstheme="majorBidi"/>
                <w:bCs/>
                <w:sz w:val="20"/>
                <w:szCs w:val="18"/>
                <w:lang w:val="en-US"/>
              </w:rPr>
              <w:t xml:space="preserve">OR </w:t>
            </w:r>
            <w:r w:rsidRPr="00DD6DB1">
              <w:rPr>
                <w:rFonts w:ascii="Arial Narrow" w:eastAsiaTheme="majorEastAsia" w:hAnsi="Arial Narrow" w:cstheme="majorBidi"/>
                <w:bCs/>
                <w:sz w:val="20"/>
                <w:szCs w:val="18"/>
                <w:lang w:val="en-US"/>
              </w:rPr>
              <w:t>(ii) At least a 75% reduction in the skin area affected by this condition compared to baseline;</w:t>
            </w:r>
            <w:r>
              <w:rPr>
                <w:rFonts w:ascii="Arial Narrow" w:eastAsiaTheme="majorEastAsia" w:hAnsi="Arial Narrow" w:cstheme="majorBidi"/>
                <w:bCs/>
                <w:sz w:val="20"/>
                <w:szCs w:val="18"/>
                <w:lang w:val="en-US"/>
              </w:rPr>
              <w:t xml:space="preserve"> AND</w:t>
            </w:r>
          </w:p>
          <w:p w14:paraId="5D3B4162"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(b) An improvement in Dermatology Life Quality Index (DLQI) score of at least 4 points compared to baseline</w:t>
            </w:r>
          </w:p>
          <w:p w14:paraId="45482B29" w14:textId="77777777" w:rsidR="002A57D9" w:rsidRPr="00DD6DB1" w:rsidRDefault="002A57D9" w:rsidP="00E25FE6">
            <w:pPr>
              <w:widowControl w:val="0"/>
              <w:rPr>
                <w:rFonts w:ascii="Arial Narrow" w:eastAsiaTheme="majorEastAsia" w:hAnsi="Arial Narrow" w:cstheme="majorBidi"/>
                <w:bCs/>
                <w:sz w:val="20"/>
                <w:szCs w:val="18"/>
                <w:lang w:val="en-US"/>
              </w:rPr>
            </w:pPr>
          </w:p>
          <w:p w14:paraId="7CACA692" w14:textId="77777777" w:rsidR="002A57D9" w:rsidRPr="00DD6DB1" w:rsidRDefault="002A57D9" w:rsidP="00E25FE6">
            <w:pPr>
              <w:widowControl w:val="0"/>
              <w:rPr>
                <w:rFonts w:ascii="Arial Narrow" w:eastAsiaTheme="majorEastAsia" w:hAnsi="Arial Narrow" w:cstheme="majorBidi"/>
                <w:bCs/>
                <w:sz w:val="20"/>
                <w:szCs w:val="18"/>
              </w:rPr>
            </w:pPr>
            <w:r w:rsidRPr="00DD6DB1">
              <w:rPr>
                <w:rFonts w:ascii="Arial Narrow" w:eastAsiaTheme="majorEastAsia" w:hAnsi="Arial Narrow" w:cstheme="majorBidi"/>
                <w:bCs/>
                <w:sz w:val="20"/>
                <w:szCs w:val="18"/>
                <w:lang w:val="en-US"/>
              </w:rPr>
              <w:lastRenderedPageBreak/>
              <w:t>Where an initial baseline (post-topical corticosteroid, pre-biological medicine) DLQI score was not measured for a patient who had commenced treatment through a clinical trial, early access program or through private, non-PBS-</w:t>
            </w:r>
            <w:proofErr w:type="spellStart"/>
            <w:r w:rsidRPr="00DD6DB1">
              <w:rPr>
                <w:rFonts w:ascii="Arial Narrow" w:eastAsiaTheme="majorEastAsia" w:hAnsi="Arial Narrow" w:cstheme="majorBidi"/>
                <w:bCs/>
                <w:sz w:val="20"/>
                <w:szCs w:val="18"/>
                <w:lang w:val="en-US"/>
              </w:rPr>
              <w:t>subsidised</w:t>
            </w:r>
            <w:proofErr w:type="spellEnd"/>
            <w:r w:rsidRPr="00DD6DB1">
              <w:rPr>
                <w:rFonts w:ascii="Arial Narrow" w:eastAsiaTheme="majorEastAsia" w:hAnsi="Arial Narrow" w:cstheme="majorBidi"/>
                <w:bCs/>
                <w:sz w:val="20"/>
                <w:szCs w:val="18"/>
                <w:lang w:val="en-US"/>
              </w:rPr>
              <w:t xml:space="preserve"> supply, an absence of worsening in the current DLQI score compared to that measured at the time of the 'Grandfather listing' authority application will suffice as an adequate response for requirement (b) above.</w:t>
            </w:r>
          </w:p>
        </w:tc>
      </w:tr>
      <w:tr w:rsidR="002A57D9" w:rsidRPr="00DD6DB1" w14:paraId="77E82832" w14:textId="77777777" w:rsidTr="00DF0A1B">
        <w:trPr>
          <w:cantSplit/>
          <w:trHeight w:val="20"/>
        </w:trPr>
        <w:tc>
          <w:tcPr>
            <w:tcW w:w="5000" w:type="pct"/>
            <w:vAlign w:val="center"/>
          </w:tcPr>
          <w:p w14:paraId="59890095"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
                <w:bCs/>
                <w:sz w:val="20"/>
                <w:szCs w:val="18"/>
              </w:rPr>
              <w:lastRenderedPageBreak/>
              <w:t>Population criteria:</w:t>
            </w:r>
          </w:p>
        </w:tc>
      </w:tr>
      <w:tr w:rsidR="002A57D9" w:rsidRPr="00DD6DB1" w14:paraId="5DEAE316" w14:textId="77777777" w:rsidTr="00DF0A1B">
        <w:trPr>
          <w:cantSplit/>
          <w:trHeight w:val="20"/>
        </w:trPr>
        <w:tc>
          <w:tcPr>
            <w:tcW w:w="5000" w:type="pct"/>
            <w:vAlign w:val="center"/>
          </w:tcPr>
          <w:p w14:paraId="205AFEBA" w14:textId="77777777" w:rsidR="002A57D9" w:rsidRPr="00DD6DB1" w:rsidRDefault="002A57D9" w:rsidP="00E25FE6">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rPr>
              <w:t>Patient must be aged 18 years or older.</w:t>
            </w:r>
          </w:p>
        </w:tc>
      </w:tr>
      <w:tr w:rsidR="002A57D9" w:rsidRPr="00DD6DB1" w14:paraId="5A4640A5"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6A1B4" w14:textId="77777777" w:rsidR="002A57D9" w:rsidRPr="00DD6DB1" w:rsidRDefault="002A57D9" w:rsidP="00E25FE6">
            <w:pPr>
              <w:widowControl w:val="0"/>
              <w:rPr>
                <w:rFonts w:ascii="Arial Narrow" w:eastAsiaTheme="majorEastAsia" w:hAnsi="Arial Narrow" w:cstheme="majorBidi"/>
                <w:bCs/>
                <w:sz w:val="20"/>
                <w:szCs w:val="18"/>
              </w:rPr>
            </w:pPr>
            <w:r w:rsidRPr="00CE3CDC">
              <w:rPr>
                <w:rFonts w:ascii="Arial Narrow" w:eastAsiaTheme="majorEastAsia" w:hAnsi="Arial Narrow" w:cstheme="majorBidi"/>
                <w:b/>
                <w:sz w:val="20"/>
                <w:szCs w:val="18"/>
              </w:rPr>
              <w:t>Treatment Phase:</w:t>
            </w:r>
            <w:r w:rsidRPr="007920F8">
              <w:rPr>
                <w:rFonts w:ascii="Arial Narrow" w:eastAsiaTheme="majorEastAsia" w:hAnsi="Arial Narrow" w:cstheme="majorBidi"/>
                <w:bCs/>
                <w:sz w:val="20"/>
                <w:szCs w:val="18"/>
              </w:rPr>
              <w:t xml:space="preserve"> </w:t>
            </w:r>
            <w:r w:rsidRPr="00DD6DB1">
              <w:rPr>
                <w:rFonts w:ascii="Arial Narrow" w:eastAsiaTheme="majorEastAsia" w:hAnsi="Arial Narrow" w:cstheme="majorBidi"/>
                <w:bCs/>
                <w:sz w:val="20"/>
                <w:szCs w:val="18"/>
              </w:rPr>
              <w:t>Grandfathering - treatment of the face and/or hands</w:t>
            </w:r>
          </w:p>
        </w:tc>
      </w:tr>
      <w:tr w:rsidR="002A57D9" w:rsidRPr="00DD6DB1" w14:paraId="0A1410F2"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542AD401" w14:textId="77777777" w:rsidR="002A57D9" w:rsidRPr="00CE3CDC" w:rsidRDefault="002A57D9" w:rsidP="00E25FE6">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Clinical criteria:</w:t>
            </w:r>
          </w:p>
        </w:tc>
      </w:tr>
      <w:tr w:rsidR="002A57D9" w:rsidRPr="00DD6DB1" w14:paraId="17F1E2C3"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EDABA94"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Patient must have been receiving non-PBS-subsidised treatment with this medicine for the treatment of chronic severe atopic dermatitis affecting the face/hands, </w:t>
            </w:r>
          </w:p>
          <w:p w14:paraId="68348F1D"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43633316"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Prior to commencing treatment with this drug for this condition:</w:t>
            </w:r>
          </w:p>
          <w:p w14:paraId="4FABADE1" w14:textId="77777777" w:rsidR="002A57D9" w:rsidRPr="007920F8" w:rsidRDefault="002A57D9" w:rsidP="00E25FE6">
            <w:pPr>
              <w:widowControl w:val="0"/>
              <w:numPr>
                <w:ilvl w:val="0"/>
                <w:numId w:val="8"/>
              </w:numPr>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The condition must have had at least 2 of the following Eczema Area and Severity Index (EASI) symptom sub-scores for erythema, oedema/papulation, excoriation, </w:t>
            </w:r>
            <w:proofErr w:type="spellStart"/>
            <w:r w:rsidRPr="007920F8">
              <w:rPr>
                <w:rFonts w:ascii="Arial Narrow" w:eastAsiaTheme="majorEastAsia" w:hAnsi="Arial Narrow" w:cstheme="majorBidi"/>
                <w:bCs/>
                <w:sz w:val="20"/>
                <w:szCs w:val="18"/>
              </w:rPr>
              <w:t>lichenification</w:t>
            </w:r>
            <w:proofErr w:type="spellEnd"/>
            <w:r w:rsidRPr="007920F8">
              <w:rPr>
                <w:rFonts w:ascii="Arial Narrow" w:eastAsiaTheme="majorEastAsia" w:hAnsi="Arial Narrow" w:cstheme="majorBidi"/>
                <w:bCs/>
                <w:sz w:val="20"/>
                <w:szCs w:val="18"/>
              </w:rPr>
              <w:t xml:space="preserve"> rated as severe despite treatment with daily topical therapy (corticosteroid of medium to high potency/calcineurin inhibitor), for at least 28 days; OR</w:t>
            </w:r>
          </w:p>
          <w:p w14:paraId="083A773E" w14:textId="77777777" w:rsidR="002A57D9" w:rsidRPr="007920F8" w:rsidRDefault="002A57D9" w:rsidP="00E25FE6">
            <w:pPr>
              <w:widowControl w:val="0"/>
              <w:numPr>
                <w:ilvl w:val="0"/>
                <w:numId w:val="8"/>
              </w:numPr>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 xml:space="preserve">The condition must have affected at least 30% of the face/hands surface area despite treatment with daily topical therapy (corticosteroid of medium to high potency/calcineurin inhibitor), for at least 28 days, </w:t>
            </w:r>
          </w:p>
          <w:p w14:paraId="45FD4B95"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AND</w:t>
            </w:r>
          </w:p>
          <w:p w14:paraId="2149669A" w14:textId="77777777" w:rsidR="002A57D9" w:rsidRPr="007920F8" w:rsidRDefault="002A57D9" w:rsidP="00E25FE6">
            <w:pPr>
              <w:widowControl w:val="0"/>
              <w:numPr>
                <w:ilvl w:val="0"/>
                <w:numId w:val="8"/>
              </w:numPr>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Patient must have had an age appropriate Dermatology Life Quality Index (DLQI) baseline score (of any value) measured following treatment with daily topical therapy (corticosteroid of medium to high potency/calcineurin inhibitor), for at least 28 days,</w:t>
            </w:r>
          </w:p>
        </w:tc>
      </w:tr>
      <w:tr w:rsidR="002A57D9" w:rsidRPr="00DD6DB1" w14:paraId="31CF7B36"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5950AE3" w14:textId="77777777" w:rsidR="002A57D9" w:rsidRPr="00CE3CDC" w:rsidRDefault="002A57D9" w:rsidP="00E25FE6">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Treatment criteria:</w:t>
            </w:r>
          </w:p>
        </w:tc>
      </w:tr>
      <w:tr w:rsidR="002A57D9" w:rsidRPr="00DD6DB1" w14:paraId="737C5F68"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7FB68ACC"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Must be treated by a dermatologist; OR</w:t>
            </w:r>
          </w:p>
          <w:p w14:paraId="18F7BF8E"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Must be treated by a clinical immunologist.</w:t>
            </w:r>
          </w:p>
        </w:tc>
      </w:tr>
      <w:tr w:rsidR="002A57D9" w:rsidRPr="00DD6DB1" w14:paraId="12CFA979"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05651B29" w14:textId="77777777" w:rsidR="002A57D9" w:rsidRPr="00CE3CDC" w:rsidRDefault="002A57D9" w:rsidP="00E25FE6">
            <w:pPr>
              <w:widowControl w:val="0"/>
              <w:rPr>
                <w:rFonts w:ascii="Arial Narrow" w:eastAsiaTheme="majorEastAsia" w:hAnsi="Arial Narrow" w:cstheme="majorBidi"/>
                <w:b/>
                <w:sz w:val="20"/>
                <w:szCs w:val="18"/>
              </w:rPr>
            </w:pPr>
            <w:r w:rsidRPr="00CE3CDC">
              <w:rPr>
                <w:rFonts w:ascii="Arial Narrow" w:eastAsiaTheme="majorEastAsia" w:hAnsi="Arial Narrow" w:cstheme="majorBidi"/>
                <w:b/>
                <w:sz w:val="20"/>
                <w:szCs w:val="18"/>
              </w:rPr>
              <w:t>Population criteria:</w:t>
            </w:r>
          </w:p>
        </w:tc>
      </w:tr>
      <w:tr w:rsidR="002A57D9" w:rsidRPr="00DD6DB1" w14:paraId="3404AE67" w14:textId="77777777" w:rsidTr="00DF0A1B">
        <w:trPr>
          <w:cantSplit/>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3A53590" w14:textId="77777777" w:rsidR="002A57D9" w:rsidRPr="007920F8" w:rsidRDefault="002A57D9" w:rsidP="00E25FE6">
            <w:pPr>
              <w:widowControl w:val="0"/>
              <w:rPr>
                <w:rFonts w:ascii="Arial Narrow" w:eastAsiaTheme="majorEastAsia" w:hAnsi="Arial Narrow" w:cstheme="majorBidi"/>
                <w:bCs/>
                <w:sz w:val="20"/>
                <w:szCs w:val="18"/>
              </w:rPr>
            </w:pPr>
            <w:r w:rsidRPr="007920F8">
              <w:rPr>
                <w:rFonts w:ascii="Arial Narrow" w:eastAsiaTheme="majorEastAsia" w:hAnsi="Arial Narrow" w:cstheme="majorBidi"/>
                <w:bCs/>
                <w:sz w:val="20"/>
                <w:szCs w:val="18"/>
              </w:rPr>
              <w:t>Patient must be aged 18 years or older.</w:t>
            </w:r>
          </w:p>
        </w:tc>
      </w:tr>
      <w:bookmarkEnd w:id="15"/>
    </w:tbl>
    <w:p w14:paraId="1344FD56" w14:textId="77777777" w:rsidR="002A57D9" w:rsidRDefault="002A57D9" w:rsidP="002A57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6"/>
      </w:tblGrid>
      <w:tr w:rsidR="002A57D9" w:rsidRPr="00DD6DB1" w14:paraId="15D6230C" w14:textId="77777777" w:rsidTr="00DF0A1B">
        <w:trPr>
          <w:cantSplit/>
          <w:trHeight w:val="20"/>
        </w:trPr>
        <w:tc>
          <w:tcPr>
            <w:tcW w:w="5000" w:type="pct"/>
            <w:shd w:val="clear" w:color="auto" w:fill="D9D9D9" w:themeFill="background1" w:themeFillShade="D9"/>
            <w:vAlign w:val="center"/>
          </w:tcPr>
          <w:p w14:paraId="58B794D9" w14:textId="77777777" w:rsidR="002A57D9" w:rsidRPr="00DD6DB1" w:rsidRDefault="002A57D9" w:rsidP="00DF0A1B">
            <w:pPr>
              <w:widowControl w:val="0"/>
              <w:rPr>
                <w:rFonts w:ascii="Arial Narrow" w:eastAsiaTheme="majorEastAsia" w:hAnsi="Arial Narrow" w:cstheme="majorBidi"/>
                <w:bCs/>
                <w:sz w:val="20"/>
                <w:szCs w:val="18"/>
                <w:lang w:val="en-US"/>
              </w:rPr>
            </w:pPr>
            <w:bookmarkStart w:id="16" w:name="_Hlk176466434"/>
            <w:r w:rsidRPr="00DD6DB1">
              <w:rPr>
                <w:rFonts w:ascii="Arial Narrow" w:eastAsiaTheme="majorEastAsia" w:hAnsi="Arial Narrow" w:cstheme="majorBidi"/>
                <w:b/>
                <w:bCs/>
                <w:sz w:val="20"/>
                <w:szCs w:val="18"/>
              </w:rPr>
              <w:t xml:space="preserve">Treatment Phase: </w:t>
            </w:r>
            <w:r w:rsidRPr="00DD6DB1">
              <w:rPr>
                <w:rFonts w:ascii="Arial Narrow" w:eastAsiaTheme="majorEastAsia" w:hAnsi="Arial Narrow" w:cstheme="majorBidi"/>
                <w:bCs/>
                <w:sz w:val="20"/>
                <w:szCs w:val="18"/>
              </w:rPr>
              <w:t>Dose change - whole body</w:t>
            </w:r>
            <w:r>
              <w:rPr>
                <w:rFonts w:ascii="Arial Narrow" w:eastAsiaTheme="majorEastAsia" w:hAnsi="Arial Narrow" w:cstheme="majorBidi"/>
                <w:bCs/>
                <w:sz w:val="20"/>
                <w:szCs w:val="18"/>
              </w:rPr>
              <w:t>,</w:t>
            </w:r>
            <w:r w:rsidRPr="00DD6DB1">
              <w:rPr>
                <w:rFonts w:ascii="Arial Narrow" w:eastAsiaTheme="majorEastAsia" w:hAnsi="Arial Narrow" w:cstheme="majorBidi"/>
                <w:bCs/>
                <w:sz w:val="20"/>
                <w:szCs w:val="18"/>
              </w:rPr>
              <w:t xml:space="preserve"> or </w:t>
            </w:r>
            <w:r w:rsidRPr="00F70722">
              <w:rPr>
                <w:rFonts w:ascii="Arial Narrow" w:eastAsiaTheme="majorEastAsia" w:hAnsi="Arial Narrow" w:cstheme="majorBidi"/>
                <w:bCs/>
                <w:sz w:val="20"/>
                <w:szCs w:val="18"/>
              </w:rPr>
              <w:t>face and/or hands</w:t>
            </w:r>
          </w:p>
        </w:tc>
      </w:tr>
      <w:tr w:rsidR="002A57D9" w:rsidRPr="00DD6DB1" w14:paraId="7442D35F" w14:textId="77777777" w:rsidTr="00DF0A1B">
        <w:trPr>
          <w:cantSplit/>
          <w:trHeight w:val="20"/>
        </w:trPr>
        <w:tc>
          <w:tcPr>
            <w:tcW w:w="5000" w:type="pct"/>
            <w:vAlign w:val="center"/>
          </w:tcPr>
          <w:p w14:paraId="530B5182"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
                <w:bCs/>
                <w:sz w:val="20"/>
                <w:szCs w:val="18"/>
              </w:rPr>
              <w:t>Treatment criteria:</w:t>
            </w:r>
          </w:p>
        </w:tc>
      </w:tr>
      <w:tr w:rsidR="002A57D9" w:rsidRPr="00DD6DB1" w14:paraId="6F723516" w14:textId="77777777" w:rsidTr="00DF0A1B">
        <w:trPr>
          <w:cantSplit/>
          <w:trHeight w:val="20"/>
        </w:trPr>
        <w:tc>
          <w:tcPr>
            <w:tcW w:w="5000" w:type="pct"/>
            <w:vAlign w:val="center"/>
          </w:tcPr>
          <w:p w14:paraId="42B3D9F9"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Patient must not be undergoing each of: (i) commencing treatment through this treatment phase listing, (ii) treatment accessed through this treatment phase on more than 2 consecutive occasions, </w:t>
            </w:r>
          </w:p>
          <w:p w14:paraId="08BE060B"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7CFA8CA3"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Patient must be undergoing existing PBS-</w:t>
            </w:r>
            <w:proofErr w:type="spellStart"/>
            <w:r w:rsidRPr="00DD6DB1">
              <w:rPr>
                <w:rFonts w:ascii="Arial Narrow" w:eastAsiaTheme="majorEastAsia" w:hAnsi="Arial Narrow" w:cstheme="majorBidi"/>
                <w:bCs/>
                <w:sz w:val="20"/>
                <w:szCs w:val="18"/>
                <w:lang w:val="en-US"/>
              </w:rPr>
              <w:t>subsidised</w:t>
            </w:r>
            <w:proofErr w:type="spellEnd"/>
            <w:r w:rsidRPr="00DD6DB1">
              <w:rPr>
                <w:rFonts w:ascii="Arial Narrow" w:eastAsiaTheme="majorEastAsia" w:hAnsi="Arial Narrow" w:cstheme="majorBidi"/>
                <w:bCs/>
                <w:sz w:val="20"/>
                <w:szCs w:val="18"/>
                <w:lang w:val="en-US"/>
              </w:rPr>
              <w:t xml:space="preserve"> treatment with this therapy where each of the following is true: (i) there is a change in daily dose, (ii) any remaining PBS repeat prescriptions for the strength that the patient is changing from, is marked as 'cancelled', </w:t>
            </w:r>
          </w:p>
          <w:p w14:paraId="32F255B5"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15CECA69"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Must be treated by a dermatologist; OR</w:t>
            </w:r>
          </w:p>
          <w:p w14:paraId="3937E6D3" w14:textId="77777777" w:rsidR="002A57D9"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 xml:space="preserve">Must be treated by a clinical immunologist, </w:t>
            </w:r>
          </w:p>
          <w:p w14:paraId="309F0DD6"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AND</w:t>
            </w:r>
          </w:p>
          <w:p w14:paraId="60E294C5"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lang w:val="en-US"/>
              </w:rPr>
              <w:t>Patient must be undergoing treatment with this drug as the sole PBS-</w:t>
            </w:r>
            <w:proofErr w:type="spellStart"/>
            <w:r w:rsidRPr="00DD6DB1">
              <w:rPr>
                <w:rFonts w:ascii="Arial Narrow" w:eastAsiaTheme="majorEastAsia" w:hAnsi="Arial Narrow" w:cstheme="majorBidi"/>
                <w:bCs/>
                <w:sz w:val="20"/>
                <w:szCs w:val="18"/>
                <w:lang w:val="en-US"/>
              </w:rPr>
              <w:t>subsidised</w:t>
            </w:r>
            <w:proofErr w:type="spellEnd"/>
            <w:r w:rsidRPr="00DD6DB1">
              <w:rPr>
                <w:rFonts w:ascii="Arial Narrow" w:eastAsiaTheme="majorEastAsia" w:hAnsi="Arial Narrow" w:cstheme="majorBidi"/>
                <w:bCs/>
                <w:sz w:val="20"/>
                <w:szCs w:val="18"/>
                <w:lang w:val="en-US"/>
              </w:rPr>
              <w:t xml:space="preserve"> therapy with this PBS indication (combination with oral corticosteroids is permitted as these are not listed with the PBS indication: chronic severe atopic dermatitis).</w:t>
            </w:r>
          </w:p>
        </w:tc>
      </w:tr>
      <w:tr w:rsidR="002A57D9" w:rsidRPr="00DD6DB1" w14:paraId="3617BFE1" w14:textId="77777777" w:rsidTr="00DF0A1B">
        <w:trPr>
          <w:cantSplit/>
          <w:trHeight w:val="20"/>
        </w:trPr>
        <w:tc>
          <w:tcPr>
            <w:tcW w:w="5000" w:type="pct"/>
            <w:vAlign w:val="center"/>
          </w:tcPr>
          <w:p w14:paraId="0B6B7FF0"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
                <w:bCs/>
                <w:sz w:val="20"/>
                <w:szCs w:val="18"/>
              </w:rPr>
              <w:t>Population criteria:</w:t>
            </w:r>
          </w:p>
        </w:tc>
      </w:tr>
      <w:tr w:rsidR="002A57D9" w:rsidRPr="00DD6DB1" w14:paraId="62956D77" w14:textId="77777777" w:rsidTr="00DF0A1B">
        <w:trPr>
          <w:cantSplit/>
          <w:trHeight w:val="20"/>
        </w:trPr>
        <w:tc>
          <w:tcPr>
            <w:tcW w:w="5000" w:type="pct"/>
            <w:vAlign w:val="center"/>
          </w:tcPr>
          <w:p w14:paraId="4828DC3A" w14:textId="77777777" w:rsidR="002A57D9" w:rsidRPr="00DD6DB1" w:rsidRDefault="002A57D9" w:rsidP="00DF0A1B">
            <w:pPr>
              <w:widowControl w:val="0"/>
              <w:rPr>
                <w:rFonts w:ascii="Arial Narrow" w:eastAsiaTheme="majorEastAsia" w:hAnsi="Arial Narrow" w:cstheme="majorBidi"/>
                <w:bCs/>
                <w:sz w:val="20"/>
                <w:szCs w:val="18"/>
                <w:lang w:val="en-US"/>
              </w:rPr>
            </w:pPr>
            <w:r w:rsidRPr="00DD6DB1">
              <w:rPr>
                <w:rFonts w:ascii="Arial Narrow" w:eastAsiaTheme="majorEastAsia" w:hAnsi="Arial Narrow" w:cstheme="majorBidi"/>
                <w:bCs/>
                <w:sz w:val="20"/>
                <w:szCs w:val="18"/>
              </w:rPr>
              <w:t>Patient must be aged 18 years or older.</w:t>
            </w:r>
          </w:p>
        </w:tc>
      </w:tr>
    </w:tbl>
    <w:bookmarkEnd w:id="16"/>
    <w:p w14:paraId="19956A9D" w14:textId="77777777" w:rsidR="002A57D9" w:rsidRDefault="002A57D9" w:rsidP="002A57D9">
      <w:pPr>
        <w:pStyle w:val="TableFigureFooter"/>
      </w:pPr>
      <w:r>
        <w:t>Source: Table 1.4.1, p14 and the table presented on pp15-19 of the submission</w:t>
      </w:r>
    </w:p>
    <w:p w14:paraId="13F21FFA" w14:textId="0324B94E" w:rsidR="0061175D" w:rsidRDefault="0061175D" w:rsidP="0091041C">
      <w:pPr>
        <w:numPr>
          <w:ilvl w:val="1"/>
          <w:numId w:val="1"/>
        </w:numPr>
        <w:spacing w:after="120"/>
        <w:rPr>
          <w:snapToGrid w:val="0"/>
        </w:rPr>
      </w:pPr>
      <w:r w:rsidRPr="009A5A91">
        <w:rPr>
          <w:snapToGrid w:val="0"/>
        </w:rPr>
        <w:t>A Special Pricing Arrangement (SPA</w:t>
      </w:r>
      <w:r>
        <w:rPr>
          <w:snapToGrid w:val="0"/>
        </w:rPr>
        <w:t>)</w:t>
      </w:r>
      <w:r w:rsidRPr="009A5A91">
        <w:rPr>
          <w:snapToGrid w:val="0"/>
        </w:rPr>
        <w:t xml:space="preserve"> </w:t>
      </w:r>
      <w:r>
        <w:rPr>
          <w:snapToGrid w:val="0"/>
        </w:rPr>
        <w:t>was</w:t>
      </w:r>
      <w:r w:rsidRPr="009A5A91">
        <w:rPr>
          <w:snapToGrid w:val="0"/>
        </w:rPr>
        <w:t xml:space="preserve"> requested for ABRO</w:t>
      </w:r>
      <w:r>
        <w:rPr>
          <w:snapToGrid w:val="0"/>
        </w:rPr>
        <w:t xml:space="preserve">, as for other systemic treatments for severe AD, including </w:t>
      </w:r>
      <w:r w:rsidRPr="009A5A91">
        <w:rPr>
          <w:snapToGrid w:val="0"/>
        </w:rPr>
        <w:t xml:space="preserve">DUPI and </w:t>
      </w:r>
      <w:r>
        <w:rPr>
          <w:snapToGrid w:val="0"/>
        </w:rPr>
        <w:t>upadacitinib (</w:t>
      </w:r>
      <w:r w:rsidRPr="009A5A91">
        <w:rPr>
          <w:snapToGrid w:val="0"/>
        </w:rPr>
        <w:t>UPA</w:t>
      </w:r>
      <w:r>
        <w:rPr>
          <w:snapToGrid w:val="0"/>
        </w:rPr>
        <w:t>)</w:t>
      </w:r>
      <w:r w:rsidRPr="009A5A91">
        <w:rPr>
          <w:snapToGrid w:val="0"/>
        </w:rPr>
        <w:t xml:space="preserve">. </w:t>
      </w:r>
      <w:r w:rsidRPr="00ED59F4">
        <w:rPr>
          <w:snapToGrid w:val="0"/>
        </w:rPr>
        <w:t xml:space="preserve">The submission noted that the effective approved ex-manufacturer price (AEMP) of DUPI remains confidential. </w:t>
      </w:r>
      <w:r w:rsidR="006A0BBC">
        <w:rPr>
          <w:snapToGrid w:val="0"/>
        </w:rPr>
        <w:t>Should</w:t>
      </w:r>
      <w:r w:rsidR="006A0BBC" w:rsidRPr="00ED59F4">
        <w:rPr>
          <w:snapToGrid w:val="0"/>
        </w:rPr>
        <w:t xml:space="preserve"> </w:t>
      </w:r>
      <w:r w:rsidRPr="00ED59F4">
        <w:rPr>
          <w:snapToGrid w:val="0"/>
        </w:rPr>
        <w:t xml:space="preserve">ABRO receive a positive recommendation from the PBAC, the sponsor </w:t>
      </w:r>
      <w:r w:rsidR="0017047C">
        <w:rPr>
          <w:snapToGrid w:val="0"/>
        </w:rPr>
        <w:t>stated that they are</w:t>
      </w:r>
      <w:r w:rsidRPr="00ED59F4">
        <w:rPr>
          <w:snapToGrid w:val="0"/>
        </w:rPr>
        <w:t xml:space="preserve"> willing to work with the Department to calculate the </w:t>
      </w:r>
      <w:r w:rsidRPr="00ED59F4">
        <w:rPr>
          <w:snapToGrid w:val="0"/>
        </w:rPr>
        <w:lastRenderedPageBreak/>
        <w:t xml:space="preserve">effective price for ABRO on a cost-minimisation basis at the agreed equi-effective doses. </w:t>
      </w:r>
      <w:r w:rsidR="00B44E26" w:rsidRPr="00645FEE">
        <w:rPr>
          <w:iCs/>
          <w:snapToGrid w:val="0"/>
        </w:rPr>
        <w:t xml:space="preserve">The ESC noted that the submission proposed flat pricing for the 100 mg and 50 mg doses, which the ESC considered may not be reasonable. The ESC also noted that the proposed price for the 100 mg dose of ABRO </w:t>
      </w:r>
      <w:r w:rsidR="006C32B9" w:rsidRPr="00645FEE">
        <w:rPr>
          <w:iCs/>
          <w:snapToGrid w:val="0"/>
        </w:rPr>
        <w:t xml:space="preserve">based on the </w:t>
      </w:r>
      <w:r w:rsidR="00110702" w:rsidRPr="00645FEE">
        <w:rPr>
          <w:iCs/>
          <w:snapToGrid w:val="0"/>
        </w:rPr>
        <w:t>C</w:t>
      </w:r>
      <w:r w:rsidR="00110702">
        <w:rPr>
          <w:iCs/>
          <w:snapToGrid w:val="0"/>
        </w:rPr>
        <w:t>UA</w:t>
      </w:r>
      <w:r w:rsidR="00110702" w:rsidRPr="00645FEE">
        <w:rPr>
          <w:iCs/>
          <w:snapToGrid w:val="0"/>
        </w:rPr>
        <w:t xml:space="preserve"> </w:t>
      </w:r>
      <w:r w:rsidR="00B44E26" w:rsidRPr="00645FEE">
        <w:rPr>
          <w:iCs/>
          <w:snapToGrid w:val="0"/>
        </w:rPr>
        <w:t xml:space="preserve">is </w:t>
      </w:r>
      <w:r w:rsidR="008B4079" w:rsidRPr="00270742">
        <w:rPr>
          <w:iCs/>
          <w:snapToGrid w:val="0"/>
          <w:color w:val="777777"/>
          <w:w w:val="15"/>
          <w:shd w:val="solid" w:color="000000" w:fill="000000"/>
          <w:fitText w:val="-20" w:id="-760590074"/>
          <w14:textFill>
            <w14:solidFill>
              <w14:srgbClr w14:val="777777">
                <w14:alpha w14:val="100000"/>
              </w14:srgbClr>
            </w14:solidFill>
          </w14:textFill>
        </w:rPr>
        <w:t xml:space="preserve">|  </w:t>
      </w:r>
      <w:r w:rsidR="008B4079" w:rsidRPr="00270742">
        <w:rPr>
          <w:iCs/>
          <w:snapToGrid w:val="0"/>
          <w:color w:val="777777"/>
          <w:spacing w:val="-69"/>
          <w:w w:val="15"/>
          <w:shd w:val="solid" w:color="000000" w:fill="000000"/>
          <w:fitText w:val="-20" w:id="-760590074"/>
          <w14:textFill>
            <w14:solidFill>
              <w14:srgbClr w14:val="777777">
                <w14:alpha w14:val="100000"/>
              </w14:srgbClr>
            </w14:solidFill>
          </w14:textFill>
        </w:rPr>
        <w:t>|</w:t>
      </w:r>
      <w:r w:rsidR="006C32B9" w:rsidRPr="00645FEE">
        <w:rPr>
          <w:iCs/>
          <w:snapToGrid w:val="0"/>
        </w:rPr>
        <w:t>% of the DPMQ for the 200 mg</w:t>
      </w:r>
      <w:r w:rsidR="00B44E26" w:rsidRPr="00645FEE">
        <w:rPr>
          <w:iCs/>
          <w:snapToGrid w:val="0"/>
        </w:rPr>
        <w:t xml:space="preserve"> </w:t>
      </w:r>
      <w:r w:rsidR="006C32B9" w:rsidRPr="00645FEE">
        <w:rPr>
          <w:iCs/>
          <w:snapToGrid w:val="0"/>
        </w:rPr>
        <w:t>dose.</w:t>
      </w:r>
      <w:r w:rsidR="00B44E26">
        <w:rPr>
          <w:snapToGrid w:val="0"/>
        </w:rPr>
        <w:t xml:space="preserve"> </w:t>
      </w:r>
      <w:r w:rsidR="00B44E26" w:rsidRPr="00645FEE">
        <w:rPr>
          <w:iCs/>
          <w:snapToGrid w:val="0"/>
        </w:rPr>
        <w:t xml:space="preserve">The ESC </w:t>
      </w:r>
      <w:r w:rsidR="006C32B9" w:rsidRPr="00645FEE">
        <w:rPr>
          <w:iCs/>
          <w:snapToGrid w:val="0"/>
        </w:rPr>
        <w:t xml:space="preserve">advised that the PBAC may wish to consider whether pricing for the 50 mg and 100 mg doses based on a cost </w:t>
      </w:r>
      <w:r w:rsidR="00B44E26" w:rsidRPr="00645FEE">
        <w:rPr>
          <w:iCs/>
          <w:snapToGrid w:val="0"/>
        </w:rPr>
        <w:t>per mg may be more appropriate.</w:t>
      </w:r>
    </w:p>
    <w:p w14:paraId="4AC16D5F" w14:textId="71485FA1" w:rsidR="0061175D" w:rsidRPr="00070C35" w:rsidRDefault="0061175D">
      <w:pPr>
        <w:pStyle w:val="3-BodyText"/>
      </w:pPr>
      <w:r>
        <w:rPr>
          <w:snapToGrid w:val="0"/>
        </w:rPr>
        <w:t>ABRO</w:t>
      </w:r>
      <w:r w:rsidRPr="0093153E">
        <w:t xml:space="preserve"> 20</w:t>
      </w:r>
      <w:r>
        <w:t>0 mg</w:t>
      </w:r>
      <w:r w:rsidRPr="0093153E">
        <w:t>, 10</w:t>
      </w:r>
      <w:r>
        <w:t>0 mg</w:t>
      </w:r>
      <w:r w:rsidRPr="0093153E">
        <w:t xml:space="preserve"> and 5</w:t>
      </w:r>
      <w:r>
        <w:t>0 mg</w:t>
      </w:r>
      <w:r w:rsidRPr="0093153E">
        <w:t xml:space="preserve"> tablets are provided in packs of 28, providing sufficient supply for 28 days (4 weeks) of treatment at the recommended dose of one tablet per day. </w:t>
      </w:r>
      <w:bookmarkStart w:id="17" w:name="_Hlk182311898"/>
      <w:r w:rsidRPr="009A5A91">
        <w:t xml:space="preserve">For initial treatment, </w:t>
      </w:r>
      <w:r>
        <w:t>the submission proposed a maximum quantity of 1 pack</w:t>
      </w:r>
      <w:r w:rsidR="006C3360">
        <w:t xml:space="preserve"> with</w:t>
      </w:r>
      <w:r>
        <w:t xml:space="preserve"> 3 repeats</w:t>
      </w:r>
      <w:r w:rsidR="006C3360">
        <w:t>,</w:t>
      </w:r>
      <w:r>
        <w:t xml:space="preserve"> which cover</w:t>
      </w:r>
      <w:r w:rsidR="00B97908">
        <w:t>s</w:t>
      </w:r>
      <w:r w:rsidRPr="009A5A91">
        <w:t xml:space="preserve"> </w:t>
      </w:r>
      <w:r>
        <w:t xml:space="preserve">a 16-week initial treatment period </w:t>
      </w:r>
      <w:r w:rsidRPr="00A45301">
        <w:t xml:space="preserve">to assess whether the patient achieves the required treatment response criteria that </w:t>
      </w:r>
      <w:r>
        <w:t xml:space="preserve">would </w:t>
      </w:r>
      <w:r w:rsidRPr="00A45301">
        <w:t>permit continuing ABRO treatment</w:t>
      </w:r>
      <w:r w:rsidR="00B97908">
        <w:t>,</w:t>
      </w:r>
      <w:r w:rsidR="00B97908" w:rsidRPr="00B97908">
        <w:t xml:space="preserve"> </w:t>
      </w:r>
      <w:r w:rsidR="00B97908" w:rsidRPr="00070C35">
        <w:t>consistent with the economic analysis</w:t>
      </w:r>
      <w:r w:rsidRPr="00A45301">
        <w:t xml:space="preserve">. </w:t>
      </w:r>
      <w:r>
        <w:t xml:space="preserve">If treatment response is assessed as being adequate by 16 weeks, 1 original script plus 5 </w:t>
      </w:r>
      <w:r w:rsidRPr="00314011">
        <w:t xml:space="preserve">repeats for continuing treatment will cover </w:t>
      </w:r>
      <w:r w:rsidR="006C3360">
        <w:t xml:space="preserve">a further </w:t>
      </w:r>
      <w:r w:rsidRPr="00314011">
        <w:t>24 weeks</w:t>
      </w:r>
      <w:r w:rsidR="006C3360">
        <w:t xml:space="preserve"> of treatment</w:t>
      </w:r>
      <w:r w:rsidRPr="00070C35">
        <w:t xml:space="preserve">.  </w:t>
      </w:r>
      <w:bookmarkEnd w:id="17"/>
    </w:p>
    <w:p w14:paraId="64D89456" w14:textId="132EFA73" w:rsidR="008103B7" w:rsidRPr="00513E34" w:rsidRDefault="0061175D" w:rsidP="0091041C">
      <w:pPr>
        <w:numPr>
          <w:ilvl w:val="1"/>
          <w:numId w:val="6"/>
        </w:numPr>
        <w:spacing w:after="120"/>
        <w:rPr>
          <w:rFonts w:cstheme="minorHAnsi"/>
        </w:rPr>
      </w:pPr>
      <w:bookmarkStart w:id="18" w:name="_Hlk176468711"/>
      <w:r w:rsidRPr="00513E34">
        <w:rPr>
          <w:rFonts w:cstheme="minorHAnsi"/>
        </w:rPr>
        <w:t xml:space="preserve">There were no criteria in the PBS restrictions requiring dose tapering during continuing treatment </w:t>
      </w:r>
      <w:r w:rsidR="006C3360" w:rsidRPr="00513E34">
        <w:rPr>
          <w:rFonts w:cstheme="minorHAnsi"/>
        </w:rPr>
        <w:t xml:space="preserve">following </w:t>
      </w:r>
      <w:r w:rsidRPr="00513E34">
        <w:rPr>
          <w:rFonts w:cstheme="minorHAnsi"/>
        </w:rPr>
        <w:t xml:space="preserve">an adequate treatment response. </w:t>
      </w:r>
      <w:r w:rsidR="006A0BBC" w:rsidRPr="00513E34">
        <w:rPr>
          <w:rFonts w:cstheme="minorHAnsi"/>
        </w:rPr>
        <w:t xml:space="preserve">The submission proposed a separate restriction for patients who need to </w:t>
      </w:r>
      <w:r w:rsidR="006C3360" w:rsidRPr="00513E34">
        <w:rPr>
          <w:rFonts w:cstheme="minorHAnsi"/>
        </w:rPr>
        <w:t xml:space="preserve">move </w:t>
      </w:r>
      <w:r w:rsidRPr="00513E34">
        <w:rPr>
          <w:rFonts w:cstheme="minorHAnsi"/>
        </w:rPr>
        <w:t xml:space="preserve">between higher and lower ABRO doses </w:t>
      </w:r>
      <w:r w:rsidR="006C3360" w:rsidRPr="00513E34">
        <w:rPr>
          <w:rFonts w:cstheme="minorHAnsi"/>
        </w:rPr>
        <w:t>to manage</w:t>
      </w:r>
      <w:r w:rsidRPr="00513E34">
        <w:rPr>
          <w:rFonts w:cstheme="minorHAnsi"/>
        </w:rPr>
        <w:t xml:space="preserve"> disease flares and to maintain the lowest effective dose. </w:t>
      </w:r>
      <w:bookmarkEnd w:id="18"/>
    </w:p>
    <w:p w14:paraId="798DAE26" w14:textId="3A55AC51" w:rsidR="0061175D" w:rsidRPr="00513E34" w:rsidRDefault="00B97908" w:rsidP="0091041C">
      <w:pPr>
        <w:numPr>
          <w:ilvl w:val="1"/>
          <w:numId w:val="6"/>
        </w:numPr>
        <w:spacing w:after="120"/>
        <w:rPr>
          <w:rFonts w:cstheme="minorHAnsi"/>
        </w:rPr>
      </w:pPr>
      <w:r w:rsidRPr="00513E34">
        <w:rPr>
          <w:rFonts w:cstheme="minorHAnsi"/>
        </w:rPr>
        <w:t xml:space="preserve">As noted above, the 50 mg ABRO dose is intended for patients </w:t>
      </w:r>
      <w:r w:rsidR="00935175" w:rsidRPr="003B267C">
        <w:rPr>
          <w:rFonts w:eastAsiaTheme="minorHAnsi" w:cstheme="minorHAnsi"/>
          <w:szCs w:val="22"/>
        </w:rPr>
        <w:t>taking strong inhibitors of CYP 2C19</w:t>
      </w:r>
      <w:r w:rsidR="00935175" w:rsidRPr="00513E34">
        <w:rPr>
          <w:rFonts w:cstheme="minorHAnsi"/>
        </w:rPr>
        <w:t xml:space="preserve"> </w:t>
      </w:r>
      <w:r w:rsidR="00935175" w:rsidRPr="003B267C">
        <w:rPr>
          <w:rFonts w:eastAsiaTheme="minorHAnsi" w:cstheme="minorHAnsi"/>
          <w:szCs w:val="22"/>
        </w:rPr>
        <w:t>and/or patients with moderate or severe renal impairment</w:t>
      </w:r>
      <w:r w:rsidR="008103B7" w:rsidRPr="003B267C">
        <w:rPr>
          <w:rFonts w:eastAsiaTheme="minorHAnsi" w:cstheme="minorHAnsi"/>
          <w:szCs w:val="22"/>
        </w:rPr>
        <w:t>, however the restrictions do not limit treatment these patients</w:t>
      </w:r>
      <w:r w:rsidR="00935175" w:rsidRPr="003B267C">
        <w:rPr>
          <w:rFonts w:eastAsiaTheme="minorHAnsi" w:cstheme="minorHAnsi"/>
          <w:szCs w:val="22"/>
        </w:rPr>
        <w:t>. The PBAC considered it was unclear whether there are likely to be patients treated with ABRO who meet these criteria.</w:t>
      </w:r>
    </w:p>
    <w:p w14:paraId="4B5EE370" w14:textId="66972DA2" w:rsidR="0061175D" w:rsidRPr="00070C35" w:rsidRDefault="0061175D">
      <w:pPr>
        <w:pStyle w:val="3-BodyText"/>
      </w:pPr>
      <w:r w:rsidRPr="00070C35">
        <w:t xml:space="preserve">A separate PBS </w:t>
      </w:r>
      <w:r w:rsidR="006C3360">
        <w:t>restriction</w:t>
      </w:r>
      <w:r w:rsidR="006C3360" w:rsidRPr="00070C35">
        <w:t xml:space="preserve"> </w:t>
      </w:r>
      <w:r w:rsidRPr="00070C35">
        <w:t xml:space="preserve">was requested for grandfathering patients involved in an ABRO Product Familiarisation Program (PFP) onto PBS reimbursed ABRO treatment. </w:t>
      </w:r>
      <w:r w:rsidR="002B0A36" w:rsidRPr="00645FEE">
        <w:rPr>
          <w:iCs/>
        </w:rPr>
        <w:t xml:space="preserve">The </w:t>
      </w:r>
      <w:r w:rsidR="00D71CF5" w:rsidRPr="00D71CF5">
        <w:rPr>
          <w:iCs/>
        </w:rPr>
        <w:t xml:space="preserve">Pre-Sub-Committee Response </w:t>
      </w:r>
      <w:r w:rsidR="00A3402E">
        <w:rPr>
          <w:iCs/>
        </w:rPr>
        <w:t>(</w:t>
      </w:r>
      <w:r w:rsidR="002B0A36" w:rsidRPr="00645FEE">
        <w:rPr>
          <w:iCs/>
        </w:rPr>
        <w:t>PSCR</w:t>
      </w:r>
      <w:r w:rsidR="00A3402E">
        <w:rPr>
          <w:iCs/>
        </w:rPr>
        <w:t>)</w:t>
      </w:r>
      <w:r w:rsidR="002B0A36" w:rsidRPr="00645FEE">
        <w:rPr>
          <w:iCs/>
        </w:rPr>
        <w:t xml:space="preserve"> stated that up to 100 patients were anticipated for the PFP.</w:t>
      </w:r>
    </w:p>
    <w:p w14:paraId="12480E71" w14:textId="23A0999A" w:rsidR="0061175D" w:rsidRPr="00070C35" w:rsidRDefault="0061175D">
      <w:pPr>
        <w:pStyle w:val="3-BodyText"/>
      </w:pPr>
      <w:r w:rsidRPr="00070C35">
        <w:t xml:space="preserve">The submission requested the listing of ABRO for the treatment of adults aged </w:t>
      </w:r>
      <w:r w:rsidRPr="00070C35">
        <w:rPr>
          <w:rFonts w:cstheme="minorHAnsi"/>
        </w:rPr>
        <w:t>≥</w:t>
      </w:r>
      <w:r w:rsidRPr="00070C35">
        <w:t xml:space="preserve">18 years with severe AD affecting the whole body, or the face and/or hands. </w:t>
      </w:r>
      <w:r w:rsidRPr="00645FEE">
        <w:rPr>
          <w:iCs/>
        </w:rPr>
        <w:t xml:space="preserve">The </w:t>
      </w:r>
      <w:r w:rsidRPr="00070C35">
        <w:t xml:space="preserve">clinical criteria proposed in the initial and continuing listings for ABRO, in terms of disease severity and treatment response, were consistent with those for DUPI and UPA. The DUPI listing for continuing treatment specifies that the treatment response is to be assessed within the first 16 weeks of treatment. Such </w:t>
      </w:r>
      <w:r w:rsidR="006C3360">
        <w:t xml:space="preserve">a </w:t>
      </w:r>
      <w:r w:rsidRPr="00070C35">
        <w:t>restriction was not included in the proposed ABRO listing</w:t>
      </w:r>
      <w:r w:rsidR="006C3360">
        <w:t xml:space="preserve"> although limiting the number of repeats for initial treatment to three effectively requires patients to meet the continuing treatment criteria (which includes assessment of response) by week 16</w:t>
      </w:r>
      <w:r w:rsidRPr="00070C35">
        <w:t>. The UPA restriction does not specify the time point for assessment of treatment response during the first 20-week treatment period covered by the initial treatment listing.</w:t>
      </w:r>
    </w:p>
    <w:p w14:paraId="715EB4DA" w14:textId="2A0622AA" w:rsidR="0061175D" w:rsidRPr="00513E34" w:rsidRDefault="0061175D" w:rsidP="0091041C">
      <w:pPr>
        <w:numPr>
          <w:ilvl w:val="1"/>
          <w:numId w:val="6"/>
        </w:numPr>
        <w:spacing w:after="120"/>
        <w:rPr>
          <w:rFonts w:cstheme="minorHAnsi"/>
          <w:iCs/>
        </w:rPr>
      </w:pPr>
      <w:bookmarkStart w:id="19" w:name="_Hlk182319212"/>
      <w:r w:rsidRPr="00513E34">
        <w:rPr>
          <w:rFonts w:cstheme="minorHAnsi"/>
        </w:rPr>
        <w:t xml:space="preserve">Under the proposed listing, patients who fail to respond to treatment with ABRO would be eligible for DUPI or UPA and vice versa; therefore, sequential use of these AD treatments would be permitted under the proposed listing. The most appropriate </w:t>
      </w:r>
      <w:r w:rsidRPr="00513E34">
        <w:rPr>
          <w:rFonts w:cstheme="minorHAnsi"/>
        </w:rPr>
        <w:lastRenderedPageBreak/>
        <w:t>sequence for their use has not been determined.</w:t>
      </w:r>
      <w:r w:rsidR="002B5D21" w:rsidRPr="00513E34">
        <w:rPr>
          <w:rFonts w:cstheme="minorHAnsi"/>
        </w:rPr>
        <w:t xml:space="preserve"> </w:t>
      </w:r>
      <w:r w:rsidR="002B5D21" w:rsidRPr="00792681">
        <w:rPr>
          <w:rFonts w:eastAsiaTheme="minorHAnsi" w:cstheme="minorHAnsi"/>
          <w:iCs/>
          <w:szCs w:val="22"/>
        </w:rPr>
        <w:t xml:space="preserve">The ESC noted that the American Academy of Dermatology (Davis et al, 2024) recommends DUPI as a first-line treatment, but noted that </w:t>
      </w:r>
      <w:r w:rsidR="002B5D21" w:rsidRPr="00513E34">
        <w:rPr>
          <w:rFonts w:cstheme="minorHAnsi"/>
          <w:iCs/>
        </w:rPr>
        <w:t xml:space="preserve">this suggestion was based on the approved indications for JAK inhibitors (including ABRO) overseas and not on actual trial data. The ESC noted the TGA approval for ABRO does not specify that patients need to have trialled DUPI first, and therefore considered it reasonable that if recommended, ABRO should be available as a first-line option along with DUPI and UPA and </w:t>
      </w:r>
      <w:r w:rsidR="002B5D21" w:rsidRPr="00792681">
        <w:rPr>
          <w:rFonts w:eastAsiaTheme="minorHAnsi" w:cstheme="minorHAnsi"/>
          <w:iCs/>
          <w:szCs w:val="22"/>
        </w:rPr>
        <w:t xml:space="preserve">the proposed place of ABRO as an alternative to DUPI was reasonable. </w:t>
      </w:r>
      <w:bookmarkEnd w:id="19"/>
      <w:r w:rsidR="002B5D21" w:rsidRPr="00513E34">
        <w:rPr>
          <w:rFonts w:cstheme="minorHAnsi"/>
          <w:iCs/>
        </w:rPr>
        <w:t>The ESC considered it would be reasonable to have a range of treatments available given the adverse event profiles differ.</w:t>
      </w:r>
    </w:p>
    <w:p w14:paraId="0BFF8907" w14:textId="77777777" w:rsidR="007E6D75" w:rsidRPr="00792681" w:rsidRDefault="007E6D75" w:rsidP="0091041C">
      <w:pPr>
        <w:spacing w:after="120"/>
        <w:ind w:firstLine="709"/>
        <w:rPr>
          <w:rFonts w:cstheme="minorHAnsi"/>
          <w:i/>
        </w:rPr>
      </w:pPr>
      <w:bookmarkStart w:id="20" w:name="_Hlk76375324"/>
      <w:r w:rsidRPr="00792681">
        <w:rPr>
          <w:rFonts w:cstheme="minorHAnsi"/>
          <w:i/>
        </w:rPr>
        <w:t>For more detail on PBAC’s view, see section 7 PBAC outcome.</w:t>
      </w:r>
    </w:p>
    <w:p w14:paraId="594D0B0D" w14:textId="77777777" w:rsidR="0061175D" w:rsidRPr="00410033" w:rsidDel="00195452" w:rsidRDefault="0061175D" w:rsidP="0061175D">
      <w:pPr>
        <w:pStyle w:val="2-SectionHeading"/>
        <w:rPr>
          <w:rFonts w:eastAsiaTheme="minorHAnsi" w:cstheme="minorBidi"/>
          <w:szCs w:val="22"/>
        </w:rPr>
      </w:pPr>
      <w:bookmarkStart w:id="21" w:name="_Toc177558644"/>
      <w:bookmarkEnd w:id="20"/>
      <w:r>
        <w:rPr>
          <w:rFonts w:eastAsiaTheme="minorHAnsi"/>
        </w:rPr>
        <w:t>Population and disease</w:t>
      </w:r>
      <w:bookmarkEnd w:id="21"/>
    </w:p>
    <w:p w14:paraId="7BADD54D" w14:textId="77777777" w:rsidR="0061175D" w:rsidRPr="00314011" w:rsidRDefault="0061175D" w:rsidP="0091041C">
      <w:pPr>
        <w:numPr>
          <w:ilvl w:val="1"/>
          <w:numId w:val="6"/>
        </w:numPr>
        <w:spacing w:after="120"/>
        <w:rPr>
          <w:rFonts w:eastAsiaTheme="minorHAnsi" w:cstheme="minorBidi"/>
          <w:szCs w:val="22"/>
        </w:rPr>
      </w:pPr>
      <w:r w:rsidRPr="00314011">
        <w:rPr>
          <w:rFonts w:eastAsiaTheme="minorHAnsi" w:cstheme="minorBidi"/>
          <w:szCs w:val="22"/>
        </w:rPr>
        <w:t>AD is a chronic inflammatory disease characterised by dry skin, itching and extensive skin lesions. Symptoms may be continuous or of a relapsing-remitting nature. Patients with severe AD have more frequent symptom flaring, and their disease is characterised by skin with pronounced dryness, red lesions, papulation, crusting and skin thickening. Patients can suffer from itchy painful skin, bleeding, sleep deprivation, an increased risk of skin infections, depression, anxiety and/or suicidal intentions.</w:t>
      </w:r>
    </w:p>
    <w:p w14:paraId="56DCD42C" w14:textId="77777777" w:rsidR="0061175D" w:rsidRPr="009A5A91" w:rsidDel="00195452" w:rsidRDefault="0061175D" w:rsidP="0091041C">
      <w:pPr>
        <w:numPr>
          <w:ilvl w:val="1"/>
          <w:numId w:val="6"/>
        </w:numPr>
        <w:spacing w:after="120"/>
        <w:rPr>
          <w:rFonts w:eastAsiaTheme="minorHAnsi" w:cstheme="minorBidi"/>
          <w:szCs w:val="22"/>
        </w:rPr>
      </w:pPr>
      <w:r w:rsidRPr="009A5A91">
        <w:rPr>
          <w:rFonts w:eastAsiaTheme="minorHAnsi" w:cstheme="minorBidi"/>
          <w:szCs w:val="22"/>
        </w:rPr>
        <w:t>ABRO is a selective JAK1 inhibitor. The JAK family of enzymes (JAK1, JAK2, JAK3, and tyrosine kinase 2 [TYK2]) are associated with key cytokines/interleukins</w:t>
      </w:r>
      <w:r>
        <w:rPr>
          <w:rFonts w:eastAsiaTheme="minorHAnsi" w:cstheme="minorBidi"/>
          <w:szCs w:val="22"/>
        </w:rPr>
        <w:t xml:space="preserve"> (IL)</w:t>
      </w:r>
      <w:r w:rsidRPr="009A5A91">
        <w:rPr>
          <w:rFonts w:eastAsiaTheme="minorHAnsi" w:cstheme="minorBidi"/>
          <w:szCs w:val="22"/>
        </w:rPr>
        <w:t xml:space="preserve"> including IL-13, IL-4, IL-31, and IL-22 that have an important role in AD pathogenesis. Selective inhibition of JAK1 controls inflammatory responses </w:t>
      </w:r>
      <w:r>
        <w:rPr>
          <w:rFonts w:eastAsiaTheme="minorHAnsi" w:cstheme="minorBidi"/>
          <w:szCs w:val="22"/>
        </w:rPr>
        <w:t xml:space="preserve">involved in AD </w:t>
      </w:r>
      <w:r w:rsidRPr="009A5A91">
        <w:rPr>
          <w:rFonts w:eastAsiaTheme="minorHAnsi" w:cstheme="minorBidi"/>
          <w:szCs w:val="22"/>
        </w:rPr>
        <w:t>while reducing off target effects on non-inflammatory pathways mediated by other JAK enzymes.</w:t>
      </w:r>
    </w:p>
    <w:p w14:paraId="70C476B8" w14:textId="79B29DC8" w:rsidR="0061175D" w:rsidRPr="00656249" w:rsidRDefault="0061175D" w:rsidP="0091041C">
      <w:pPr>
        <w:numPr>
          <w:ilvl w:val="1"/>
          <w:numId w:val="6"/>
        </w:numPr>
        <w:spacing w:after="120"/>
        <w:rPr>
          <w:rFonts w:eastAsiaTheme="minorHAnsi" w:cstheme="minorBidi"/>
          <w:szCs w:val="22"/>
        </w:rPr>
      </w:pPr>
      <w:r w:rsidRPr="00656249">
        <w:rPr>
          <w:rFonts w:eastAsiaTheme="minorHAnsi" w:cstheme="minorBidi"/>
          <w:szCs w:val="22"/>
        </w:rPr>
        <w:t>The requested listing would place ABRO as an alternative to oral treatment with UPA or subcutaneous (SC) injections of DUPI or lebrikizumab (LEB) for adults with severe AD who have failed to achieve an adequate response to daily topical therapy (corticosteroid of medium to high potency/calcineurin inhibitor) for at least 28 days. Long-term use of conventional oral therapies such as cyclosporine (</w:t>
      </w:r>
      <w:proofErr w:type="spellStart"/>
      <w:r w:rsidRPr="00656249">
        <w:rPr>
          <w:rFonts w:eastAsiaTheme="minorHAnsi" w:cstheme="minorBidi"/>
          <w:szCs w:val="22"/>
        </w:rPr>
        <w:t>CsA</w:t>
      </w:r>
      <w:proofErr w:type="spellEnd"/>
      <w:r w:rsidRPr="00656249">
        <w:rPr>
          <w:rFonts w:eastAsiaTheme="minorHAnsi" w:cstheme="minorBidi"/>
          <w:szCs w:val="22"/>
        </w:rPr>
        <w:t xml:space="preserve">) are limited by poor tolerability and safety. </w:t>
      </w:r>
    </w:p>
    <w:p w14:paraId="3C0B6FC6" w14:textId="7C469CDC" w:rsidR="0061175D" w:rsidRDefault="0061175D" w:rsidP="0091041C">
      <w:pPr>
        <w:numPr>
          <w:ilvl w:val="1"/>
          <w:numId w:val="6"/>
        </w:numPr>
        <w:spacing w:after="120"/>
        <w:rPr>
          <w:rFonts w:eastAsiaTheme="minorHAnsi" w:cstheme="minorBidi"/>
          <w:szCs w:val="22"/>
        </w:rPr>
      </w:pPr>
      <w:r w:rsidRPr="00070C35">
        <w:rPr>
          <w:rFonts w:eastAsiaTheme="minorHAnsi" w:cstheme="minorBidi"/>
          <w:szCs w:val="22"/>
        </w:rPr>
        <w:t>The proposed management algorithm in the submission states that patients may trial all PBS listed advanced treatments for chronic severe AD. Current clinical practice for use of systemic treatments for severe AD in Australia is based on a patient’s prior treatments, AD disease burden, analysis of a patient’s individual risks relative to the risk benefit of each advanced systemic therapy, and clinician/patient preference.</w:t>
      </w:r>
    </w:p>
    <w:p w14:paraId="6DB81805" w14:textId="77777777" w:rsidR="007E6D75" w:rsidRPr="00C33D30" w:rsidRDefault="007E6D75" w:rsidP="0091041C">
      <w:pPr>
        <w:spacing w:after="120"/>
        <w:ind w:firstLine="709"/>
        <w:rPr>
          <w:i/>
        </w:rPr>
      </w:pPr>
      <w:r w:rsidRPr="00C33D30">
        <w:rPr>
          <w:i/>
        </w:rPr>
        <w:t>For more detail on PBAC’s view, see section 7 PBAC outcome.</w:t>
      </w:r>
    </w:p>
    <w:p w14:paraId="1DCBCD62" w14:textId="77777777" w:rsidR="0061175D" w:rsidRPr="009A5A91" w:rsidRDefault="0061175D" w:rsidP="0061175D">
      <w:pPr>
        <w:pStyle w:val="2-SectionHeading"/>
      </w:pPr>
      <w:bookmarkStart w:id="22" w:name="_Toc177558645"/>
      <w:r w:rsidRPr="009A5A91">
        <w:t>Comparator</w:t>
      </w:r>
      <w:bookmarkEnd w:id="22"/>
    </w:p>
    <w:p w14:paraId="2E92E2E6" w14:textId="7E3E588A" w:rsidR="0061175D" w:rsidRPr="00070C35" w:rsidRDefault="0061175D" w:rsidP="0091041C">
      <w:pPr>
        <w:numPr>
          <w:ilvl w:val="1"/>
          <w:numId w:val="6"/>
        </w:numPr>
        <w:spacing w:after="120"/>
        <w:rPr>
          <w:rFonts w:eastAsiaTheme="minorHAnsi" w:cstheme="minorBidi"/>
          <w:szCs w:val="22"/>
        </w:rPr>
      </w:pPr>
      <w:r w:rsidRPr="009A5A91">
        <w:rPr>
          <w:rFonts w:eastAsiaTheme="minorHAnsi" w:cstheme="minorBidi"/>
          <w:szCs w:val="22"/>
        </w:rPr>
        <w:t xml:space="preserve">The submission nominated DUPI as the main comparator. </w:t>
      </w:r>
      <w:r>
        <w:rPr>
          <w:rFonts w:eastAsiaTheme="minorHAnsi" w:cstheme="minorBidi"/>
          <w:szCs w:val="22"/>
        </w:rPr>
        <w:t>DUPI is a biologic IL-4 inhibitor</w:t>
      </w:r>
      <w:r w:rsidRPr="0091532A">
        <w:t xml:space="preserve"> </w:t>
      </w:r>
      <w:r w:rsidRPr="0091532A">
        <w:rPr>
          <w:rFonts w:eastAsiaTheme="minorHAnsi" w:cstheme="minorBidi"/>
          <w:szCs w:val="22"/>
        </w:rPr>
        <w:t xml:space="preserve">listed </w:t>
      </w:r>
      <w:r>
        <w:rPr>
          <w:rFonts w:eastAsiaTheme="minorHAnsi" w:cstheme="minorBidi"/>
          <w:szCs w:val="22"/>
        </w:rPr>
        <w:t xml:space="preserve">on the PBS </w:t>
      </w:r>
      <w:r w:rsidRPr="0091532A">
        <w:rPr>
          <w:rFonts w:eastAsiaTheme="minorHAnsi" w:cstheme="minorBidi"/>
          <w:szCs w:val="22"/>
        </w:rPr>
        <w:t xml:space="preserve">for use in patients aged ≥12 years with severe AD affecting </w:t>
      </w:r>
      <w:r w:rsidRPr="0091532A">
        <w:rPr>
          <w:rFonts w:eastAsiaTheme="minorHAnsi" w:cstheme="minorBidi"/>
          <w:szCs w:val="22"/>
        </w:rPr>
        <w:lastRenderedPageBreak/>
        <w:t>the whole body or the face and</w:t>
      </w:r>
      <w:r>
        <w:rPr>
          <w:rFonts w:eastAsiaTheme="minorHAnsi" w:cstheme="minorBidi"/>
          <w:szCs w:val="22"/>
        </w:rPr>
        <w:t>/or</w:t>
      </w:r>
      <w:r w:rsidRPr="0091532A">
        <w:rPr>
          <w:rFonts w:eastAsiaTheme="minorHAnsi" w:cstheme="minorBidi"/>
          <w:szCs w:val="22"/>
        </w:rPr>
        <w:t xml:space="preserve"> hands</w:t>
      </w:r>
      <w:r>
        <w:rPr>
          <w:rFonts w:eastAsiaTheme="minorHAnsi" w:cstheme="minorBidi"/>
          <w:szCs w:val="22"/>
        </w:rPr>
        <w:t xml:space="preserve">. </w:t>
      </w:r>
      <w:r w:rsidRPr="009A5A91">
        <w:rPr>
          <w:rFonts w:eastAsiaTheme="minorHAnsi" w:cstheme="minorBidi"/>
          <w:szCs w:val="22"/>
        </w:rPr>
        <w:t xml:space="preserve">The main argument provided </w:t>
      </w:r>
      <w:r>
        <w:rPr>
          <w:rFonts w:eastAsiaTheme="minorHAnsi" w:cstheme="minorBidi"/>
          <w:szCs w:val="22"/>
        </w:rPr>
        <w:t xml:space="preserve">in </w:t>
      </w:r>
      <w:r w:rsidRPr="009A5A91">
        <w:rPr>
          <w:rFonts w:eastAsiaTheme="minorHAnsi" w:cstheme="minorBidi"/>
          <w:szCs w:val="22"/>
        </w:rPr>
        <w:t xml:space="preserve">support of this nomination </w:t>
      </w:r>
      <w:r>
        <w:rPr>
          <w:rFonts w:eastAsiaTheme="minorHAnsi" w:cstheme="minorBidi"/>
          <w:szCs w:val="22"/>
        </w:rPr>
        <w:t>was</w:t>
      </w:r>
      <w:r w:rsidRPr="009A5A91">
        <w:rPr>
          <w:rFonts w:eastAsiaTheme="minorHAnsi" w:cstheme="minorBidi"/>
          <w:szCs w:val="22"/>
        </w:rPr>
        <w:t xml:space="preserve"> that DUPI currently has the majority </w:t>
      </w:r>
      <w:r w:rsidR="000B0543">
        <w:rPr>
          <w:rFonts w:eastAsiaTheme="minorHAnsi" w:cstheme="minorBidi"/>
          <w:szCs w:val="22"/>
        </w:rPr>
        <w:t xml:space="preserve">of the </w:t>
      </w:r>
      <w:r w:rsidRPr="009A5A91">
        <w:rPr>
          <w:rFonts w:eastAsiaTheme="minorHAnsi" w:cstheme="minorBidi"/>
          <w:szCs w:val="22"/>
        </w:rPr>
        <w:t>market share</w:t>
      </w:r>
      <w:r>
        <w:rPr>
          <w:rFonts w:eastAsiaTheme="minorHAnsi" w:cstheme="minorBidi"/>
          <w:szCs w:val="22"/>
        </w:rPr>
        <w:t>,</w:t>
      </w:r>
      <w:r w:rsidRPr="009A5A91">
        <w:rPr>
          <w:rFonts w:eastAsiaTheme="minorHAnsi" w:cstheme="minorBidi"/>
          <w:szCs w:val="22"/>
        </w:rPr>
        <w:t xml:space="preserve"> so it is the medicine most likely to be replaced by ABRO if PBS listed. </w:t>
      </w:r>
      <w:r w:rsidRPr="00645FEE">
        <w:rPr>
          <w:rFonts w:eastAsiaTheme="minorHAnsi" w:cstheme="minorBidi"/>
          <w:iCs/>
          <w:szCs w:val="22"/>
        </w:rPr>
        <w:t xml:space="preserve">The </w:t>
      </w:r>
      <w:r w:rsidR="003D7C0F" w:rsidRPr="00645FEE">
        <w:rPr>
          <w:rFonts w:eastAsiaTheme="minorHAnsi" w:cstheme="minorBidi"/>
          <w:iCs/>
          <w:szCs w:val="22"/>
        </w:rPr>
        <w:t xml:space="preserve">ESC considered that </w:t>
      </w:r>
      <w:r w:rsidRPr="00645FEE">
        <w:rPr>
          <w:rFonts w:eastAsiaTheme="minorHAnsi" w:cstheme="minorBidi"/>
          <w:iCs/>
          <w:szCs w:val="22"/>
        </w:rPr>
        <w:t xml:space="preserve">nomination of DUPI as the main comparator was </w:t>
      </w:r>
      <w:r w:rsidR="003D7C0F" w:rsidRPr="00645FEE">
        <w:rPr>
          <w:rFonts w:eastAsiaTheme="minorHAnsi" w:cstheme="minorBidi"/>
          <w:iCs/>
          <w:szCs w:val="22"/>
        </w:rPr>
        <w:t>appropriate</w:t>
      </w:r>
      <w:r w:rsidR="005F44D2" w:rsidRPr="00645FEE">
        <w:rPr>
          <w:rFonts w:eastAsiaTheme="minorHAnsi" w:cstheme="minorBidi"/>
          <w:iCs/>
          <w:szCs w:val="22"/>
        </w:rPr>
        <w:t>. However it was unclear to what extent ABRO would actually replace DUPI in clinical practice</w:t>
      </w:r>
      <w:r w:rsidR="002342A7" w:rsidRPr="00645FEE">
        <w:rPr>
          <w:rFonts w:eastAsiaTheme="minorHAnsi" w:cstheme="minorBidi"/>
          <w:iCs/>
          <w:szCs w:val="22"/>
        </w:rPr>
        <w:t>, particularly 100 mg ABRO, which has potentially inferior efficacy compared with DUPI</w:t>
      </w:r>
      <w:r w:rsidRPr="00645FEE">
        <w:rPr>
          <w:rFonts w:eastAsiaTheme="minorHAnsi" w:cstheme="minorBidi"/>
          <w:iCs/>
          <w:szCs w:val="22"/>
        </w:rPr>
        <w:t>.</w:t>
      </w:r>
      <w:r w:rsidRPr="00070C35">
        <w:rPr>
          <w:rFonts w:eastAsiaTheme="minorHAnsi" w:cstheme="minorBidi"/>
          <w:szCs w:val="22"/>
        </w:rPr>
        <w:t xml:space="preserve"> </w:t>
      </w:r>
    </w:p>
    <w:p w14:paraId="5417512B" w14:textId="51275A55" w:rsidR="0061175D" w:rsidRPr="00070C35" w:rsidRDefault="0061175D" w:rsidP="0091041C">
      <w:pPr>
        <w:numPr>
          <w:ilvl w:val="1"/>
          <w:numId w:val="6"/>
        </w:numPr>
        <w:spacing w:after="120"/>
        <w:rPr>
          <w:rFonts w:eastAsiaTheme="minorHAnsi" w:cstheme="minorBidi"/>
          <w:szCs w:val="22"/>
        </w:rPr>
      </w:pPr>
      <w:r w:rsidRPr="00B92859">
        <w:rPr>
          <w:rFonts w:eastAsiaTheme="minorHAnsi" w:cstheme="minorHAnsi"/>
          <w:szCs w:val="22"/>
        </w:rPr>
        <w:t xml:space="preserve">UPA was nominated as a supplementary comparator. UPA is a selective JAK1 inhibitor and is listed on the PBS as an orally administered systemic therapy for patients aged 12 years or older with chronic severe AD. UPA was recommended by the PBAC for severe AD </w:t>
      </w:r>
      <w:r w:rsidRPr="00513E34">
        <w:rPr>
          <w:rFonts w:cstheme="minorHAnsi"/>
        </w:rPr>
        <w:t>between the July 2021 and November 2021 PBAC meetings on a cost-minimisation basis to DUPI</w:t>
      </w:r>
      <w:r w:rsidRPr="00B92859">
        <w:rPr>
          <w:rFonts w:eastAsiaTheme="minorHAnsi" w:cstheme="minorHAnsi"/>
          <w:szCs w:val="22"/>
        </w:rPr>
        <w:t xml:space="preserve">. Use of UPA for AD is currently around 6-fold lower in Australia than DUPI according to data from a Drug Utilisation Sub Committee (DUSC) review of DUPI in 2023. Given that ABRO and UPA have a similar mechanism of action (i.e., both selective JAK1 inhibitors), it is possible that the </w:t>
      </w:r>
      <w:r w:rsidRPr="00070C35">
        <w:rPr>
          <w:rFonts w:eastAsiaTheme="minorHAnsi" w:cstheme="minorBidi"/>
          <w:szCs w:val="22"/>
        </w:rPr>
        <w:t xml:space="preserve">uptake of ABRO may be higher in patients that would otherwise have received treatment with UPA. </w:t>
      </w:r>
      <w:r w:rsidRPr="00645FEE">
        <w:rPr>
          <w:rFonts w:eastAsiaTheme="minorHAnsi" w:cstheme="minorBidi"/>
          <w:iCs/>
          <w:szCs w:val="22"/>
        </w:rPr>
        <w:t>The</w:t>
      </w:r>
      <w:r w:rsidR="003D7C0F" w:rsidRPr="00645FEE">
        <w:rPr>
          <w:rFonts w:eastAsiaTheme="minorHAnsi" w:cstheme="minorBidi"/>
          <w:iCs/>
          <w:szCs w:val="22"/>
        </w:rPr>
        <w:t xml:space="preserve"> ESC considered that</w:t>
      </w:r>
      <w:r w:rsidRPr="00645FEE">
        <w:rPr>
          <w:rFonts w:eastAsiaTheme="minorHAnsi" w:cstheme="minorBidi"/>
          <w:iCs/>
          <w:szCs w:val="22"/>
        </w:rPr>
        <w:t xml:space="preserve"> UPA is a relevant </w:t>
      </w:r>
      <w:r w:rsidR="003D7C0F" w:rsidRPr="00645FEE">
        <w:rPr>
          <w:rFonts w:eastAsiaTheme="minorHAnsi" w:cstheme="minorBidi"/>
          <w:iCs/>
          <w:szCs w:val="22"/>
        </w:rPr>
        <w:t xml:space="preserve">secondary </w:t>
      </w:r>
      <w:r w:rsidRPr="00645FEE">
        <w:rPr>
          <w:rFonts w:eastAsiaTheme="minorHAnsi" w:cstheme="minorBidi"/>
          <w:iCs/>
          <w:szCs w:val="22"/>
        </w:rPr>
        <w:t xml:space="preserve">comparator for the assessment of ABRO in the proposed population. </w:t>
      </w:r>
    </w:p>
    <w:p w14:paraId="1D91C0A1" w14:textId="2A32367A" w:rsidR="0061175D" w:rsidRPr="00645FEE" w:rsidRDefault="0061175D" w:rsidP="0091041C">
      <w:pPr>
        <w:numPr>
          <w:ilvl w:val="1"/>
          <w:numId w:val="6"/>
        </w:numPr>
        <w:spacing w:after="120"/>
        <w:rPr>
          <w:rFonts w:eastAsiaTheme="minorHAnsi" w:cstheme="minorBidi"/>
          <w:iCs/>
          <w:szCs w:val="22"/>
        </w:rPr>
      </w:pPr>
      <w:r w:rsidRPr="00070C35">
        <w:rPr>
          <w:rFonts w:eastAsiaTheme="minorHAnsi" w:cstheme="minorBidi"/>
          <w:szCs w:val="22"/>
        </w:rPr>
        <w:t>The submission identified three near market comparators: baricitinib (JAK1 and JAK2 inhibitor), LEB (IL-13 inhibitor) and tralokinumab (IL-13 inhibitor). Of the three, baricitinib (BARI) and LEB are currently TGA approved for severe AD. BARI was considered by PBAC for use in adults with severe AD at the July 2021 meeting but was not recommended (para 7.1, baricitinib public summary document [PSD], July 2021 PBAC meeting). LEB was recommended by the PBAC for the treatment of severe AD at the March 2024 meeting. The PBAC’s recommendation for listing was based on, among other matters, its assessment that the cost effectiveness of LEB would be acceptable if it were cost-minimised to the lowest cost alternative therapy of DUPI or UPA (</w:t>
      </w:r>
      <w:bookmarkStart w:id="23" w:name="_Hlk176511370"/>
      <w:r w:rsidRPr="00070C35">
        <w:rPr>
          <w:rFonts w:eastAsiaTheme="minorHAnsi" w:cstheme="minorBidi"/>
          <w:szCs w:val="22"/>
        </w:rPr>
        <w:t xml:space="preserve">para 7.1, </w:t>
      </w:r>
      <w:bookmarkStart w:id="24" w:name="_Hlk176687749"/>
      <w:r w:rsidRPr="00070C35">
        <w:rPr>
          <w:rFonts w:eastAsiaTheme="minorHAnsi" w:cstheme="minorBidi"/>
          <w:szCs w:val="22"/>
        </w:rPr>
        <w:t>lebrikizumab</w:t>
      </w:r>
      <w:bookmarkEnd w:id="24"/>
      <w:r w:rsidRPr="00070C35">
        <w:rPr>
          <w:rFonts w:eastAsiaTheme="minorHAnsi" w:cstheme="minorBidi"/>
          <w:szCs w:val="22"/>
        </w:rPr>
        <w:t xml:space="preserve"> PSD, March 2024 PBAC meeting</w:t>
      </w:r>
      <w:bookmarkEnd w:id="23"/>
      <w:r w:rsidRPr="00070C35">
        <w:rPr>
          <w:rFonts w:eastAsiaTheme="minorHAnsi" w:cstheme="minorBidi"/>
          <w:szCs w:val="22"/>
        </w:rPr>
        <w:t xml:space="preserve">). </w:t>
      </w:r>
      <w:r w:rsidR="002B5D21" w:rsidRPr="00645FEE">
        <w:rPr>
          <w:rFonts w:eastAsiaTheme="minorHAnsi" w:cstheme="minorBidi"/>
          <w:iCs/>
          <w:szCs w:val="22"/>
        </w:rPr>
        <w:t xml:space="preserve">At the time of ESC consideration, </w:t>
      </w:r>
      <w:r w:rsidRPr="00645FEE">
        <w:rPr>
          <w:rFonts w:eastAsiaTheme="minorHAnsi" w:cstheme="minorBidi"/>
          <w:iCs/>
          <w:szCs w:val="22"/>
        </w:rPr>
        <w:t xml:space="preserve">LEB </w:t>
      </w:r>
      <w:r w:rsidR="002B5D21" w:rsidRPr="00645FEE">
        <w:rPr>
          <w:rFonts w:eastAsiaTheme="minorHAnsi" w:cstheme="minorBidi"/>
          <w:iCs/>
          <w:szCs w:val="22"/>
        </w:rPr>
        <w:t>was</w:t>
      </w:r>
      <w:r w:rsidRPr="00645FEE">
        <w:rPr>
          <w:rFonts w:eastAsiaTheme="minorHAnsi" w:cstheme="minorBidi"/>
          <w:iCs/>
          <w:szCs w:val="22"/>
        </w:rPr>
        <w:t xml:space="preserve"> not</w:t>
      </w:r>
      <w:r w:rsidR="002B5D21" w:rsidRPr="00645FEE">
        <w:rPr>
          <w:rFonts w:eastAsiaTheme="minorHAnsi" w:cstheme="minorBidi"/>
          <w:iCs/>
          <w:szCs w:val="22"/>
        </w:rPr>
        <w:t xml:space="preserve"> yet</w:t>
      </w:r>
      <w:r w:rsidRPr="00645FEE">
        <w:rPr>
          <w:rFonts w:eastAsiaTheme="minorHAnsi" w:cstheme="minorBidi"/>
          <w:iCs/>
          <w:szCs w:val="22"/>
        </w:rPr>
        <w:t xml:space="preserve"> PBS listed.</w:t>
      </w:r>
    </w:p>
    <w:p w14:paraId="7B97AA70" w14:textId="77777777" w:rsidR="0061175D" w:rsidRPr="00070C35" w:rsidRDefault="0061175D" w:rsidP="00D85E66">
      <w:pPr>
        <w:pStyle w:val="3-BodyText"/>
      </w:pPr>
      <w:bookmarkStart w:id="25" w:name="_Hlk176515010"/>
      <w:r w:rsidRPr="00070C35">
        <w:t xml:space="preserve">In the context of the CMA taken by the submission, a further consideration for PBAC is that, under Section 101(3B) of the </w:t>
      </w:r>
      <w:r w:rsidRPr="00551BF9">
        <w:rPr>
          <w:i/>
        </w:rPr>
        <w:t>National Health Act 1953</w:t>
      </w:r>
      <w:r w:rsidRPr="00070C35">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0472959C" w14:textId="77777777" w:rsidR="0061175D" w:rsidRDefault="0061175D" w:rsidP="0091041C">
      <w:pPr>
        <w:numPr>
          <w:ilvl w:val="1"/>
          <w:numId w:val="6"/>
        </w:numPr>
        <w:spacing w:after="120"/>
        <w:rPr>
          <w:rFonts w:eastAsiaTheme="minorHAnsi" w:cstheme="minorBidi"/>
          <w:szCs w:val="22"/>
        </w:rPr>
      </w:pPr>
      <w:r w:rsidRPr="00070C35">
        <w:rPr>
          <w:rFonts w:eastAsiaTheme="minorHAnsi" w:cstheme="minorBidi"/>
          <w:szCs w:val="22"/>
        </w:rPr>
        <w:t>For the requested population, the following medicines may be considered alternative therapies because they could be replaced in practice: DUPI (PBS-listed), UPA (PBS-listed), LEB (positive recommendation at the March 2024 PBAC meeting, not PBS-listed yet).</w:t>
      </w:r>
    </w:p>
    <w:p w14:paraId="24112424" w14:textId="77777777" w:rsidR="007E6D75" w:rsidRPr="00C33D30" w:rsidRDefault="007E6D75" w:rsidP="0091041C">
      <w:pPr>
        <w:spacing w:after="120"/>
        <w:ind w:firstLine="709"/>
        <w:rPr>
          <w:i/>
        </w:rPr>
      </w:pPr>
      <w:r w:rsidRPr="00C33D30">
        <w:rPr>
          <w:i/>
        </w:rPr>
        <w:t>For more detail on PBAC’s view, see section 7 PBAC outcome.</w:t>
      </w:r>
    </w:p>
    <w:p w14:paraId="3AE22C28" w14:textId="77777777" w:rsidR="0061175D" w:rsidRPr="00ED3ABB" w:rsidRDefault="0061175D" w:rsidP="0061175D">
      <w:pPr>
        <w:pStyle w:val="2-SectionHeading"/>
      </w:pPr>
      <w:bookmarkStart w:id="26" w:name="_Toc177558646"/>
      <w:bookmarkEnd w:id="25"/>
      <w:r w:rsidRPr="00ED3ABB">
        <w:lastRenderedPageBreak/>
        <w:t>Consideration of the evidence</w:t>
      </w:r>
      <w:bookmarkEnd w:id="26"/>
    </w:p>
    <w:p w14:paraId="1B13B0CC" w14:textId="77777777" w:rsidR="007E6D75" w:rsidRPr="006E1229" w:rsidRDefault="007E6D75" w:rsidP="005B569A">
      <w:pPr>
        <w:pStyle w:val="4-SubsectionHeading"/>
      </w:pPr>
      <w:bookmarkStart w:id="27" w:name="_Hlk76375935"/>
      <w:bookmarkStart w:id="28" w:name="_Toc177558647"/>
      <w:r w:rsidRPr="006E1229">
        <w:t>Sponsor hearing</w:t>
      </w:r>
    </w:p>
    <w:p w14:paraId="0AB2DC82" w14:textId="5CA734F6" w:rsidR="007E6D75" w:rsidRPr="00513E34" w:rsidRDefault="007E6D75" w:rsidP="007E6D75">
      <w:pPr>
        <w:widowControl w:val="0"/>
        <w:numPr>
          <w:ilvl w:val="1"/>
          <w:numId w:val="1"/>
        </w:numPr>
        <w:spacing w:after="120"/>
        <w:rPr>
          <w:rFonts w:cstheme="minorHAnsi"/>
          <w:bCs/>
          <w:snapToGrid w:val="0"/>
        </w:rPr>
      </w:pPr>
      <w:r w:rsidRPr="00513E34">
        <w:rPr>
          <w:rFonts w:cstheme="minorHAnsi"/>
          <w:bCs/>
          <w:snapToGrid w:val="0"/>
        </w:rPr>
        <w:t>There was no hearing for this item.</w:t>
      </w:r>
    </w:p>
    <w:p w14:paraId="0AC2171C" w14:textId="77777777" w:rsidR="007E6D75" w:rsidRPr="006E1229" w:rsidRDefault="007E6D75" w:rsidP="005B569A">
      <w:pPr>
        <w:pStyle w:val="4-SubsectionHeading"/>
      </w:pPr>
      <w:r w:rsidRPr="006E1229">
        <w:t>Consumer comments</w:t>
      </w:r>
    </w:p>
    <w:p w14:paraId="52FD4EC5" w14:textId="255D90E0" w:rsidR="007E6D75" w:rsidRPr="00836F75" w:rsidRDefault="007E6D75" w:rsidP="007E6D75">
      <w:pPr>
        <w:widowControl w:val="0"/>
        <w:numPr>
          <w:ilvl w:val="1"/>
          <w:numId w:val="1"/>
        </w:numPr>
        <w:spacing w:after="120"/>
        <w:rPr>
          <w:bCs/>
          <w:snapToGrid w:val="0"/>
        </w:rPr>
      </w:pPr>
      <w:bookmarkStart w:id="29" w:name="_Hlk76382618"/>
      <w:r w:rsidRPr="00836F75">
        <w:rPr>
          <w:bCs/>
          <w:snapToGrid w:val="0"/>
        </w:rPr>
        <w:t>The PBAC noted and welcomed the input from individuals (</w:t>
      </w:r>
      <w:r w:rsidR="00F42054">
        <w:rPr>
          <w:bCs/>
          <w:snapToGrid w:val="0"/>
        </w:rPr>
        <w:t>4</w:t>
      </w:r>
      <w:r w:rsidRPr="00836F75">
        <w:rPr>
          <w:bCs/>
          <w:snapToGrid w:val="0"/>
        </w:rPr>
        <w:t>), health care professionals (1) and organisations (</w:t>
      </w:r>
      <w:r w:rsidR="00F42054">
        <w:rPr>
          <w:bCs/>
          <w:snapToGrid w:val="0"/>
        </w:rPr>
        <w:t>2</w:t>
      </w:r>
      <w:r w:rsidRPr="00836F75">
        <w:rPr>
          <w:bCs/>
          <w:snapToGrid w:val="0"/>
        </w:rPr>
        <w:t xml:space="preserve">) via the Consumer Comments facility on the PBS website.  </w:t>
      </w:r>
    </w:p>
    <w:p w14:paraId="0697A60F" w14:textId="20050B83" w:rsidR="008352F3" w:rsidRPr="00A5748D" w:rsidRDefault="007E6D75" w:rsidP="00C6157F">
      <w:pPr>
        <w:widowControl w:val="0"/>
        <w:numPr>
          <w:ilvl w:val="1"/>
          <w:numId w:val="1"/>
        </w:numPr>
        <w:spacing w:after="120"/>
        <w:rPr>
          <w:bCs/>
          <w:snapToGrid w:val="0"/>
        </w:rPr>
      </w:pPr>
      <w:r w:rsidRPr="00A5748D">
        <w:rPr>
          <w:bCs/>
          <w:snapToGrid w:val="0"/>
        </w:rPr>
        <w:t xml:space="preserve">The PBAC noted the advice received from </w:t>
      </w:r>
      <w:r w:rsidR="008352F3" w:rsidRPr="00A5748D">
        <w:rPr>
          <w:bCs/>
          <w:snapToGrid w:val="0"/>
        </w:rPr>
        <w:t xml:space="preserve">Eczema Support Australia and the Australasian College of Dermatologists. Eczema Support Australia noted that </w:t>
      </w:r>
      <w:r w:rsidR="00D90026" w:rsidRPr="00A5748D">
        <w:rPr>
          <w:bCs/>
          <w:snapToGrid w:val="0"/>
        </w:rPr>
        <w:t>a small number of patients have reported very positive outcomes with ABRO, and that it may meet the needs of patients who have not gained adequate control through other JAK inhibitors or biologics.</w:t>
      </w:r>
      <w:r w:rsidR="008352F3" w:rsidRPr="00A5748D">
        <w:rPr>
          <w:bCs/>
          <w:snapToGrid w:val="0"/>
        </w:rPr>
        <w:t xml:space="preserve"> T</w:t>
      </w:r>
      <w:r w:rsidR="002D3999" w:rsidRPr="00A5748D">
        <w:rPr>
          <w:bCs/>
          <w:snapToGrid w:val="0"/>
        </w:rPr>
        <w:t xml:space="preserve">he Australasian College of Dermatologists </w:t>
      </w:r>
      <w:r w:rsidR="00A4234D" w:rsidRPr="00A5748D">
        <w:rPr>
          <w:bCs/>
          <w:snapToGrid w:val="0"/>
        </w:rPr>
        <w:t xml:space="preserve">supported the proposed request for ABRO, noting that </w:t>
      </w:r>
      <w:r w:rsidR="000452E8">
        <w:rPr>
          <w:bCs/>
          <w:snapToGrid w:val="0"/>
        </w:rPr>
        <w:t>ABRO</w:t>
      </w:r>
      <w:r w:rsidR="00A4234D" w:rsidRPr="00A5748D">
        <w:rPr>
          <w:bCs/>
          <w:snapToGrid w:val="0"/>
        </w:rPr>
        <w:t xml:space="preserve"> provides rapid relief of itch symptoms and clearance of the skin changes in patients with moderate-severe AD.</w:t>
      </w:r>
      <w:r w:rsidR="002D3999" w:rsidRPr="00A5748D">
        <w:rPr>
          <w:bCs/>
          <w:snapToGrid w:val="0"/>
        </w:rPr>
        <w:t xml:space="preserve"> T</w:t>
      </w:r>
      <w:r w:rsidR="008352F3" w:rsidRPr="00A5748D">
        <w:rPr>
          <w:bCs/>
          <w:snapToGrid w:val="0"/>
        </w:rPr>
        <w:t>he PBAC noted that this advice was supportive of the evidence provided in the submission.</w:t>
      </w:r>
    </w:p>
    <w:p w14:paraId="5AC3C999" w14:textId="18A4E6E5" w:rsidR="007E6D75" w:rsidRDefault="008352F3" w:rsidP="007E6D75">
      <w:pPr>
        <w:widowControl w:val="0"/>
        <w:numPr>
          <w:ilvl w:val="1"/>
          <w:numId w:val="1"/>
        </w:numPr>
        <w:spacing w:after="120"/>
        <w:rPr>
          <w:bCs/>
          <w:snapToGrid w:val="0"/>
        </w:rPr>
      </w:pPr>
      <w:r>
        <w:rPr>
          <w:bCs/>
          <w:snapToGrid w:val="0"/>
        </w:rPr>
        <w:t xml:space="preserve">Consumers noted the impact of AD on their quality of life. </w:t>
      </w:r>
      <w:r w:rsidR="0091256C">
        <w:rPr>
          <w:bCs/>
          <w:snapToGrid w:val="0"/>
        </w:rPr>
        <w:t>One</w:t>
      </w:r>
      <w:r w:rsidR="00A4234D">
        <w:rPr>
          <w:bCs/>
          <w:snapToGrid w:val="0"/>
        </w:rPr>
        <w:t xml:space="preserve"> c</w:t>
      </w:r>
      <w:r>
        <w:rPr>
          <w:bCs/>
          <w:snapToGrid w:val="0"/>
        </w:rPr>
        <w:t>onsumer reported having inadequate response to DUPI</w:t>
      </w:r>
      <w:r w:rsidR="00096D32">
        <w:rPr>
          <w:bCs/>
          <w:snapToGrid w:val="0"/>
        </w:rPr>
        <w:t xml:space="preserve"> and that their </w:t>
      </w:r>
      <w:r w:rsidR="0091256C">
        <w:rPr>
          <w:bCs/>
          <w:snapToGrid w:val="0"/>
        </w:rPr>
        <w:t>condition improved</w:t>
      </w:r>
      <w:r w:rsidR="00D90026">
        <w:rPr>
          <w:bCs/>
          <w:snapToGrid w:val="0"/>
        </w:rPr>
        <w:t xml:space="preserve"> </w:t>
      </w:r>
      <w:r>
        <w:rPr>
          <w:bCs/>
          <w:snapToGrid w:val="0"/>
        </w:rPr>
        <w:t>after starting treatment with ABRO</w:t>
      </w:r>
      <w:r w:rsidR="00E238E7">
        <w:rPr>
          <w:bCs/>
          <w:snapToGrid w:val="0"/>
        </w:rPr>
        <w:t xml:space="preserve">, in particular noting that </w:t>
      </w:r>
      <w:proofErr w:type="spellStart"/>
      <w:r w:rsidR="00E238E7">
        <w:rPr>
          <w:bCs/>
          <w:snapToGrid w:val="0"/>
        </w:rPr>
        <w:t>pruritis</w:t>
      </w:r>
      <w:proofErr w:type="spellEnd"/>
      <w:r w:rsidR="00E238E7">
        <w:rPr>
          <w:bCs/>
          <w:snapToGrid w:val="0"/>
        </w:rPr>
        <w:t xml:space="preserve"> stopped, pain when showering stopped and sleep improved</w:t>
      </w:r>
      <w:r>
        <w:rPr>
          <w:bCs/>
          <w:snapToGrid w:val="0"/>
        </w:rPr>
        <w:t>.</w:t>
      </w:r>
    </w:p>
    <w:bookmarkEnd w:id="27"/>
    <w:bookmarkEnd w:id="29"/>
    <w:p w14:paraId="11C4D400" w14:textId="77777777" w:rsidR="0061175D" w:rsidRPr="009A5A91" w:rsidRDefault="0061175D" w:rsidP="0061175D">
      <w:pPr>
        <w:pStyle w:val="4-SubsectionHeading"/>
      </w:pPr>
      <w:r w:rsidRPr="009A5A91">
        <w:t>Clinical trials</w:t>
      </w:r>
      <w:bookmarkEnd w:id="28"/>
    </w:p>
    <w:p w14:paraId="4705B2D5" w14:textId="77777777" w:rsidR="0061175D" w:rsidRPr="00697002" w:rsidRDefault="0061175D" w:rsidP="0091041C">
      <w:pPr>
        <w:numPr>
          <w:ilvl w:val="1"/>
          <w:numId w:val="6"/>
        </w:numPr>
        <w:spacing w:after="120"/>
        <w:rPr>
          <w:rFonts w:eastAsiaTheme="minorHAnsi" w:cstheme="minorBidi"/>
          <w:szCs w:val="22"/>
        </w:rPr>
      </w:pPr>
      <w:r w:rsidRPr="009A5A91">
        <w:rPr>
          <w:rFonts w:eastAsiaTheme="minorHAnsi" w:cstheme="minorBidi"/>
          <w:szCs w:val="22"/>
        </w:rPr>
        <w:t xml:space="preserve">The submission was primarily based on two </w:t>
      </w:r>
      <w:r>
        <w:rPr>
          <w:rFonts w:eastAsiaTheme="minorHAnsi" w:cstheme="minorBidi"/>
          <w:szCs w:val="22"/>
        </w:rPr>
        <w:t xml:space="preserve">Phase 3, </w:t>
      </w:r>
      <w:r w:rsidRPr="009A5A91">
        <w:rPr>
          <w:rFonts w:eastAsiaTheme="minorHAnsi" w:cstheme="minorBidi"/>
          <w:szCs w:val="22"/>
        </w:rPr>
        <w:t>head-to-head</w:t>
      </w:r>
      <w:r>
        <w:rPr>
          <w:rFonts w:eastAsiaTheme="minorHAnsi" w:cstheme="minorBidi"/>
          <w:szCs w:val="22"/>
        </w:rPr>
        <w:t>,</w:t>
      </w:r>
      <w:r w:rsidRPr="009A5A91">
        <w:rPr>
          <w:rFonts w:eastAsiaTheme="minorHAnsi" w:cstheme="minorBidi"/>
          <w:szCs w:val="22"/>
        </w:rPr>
        <w:t xml:space="preserve"> </w:t>
      </w:r>
      <w:r>
        <w:rPr>
          <w:rFonts w:eastAsiaTheme="minorHAnsi" w:cstheme="minorBidi"/>
          <w:szCs w:val="22"/>
        </w:rPr>
        <w:t>double-</w:t>
      </w:r>
      <w:r w:rsidRPr="009A5A91">
        <w:rPr>
          <w:rFonts w:eastAsiaTheme="minorHAnsi" w:cstheme="minorBidi"/>
          <w:szCs w:val="22"/>
        </w:rPr>
        <w:t>blind</w:t>
      </w:r>
      <w:r>
        <w:rPr>
          <w:rFonts w:eastAsiaTheme="minorHAnsi" w:cstheme="minorBidi"/>
          <w:szCs w:val="22"/>
        </w:rPr>
        <w:t>,</w:t>
      </w:r>
      <w:r w:rsidRPr="009A5A91">
        <w:rPr>
          <w:rFonts w:eastAsiaTheme="minorHAnsi" w:cstheme="minorBidi"/>
          <w:szCs w:val="22"/>
        </w:rPr>
        <w:t xml:space="preserve"> randomised controlled trials </w:t>
      </w:r>
      <w:r>
        <w:rPr>
          <w:rFonts w:eastAsiaTheme="minorHAnsi" w:cstheme="minorBidi"/>
          <w:szCs w:val="22"/>
        </w:rPr>
        <w:t>(RCT)</w:t>
      </w:r>
      <w:r w:rsidRPr="009A5A91">
        <w:rPr>
          <w:rFonts w:eastAsiaTheme="minorHAnsi" w:cstheme="minorBidi"/>
          <w:szCs w:val="22"/>
        </w:rPr>
        <w:t xml:space="preserve"> comparing ABRO to DUPI (JADE COMPARE and JADE DARE). JADE COMPARE included four treatment arms: ABRO 10</w:t>
      </w:r>
      <w:r>
        <w:rPr>
          <w:rFonts w:eastAsiaTheme="minorHAnsi" w:cstheme="minorBidi"/>
          <w:szCs w:val="22"/>
        </w:rPr>
        <w:t>0 mg QD</w:t>
      </w:r>
      <w:r w:rsidRPr="009A5A91">
        <w:rPr>
          <w:rFonts w:eastAsiaTheme="minorHAnsi" w:cstheme="minorBidi"/>
          <w:szCs w:val="22"/>
        </w:rPr>
        <w:t>, ABRO 20</w:t>
      </w:r>
      <w:r>
        <w:rPr>
          <w:rFonts w:eastAsiaTheme="minorHAnsi" w:cstheme="minorBidi"/>
          <w:szCs w:val="22"/>
        </w:rPr>
        <w:t>0 mg QD</w:t>
      </w:r>
      <w:r w:rsidRPr="009A5A91">
        <w:rPr>
          <w:rFonts w:eastAsiaTheme="minorHAnsi" w:cstheme="minorBidi"/>
          <w:szCs w:val="22"/>
        </w:rPr>
        <w:t>, DUPI 30</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 xml:space="preserve">Q2W, </w:t>
      </w:r>
      <w:r w:rsidRPr="009A5A91">
        <w:rPr>
          <w:rFonts w:eastAsiaTheme="minorHAnsi" w:cstheme="minorBidi"/>
          <w:szCs w:val="22"/>
        </w:rPr>
        <w:t>and placebo. JADE DARE included two treatment arms: ABRO 20</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 xml:space="preserve">QD </w:t>
      </w:r>
      <w:r w:rsidRPr="009A5A91">
        <w:rPr>
          <w:rFonts w:eastAsiaTheme="minorHAnsi" w:cstheme="minorBidi"/>
          <w:szCs w:val="22"/>
        </w:rPr>
        <w:t>and DUPI 30</w:t>
      </w:r>
      <w:r>
        <w:rPr>
          <w:rFonts w:eastAsiaTheme="minorHAnsi" w:cstheme="minorBidi"/>
          <w:szCs w:val="22"/>
        </w:rPr>
        <w:t xml:space="preserve">0 mg </w:t>
      </w:r>
      <w:r w:rsidRPr="00697002">
        <w:rPr>
          <w:rFonts w:eastAsiaTheme="minorHAnsi" w:cstheme="minorBidi"/>
          <w:szCs w:val="22"/>
        </w:rPr>
        <w:t xml:space="preserve">Q2W. The treatment durations in JADE COMPARE and JADE DARE were 16 weeks and 26 weeks, respectively. </w:t>
      </w:r>
    </w:p>
    <w:p w14:paraId="40AA5D03" w14:textId="77777777" w:rsidR="0061175D" w:rsidRPr="00697002" w:rsidRDefault="0061175D" w:rsidP="0091041C">
      <w:pPr>
        <w:numPr>
          <w:ilvl w:val="1"/>
          <w:numId w:val="6"/>
        </w:numPr>
        <w:spacing w:after="120"/>
        <w:rPr>
          <w:rFonts w:eastAsiaTheme="minorHAnsi" w:cstheme="minorBidi"/>
          <w:i/>
          <w:iCs/>
          <w:szCs w:val="22"/>
        </w:rPr>
      </w:pPr>
      <w:bookmarkStart w:id="30" w:name="_Hlk176521332"/>
      <w:r w:rsidRPr="00697002">
        <w:rPr>
          <w:snapToGrid w:val="0"/>
        </w:rPr>
        <w:t xml:space="preserve">The submission presented </w:t>
      </w:r>
      <w:r w:rsidRPr="00697002">
        <w:rPr>
          <w:rFonts w:eastAsiaTheme="minorHAnsi" w:cstheme="minorBidi"/>
          <w:szCs w:val="22"/>
        </w:rPr>
        <w:t>supplementary evidence from two non-comparative ABRO studies, JADE REGIMEN and JADE EXTEND. JADE REGIMEN provided clinical evidence of flexible dosing with ABRO 20</w:t>
      </w:r>
      <w:r>
        <w:rPr>
          <w:rFonts w:eastAsiaTheme="minorHAnsi" w:cstheme="minorBidi"/>
          <w:szCs w:val="22"/>
        </w:rPr>
        <w:t>0 mg</w:t>
      </w:r>
      <w:r w:rsidRPr="00697002">
        <w:rPr>
          <w:rFonts w:eastAsiaTheme="minorHAnsi" w:cstheme="minorBidi"/>
          <w:szCs w:val="22"/>
        </w:rPr>
        <w:t xml:space="preserve"> for the treatment of disease flares following loss of treatment response. The extension study JADE EXTEND assessed efficacy and safety of ABRO 20</w:t>
      </w:r>
      <w:r>
        <w:rPr>
          <w:rFonts w:eastAsiaTheme="minorHAnsi" w:cstheme="minorBidi"/>
          <w:szCs w:val="22"/>
        </w:rPr>
        <w:t>0 mg</w:t>
      </w:r>
      <w:r w:rsidRPr="00697002">
        <w:rPr>
          <w:rFonts w:eastAsiaTheme="minorHAnsi" w:cstheme="minorBidi"/>
          <w:szCs w:val="22"/>
        </w:rPr>
        <w:t xml:space="preserve"> and ABRO 10</w:t>
      </w:r>
      <w:r>
        <w:rPr>
          <w:rFonts w:eastAsiaTheme="minorHAnsi" w:cstheme="minorBidi"/>
          <w:szCs w:val="22"/>
        </w:rPr>
        <w:t>0 mg</w:t>
      </w:r>
      <w:r w:rsidRPr="00697002">
        <w:rPr>
          <w:rFonts w:eastAsiaTheme="minorHAnsi" w:cstheme="minorBidi"/>
          <w:szCs w:val="22"/>
        </w:rPr>
        <w:t xml:space="preserve"> over a longer treatment period (92 weeks).</w:t>
      </w:r>
      <w:r w:rsidRPr="00697002">
        <w:rPr>
          <w:rFonts w:eastAsiaTheme="minorHAnsi" w:cstheme="minorBidi"/>
          <w:i/>
          <w:iCs/>
          <w:szCs w:val="22"/>
        </w:rPr>
        <w:t xml:space="preserve"> </w:t>
      </w:r>
    </w:p>
    <w:p w14:paraId="62BF0871" w14:textId="00A782BA" w:rsidR="0061175D" w:rsidRPr="009A5A91" w:rsidRDefault="0061175D" w:rsidP="0091041C">
      <w:pPr>
        <w:numPr>
          <w:ilvl w:val="1"/>
          <w:numId w:val="6"/>
        </w:numPr>
        <w:spacing w:after="120"/>
        <w:rPr>
          <w:rFonts w:eastAsiaTheme="minorHAnsi" w:cstheme="minorBidi"/>
          <w:szCs w:val="22"/>
        </w:rPr>
      </w:pPr>
      <w:bookmarkStart w:id="31" w:name="_Hlk176521403"/>
      <w:bookmarkEnd w:id="30"/>
      <w:r w:rsidRPr="00697002">
        <w:rPr>
          <w:rFonts w:eastAsiaTheme="minorHAnsi" w:cstheme="minorBidi"/>
          <w:szCs w:val="22"/>
        </w:rPr>
        <w:t>Details of the studies presented in the submission are</w:t>
      </w:r>
      <w:r w:rsidRPr="009A5A91">
        <w:rPr>
          <w:rFonts w:eastAsiaTheme="minorHAnsi" w:cstheme="minorBidi"/>
          <w:szCs w:val="22"/>
        </w:rPr>
        <w:t xml:space="preserve"> provided in</w:t>
      </w:r>
      <w:r>
        <w:rPr>
          <w:rFonts w:eastAsiaTheme="minorHAnsi" w:cstheme="minorBidi"/>
          <w:szCs w:val="22"/>
        </w:rPr>
        <w:t xml:space="preserve"> </w:t>
      </w:r>
      <w:r w:rsidRPr="00CE3CDC">
        <w:rPr>
          <w:rFonts w:eastAsiaTheme="minorHAnsi"/>
        </w:rPr>
        <w:fldChar w:fldCharType="begin" w:fldLock="1"/>
      </w:r>
      <w:r w:rsidRPr="00CE3CDC">
        <w:rPr>
          <w:rFonts w:eastAsiaTheme="minorHAnsi"/>
        </w:rPr>
        <w:instrText xml:space="preserve"> REF _Ref176712115 \h </w:instrText>
      </w:r>
      <w:r>
        <w:rPr>
          <w:rFonts w:eastAsiaTheme="minorHAnsi"/>
        </w:rPr>
        <w:instrText xml:space="preserve"> \* MERGEFORMAT </w:instrText>
      </w:r>
      <w:r w:rsidRPr="00CE3CDC">
        <w:rPr>
          <w:rFonts w:eastAsiaTheme="minorHAnsi"/>
        </w:rPr>
      </w:r>
      <w:r w:rsidRPr="00CE3CDC">
        <w:rPr>
          <w:rFonts w:eastAsiaTheme="minorHAnsi"/>
        </w:rPr>
        <w:fldChar w:fldCharType="separate"/>
      </w:r>
      <w:r w:rsidR="004F2A70" w:rsidRPr="00513E34">
        <w:rPr>
          <w:rFonts w:eastAsiaTheme="majorEastAsia" w:cstheme="minorHAnsi"/>
        </w:rPr>
        <w:t>Table 2</w:t>
      </w:r>
      <w:r w:rsidRPr="00CE3CDC">
        <w:rPr>
          <w:rFonts w:eastAsiaTheme="minorHAnsi"/>
        </w:rPr>
        <w:fldChar w:fldCharType="end"/>
      </w:r>
      <w:bookmarkEnd w:id="31"/>
      <w:r w:rsidRPr="009A5A91">
        <w:rPr>
          <w:rFonts w:eastAsiaTheme="minorHAnsi" w:cstheme="minorBidi"/>
          <w:szCs w:val="22"/>
        </w:rPr>
        <w:t>.</w:t>
      </w:r>
    </w:p>
    <w:p w14:paraId="55B3B469" w14:textId="515D2052" w:rsidR="0061175D" w:rsidRPr="009A5A91" w:rsidRDefault="0061175D" w:rsidP="0061175D">
      <w:pPr>
        <w:keepNext/>
        <w:rPr>
          <w:rFonts w:ascii="Arial Narrow" w:eastAsiaTheme="majorEastAsia" w:hAnsi="Arial Narrow" w:cstheme="majorBidi"/>
          <w:b/>
          <w:bCs/>
          <w:sz w:val="20"/>
        </w:rPr>
      </w:pPr>
      <w:bookmarkStart w:id="32" w:name="_Ref176712115"/>
      <w:r w:rsidRPr="009A5A91">
        <w:rPr>
          <w:rFonts w:ascii="Arial Narrow" w:eastAsiaTheme="majorEastAsia" w:hAnsi="Arial Narrow" w:cstheme="majorBidi"/>
          <w:b/>
          <w:bCs/>
          <w:sz w:val="20"/>
        </w:rPr>
        <w:lastRenderedPageBreak/>
        <w:t xml:space="preserve">Table </w:t>
      </w:r>
      <w:r w:rsidRPr="009A5A91">
        <w:rPr>
          <w:rFonts w:ascii="Arial Narrow" w:eastAsiaTheme="majorEastAsia" w:hAnsi="Arial Narrow" w:cstheme="majorBidi"/>
          <w:b/>
          <w:bCs/>
          <w:sz w:val="20"/>
        </w:rPr>
        <w:fldChar w:fldCharType="begin" w:fldLock="1"/>
      </w:r>
      <w:r w:rsidRPr="009A5A91">
        <w:rPr>
          <w:rFonts w:ascii="Arial Narrow" w:eastAsiaTheme="majorEastAsia" w:hAnsi="Arial Narrow" w:cstheme="majorBidi"/>
          <w:b/>
          <w:bCs/>
          <w:sz w:val="20"/>
        </w:rPr>
        <w:instrText xml:space="preserve"> SEQ Table \* ARABIC </w:instrText>
      </w:r>
      <w:r w:rsidRPr="009A5A91">
        <w:rPr>
          <w:rFonts w:ascii="Arial Narrow" w:eastAsiaTheme="majorEastAsia" w:hAnsi="Arial Narrow" w:cstheme="majorBidi"/>
          <w:b/>
          <w:bCs/>
          <w:sz w:val="20"/>
        </w:rPr>
        <w:fldChar w:fldCharType="separate"/>
      </w:r>
      <w:r w:rsidR="004F2A70">
        <w:rPr>
          <w:rFonts w:ascii="Arial Narrow" w:eastAsiaTheme="majorEastAsia" w:hAnsi="Arial Narrow" w:cstheme="majorBidi"/>
          <w:b/>
          <w:bCs/>
          <w:noProof/>
          <w:sz w:val="20"/>
        </w:rPr>
        <w:t>2</w:t>
      </w:r>
      <w:r w:rsidRPr="009A5A91">
        <w:rPr>
          <w:rFonts w:ascii="Arial Narrow" w:eastAsiaTheme="majorEastAsia" w:hAnsi="Arial Narrow" w:cstheme="majorBidi"/>
          <w:b/>
          <w:bCs/>
          <w:sz w:val="20"/>
        </w:rPr>
        <w:fldChar w:fldCharType="end"/>
      </w:r>
      <w:bookmarkEnd w:id="32"/>
      <w:r w:rsidRPr="009A5A91">
        <w:rPr>
          <w:rFonts w:ascii="Arial Narrow" w:eastAsiaTheme="majorEastAsia" w:hAnsi="Arial Narrow" w:cstheme="majorBidi"/>
          <w:b/>
          <w:bCs/>
          <w:sz w:val="20"/>
        </w:rPr>
        <w:t xml:space="preserve">: Trials and associated reports </w:t>
      </w:r>
      <w:r>
        <w:rPr>
          <w:rFonts w:ascii="Arial Narrow" w:eastAsiaTheme="majorEastAsia" w:hAnsi="Arial Narrow" w:cstheme="majorBidi"/>
          <w:b/>
          <w:bCs/>
          <w:sz w:val="20"/>
        </w:rPr>
        <w:t xml:space="preserve">included in </w:t>
      </w:r>
      <w:r w:rsidRPr="009A5A91">
        <w:rPr>
          <w:rFonts w:ascii="Arial Narrow" w:eastAsiaTheme="majorEastAsia" w:hAnsi="Arial Narrow" w:cstheme="majorBidi"/>
          <w:b/>
          <w:bCs/>
          <w:sz w:val="20"/>
        </w:rPr>
        <w:t>the submission</w:t>
      </w:r>
    </w:p>
    <w:tbl>
      <w:tblPr>
        <w:tblStyle w:val="TableGrid"/>
        <w:tblW w:w="5000" w:type="pct"/>
        <w:tblLook w:val="01E0" w:firstRow="1" w:lastRow="1" w:firstColumn="1" w:lastColumn="1" w:noHBand="0" w:noVBand="0"/>
      </w:tblPr>
      <w:tblGrid>
        <w:gridCol w:w="1438"/>
        <w:gridCol w:w="5645"/>
        <w:gridCol w:w="1933"/>
      </w:tblGrid>
      <w:tr w:rsidR="0061175D" w:rsidRPr="009A5A91" w14:paraId="0A3AFF43" w14:textId="77777777" w:rsidTr="00734D0F">
        <w:tc>
          <w:tcPr>
            <w:tcW w:w="797" w:type="pct"/>
            <w:vAlign w:val="center"/>
          </w:tcPr>
          <w:p w14:paraId="6A1D066B"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Trial ID</w:t>
            </w:r>
          </w:p>
        </w:tc>
        <w:tc>
          <w:tcPr>
            <w:tcW w:w="3131" w:type="pct"/>
            <w:vAlign w:val="center"/>
          </w:tcPr>
          <w:p w14:paraId="768C34BF"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Protocol title/ Publication title</w:t>
            </w:r>
          </w:p>
        </w:tc>
        <w:tc>
          <w:tcPr>
            <w:tcW w:w="1072" w:type="pct"/>
            <w:vAlign w:val="center"/>
          </w:tcPr>
          <w:p w14:paraId="7BD08994"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Publication citation</w:t>
            </w:r>
          </w:p>
        </w:tc>
      </w:tr>
      <w:tr w:rsidR="0061175D" w:rsidRPr="009A5A91" w14:paraId="27A51F89" w14:textId="77777777" w:rsidTr="00CC1644">
        <w:tc>
          <w:tcPr>
            <w:tcW w:w="5000" w:type="pct"/>
            <w:gridSpan w:val="3"/>
            <w:vAlign w:val="center"/>
          </w:tcPr>
          <w:p w14:paraId="145F50A2" w14:textId="77777777" w:rsidR="0061175D" w:rsidRPr="009A5A91" w:rsidRDefault="0061175D" w:rsidP="00CC1644">
            <w:pPr>
              <w:keepNext/>
              <w:keepLines/>
              <w:rPr>
                <w:rFonts w:ascii="Arial Narrow" w:eastAsiaTheme="majorEastAsia" w:hAnsi="Arial Narrow" w:cstheme="majorBidi"/>
                <w:b/>
                <w:sz w:val="20"/>
                <w:szCs w:val="18"/>
              </w:rPr>
            </w:pPr>
            <w:proofErr w:type="spellStart"/>
            <w:r>
              <w:rPr>
                <w:rFonts w:ascii="Arial Narrow" w:eastAsiaTheme="majorEastAsia" w:hAnsi="Arial Narrow" w:cstheme="majorBidi"/>
                <w:b/>
                <w:sz w:val="20"/>
                <w:szCs w:val="18"/>
              </w:rPr>
              <w:t>Abrocitinib</w:t>
            </w:r>
            <w:proofErr w:type="spellEnd"/>
            <w:r w:rsidRPr="009A5A91">
              <w:rPr>
                <w:rFonts w:ascii="Arial Narrow" w:eastAsiaTheme="majorEastAsia" w:hAnsi="Arial Narrow" w:cstheme="majorBidi"/>
                <w:b/>
                <w:sz w:val="20"/>
                <w:szCs w:val="18"/>
              </w:rPr>
              <w:t xml:space="preserve"> </w:t>
            </w:r>
            <w:r w:rsidRPr="009A5A91">
              <w:rPr>
                <w:rFonts w:ascii="Arial Narrow" w:eastAsiaTheme="majorEastAsia" w:hAnsi="Arial Narrow" w:cstheme="majorBidi"/>
                <w:b/>
                <w:i/>
                <w:iCs/>
                <w:sz w:val="20"/>
                <w:szCs w:val="18"/>
              </w:rPr>
              <w:t xml:space="preserve">versus </w:t>
            </w:r>
            <w:r>
              <w:rPr>
                <w:rFonts w:ascii="Arial Narrow" w:eastAsiaTheme="majorEastAsia" w:hAnsi="Arial Narrow" w:cstheme="majorBidi"/>
                <w:b/>
                <w:sz w:val="20"/>
                <w:szCs w:val="18"/>
              </w:rPr>
              <w:t>Dupilumab</w:t>
            </w:r>
            <w:r w:rsidRPr="009A5A91">
              <w:rPr>
                <w:rFonts w:ascii="Arial Narrow" w:eastAsiaTheme="majorEastAsia" w:hAnsi="Arial Narrow" w:cstheme="majorBidi"/>
                <w:b/>
                <w:sz w:val="20"/>
                <w:szCs w:val="18"/>
              </w:rPr>
              <w:t xml:space="preserve"> (head-to-head trials)</w:t>
            </w:r>
          </w:p>
        </w:tc>
      </w:tr>
      <w:tr w:rsidR="0061175D" w:rsidRPr="009A5A91" w14:paraId="00E9B62A" w14:textId="77777777" w:rsidTr="00734D0F">
        <w:tc>
          <w:tcPr>
            <w:tcW w:w="797" w:type="pct"/>
            <w:vMerge w:val="restart"/>
            <w:vAlign w:val="center"/>
          </w:tcPr>
          <w:p w14:paraId="04B78598"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COMPARE</w:t>
            </w:r>
          </w:p>
          <w:p w14:paraId="0F8CBBE3" w14:textId="3B8302E5" w:rsidR="0061175D" w:rsidRPr="00ED3ABB" w:rsidRDefault="0061175D" w:rsidP="00CC1644">
            <w:pPr>
              <w:keepNext/>
              <w:keepLines/>
              <w:rPr>
                <w:rFonts w:ascii="Arial Narrow" w:eastAsiaTheme="majorEastAsia" w:hAnsi="Arial Narrow" w:cstheme="majorBidi"/>
                <w:bCs/>
                <w:sz w:val="20"/>
                <w:szCs w:val="18"/>
              </w:rPr>
            </w:pPr>
            <w:r w:rsidRPr="00ED3ABB">
              <w:rPr>
                <w:rFonts w:ascii="Arial Narrow" w:eastAsiaTheme="majorEastAsia" w:hAnsi="Arial Narrow" w:cstheme="majorBidi"/>
                <w:bCs/>
                <w:sz w:val="20"/>
                <w:szCs w:val="18"/>
              </w:rPr>
              <w:t>(</w:t>
            </w:r>
            <w:hyperlink r:id="rId11" w:tooltip="See in ClinicalTrials.gov" w:history="1">
              <w:r w:rsidRPr="00ED3ABB">
                <w:rPr>
                  <w:rFonts w:ascii="Arial Narrow" w:eastAsiaTheme="majorEastAsia" w:hAnsi="Arial Narrow" w:cstheme="majorBidi"/>
                  <w:bCs/>
                  <w:sz w:val="20"/>
                  <w:szCs w:val="18"/>
                </w:rPr>
                <w:t>NCT03720470</w:t>
              </w:r>
            </w:hyperlink>
            <w:r w:rsidRPr="00ED3ABB">
              <w:rPr>
                <w:rFonts w:ascii="Arial Narrow" w:eastAsiaTheme="majorEastAsia" w:hAnsi="Arial Narrow" w:cstheme="majorBidi"/>
                <w:bCs/>
                <w:sz w:val="20"/>
                <w:szCs w:val="18"/>
              </w:rPr>
              <w:t>)</w:t>
            </w:r>
          </w:p>
        </w:tc>
        <w:tc>
          <w:tcPr>
            <w:tcW w:w="3131" w:type="pct"/>
            <w:vAlign w:val="center"/>
          </w:tcPr>
          <w:p w14:paraId="2510B8A0"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A Phase 3 Randomized, Double-Blind, Double-Dummy, Placebo-Controlled, Parallel Group, Multi-Center Study Investigating the Efficacy and Safety of PF-04965842 and </w:t>
            </w:r>
            <w:r>
              <w:rPr>
                <w:rFonts w:ascii="Arial Narrow" w:eastAsiaTheme="majorEastAsia" w:hAnsi="Arial Narrow" w:cstheme="majorBidi"/>
                <w:bCs/>
                <w:sz w:val="20"/>
                <w:szCs w:val="18"/>
              </w:rPr>
              <w:t>Dupilumab</w:t>
            </w:r>
            <w:r w:rsidRPr="009A5A91">
              <w:rPr>
                <w:rFonts w:ascii="Arial Narrow" w:eastAsiaTheme="majorEastAsia" w:hAnsi="Arial Narrow" w:cstheme="majorBidi"/>
                <w:bCs/>
                <w:sz w:val="20"/>
                <w:szCs w:val="18"/>
              </w:rPr>
              <w:t xml:space="preserve"> in Comparison With Placebo in Adult Subjects on Background Topical Therapy, With Moderate to Severe Atopic Dermatitis. </w:t>
            </w:r>
            <w:r>
              <w:rPr>
                <w:rFonts w:ascii="Arial Narrow" w:eastAsiaTheme="majorEastAsia" w:hAnsi="Arial Narrow" w:cstheme="majorBidi"/>
                <w:bCs/>
                <w:sz w:val="20"/>
                <w:szCs w:val="18"/>
              </w:rPr>
              <w:t>Final Clinical Study Report.</w:t>
            </w:r>
          </w:p>
        </w:tc>
        <w:tc>
          <w:tcPr>
            <w:tcW w:w="1072" w:type="pct"/>
            <w:vAlign w:val="center"/>
          </w:tcPr>
          <w:p w14:paraId="0D879EB5"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 xml:space="preserve">28 May 2020 </w:t>
            </w:r>
          </w:p>
          <w:p w14:paraId="26E02B4B" w14:textId="77777777" w:rsidR="0061175D" w:rsidRPr="00070C35" w:rsidRDefault="0061175D" w:rsidP="00CC1644">
            <w:pPr>
              <w:keepNext/>
              <w:keepLines/>
              <w:rPr>
                <w:rFonts w:ascii="Arial Narrow" w:eastAsiaTheme="majorEastAsia" w:hAnsi="Arial Narrow" w:cstheme="majorBidi"/>
                <w:bCs/>
                <w:sz w:val="20"/>
                <w:szCs w:val="18"/>
              </w:rPr>
            </w:pPr>
          </w:p>
        </w:tc>
      </w:tr>
      <w:tr w:rsidR="0061175D" w:rsidRPr="009A5A91" w14:paraId="4D7EE437" w14:textId="77777777" w:rsidTr="00734D0F">
        <w:tc>
          <w:tcPr>
            <w:tcW w:w="797" w:type="pct"/>
            <w:vMerge/>
            <w:vAlign w:val="center"/>
          </w:tcPr>
          <w:p w14:paraId="20FE1B89" w14:textId="77777777" w:rsidR="0061175D" w:rsidRPr="009A5A91" w:rsidRDefault="0061175D" w:rsidP="00CC1644">
            <w:pPr>
              <w:keepNext/>
              <w:keepLines/>
              <w:rPr>
                <w:rFonts w:ascii="Arial Narrow" w:eastAsiaTheme="majorEastAsia" w:hAnsi="Arial Narrow" w:cstheme="majorBidi"/>
                <w:bCs/>
                <w:sz w:val="20"/>
                <w:szCs w:val="18"/>
              </w:rPr>
            </w:pPr>
          </w:p>
        </w:tc>
        <w:tc>
          <w:tcPr>
            <w:tcW w:w="3131" w:type="pct"/>
            <w:vAlign w:val="center"/>
          </w:tcPr>
          <w:p w14:paraId="4F732C0A"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Bieber T, </w:t>
            </w:r>
            <w:r w:rsidRPr="00A80402">
              <w:rPr>
                <w:rFonts w:ascii="Arial Narrow" w:eastAsiaTheme="majorEastAsia" w:hAnsi="Arial Narrow" w:cstheme="majorBidi"/>
                <w:bCs/>
                <w:i/>
                <w:iCs/>
                <w:sz w:val="20"/>
                <w:szCs w:val="18"/>
              </w:rPr>
              <w:t>et al</w:t>
            </w:r>
            <w:r w:rsidRPr="009A5A91">
              <w:rPr>
                <w:rFonts w:ascii="Arial Narrow" w:eastAsiaTheme="majorEastAsia" w:hAnsi="Arial Narrow" w:cstheme="majorBidi"/>
                <w:bCs/>
                <w:sz w:val="20"/>
                <w:szCs w:val="18"/>
              </w:rPr>
              <w:t xml:space="preserve">.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versus Placebo or </w:t>
            </w:r>
            <w:r>
              <w:rPr>
                <w:rFonts w:ascii="Arial Narrow" w:eastAsiaTheme="majorEastAsia" w:hAnsi="Arial Narrow" w:cstheme="majorBidi"/>
                <w:bCs/>
                <w:sz w:val="20"/>
                <w:szCs w:val="18"/>
              </w:rPr>
              <w:t>Dupilumab</w:t>
            </w:r>
            <w:r w:rsidRPr="009A5A91">
              <w:rPr>
                <w:rFonts w:ascii="Arial Narrow" w:eastAsiaTheme="majorEastAsia" w:hAnsi="Arial Narrow" w:cstheme="majorBidi"/>
                <w:bCs/>
                <w:sz w:val="20"/>
                <w:szCs w:val="18"/>
              </w:rPr>
              <w:t xml:space="preserve"> for Atopic Dermatitis.</w:t>
            </w:r>
          </w:p>
        </w:tc>
        <w:tc>
          <w:tcPr>
            <w:tcW w:w="1072" w:type="pct"/>
            <w:vAlign w:val="center"/>
          </w:tcPr>
          <w:p w14:paraId="106D55BD"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N Engl J Med. 2021;384(12):1101-12.</w:t>
            </w:r>
          </w:p>
        </w:tc>
      </w:tr>
      <w:tr w:rsidR="0061175D" w:rsidRPr="009A5A91" w14:paraId="42CB730E" w14:textId="77777777" w:rsidTr="00734D0F">
        <w:tc>
          <w:tcPr>
            <w:tcW w:w="797" w:type="pct"/>
            <w:vMerge w:val="restart"/>
            <w:vAlign w:val="center"/>
          </w:tcPr>
          <w:p w14:paraId="1805E06F"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DARE</w:t>
            </w:r>
          </w:p>
          <w:p w14:paraId="347FBC9F" w14:textId="6959D310" w:rsidR="0061175D" w:rsidRPr="00ED3ABB" w:rsidRDefault="0061175D" w:rsidP="00CC1644">
            <w:pPr>
              <w:keepNext/>
              <w:keepLines/>
              <w:rPr>
                <w:rFonts w:ascii="Arial Narrow" w:eastAsiaTheme="majorEastAsia" w:hAnsi="Arial Narrow" w:cstheme="majorBidi"/>
                <w:bCs/>
                <w:sz w:val="20"/>
                <w:szCs w:val="18"/>
              </w:rPr>
            </w:pPr>
            <w:r w:rsidRPr="00ED3ABB">
              <w:rPr>
                <w:rFonts w:ascii="Arial Narrow" w:eastAsiaTheme="majorEastAsia" w:hAnsi="Arial Narrow" w:cstheme="majorBidi"/>
                <w:bCs/>
                <w:sz w:val="20"/>
                <w:szCs w:val="18"/>
              </w:rPr>
              <w:t>(</w:t>
            </w:r>
            <w:hyperlink r:id="rId12" w:tooltip="See in ClinicalTrials.gov" w:history="1">
              <w:r w:rsidRPr="00ED3ABB">
                <w:rPr>
                  <w:rFonts w:ascii="Arial Narrow" w:eastAsiaTheme="majorEastAsia" w:hAnsi="Arial Narrow" w:cstheme="majorBidi"/>
                  <w:bCs/>
                  <w:sz w:val="20"/>
                  <w:szCs w:val="18"/>
                </w:rPr>
                <w:t>NCT04345367</w:t>
              </w:r>
            </w:hyperlink>
            <w:r w:rsidRPr="00ED3ABB">
              <w:rPr>
                <w:rFonts w:ascii="Arial Narrow" w:eastAsiaTheme="majorEastAsia" w:hAnsi="Arial Narrow" w:cstheme="majorBidi"/>
                <w:bCs/>
                <w:sz w:val="20"/>
                <w:szCs w:val="18"/>
              </w:rPr>
              <w:t>).</w:t>
            </w:r>
          </w:p>
        </w:tc>
        <w:tc>
          <w:tcPr>
            <w:tcW w:w="3131" w:type="pct"/>
            <w:vAlign w:val="center"/>
          </w:tcPr>
          <w:p w14:paraId="2373DF61"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A Phase 3b Randomised, Double-Blind, Double-Dummy, Active Controlled Multi-Centre Study Assessing the Efficacy and Safety of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Compared with </w:t>
            </w:r>
            <w:r>
              <w:rPr>
                <w:rFonts w:ascii="Arial Narrow" w:eastAsiaTheme="majorEastAsia" w:hAnsi="Arial Narrow" w:cstheme="majorBidi"/>
                <w:bCs/>
                <w:sz w:val="20"/>
                <w:szCs w:val="18"/>
              </w:rPr>
              <w:t>Dupilumab</w:t>
            </w:r>
            <w:r w:rsidRPr="009A5A91">
              <w:rPr>
                <w:rFonts w:ascii="Arial Narrow" w:eastAsiaTheme="majorEastAsia" w:hAnsi="Arial Narrow" w:cstheme="majorBidi"/>
                <w:bCs/>
                <w:sz w:val="20"/>
                <w:szCs w:val="18"/>
              </w:rPr>
              <w:t xml:space="preserve"> in Adult Participants on Background Topical Therapy with Moderate to Severe Atopic Dermatitis.</w:t>
            </w:r>
            <w:r>
              <w:rPr>
                <w:rFonts w:ascii="Arial Narrow" w:eastAsiaTheme="majorEastAsia" w:hAnsi="Arial Narrow" w:cstheme="majorBidi"/>
                <w:bCs/>
                <w:sz w:val="20"/>
                <w:szCs w:val="18"/>
              </w:rPr>
              <w:t xml:space="preserve"> Final Clinical Study Report.</w:t>
            </w:r>
          </w:p>
        </w:tc>
        <w:tc>
          <w:tcPr>
            <w:tcW w:w="1072" w:type="pct"/>
            <w:vAlign w:val="center"/>
          </w:tcPr>
          <w:p w14:paraId="2F4D47E2"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9 December 2021.</w:t>
            </w:r>
          </w:p>
        </w:tc>
      </w:tr>
      <w:tr w:rsidR="0061175D" w:rsidRPr="009A5A91" w14:paraId="7B96D239" w14:textId="77777777" w:rsidTr="00734D0F">
        <w:tc>
          <w:tcPr>
            <w:tcW w:w="797" w:type="pct"/>
            <w:vMerge/>
            <w:vAlign w:val="center"/>
          </w:tcPr>
          <w:p w14:paraId="1209C4A5" w14:textId="77777777" w:rsidR="0061175D" w:rsidRPr="009A5A91" w:rsidRDefault="0061175D" w:rsidP="00CC1644">
            <w:pPr>
              <w:keepNext/>
              <w:keepLines/>
              <w:rPr>
                <w:rFonts w:ascii="Arial Narrow" w:eastAsiaTheme="majorEastAsia" w:hAnsi="Arial Narrow" w:cstheme="majorBidi"/>
                <w:bCs/>
                <w:sz w:val="20"/>
                <w:szCs w:val="18"/>
              </w:rPr>
            </w:pPr>
          </w:p>
        </w:tc>
        <w:tc>
          <w:tcPr>
            <w:tcW w:w="3131" w:type="pct"/>
            <w:vAlign w:val="center"/>
          </w:tcPr>
          <w:p w14:paraId="1BC99847"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Reich K, </w:t>
            </w:r>
            <w:r w:rsidRPr="00A80402">
              <w:rPr>
                <w:rFonts w:ascii="Arial Narrow" w:eastAsiaTheme="majorEastAsia" w:hAnsi="Arial Narrow" w:cstheme="majorBidi"/>
                <w:bCs/>
                <w:i/>
                <w:iCs/>
                <w:sz w:val="20"/>
                <w:szCs w:val="18"/>
              </w:rPr>
              <w:t>et al</w:t>
            </w:r>
            <w:r w:rsidRPr="009A5A91">
              <w:rPr>
                <w:rFonts w:ascii="Arial Narrow" w:eastAsiaTheme="majorEastAsia" w:hAnsi="Arial Narrow" w:cstheme="majorBidi"/>
                <w:bCs/>
                <w:sz w:val="20"/>
                <w:szCs w:val="18"/>
              </w:rPr>
              <w:t xml:space="preserve">. Efficacy and safety of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versus </w:t>
            </w:r>
            <w:r>
              <w:rPr>
                <w:rFonts w:ascii="Arial Narrow" w:eastAsiaTheme="majorEastAsia" w:hAnsi="Arial Narrow" w:cstheme="majorBidi"/>
                <w:bCs/>
                <w:sz w:val="20"/>
                <w:szCs w:val="18"/>
              </w:rPr>
              <w:t>Dupilumab</w:t>
            </w:r>
            <w:r w:rsidRPr="009A5A91">
              <w:rPr>
                <w:rFonts w:ascii="Arial Narrow" w:eastAsiaTheme="majorEastAsia" w:hAnsi="Arial Narrow" w:cstheme="majorBidi"/>
                <w:bCs/>
                <w:sz w:val="20"/>
                <w:szCs w:val="18"/>
              </w:rPr>
              <w:t xml:space="preserve"> in adults with moderate-to-severe atopic dermatitis: a randomised, double-blind, multicentre phase 3 trial.</w:t>
            </w:r>
          </w:p>
        </w:tc>
        <w:tc>
          <w:tcPr>
            <w:tcW w:w="1072" w:type="pct"/>
            <w:vAlign w:val="center"/>
          </w:tcPr>
          <w:p w14:paraId="1FE3A753"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Lancet. 2022; 400 (10348): 273-282.</w:t>
            </w:r>
          </w:p>
        </w:tc>
      </w:tr>
      <w:tr w:rsidR="0061175D" w:rsidRPr="009A5A91" w14:paraId="321C8130" w14:textId="77777777" w:rsidTr="00CC1644">
        <w:tc>
          <w:tcPr>
            <w:tcW w:w="5000" w:type="pct"/>
            <w:gridSpan w:val="3"/>
            <w:vAlign w:val="center"/>
          </w:tcPr>
          <w:p w14:paraId="640BC1F3" w14:textId="77777777" w:rsidR="0061175D" w:rsidRPr="00070C35" w:rsidRDefault="0061175D" w:rsidP="00CC1644">
            <w:pPr>
              <w:keepNext/>
              <w:keepLines/>
              <w:rPr>
                <w:rFonts w:ascii="Arial Narrow" w:eastAsiaTheme="majorEastAsia" w:hAnsi="Arial Narrow" w:cstheme="majorBidi"/>
                <w:b/>
                <w:sz w:val="20"/>
                <w:szCs w:val="18"/>
              </w:rPr>
            </w:pPr>
            <w:r w:rsidRPr="00070C35">
              <w:rPr>
                <w:rFonts w:ascii="Arial Narrow" w:eastAsiaTheme="majorEastAsia" w:hAnsi="Arial Narrow" w:cstheme="majorBidi"/>
                <w:b/>
                <w:sz w:val="20"/>
                <w:szCs w:val="18"/>
              </w:rPr>
              <w:t xml:space="preserve">Supplementary evidence (non-comparative </w:t>
            </w:r>
            <w:proofErr w:type="spellStart"/>
            <w:r w:rsidRPr="00070C35">
              <w:rPr>
                <w:rFonts w:ascii="Arial Narrow" w:eastAsiaTheme="majorEastAsia" w:hAnsi="Arial Narrow" w:cstheme="majorBidi"/>
                <w:b/>
                <w:sz w:val="20"/>
                <w:szCs w:val="18"/>
              </w:rPr>
              <w:t>Abrocitinib</w:t>
            </w:r>
            <w:proofErr w:type="spellEnd"/>
            <w:r w:rsidRPr="00070C35">
              <w:rPr>
                <w:rFonts w:ascii="Arial Narrow" w:eastAsiaTheme="majorEastAsia" w:hAnsi="Arial Narrow" w:cstheme="majorBidi"/>
                <w:b/>
                <w:sz w:val="20"/>
                <w:szCs w:val="18"/>
              </w:rPr>
              <w:t xml:space="preserve"> studies)</w:t>
            </w:r>
          </w:p>
        </w:tc>
      </w:tr>
      <w:tr w:rsidR="0061175D" w:rsidRPr="009A5A91" w14:paraId="444FC1CF" w14:textId="77777777" w:rsidTr="00734D0F">
        <w:tc>
          <w:tcPr>
            <w:tcW w:w="797" w:type="pct"/>
            <w:vAlign w:val="center"/>
          </w:tcPr>
          <w:p w14:paraId="0A94D639" w14:textId="77777777" w:rsidR="0061175D" w:rsidRPr="00ED3ABB" w:rsidRDefault="0061175D" w:rsidP="00CC1644">
            <w:pPr>
              <w:keepNext/>
              <w:keepLines/>
              <w:rPr>
                <w:rFonts w:ascii="Arial Narrow" w:eastAsiaTheme="majorEastAsia" w:hAnsi="Arial Narrow" w:cstheme="majorBidi"/>
                <w:bCs/>
                <w:sz w:val="20"/>
                <w:szCs w:val="18"/>
              </w:rPr>
            </w:pPr>
            <w:r w:rsidRPr="00ED3ABB">
              <w:rPr>
                <w:rFonts w:ascii="Arial Narrow" w:eastAsiaTheme="majorEastAsia" w:hAnsi="Arial Narrow" w:cstheme="majorBidi"/>
                <w:bCs/>
                <w:sz w:val="20"/>
                <w:szCs w:val="18"/>
              </w:rPr>
              <w:t>JADE REGIMEN</w:t>
            </w:r>
          </w:p>
          <w:p w14:paraId="0AEAFCA3" w14:textId="2B1A8687" w:rsidR="0061175D" w:rsidRPr="009A5A91" w:rsidRDefault="0061175D" w:rsidP="00CC1644">
            <w:pPr>
              <w:keepNext/>
              <w:keepLines/>
              <w:rPr>
                <w:rFonts w:ascii="Arial Narrow" w:eastAsiaTheme="majorEastAsia" w:hAnsi="Arial Narrow" w:cstheme="majorBidi"/>
                <w:bCs/>
                <w:sz w:val="20"/>
                <w:szCs w:val="18"/>
              </w:rPr>
            </w:pPr>
            <w:r w:rsidRPr="00ED3ABB">
              <w:rPr>
                <w:rFonts w:ascii="Arial Narrow" w:eastAsiaTheme="majorEastAsia" w:hAnsi="Arial Narrow" w:cstheme="majorBidi"/>
                <w:bCs/>
                <w:sz w:val="20"/>
                <w:szCs w:val="18"/>
              </w:rPr>
              <w:t>(</w:t>
            </w:r>
            <w:hyperlink r:id="rId13" w:tooltip="See in ClinicalTrials.gov" w:history="1">
              <w:r w:rsidRPr="00ED3ABB">
                <w:rPr>
                  <w:rFonts w:ascii="Arial Narrow" w:eastAsiaTheme="majorEastAsia" w:hAnsi="Arial Narrow" w:cstheme="majorBidi"/>
                  <w:bCs/>
                  <w:sz w:val="20"/>
                  <w:szCs w:val="18"/>
                </w:rPr>
                <w:t>NCT03627767</w:t>
              </w:r>
            </w:hyperlink>
            <w:r w:rsidRPr="00ED3ABB">
              <w:rPr>
                <w:rFonts w:ascii="Arial Narrow" w:eastAsiaTheme="majorEastAsia" w:hAnsi="Arial Narrow" w:cstheme="majorBidi"/>
                <w:bCs/>
                <w:sz w:val="20"/>
                <w:szCs w:val="18"/>
              </w:rPr>
              <w:t>)</w:t>
            </w:r>
          </w:p>
        </w:tc>
        <w:tc>
          <w:tcPr>
            <w:tcW w:w="3131" w:type="pct"/>
            <w:vAlign w:val="center"/>
          </w:tcPr>
          <w:p w14:paraId="73EAA7F8"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A Phase 3 Randomized Withdrawal, Double-Blind, Placebo-Controlled, Multi-Center Study Investigating the Efficacy and Safety of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(PF-04965842) in Subjects Aged 12 Years and Over, With Moderate to Severe Atopic Dermatitis With the Option of Rescue Treatment in Flaring Subjects.</w:t>
            </w:r>
            <w:r>
              <w:rPr>
                <w:rFonts w:ascii="Arial Narrow" w:eastAsiaTheme="majorEastAsia" w:hAnsi="Arial Narrow" w:cstheme="majorBidi"/>
                <w:bCs/>
                <w:sz w:val="20"/>
                <w:szCs w:val="18"/>
              </w:rPr>
              <w:t xml:space="preserve"> Final Clinical Study Report.</w:t>
            </w:r>
          </w:p>
        </w:tc>
        <w:tc>
          <w:tcPr>
            <w:tcW w:w="1072" w:type="pct"/>
            <w:vAlign w:val="center"/>
          </w:tcPr>
          <w:p w14:paraId="0C3ABC20"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8 February 2021</w:t>
            </w:r>
          </w:p>
        </w:tc>
      </w:tr>
      <w:tr w:rsidR="0061175D" w:rsidRPr="009A5A91" w14:paraId="4E8A06F4" w14:textId="77777777" w:rsidTr="00734D0F">
        <w:tc>
          <w:tcPr>
            <w:tcW w:w="797" w:type="pct"/>
            <w:vMerge w:val="restart"/>
            <w:vAlign w:val="center"/>
          </w:tcPr>
          <w:p w14:paraId="42CB0627"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EXTEND</w:t>
            </w:r>
          </w:p>
          <w:p w14:paraId="01B7EBDA" w14:textId="436846BE" w:rsidR="0061175D" w:rsidRPr="00ED3ABB" w:rsidRDefault="0061175D" w:rsidP="00CC1644">
            <w:pPr>
              <w:keepNext/>
              <w:keepLines/>
              <w:rPr>
                <w:rFonts w:ascii="Arial Narrow" w:eastAsiaTheme="majorEastAsia" w:hAnsi="Arial Narrow" w:cstheme="majorBidi"/>
                <w:bCs/>
                <w:sz w:val="20"/>
                <w:szCs w:val="18"/>
              </w:rPr>
            </w:pPr>
            <w:r w:rsidRPr="00ED3ABB">
              <w:rPr>
                <w:rFonts w:ascii="Arial Narrow" w:eastAsiaTheme="majorEastAsia" w:hAnsi="Arial Narrow" w:cstheme="majorBidi"/>
                <w:bCs/>
                <w:sz w:val="20"/>
                <w:szCs w:val="18"/>
              </w:rPr>
              <w:t>(</w:t>
            </w:r>
            <w:hyperlink r:id="rId14" w:tooltip="See in ClinicalTrials.gov" w:history="1">
              <w:r w:rsidRPr="00ED3ABB">
                <w:rPr>
                  <w:rFonts w:ascii="Arial Narrow" w:eastAsiaTheme="majorEastAsia" w:hAnsi="Arial Narrow" w:cstheme="majorBidi"/>
                  <w:bCs/>
                  <w:sz w:val="20"/>
                  <w:szCs w:val="18"/>
                </w:rPr>
                <w:t>NCT03422822</w:t>
              </w:r>
            </w:hyperlink>
            <w:r w:rsidRPr="00ED3ABB">
              <w:rPr>
                <w:rFonts w:ascii="Arial Narrow" w:eastAsiaTheme="majorEastAsia" w:hAnsi="Arial Narrow" w:cstheme="majorBidi"/>
                <w:bCs/>
                <w:sz w:val="20"/>
                <w:szCs w:val="18"/>
              </w:rPr>
              <w:t>)</w:t>
            </w:r>
          </w:p>
        </w:tc>
        <w:tc>
          <w:tcPr>
            <w:tcW w:w="3131" w:type="pct"/>
            <w:vAlign w:val="center"/>
          </w:tcPr>
          <w:p w14:paraId="07DFA9F8"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Phase 3 study to evaluate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with or without Topical Medications in patients aged 12 years and older who have moderate to severe atopic dermatitis and have completed a qualifying parent study.</w:t>
            </w:r>
            <w:r>
              <w:rPr>
                <w:rFonts w:ascii="Arial Narrow" w:eastAsiaTheme="majorEastAsia" w:hAnsi="Arial Narrow" w:cstheme="majorBidi"/>
                <w:bCs/>
                <w:sz w:val="20"/>
                <w:szCs w:val="18"/>
              </w:rPr>
              <w:t xml:space="preserve"> Interim Clinical Study Report.</w:t>
            </w:r>
          </w:p>
        </w:tc>
        <w:tc>
          <w:tcPr>
            <w:tcW w:w="1072" w:type="pct"/>
            <w:vAlign w:val="center"/>
          </w:tcPr>
          <w:p w14:paraId="2A88432C"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22 April 2020</w:t>
            </w:r>
          </w:p>
          <w:p w14:paraId="4885C2AB"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(interim analysis DCO)</w:t>
            </w:r>
            <w:r w:rsidRPr="00070C35" w:rsidDel="00E805F7">
              <w:rPr>
                <w:rFonts w:ascii="Arial Narrow" w:eastAsiaTheme="majorEastAsia" w:hAnsi="Arial Narrow" w:cstheme="majorBidi"/>
                <w:bCs/>
                <w:sz w:val="20"/>
                <w:szCs w:val="18"/>
              </w:rPr>
              <w:t xml:space="preserve"> </w:t>
            </w:r>
          </w:p>
        </w:tc>
      </w:tr>
      <w:tr w:rsidR="0061175D" w:rsidRPr="009A5A91" w14:paraId="1BC7E0AE" w14:textId="77777777" w:rsidTr="00734D0F">
        <w:tc>
          <w:tcPr>
            <w:tcW w:w="797" w:type="pct"/>
            <w:vMerge/>
            <w:vAlign w:val="center"/>
          </w:tcPr>
          <w:p w14:paraId="2039A54B" w14:textId="77777777" w:rsidR="0061175D" w:rsidRPr="009A5A91" w:rsidRDefault="0061175D" w:rsidP="00CC1644">
            <w:pPr>
              <w:keepNext/>
              <w:keepLines/>
              <w:rPr>
                <w:rFonts w:ascii="Arial Narrow" w:eastAsiaTheme="majorEastAsia" w:hAnsi="Arial Narrow" w:cstheme="majorBidi"/>
                <w:bCs/>
                <w:sz w:val="20"/>
                <w:szCs w:val="18"/>
              </w:rPr>
            </w:pPr>
          </w:p>
        </w:tc>
        <w:tc>
          <w:tcPr>
            <w:tcW w:w="3131" w:type="pct"/>
            <w:vAlign w:val="center"/>
          </w:tcPr>
          <w:p w14:paraId="5E87023D"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Reich K, </w:t>
            </w:r>
            <w:r w:rsidRPr="00775292">
              <w:rPr>
                <w:rFonts w:ascii="Arial Narrow" w:eastAsiaTheme="majorEastAsia" w:hAnsi="Arial Narrow" w:cstheme="majorBidi"/>
                <w:bCs/>
                <w:i/>
                <w:iCs/>
                <w:sz w:val="20"/>
                <w:szCs w:val="18"/>
              </w:rPr>
              <w:t>et al</w:t>
            </w:r>
            <w:r w:rsidRPr="009A5A91">
              <w:rPr>
                <w:rFonts w:ascii="Arial Narrow" w:eastAsiaTheme="majorEastAsia" w:hAnsi="Arial Narrow" w:cstheme="majorBidi"/>
                <w:bCs/>
                <w:sz w:val="20"/>
                <w:szCs w:val="18"/>
              </w:rPr>
              <w:t xml:space="preserve">.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efficacy and safety in patients with moderate-to-severe atopic dermatitis: Results from phase 3 studies, including the long-term extension JADE EXTEND study.</w:t>
            </w:r>
          </w:p>
        </w:tc>
        <w:tc>
          <w:tcPr>
            <w:tcW w:w="1072" w:type="pct"/>
            <w:vAlign w:val="center"/>
          </w:tcPr>
          <w:p w14:paraId="7C6DCFC0"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 xml:space="preserve">J Eur </w:t>
            </w:r>
            <w:proofErr w:type="spellStart"/>
            <w:r w:rsidRPr="00070C35">
              <w:rPr>
                <w:rFonts w:ascii="Arial Narrow" w:eastAsiaTheme="majorEastAsia" w:hAnsi="Arial Narrow" w:cstheme="majorBidi"/>
                <w:bCs/>
                <w:sz w:val="20"/>
                <w:szCs w:val="18"/>
              </w:rPr>
              <w:t>Acad</w:t>
            </w:r>
            <w:proofErr w:type="spellEnd"/>
            <w:r w:rsidRPr="00070C35">
              <w:rPr>
                <w:rFonts w:ascii="Arial Narrow" w:eastAsiaTheme="majorEastAsia" w:hAnsi="Arial Narrow" w:cstheme="majorBidi"/>
                <w:bCs/>
                <w:sz w:val="20"/>
                <w:szCs w:val="18"/>
              </w:rPr>
              <w:t xml:space="preserve"> Dermatol </w:t>
            </w:r>
            <w:proofErr w:type="spellStart"/>
            <w:r w:rsidRPr="00070C35">
              <w:rPr>
                <w:rFonts w:ascii="Arial Narrow" w:eastAsiaTheme="majorEastAsia" w:hAnsi="Arial Narrow" w:cstheme="majorBidi"/>
                <w:bCs/>
                <w:sz w:val="20"/>
                <w:szCs w:val="18"/>
              </w:rPr>
              <w:t>Venereol</w:t>
            </w:r>
            <w:proofErr w:type="spellEnd"/>
            <w:r w:rsidRPr="00070C35">
              <w:rPr>
                <w:rFonts w:ascii="Arial Narrow" w:eastAsiaTheme="majorEastAsia" w:hAnsi="Arial Narrow" w:cstheme="majorBidi"/>
                <w:bCs/>
                <w:sz w:val="20"/>
                <w:szCs w:val="18"/>
              </w:rPr>
              <w:t xml:space="preserve"> 2023; 37(10):2056-2066.</w:t>
            </w:r>
          </w:p>
        </w:tc>
      </w:tr>
      <w:tr w:rsidR="0061175D" w:rsidRPr="009A5A91" w14:paraId="5BFC768C" w14:textId="77777777" w:rsidTr="00734D0F">
        <w:tc>
          <w:tcPr>
            <w:tcW w:w="797" w:type="pct"/>
            <w:vMerge/>
            <w:vAlign w:val="center"/>
          </w:tcPr>
          <w:p w14:paraId="5E03244A" w14:textId="77777777" w:rsidR="0061175D" w:rsidRPr="009A5A91" w:rsidRDefault="0061175D" w:rsidP="00CC1644">
            <w:pPr>
              <w:keepNext/>
              <w:keepLines/>
              <w:rPr>
                <w:rFonts w:ascii="Arial Narrow" w:eastAsiaTheme="majorEastAsia" w:hAnsi="Arial Narrow" w:cstheme="majorBidi"/>
                <w:bCs/>
                <w:sz w:val="20"/>
                <w:szCs w:val="18"/>
              </w:rPr>
            </w:pPr>
          </w:p>
        </w:tc>
        <w:tc>
          <w:tcPr>
            <w:tcW w:w="3131" w:type="pct"/>
            <w:vAlign w:val="center"/>
          </w:tcPr>
          <w:p w14:paraId="399403C0"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Correction to 'Reich. </w:t>
            </w:r>
            <w:proofErr w:type="spellStart"/>
            <w:r>
              <w:rPr>
                <w:rFonts w:ascii="Arial Narrow" w:eastAsiaTheme="majorEastAsia" w:hAnsi="Arial Narrow" w:cstheme="majorBidi"/>
                <w:bCs/>
                <w:sz w:val="20"/>
                <w:szCs w:val="18"/>
              </w:rPr>
              <w:t>Abrocitinib</w:t>
            </w:r>
            <w:proofErr w:type="spellEnd"/>
            <w:r w:rsidRPr="009A5A91">
              <w:rPr>
                <w:rFonts w:ascii="Arial Narrow" w:eastAsiaTheme="majorEastAsia" w:hAnsi="Arial Narrow" w:cstheme="majorBidi"/>
                <w:bCs/>
                <w:sz w:val="20"/>
                <w:szCs w:val="18"/>
              </w:rPr>
              <w:t xml:space="preserve"> efficacy and safety in patients with moderate-to-severe atopic dermatitis: Results from phase 3 studies, including the long-term extension JADE EXTEND study'</w:t>
            </w:r>
          </w:p>
        </w:tc>
        <w:tc>
          <w:tcPr>
            <w:tcW w:w="1072" w:type="pct"/>
            <w:vAlign w:val="center"/>
          </w:tcPr>
          <w:p w14:paraId="7E60A08E"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 xml:space="preserve">J Eur </w:t>
            </w:r>
            <w:proofErr w:type="spellStart"/>
            <w:r w:rsidRPr="00070C35">
              <w:rPr>
                <w:rFonts w:ascii="Arial Narrow" w:eastAsiaTheme="majorEastAsia" w:hAnsi="Arial Narrow" w:cstheme="majorBidi"/>
                <w:bCs/>
                <w:sz w:val="20"/>
                <w:szCs w:val="18"/>
              </w:rPr>
              <w:t>Acad</w:t>
            </w:r>
            <w:proofErr w:type="spellEnd"/>
            <w:r w:rsidRPr="00070C35">
              <w:rPr>
                <w:rFonts w:ascii="Arial Narrow" w:eastAsiaTheme="majorEastAsia" w:hAnsi="Arial Narrow" w:cstheme="majorBidi"/>
                <w:bCs/>
                <w:sz w:val="20"/>
                <w:szCs w:val="18"/>
              </w:rPr>
              <w:t xml:space="preserve"> Dermatol </w:t>
            </w:r>
            <w:proofErr w:type="spellStart"/>
            <w:r w:rsidRPr="00070C35">
              <w:rPr>
                <w:rFonts w:ascii="Arial Narrow" w:eastAsiaTheme="majorEastAsia" w:hAnsi="Arial Narrow" w:cstheme="majorBidi"/>
                <w:bCs/>
                <w:sz w:val="20"/>
                <w:szCs w:val="18"/>
              </w:rPr>
              <w:t>Venereol</w:t>
            </w:r>
            <w:proofErr w:type="spellEnd"/>
            <w:r w:rsidRPr="00070C35">
              <w:rPr>
                <w:rFonts w:ascii="Arial Narrow" w:eastAsiaTheme="majorEastAsia" w:hAnsi="Arial Narrow" w:cstheme="majorBidi"/>
                <w:bCs/>
                <w:sz w:val="20"/>
                <w:szCs w:val="18"/>
              </w:rPr>
              <w:t xml:space="preserve"> 2023; 37(12):2608-2609.</w:t>
            </w:r>
          </w:p>
        </w:tc>
      </w:tr>
    </w:tbl>
    <w:p w14:paraId="7F5CC893" w14:textId="77777777" w:rsidR="0061175D" w:rsidRDefault="0061175D" w:rsidP="0061175D">
      <w:pPr>
        <w:spacing w:after="120"/>
        <w:contextualSpacing/>
        <w:rPr>
          <w:rFonts w:ascii="Arial Narrow" w:hAnsi="Arial Narrow"/>
          <w:snapToGrid w:val="0"/>
          <w:sz w:val="18"/>
          <w:szCs w:val="22"/>
        </w:rPr>
      </w:pPr>
      <w:r w:rsidRPr="009A5A91">
        <w:rPr>
          <w:rFonts w:ascii="Arial Narrow" w:hAnsi="Arial Narrow"/>
          <w:snapToGrid w:val="0"/>
          <w:sz w:val="18"/>
          <w:szCs w:val="22"/>
        </w:rPr>
        <w:t>Source: Table 2.1.3, p27 of the submission.</w:t>
      </w:r>
    </w:p>
    <w:p w14:paraId="2F32CC0C" w14:textId="602BFEB8" w:rsidR="0061175D" w:rsidRPr="009A5A91" w:rsidRDefault="0061175D" w:rsidP="0061175D">
      <w:pPr>
        <w:spacing w:after="120"/>
        <w:rPr>
          <w:rFonts w:ascii="Arial Narrow" w:hAnsi="Arial Narrow"/>
          <w:snapToGrid w:val="0"/>
          <w:sz w:val="18"/>
          <w:szCs w:val="22"/>
        </w:rPr>
      </w:pPr>
      <w:r w:rsidRPr="00ED3ABB">
        <w:rPr>
          <w:rFonts w:ascii="Arial Narrow" w:hAnsi="Arial Narrow"/>
          <w:iCs/>
          <w:snapToGrid w:val="0"/>
          <w:sz w:val="18"/>
          <w:szCs w:val="22"/>
        </w:rPr>
        <w:t xml:space="preserve">ABRO = </w:t>
      </w:r>
      <w:proofErr w:type="spellStart"/>
      <w:r w:rsidRPr="00ED3ABB">
        <w:rPr>
          <w:rFonts w:ascii="Arial Narrow" w:hAnsi="Arial Narrow"/>
          <w:iCs/>
          <w:snapToGrid w:val="0"/>
          <w:sz w:val="18"/>
          <w:szCs w:val="22"/>
        </w:rPr>
        <w:t>abrocitinib</w:t>
      </w:r>
      <w:proofErr w:type="spellEnd"/>
      <w:r w:rsidRPr="00ED3ABB">
        <w:rPr>
          <w:rFonts w:ascii="Arial Narrow" w:hAnsi="Arial Narrow"/>
          <w:iCs/>
          <w:snapToGrid w:val="0"/>
          <w:sz w:val="18"/>
          <w:szCs w:val="22"/>
        </w:rPr>
        <w:t>; AD = Atopic Dermatitis; DCO = Data cut-off; DUPI = dupilumab; PBAC = Pharmaceutical Benefits Advisory Committee; UPA = upadacitinib</w:t>
      </w:r>
    </w:p>
    <w:p w14:paraId="4ACAB35D" w14:textId="4EF28CE5" w:rsidR="0061175D" w:rsidRPr="009A5A91" w:rsidRDefault="0061175D" w:rsidP="0091041C">
      <w:pPr>
        <w:numPr>
          <w:ilvl w:val="1"/>
          <w:numId w:val="6"/>
        </w:numPr>
        <w:spacing w:after="120"/>
        <w:rPr>
          <w:rFonts w:eastAsiaTheme="minorHAnsi" w:cstheme="minorBidi"/>
          <w:color w:val="0066FF"/>
          <w:szCs w:val="22"/>
        </w:rPr>
      </w:pPr>
      <w:r>
        <w:rPr>
          <w:rFonts w:eastAsiaTheme="minorHAnsi" w:cstheme="minorBidi"/>
          <w:szCs w:val="22"/>
        </w:rPr>
        <w:t>K</w:t>
      </w:r>
      <w:r w:rsidRPr="009A5A91">
        <w:rPr>
          <w:rFonts w:eastAsiaTheme="minorHAnsi" w:cstheme="minorBidi"/>
          <w:szCs w:val="22"/>
        </w:rPr>
        <w:t xml:space="preserve">ey features of the </w:t>
      </w:r>
      <w:r>
        <w:rPr>
          <w:rFonts w:eastAsiaTheme="minorHAnsi" w:cstheme="minorBidi"/>
          <w:szCs w:val="22"/>
        </w:rPr>
        <w:t xml:space="preserve">evidence </w:t>
      </w:r>
      <w:r w:rsidRPr="009A5A91">
        <w:rPr>
          <w:rFonts w:eastAsiaTheme="minorHAnsi" w:cstheme="minorBidi"/>
          <w:szCs w:val="22"/>
        </w:rPr>
        <w:t>are summarised in</w:t>
      </w:r>
      <w:r>
        <w:rPr>
          <w:rFonts w:eastAsiaTheme="minorHAnsi" w:cstheme="minorBidi"/>
          <w:szCs w:val="22"/>
        </w:rPr>
        <w:t xml:space="preserve"> </w:t>
      </w:r>
      <w:r w:rsidRPr="00513E34">
        <w:rPr>
          <w:rFonts w:eastAsiaTheme="minorHAnsi" w:cstheme="minorHAnsi"/>
        </w:rPr>
        <w:fldChar w:fldCharType="begin" w:fldLock="1"/>
      </w:r>
      <w:r w:rsidRPr="00513E34">
        <w:rPr>
          <w:rFonts w:eastAsiaTheme="minorHAnsi" w:cstheme="minorHAnsi"/>
        </w:rPr>
        <w:instrText xml:space="preserve"> REF _Ref176712265 \h  \* MERGEFORMAT </w:instrText>
      </w:r>
      <w:r w:rsidRPr="00513E34">
        <w:rPr>
          <w:rFonts w:eastAsiaTheme="minorHAnsi" w:cstheme="minorHAnsi"/>
        </w:rPr>
      </w:r>
      <w:r w:rsidRPr="00513E34">
        <w:rPr>
          <w:rFonts w:eastAsiaTheme="minorHAnsi" w:cstheme="minorHAnsi"/>
        </w:rPr>
        <w:fldChar w:fldCharType="separate"/>
      </w:r>
      <w:r w:rsidR="004F2A70" w:rsidRPr="00513E34">
        <w:rPr>
          <w:rFonts w:eastAsiaTheme="majorEastAsia" w:cstheme="minorHAnsi"/>
        </w:rPr>
        <w:t>Table 3</w:t>
      </w:r>
      <w:r w:rsidRPr="00513E34">
        <w:rPr>
          <w:rFonts w:eastAsiaTheme="minorHAnsi" w:cstheme="minorHAnsi"/>
        </w:rPr>
        <w:fldChar w:fldCharType="end"/>
      </w:r>
      <w:r w:rsidRPr="00513E34">
        <w:rPr>
          <w:rFonts w:eastAsiaTheme="minorHAnsi" w:cstheme="minorHAnsi"/>
        </w:rPr>
        <w:t>.</w:t>
      </w:r>
    </w:p>
    <w:p w14:paraId="5D4FC9CE" w14:textId="60EACD30" w:rsidR="0061175D" w:rsidRPr="009A5A91" w:rsidRDefault="0061175D" w:rsidP="0061175D">
      <w:pPr>
        <w:keepNext/>
        <w:keepLines/>
        <w:rPr>
          <w:rFonts w:ascii="Arial Narrow" w:eastAsiaTheme="majorEastAsia" w:hAnsi="Arial Narrow" w:cstheme="majorBidi"/>
          <w:b/>
          <w:bCs/>
          <w:sz w:val="20"/>
        </w:rPr>
      </w:pPr>
      <w:bookmarkStart w:id="33" w:name="_Ref176712265"/>
      <w:r w:rsidRPr="009A5A91">
        <w:rPr>
          <w:rFonts w:ascii="Arial Narrow" w:eastAsiaTheme="majorEastAsia" w:hAnsi="Arial Narrow" w:cstheme="majorBidi"/>
          <w:b/>
          <w:bCs/>
          <w:sz w:val="20"/>
        </w:rPr>
        <w:lastRenderedPageBreak/>
        <w:t xml:space="preserve">Table </w:t>
      </w:r>
      <w:r w:rsidRPr="009A5A91">
        <w:rPr>
          <w:rFonts w:ascii="Arial Narrow" w:eastAsiaTheme="majorEastAsia" w:hAnsi="Arial Narrow" w:cstheme="majorBidi"/>
          <w:b/>
          <w:bCs/>
          <w:sz w:val="20"/>
        </w:rPr>
        <w:fldChar w:fldCharType="begin" w:fldLock="1"/>
      </w:r>
      <w:r w:rsidRPr="009A5A91">
        <w:rPr>
          <w:rFonts w:ascii="Arial Narrow" w:eastAsiaTheme="majorEastAsia" w:hAnsi="Arial Narrow" w:cstheme="majorBidi"/>
          <w:b/>
          <w:bCs/>
          <w:sz w:val="20"/>
        </w:rPr>
        <w:instrText xml:space="preserve"> SEQ Table \* ARABIC </w:instrText>
      </w:r>
      <w:r w:rsidRPr="009A5A91">
        <w:rPr>
          <w:rFonts w:ascii="Arial Narrow" w:eastAsiaTheme="majorEastAsia" w:hAnsi="Arial Narrow" w:cstheme="majorBidi"/>
          <w:b/>
          <w:bCs/>
          <w:sz w:val="20"/>
        </w:rPr>
        <w:fldChar w:fldCharType="separate"/>
      </w:r>
      <w:r w:rsidR="004F2A70">
        <w:rPr>
          <w:rFonts w:ascii="Arial Narrow" w:eastAsiaTheme="majorEastAsia" w:hAnsi="Arial Narrow" w:cstheme="majorBidi"/>
          <w:b/>
          <w:bCs/>
          <w:noProof/>
          <w:sz w:val="20"/>
        </w:rPr>
        <w:t>3</w:t>
      </w:r>
      <w:r w:rsidRPr="009A5A91">
        <w:rPr>
          <w:rFonts w:ascii="Arial Narrow" w:eastAsiaTheme="majorEastAsia" w:hAnsi="Arial Narrow" w:cstheme="majorBidi"/>
          <w:b/>
          <w:bCs/>
          <w:sz w:val="20"/>
        </w:rPr>
        <w:fldChar w:fldCharType="end"/>
      </w:r>
      <w:bookmarkEnd w:id="33"/>
      <w:r w:rsidRPr="009A5A91">
        <w:rPr>
          <w:rFonts w:ascii="Arial Narrow" w:eastAsiaTheme="majorEastAsia" w:hAnsi="Arial Narrow" w:cstheme="majorBidi"/>
          <w:b/>
          <w:bCs/>
          <w:sz w:val="20"/>
        </w:rPr>
        <w:t>: Key features of the included evidence</w:t>
      </w:r>
      <w:r>
        <w:rPr>
          <w:rFonts w:ascii="Arial Narrow" w:eastAsiaTheme="majorEastAsia" w:hAnsi="Arial Narrow" w:cstheme="majorBidi"/>
          <w:b/>
          <w:bCs/>
          <w:sz w:val="20"/>
        </w:rPr>
        <w:t xml:space="preserve"> to support the clinical claim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9"/>
        <w:gridCol w:w="421"/>
        <w:gridCol w:w="1472"/>
        <w:gridCol w:w="403"/>
        <w:gridCol w:w="2100"/>
        <w:gridCol w:w="1283"/>
        <w:gridCol w:w="2218"/>
      </w:tblGrid>
      <w:tr w:rsidR="0061175D" w:rsidRPr="009A5A91" w14:paraId="7500D3BD" w14:textId="77777777" w:rsidTr="00CC1644">
        <w:trPr>
          <w:cantSplit/>
          <w:tblHeader/>
        </w:trPr>
        <w:tc>
          <w:tcPr>
            <w:tcW w:w="622" w:type="pct"/>
            <w:shd w:val="clear" w:color="auto" w:fill="auto"/>
            <w:vAlign w:val="center"/>
          </w:tcPr>
          <w:p w14:paraId="58FDC790"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Trial</w:t>
            </w:r>
          </w:p>
        </w:tc>
        <w:tc>
          <w:tcPr>
            <w:tcW w:w="232" w:type="pct"/>
            <w:shd w:val="clear" w:color="auto" w:fill="auto"/>
            <w:vAlign w:val="center"/>
          </w:tcPr>
          <w:p w14:paraId="1ADDD673"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N</w:t>
            </w:r>
          </w:p>
        </w:tc>
        <w:tc>
          <w:tcPr>
            <w:tcW w:w="818" w:type="pct"/>
            <w:shd w:val="clear" w:color="auto" w:fill="auto"/>
            <w:vAlign w:val="center"/>
          </w:tcPr>
          <w:p w14:paraId="4B78CC46"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Design/ duration</w:t>
            </w:r>
          </w:p>
        </w:tc>
        <w:tc>
          <w:tcPr>
            <w:tcW w:w="218" w:type="pct"/>
            <w:shd w:val="clear" w:color="auto" w:fill="auto"/>
            <w:vAlign w:val="center"/>
          </w:tcPr>
          <w:p w14:paraId="744172BE"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Risk of bias</w:t>
            </w:r>
          </w:p>
        </w:tc>
        <w:tc>
          <w:tcPr>
            <w:tcW w:w="1166" w:type="pct"/>
            <w:vAlign w:val="center"/>
          </w:tcPr>
          <w:p w14:paraId="0DDBD0A6"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Relevant comparison</w:t>
            </w:r>
          </w:p>
        </w:tc>
        <w:tc>
          <w:tcPr>
            <w:tcW w:w="713" w:type="pct"/>
            <w:shd w:val="clear" w:color="auto" w:fill="auto"/>
            <w:vAlign w:val="center"/>
          </w:tcPr>
          <w:p w14:paraId="44E019E4" w14:textId="77777777" w:rsidR="0061175D"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 xml:space="preserve">Patient </w:t>
            </w:r>
          </w:p>
          <w:p w14:paraId="644E1266"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population</w:t>
            </w:r>
          </w:p>
        </w:tc>
        <w:tc>
          <w:tcPr>
            <w:tcW w:w="1227" w:type="pct"/>
            <w:shd w:val="clear" w:color="auto" w:fill="auto"/>
            <w:vAlign w:val="center"/>
          </w:tcPr>
          <w:p w14:paraId="2224B357" w14:textId="77777777" w:rsidR="0061175D" w:rsidRPr="009A5A91" w:rsidRDefault="0061175D" w:rsidP="00CC1644">
            <w:pPr>
              <w:keepNext/>
              <w:keepLines/>
              <w:rPr>
                <w:rFonts w:ascii="Arial Narrow" w:eastAsiaTheme="majorEastAsia" w:hAnsi="Arial Narrow"/>
                <w:b/>
                <w:sz w:val="20"/>
                <w:lang w:val="en-US"/>
              </w:rPr>
            </w:pPr>
            <w:r w:rsidRPr="009A5A91">
              <w:rPr>
                <w:rFonts w:ascii="Arial Narrow" w:eastAsiaTheme="majorEastAsia" w:hAnsi="Arial Narrow"/>
                <w:b/>
                <w:sz w:val="20"/>
                <w:lang w:val="en-US"/>
              </w:rPr>
              <w:t>Outcome(s)</w:t>
            </w:r>
          </w:p>
        </w:tc>
      </w:tr>
      <w:tr w:rsidR="0061175D" w:rsidRPr="009A5A91" w14:paraId="00597597" w14:textId="77777777" w:rsidTr="00CC1644">
        <w:trPr>
          <w:cantSplit/>
        </w:trPr>
        <w:tc>
          <w:tcPr>
            <w:tcW w:w="5000" w:type="pct"/>
            <w:gridSpan w:val="7"/>
            <w:shd w:val="clear" w:color="auto" w:fill="auto"/>
            <w:vAlign w:val="center"/>
          </w:tcPr>
          <w:p w14:paraId="3BC7F046"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
                <w:bCs/>
                <w:sz w:val="20"/>
                <w:szCs w:val="18"/>
              </w:rPr>
              <w:t>ABRO</w:t>
            </w:r>
            <w:r w:rsidRPr="0007497B">
              <w:rPr>
                <w:rFonts w:ascii="Arial Narrow" w:eastAsiaTheme="majorEastAsia" w:hAnsi="Arial Narrow" w:cstheme="majorBidi"/>
                <w:b/>
                <w:bCs/>
                <w:sz w:val="20"/>
                <w:szCs w:val="18"/>
              </w:rPr>
              <w:t xml:space="preserve"> </w:t>
            </w:r>
            <w:r w:rsidRPr="0007497B">
              <w:rPr>
                <w:rFonts w:ascii="Arial Narrow" w:eastAsiaTheme="majorEastAsia" w:hAnsi="Arial Narrow" w:cstheme="majorBidi"/>
                <w:b/>
                <w:bCs/>
                <w:i/>
                <w:iCs/>
                <w:sz w:val="20"/>
                <w:szCs w:val="18"/>
              </w:rPr>
              <w:t xml:space="preserve">versus </w:t>
            </w:r>
            <w:r>
              <w:rPr>
                <w:rFonts w:ascii="Arial Narrow" w:eastAsiaTheme="majorEastAsia" w:hAnsi="Arial Narrow" w:cstheme="majorBidi"/>
                <w:b/>
                <w:bCs/>
                <w:sz w:val="20"/>
                <w:szCs w:val="18"/>
              </w:rPr>
              <w:t>DUPI trials</w:t>
            </w:r>
            <w:r w:rsidRPr="0007497B">
              <w:rPr>
                <w:rFonts w:ascii="Arial Narrow" w:eastAsiaTheme="majorEastAsia" w:hAnsi="Arial Narrow" w:cstheme="majorBidi"/>
                <w:b/>
                <w:bCs/>
                <w:sz w:val="20"/>
                <w:szCs w:val="18"/>
              </w:rPr>
              <w:t xml:space="preserve"> (head-to-head trials)</w:t>
            </w:r>
          </w:p>
        </w:tc>
      </w:tr>
      <w:tr w:rsidR="0061175D" w:rsidRPr="009A5A91" w14:paraId="76232317" w14:textId="77777777" w:rsidTr="00CC1644">
        <w:trPr>
          <w:cantSplit/>
          <w:trHeight w:val="279"/>
        </w:trPr>
        <w:tc>
          <w:tcPr>
            <w:tcW w:w="622" w:type="pct"/>
            <w:vMerge w:val="restart"/>
            <w:shd w:val="clear" w:color="auto" w:fill="auto"/>
            <w:vAlign w:val="center"/>
          </w:tcPr>
          <w:p w14:paraId="0300D243"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COMPARE</w:t>
            </w:r>
          </w:p>
        </w:tc>
        <w:tc>
          <w:tcPr>
            <w:tcW w:w="232" w:type="pct"/>
            <w:vMerge w:val="restart"/>
            <w:shd w:val="clear" w:color="auto" w:fill="auto"/>
            <w:vAlign w:val="center"/>
          </w:tcPr>
          <w:p w14:paraId="518F14DB"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838</w:t>
            </w:r>
          </w:p>
        </w:tc>
        <w:tc>
          <w:tcPr>
            <w:tcW w:w="818" w:type="pct"/>
            <w:vMerge w:val="restart"/>
            <w:shd w:val="clear" w:color="auto" w:fill="auto"/>
            <w:vAlign w:val="center"/>
          </w:tcPr>
          <w:p w14:paraId="791FE677" w14:textId="77777777" w:rsidR="0061175D"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 xml:space="preserve">P3, R, MC, DB, </w:t>
            </w:r>
            <w:r>
              <w:rPr>
                <w:rFonts w:ascii="Arial Narrow" w:eastAsiaTheme="majorEastAsia" w:hAnsi="Arial Narrow" w:cstheme="majorBidi"/>
                <w:bCs/>
                <w:sz w:val="20"/>
                <w:szCs w:val="18"/>
              </w:rPr>
              <w:t xml:space="preserve">DD, </w:t>
            </w:r>
            <w:r w:rsidRPr="00BE1519">
              <w:rPr>
                <w:rFonts w:ascii="Arial Narrow" w:eastAsiaTheme="majorEastAsia" w:hAnsi="Arial Narrow" w:cstheme="majorBidi"/>
                <w:bCs/>
                <w:sz w:val="20"/>
                <w:szCs w:val="18"/>
              </w:rPr>
              <w:t>PC</w:t>
            </w:r>
          </w:p>
          <w:p w14:paraId="57D96A1A"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 xml:space="preserve">16 </w:t>
            </w:r>
            <w:r w:rsidRPr="00BE1519">
              <w:rPr>
                <w:rFonts w:ascii="Arial Narrow" w:eastAsiaTheme="majorEastAsia" w:hAnsi="Arial Narrow" w:cstheme="majorBidi"/>
                <w:bCs/>
                <w:sz w:val="20"/>
                <w:szCs w:val="18"/>
              </w:rPr>
              <w:t>wk,</w:t>
            </w:r>
            <w:r>
              <w:rPr>
                <w:rFonts w:ascii="Arial Narrow" w:eastAsiaTheme="majorEastAsia" w:hAnsi="Arial Narrow" w:cstheme="majorBidi"/>
                <w:bCs/>
                <w:sz w:val="20"/>
                <w:szCs w:val="18"/>
              </w:rPr>
              <w:t xml:space="preserve"> </w:t>
            </w:r>
            <w:r w:rsidRPr="00BE1519">
              <w:rPr>
                <w:rFonts w:ascii="Arial Narrow" w:eastAsiaTheme="majorEastAsia" w:hAnsi="Arial Narrow" w:cstheme="majorBidi"/>
                <w:bCs/>
                <w:sz w:val="20"/>
                <w:szCs w:val="18"/>
              </w:rPr>
              <w:t xml:space="preserve">rescue </w:t>
            </w:r>
            <w:proofErr w:type="spellStart"/>
            <w:r w:rsidRPr="00BE1519">
              <w:rPr>
                <w:rFonts w:ascii="Arial Narrow" w:eastAsiaTheme="majorEastAsia" w:hAnsi="Arial Narrow" w:cstheme="majorBidi"/>
                <w:bCs/>
                <w:sz w:val="20"/>
                <w:szCs w:val="18"/>
              </w:rPr>
              <w:t>therapy</w:t>
            </w:r>
            <w:r w:rsidRPr="00CE3CDC">
              <w:rPr>
                <w:rFonts w:ascii="Arial Narrow" w:eastAsiaTheme="majorEastAsia" w:hAnsi="Arial Narrow" w:cstheme="majorBidi"/>
                <w:bCs/>
                <w:sz w:val="20"/>
                <w:szCs w:val="18"/>
                <w:vertAlign w:val="superscript"/>
              </w:rPr>
              <w:t>a</w:t>
            </w:r>
            <w:proofErr w:type="spellEnd"/>
          </w:p>
        </w:tc>
        <w:tc>
          <w:tcPr>
            <w:tcW w:w="218" w:type="pct"/>
            <w:vMerge w:val="restart"/>
            <w:shd w:val="clear" w:color="auto" w:fill="auto"/>
            <w:vAlign w:val="center"/>
          </w:tcPr>
          <w:p w14:paraId="4AC83F7C"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Low</w:t>
            </w:r>
          </w:p>
        </w:tc>
        <w:tc>
          <w:tcPr>
            <w:tcW w:w="1166" w:type="pct"/>
            <w:vAlign w:val="center"/>
          </w:tcPr>
          <w:p w14:paraId="7F38624B" w14:textId="77777777" w:rsidR="0061175D" w:rsidRPr="009A5A91"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ABRO 10</w:t>
            </w:r>
            <w:r>
              <w:rPr>
                <w:rFonts w:ascii="Arial Narrow" w:eastAsiaTheme="majorEastAsia" w:hAnsi="Arial Narrow" w:cstheme="majorBidi"/>
                <w:bCs/>
                <w:sz w:val="20"/>
                <w:szCs w:val="18"/>
              </w:rPr>
              <w:t xml:space="preserve">0 mg QD </w:t>
            </w:r>
            <w:r w:rsidRPr="00BE1519">
              <w:rPr>
                <w:rFonts w:ascii="Arial Narrow" w:eastAsiaTheme="majorEastAsia" w:hAnsi="Arial Narrow" w:cstheme="majorBidi"/>
                <w:bCs/>
                <w:sz w:val="20"/>
                <w:szCs w:val="18"/>
              </w:rPr>
              <w:t>+ TCS</w:t>
            </w:r>
            <w:r>
              <w:rPr>
                <w:rFonts w:ascii="Arial Narrow" w:eastAsiaTheme="majorEastAsia" w:hAnsi="Arial Narrow" w:cstheme="majorBidi"/>
                <w:bCs/>
                <w:sz w:val="20"/>
                <w:szCs w:val="18"/>
              </w:rPr>
              <w:t>/TCI</w:t>
            </w:r>
          </w:p>
        </w:tc>
        <w:tc>
          <w:tcPr>
            <w:tcW w:w="713" w:type="pct"/>
            <w:vMerge w:val="restart"/>
            <w:shd w:val="clear" w:color="auto" w:fill="auto"/>
            <w:vAlign w:val="center"/>
          </w:tcPr>
          <w:p w14:paraId="311FC6D1" w14:textId="77777777" w:rsidR="0061175D" w:rsidRPr="009A5A91"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M-S AD; adults</w:t>
            </w:r>
          </w:p>
        </w:tc>
        <w:tc>
          <w:tcPr>
            <w:tcW w:w="1227" w:type="pct"/>
            <w:vMerge w:val="restart"/>
            <w:shd w:val="clear" w:color="auto" w:fill="auto"/>
            <w:vAlign w:val="center"/>
          </w:tcPr>
          <w:p w14:paraId="2B1B053C" w14:textId="77777777" w:rsidR="0061175D" w:rsidRPr="009A5A91" w:rsidRDefault="0061175D" w:rsidP="00CC1644">
            <w:pPr>
              <w:keepNext/>
              <w:keepLines/>
              <w:rPr>
                <w:rFonts w:ascii="Arial Narrow" w:eastAsiaTheme="majorEastAsia" w:hAnsi="Arial Narrow" w:cstheme="majorBidi"/>
                <w:bCs/>
                <w:sz w:val="20"/>
                <w:szCs w:val="18"/>
              </w:rPr>
            </w:pPr>
            <w:r w:rsidRPr="007C12B8">
              <w:rPr>
                <w:rFonts w:ascii="Arial Narrow" w:eastAsiaTheme="majorEastAsia" w:hAnsi="Arial Narrow" w:cstheme="majorBidi"/>
                <w:bCs/>
                <w:sz w:val="20"/>
                <w:szCs w:val="18"/>
              </w:rPr>
              <w:t xml:space="preserve">IGA </w:t>
            </w:r>
            <w:r>
              <w:rPr>
                <w:rFonts w:ascii="Arial Narrow" w:eastAsiaTheme="majorEastAsia" w:hAnsi="Arial Narrow" w:cstheme="majorBidi"/>
                <w:bCs/>
                <w:sz w:val="20"/>
                <w:szCs w:val="18"/>
              </w:rPr>
              <w:t>response</w:t>
            </w:r>
            <w:r w:rsidRPr="009A5A91">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 xml:space="preserve">at </w:t>
            </w:r>
            <w:r w:rsidRPr="009A5A91">
              <w:rPr>
                <w:rFonts w:ascii="Arial Narrow" w:eastAsiaTheme="majorEastAsia" w:hAnsi="Arial Narrow" w:cstheme="majorBidi"/>
                <w:bCs/>
                <w:sz w:val="20"/>
                <w:szCs w:val="18"/>
              </w:rPr>
              <w:t>Wk12</w:t>
            </w:r>
          </w:p>
          <w:p w14:paraId="46A4A94F"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EASI75 </w:t>
            </w:r>
            <w:r>
              <w:rPr>
                <w:rFonts w:ascii="Arial Narrow" w:eastAsiaTheme="majorEastAsia" w:hAnsi="Arial Narrow" w:cstheme="majorBidi"/>
                <w:bCs/>
                <w:sz w:val="20"/>
                <w:szCs w:val="18"/>
              </w:rPr>
              <w:t xml:space="preserve">at </w:t>
            </w:r>
            <w:r w:rsidRPr="009A5A91">
              <w:rPr>
                <w:rFonts w:ascii="Arial Narrow" w:eastAsiaTheme="majorEastAsia" w:hAnsi="Arial Narrow" w:cstheme="majorBidi"/>
                <w:bCs/>
                <w:sz w:val="20"/>
                <w:szCs w:val="18"/>
              </w:rPr>
              <w:t>Wk 12</w:t>
            </w:r>
          </w:p>
          <w:p w14:paraId="360025B9"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PP-NRS</w:t>
            </w:r>
            <w:r>
              <w:rPr>
                <w:rFonts w:ascii="Arial Narrow" w:eastAsiaTheme="majorEastAsia" w:hAnsi="Arial Narrow" w:cstheme="majorBidi"/>
                <w:bCs/>
                <w:sz w:val="20"/>
                <w:szCs w:val="18"/>
              </w:rPr>
              <w:t xml:space="preserve">4 at </w:t>
            </w:r>
            <w:r w:rsidRPr="009A5A91">
              <w:rPr>
                <w:rFonts w:ascii="Arial Narrow" w:eastAsiaTheme="majorEastAsia" w:hAnsi="Arial Narrow" w:cstheme="majorBidi"/>
                <w:bCs/>
                <w:sz w:val="20"/>
                <w:szCs w:val="18"/>
              </w:rPr>
              <w:t>Wk 2</w:t>
            </w:r>
          </w:p>
          <w:p w14:paraId="3EB404DF" w14:textId="77777777" w:rsidR="0061175D"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EASI50+DLQI≥4 </w:t>
            </w:r>
            <w:r>
              <w:rPr>
                <w:rFonts w:ascii="Arial Narrow" w:eastAsiaTheme="majorEastAsia" w:hAnsi="Arial Narrow" w:cstheme="majorBidi"/>
                <w:bCs/>
                <w:sz w:val="20"/>
                <w:szCs w:val="18"/>
              </w:rPr>
              <w:t xml:space="preserve">at Wk 16 </w:t>
            </w:r>
          </w:p>
          <w:p w14:paraId="1B2BB09C"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Safety</w:t>
            </w:r>
          </w:p>
        </w:tc>
      </w:tr>
      <w:tr w:rsidR="0061175D" w:rsidRPr="009A5A91" w14:paraId="19B9EAFC" w14:textId="77777777" w:rsidTr="00CC1644">
        <w:trPr>
          <w:cantSplit/>
          <w:trHeight w:val="279"/>
        </w:trPr>
        <w:tc>
          <w:tcPr>
            <w:tcW w:w="622" w:type="pct"/>
            <w:vMerge/>
            <w:shd w:val="clear" w:color="auto" w:fill="auto"/>
            <w:vAlign w:val="center"/>
          </w:tcPr>
          <w:p w14:paraId="3D062211"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2F55B1A1"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058C43F6" w14:textId="77777777" w:rsidR="0061175D" w:rsidRPr="00BE1519"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7117D901"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3AECF4BF" w14:textId="77777777" w:rsidR="0061175D" w:rsidRPr="00BE1519"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ABRO 20</w:t>
            </w:r>
            <w:r>
              <w:rPr>
                <w:rFonts w:ascii="Arial Narrow" w:eastAsiaTheme="majorEastAsia" w:hAnsi="Arial Narrow" w:cstheme="majorBidi"/>
                <w:bCs/>
                <w:sz w:val="20"/>
                <w:szCs w:val="18"/>
              </w:rPr>
              <w:t xml:space="preserve">0 mg QD </w:t>
            </w:r>
            <w:r w:rsidRPr="00BE1519">
              <w:rPr>
                <w:rFonts w:ascii="Arial Narrow" w:eastAsiaTheme="majorEastAsia" w:hAnsi="Arial Narrow" w:cstheme="majorBidi"/>
                <w:bCs/>
                <w:sz w:val="20"/>
                <w:szCs w:val="18"/>
              </w:rPr>
              <w:t>+ TCS</w:t>
            </w:r>
            <w:r>
              <w:rPr>
                <w:rFonts w:ascii="Arial Narrow" w:eastAsiaTheme="majorEastAsia" w:hAnsi="Arial Narrow" w:cstheme="majorBidi"/>
                <w:bCs/>
                <w:sz w:val="20"/>
                <w:szCs w:val="18"/>
              </w:rPr>
              <w:t>/TCI</w:t>
            </w:r>
          </w:p>
        </w:tc>
        <w:tc>
          <w:tcPr>
            <w:tcW w:w="713" w:type="pct"/>
            <w:vMerge/>
            <w:shd w:val="clear" w:color="auto" w:fill="auto"/>
            <w:vAlign w:val="center"/>
          </w:tcPr>
          <w:p w14:paraId="2F76271E"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62C77AAB"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7C098AA3" w14:textId="77777777" w:rsidTr="00CC1644">
        <w:trPr>
          <w:cantSplit/>
          <w:trHeight w:val="279"/>
        </w:trPr>
        <w:tc>
          <w:tcPr>
            <w:tcW w:w="622" w:type="pct"/>
            <w:vMerge/>
            <w:shd w:val="clear" w:color="auto" w:fill="auto"/>
            <w:vAlign w:val="center"/>
          </w:tcPr>
          <w:p w14:paraId="0C787880"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04B38DC3"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77521B59" w14:textId="77777777" w:rsidR="0061175D" w:rsidRPr="00BE1519"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23F0174D"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4CBAA316" w14:textId="77777777" w:rsidR="0061175D" w:rsidRPr="00BE1519"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 xml:space="preserve">DUPI 300 mg Q2W </w:t>
            </w:r>
            <w:r w:rsidRPr="00BE1519">
              <w:rPr>
                <w:rFonts w:ascii="Arial Narrow" w:eastAsiaTheme="majorEastAsia" w:hAnsi="Arial Narrow" w:cstheme="majorBidi"/>
                <w:bCs/>
                <w:sz w:val="20"/>
                <w:szCs w:val="18"/>
              </w:rPr>
              <w:t>+ TCS</w:t>
            </w:r>
            <w:r>
              <w:rPr>
                <w:rFonts w:ascii="Arial Narrow" w:eastAsiaTheme="majorEastAsia" w:hAnsi="Arial Narrow" w:cstheme="majorBidi"/>
                <w:bCs/>
                <w:sz w:val="20"/>
                <w:szCs w:val="18"/>
              </w:rPr>
              <w:t>/TCI</w:t>
            </w:r>
          </w:p>
        </w:tc>
        <w:tc>
          <w:tcPr>
            <w:tcW w:w="713" w:type="pct"/>
            <w:vMerge/>
            <w:shd w:val="clear" w:color="auto" w:fill="auto"/>
            <w:vAlign w:val="center"/>
          </w:tcPr>
          <w:p w14:paraId="2F0F7316"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7EBEE2A3"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2C4CEA07" w14:textId="77777777" w:rsidTr="00CC1644">
        <w:trPr>
          <w:cantSplit/>
          <w:trHeight w:val="280"/>
        </w:trPr>
        <w:tc>
          <w:tcPr>
            <w:tcW w:w="622" w:type="pct"/>
            <w:vMerge/>
            <w:shd w:val="clear" w:color="auto" w:fill="auto"/>
            <w:vAlign w:val="center"/>
          </w:tcPr>
          <w:p w14:paraId="15188022"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67F86800"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3FBAA510" w14:textId="77777777" w:rsidR="0061175D" w:rsidRPr="00BE1519"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765B2137"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211622FC" w14:textId="77777777" w:rsidR="0061175D" w:rsidRPr="00BE1519"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PBO + TCS/TCI</w:t>
            </w:r>
          </w:p>
        </w:tc>
        <w:tc>
          <w:tcPr>
            <w:tcW w:w="713" w:type="pct"/>
            <w:vMerge/>
            <w:shd w:val="clear" w:color="auto" w:fill="auto"/>
            <w:vAlign w:val="center"/>
          </w:tcPr>
          <w:p w14:paraId="6948D584"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2A341D18"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4E7507C7" w14:textId="77777777" w:rsidTr="00CC1644">
        <w:trPr>
          <w:cantSplit/>
          <w:trHeight w:val="454"/>
        </w:trPr>
        <w:tc>
          <w:tcPr>
            <w:tcW w:w="622" w:type="pct"/>
            <w:vMerge w:val="restart"/>
            <w:shd w:val="clear" w:color="auto" w:fill="auto"/>
            <w:vAlign w:val="center"/>
          </w:tcPr>
          <w:p w14:paraId="1DBACCE3"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DARE</w:t>
            </w:r>
          </w:p>
        </w:tc>
        <w:tc>
          <w:tcPr>
            <w:tcW w:w="232" w:type="pct"/>
            <w:vMerge w:val="restart"/>
            <w:shd w:val="clear" w:color="auto" w:fill="auto"/>
            <w:vAlign w:val="center"/>
          </w:tcPr>
          <w:p w14:paraId="2252D8BD"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727</w:t>
            </w:r>
          </w:p>
        </w:tc>
        <w:tc>
          <w:tcPr>
            <w:tcW w:w="818" w:type="pct"/>
            <w:vMerge w:val="restart"/>
            <w:shd w:val="clear" w:color="auto" w:fill="auto"/>
            <w:vAlign w:val="center"/>
          </w:tcPr>
          <w:p w14:paraId="5F518DF2" w14:textId="77777777" w:rsidR="0061175D" w:rsidRDefault="0061175D" w:rsidP="00CC1644">
            <w:pPr>
              <w:keepNext/>
              <w:keepLines/>
              <w:rPr>
                <w:rFonts w:ascii="Arial Narrow" w:eastAsiaTheme="majorEastAsia" w:hAnsi="Arial Narrow" w:cstheme="majorBidi"/>
                <w:bCs/>
                <w:sz w:val="20"/>
                <w:szCs w:val="18"/>
              </w:rPr>
            </w:pPr>
            <w:r w:rsidRPr="008C185A">
              <w:rPr>
                <w:rFonts w:ascii="Arial Narrow" w:eastAsiaTheme="majorEastAsia" w:hAnsi="Arial Narrow" w:cstheme="majorBidi"/>
                <w:bCs/>
                <w:sz w:val="20"/>
                <w:szCs w:val="18"/>
              </w:rPr>
              <w:t xml:space="preserve">P3, R, MC, DB, </w:t>
            </w:r>
            <w:r>
              <w:rPr>
                <w:rFonts w:ascii="Arial Narrow" w:eastAsiaTheme="majorEastAsia" w:hAnsi="Arial Narrow" w:cstheme="majorBidi"/>
                <w:bCs/>
                <w:sz w:val="20"/>
                <w:szCs w:val="18"/>
              </w:rPr>
              <w:t>DD, A</w:t>
            </w:r>
            <w:r w:rsidRPr="008C185A">
              <w:rPr>
                <w:rFonts w:ascii="Arial Narrow" w:eastAsiaTheme="majorEastAsia" w:hAnsi="Arial Narrow" w:cstheme="majorBidi"/>
                <w:bCs/>
                <w:sz w:val="20"/>
                <w:szCs w:val="18"/>
              </w:rPr>
              <w:t>C</w:t>
            </w:r>
            <w:r w:rsidRPr="008C185A" w:rsidDel="008C185A">
              <w:rPr>
                <w:rFonts w:ascii="Arial Narrow" w:eastAsiaTheme="majorEastAsia" w:hAnsi="Arial Narrow" w:cstheme="majorBidi"/>
                <w:bCs/>
                <w:sz w:val="20"/>
                <w:szCs w:val="18"/>
              </w:rPr>
              <w:t xml:space="preserve"> </w:t>
            </w:r>
          </w:p>
          <w:p w14:paraId="56BF5B19"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26 wk</w:t>
            </w:r>
            <w:r>
              <w:rPr>
                <w:rFonts w:ascii="Arial Narrow" w:eastAsiaTheme="majorEastAsia" w:hAnsi="Arial Narrow" w:cstheme="majorBidi"/>
                <w:bCs/>
                <w:sz w:val="20"/>
                <w:szCs w:val="18"/>
              </w:rPr>
              <w:t xml:space="preserve">, </w:t>
            </w:r>
            <w:r w:rsidRPr="008C185A">
              <w:rPr>
                <w:rFonts w:ascii="Arial Narrow" w:eastAsiaTheme="majorEastAsia" w:hAnsi="Arial Narrow" w:cstheme="majorBidi"/>
                <w:bCs/>
                <w:sz w:val="20"/>
                <w:szCs w:val="18"/>
              </w:rPr>
              <w:t xml:space="preserve">rescue </w:t>
            </w:r>
            <w:proofErr w:type="spellStart"/>
            <w:r w:rsidRPr="008C185A">
              <w:rPr>
                <w:rFonts w:ascii="Arial Narrow" w:eastAsiaTheme="majorEastAsia" w:hAnsi="Arial Narrow" w:cstheme="majorBidi"/>
                <w:bCs/>
                <w:sz w:val="20"/>
                <w:szCs w:val="18"/>
              </w:rPr>
              <w:t>therapy</w:t>
            </w:r>
            <w:r w:rsidRPr="00CE3CDC">
              <w:rPr>
                <w:rFonts w:ascii="Arial Narrow" w:eastAsiaTheme="majorEastAsia" w:hAnsi="Arial Narrow" w:cstheme="majorBidi"/>
                <w:bCs/>
                <w:sz w:val="20"/>
                <w:szCs w:val="18"/>
                <w:vertAlign w:val="superscript"/>
              </w:rPr>
              <w:t>a</w:t>
            </w:r>
            <w:proofErr w:type="spellEnd"/>
          </w:p>
        </w:tc>
        <w:tc>
          <w:tcPr>
            <w:tcW w:w="218" w:type="pct"/>
            <w:vMerge w:val="restart"/>
            <w:shd w:val="clear" w:color="auto" w:fill="auto"/>
            <w:vAlign w:val="center"/>
          </w:tcPr>
          <w:p w14:paraId="0616B44A"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Low</w:t>
            </w:r>
          </w:p>
        </w:tc>
        <w:tc>
          <w:tcPr>
            <w:tcW w:w="1166" w:type="pct"/>
            <w:vAlign w:val="center"/>
          </w:tcPr>
          <w:p w14:paraId="300F2512" w14:textId="77777777" w:rsidR="0061175D" w:rsidRPr="009A5A91"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ABRO 20</w:t>
            </w:r>
            <w:r>
              <w:rPr>
                <w:rFonts w:ascii="Arial Narrow" w:eastAsiaTheme="majorEastAsia" w:hAnsi="Arial Narrow" w:cstheme="majorBidi"/>
                <w:bCs/>
                <w:sz w:val="20"/>
                <w:szCs w:val="18"/>
              </w:rPr>
              <w:t xml:space="preserve">0 mg QD </w:t>
            </w:r>
            <w:r w:rsidRPr="00BE1519">
              <w:rPr>
                <w:rFonts w:ascii="Arial Narrow" w:eastAsiaTheme="majorEastAsia" w:hAnsi="Arial Narrow" w:cstheme="majorBidi"/>
                <w:bCs/>
                <w:sz w:val="20"/>
                <w:szCs w:val="18"/>
              </w:rPr>
              <w:t>+ TCS</w:t>
            </w:r>
          </w:p>
        </w:tc>
        <w:tc>
          <w:tcPr>
            <w:tcW w:w="713" w:type="pct"/>
            <w:vMerge w:val="restart"/>
            <w:shd w:val="clear" w:color="auto" w:fill="auto"/>
            <w:vAlign w:val="center"/>
          </w:tcPr>
          <w:p w14:paraId="500DE121" w14:textId="77777777" w:rsidR="0061175D" w:rsidRPr="009A5A91" w:rsidRDefault="0061175D" w:rsidP="00CC1644">
            <w:pPr>
              <w:keepNext/>
              <w:keepLines/>
              <w:rPr>
                <w:rFonts w:ascii="Arial Narrow" w:eastAsiaTheme="majorEastAsia" w:hAnsi="Arial Narrow" w:cstheme="majorBidi"/>
                <w:bCs/>
                <w:sz w:val="20"/>
                <w:szCs w:val="18"/>
              </w:rPr>
            </w:pPr>
            <w:r w:rsidRPr="00BE1519">
              <w:rPr>
                <w:rFonts w:ascii="Arial Narrow" w:eastAsiaTheme="majorEastAsia" w:hAnsi="Arial Narrow" w:cstheme="majorBidi"/>
                <w:bCs/>
                <w:sz w:val="20"/>
                <w:szCs w:val="18"/>
              </w:rPr>
              <w:t>M-S AD; adults</w:t>
            </w:r>
          </w:p>
        </w:tc>
        <w:tc>
          <w:tcPr>
            <w:tcW w:w="1227" w:type="pct"/>
            <w:vMerge w:val="restart"/>
            <w:shd w:val="clear" w:color="auto" w:fill="auto"/>
            <w:vAlign w:val="center"/>
          </w:tcPr>
          <w:p w14:paraId="3F8294AB"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EASI90 </w:t>
            </w:r>
            <w:r>
              <w:rPr>
                <w:rFonts w:ascii="Arial Narrow" w:eastAsiaTheme="majorEastAsia" w:hAnsi="Arial Narrow" w:cstheme="majorBidi"/>
                <w:bCs/>
                <w:sz w:val="20"/>
                <w:szCs w:val="18"/>
              </w:rPr>
              <w:t xml:space="preserve">at </w:t>
            </w:r>
            <w:r w:rsidRPr="009A5A91">
              <w:rPr>
                <w:rFonts w:ascii="Arial Narrow" w:eastAsiaTheme="majorEastAsia" w:hAnsi="Arial Narrow" w:cstheme="majorBidi"/>
                <w:bCs/>
                <w:sz w:val="20"/>
                <w:szCs w:val="18"/>
              </w:rPr>
              <w:t>Wk 4</w:t>
            </w:r>
          </w:p>
          <w:p w14:paraId="0F8E2A42" w14:textId="77777777" w:rsidR="0061175D"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PP-NRS</w:t>
            </w:r>
            <w:r>
              <w:rPr>
                <w:rFonts w:ascii="Arial Narrow" w:eastAsiaTheme="majorEastAsia" w:hAnsi="Arial Narrow" w:cstheme="majorBidi"/>
                <w:bCs/>
                <w:sz w:val="20"/>
                <w:szCs w:val="18"/>
              </w:rPr>
              <w:t xml:space="preserve">4 at </w:t>
            </w:r>
            <w:r w:rsidRPr="009A5A91">
              <w:rPr>
                <w:rFonts w:ascii="Arial Narrow" w:eastAsiaTheme="majorEastAsia" w:hAnsi="Arial Narrow" w:cstheme="majorBidi"/>
                <w:bCs/>
                <w:sz w:val="20"/>
                <w:szCs w:val="18"/>
              </w:rPr>
              <w:t>Wk 2</w:t>
            </w:r>
            <w:r w:rsidRPr="009A5A91">
              <w:rPr>
                <w:rFonts w:ascii="Arial Narrow" w:eastAsiaTheme="majorEastAsia" w:hAnsi="Arial Narrow" w:cstheme="majorBidi"/>
                <w:bCs/>
                <w:sz w:val="20"/>
                <w:szCs w:val="18"/>
              </w:rPr>
              <w:br/>
              <w:t xml:space="preserve">EASI50+DLQI≥4 </w:t>
            </w:r>
            <w:r>
              <w:rPr>
                <w:rFonts w:ascii="Arial Narrow" w:eastAsiaTheme="majorEastAsia" w:hAnsi="Arial Narrow" w:cstheme="majorBidi"/>
                <w:bCs/>
                <w:sz w:val="20"/>
                <w:szCs w:val="18"/>
              </w:rPr>
              <w:t xml:space="preserve">at Wk 16 </w:t>
            </w:r>
          </w:p>
          <w:p w14:paraId="5BF7DA0D"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Safety</w:t>
            </w:r>
          </w:p>
        </w:tc>
      </w:tr>
      <w:tr w:rsidR="0061175D" w:rsidRPr="009A5A91" w14:paraId="27B36687" w14:textId="77777777" w:rsidTr="00CC1644">
        <w:trPr>
          <w:cantSplit/>
          <w:trHeight w:val="454"/>
        </w:trPr>
        <w:tc>
          <w:tcPr>
            <w:tcW w:w="622" w:type="pct"/>
            <w:vMerge/>
            <w:shd w:val="clear" w:color="auto" w:fill="auto"/>
            <w:vAlign w:val="center"/>
          </w:tcPr>
          <w:p w14:paraId="7AB83C13"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08E59C7E"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6BB13D5A" w14:textId="77777777" w:rsidR="0061175D" w:rsidRPr="009A5A91"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098B8CA7"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499F85F5"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 xml:space="preserve">DUPI 300 mg QD </w:t>
            </w:r>
            <w:r w:rsidRPr="00BE1519">
              <w:rPr>
                <w:rFonts w:ascii="Arial Narrow" w:eastAsiaTheme="majorEastAsia" w:hAnsi="Arial Narrow" w:cstheme="majorBidi"/>
                <w:bCs/>
                <w:sz w:val="20"/>
                <w:szCs w:val="18"/>
              </w:rPr>
              <w:t>+ TCS</w:t>
            </w:r>
          </w:p>
        </w:tc>
        <w:tc>
          <w:tcPr>
            <w:tcW w:w="713" w:type="pct"/>
            <w:vMerge/>
            <w:shd w:val="clear" w:color="auto" w:fill="auto"/>
            <w:vAlign w:val="center"/>
          </w:tcPr>
          <w:p w14:paraId="07E2F70D"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292C688B"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143AAD78" w14:textId="77777777" w:rsidTr="00CC1644">
        <w:trPr>
          <w:cantSplit/>
        </w:trPr>
        <w:tc>
          <w:tcPr>
            <w:tcW w:w="5000" w:type="pct"/>
            <w:gridSpan w:val="7"/>
            <w:shd w:val="clear" w:color="auto" w:fill="auto"/>
            <w:vAlign w:val="center"/>
          </w:tcPr>
          <w:p w14:paraId="28710E34"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
                <w:bCs/>
                <w:sz w:val="20"/>
                <w:szCs w:val="18"/>
              </w:rPr>
              <w:t>ABRO (Supplementary evidence)</w:t>
            </w:r>
          </w:p>
        </w:tc>
      </w:tr>
      <w:tr w:rsidR="0061175D" w:rsidRPr="009A5A91" w14:paraId="14E70AB9" w14:textId="77777777" w:rsidTr="00CC1644">
        <w:trPr>
          <w:cantSplit/>
          <w:trHeight w:val="375"/>
        </w:trPr>
        <w:tc>
          <w:tcPr>
            <w:tcW w:w="622" w:type="pct"/>
            <w:vMerge w:val="restart"/>
            <w:shd w:val="clear" w:color="auto" w:fill="auto"/>
            <w:vAlign w:val="center"/>
          </w:tcPr>
          <w:p w14:paraId="2A1DA07F"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 REGIMEN</w:t>
            </w:r>
          </w:p>
        </w:tc>
        <w:tc>
          <w:tcPr>
            <w:tcW w:w="232" w:type="pct"/>
            <w:vMerge w:val="restart"/>
            <w:shd w:val="clear" w:color="auto" w:fill="auto"/>
            <w:vAlign w:val="center"/>
          </w:tcPr>
          <w:p w14:paraId="4DA3020D"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1235</w:t>
            </w:r>
          </w:p>
        </w:tc>
        <w:tc>
          <w:tcPr>
            <w:tcW w:w="818" w:type="pct"/>
            <w:vMerge w:val="restart"/>
            <w:shd w:val="clear" w:color="auto" w:fill="auto"/>
            <w:vAlign w:val="center"/>
          </w:tcPr>
          <w:p w14:paraId="0192855E"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R, DB, MC, PC</w:t>
            </w:r>
          </w:p>
          <w:p w14:paraId="6D13160D" w14:textId="77777777" w:rsidR="0061175D"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52 wk</w:t>
            </w:r>
          </w:p>
          <w:p w14:paraId="1041E5B1" w14:textId="77777777" w:rsidR="0061175D" w:rsidRPr="009A5A91" w:rsidRDefault="0061175D" w:rsidP="00CC1644">
            <w:pPr>
              <w:keepNext/>
              <w:keepLines/>
              <w:rPr>
                <w:rFonts w:ascii="Arial Narrow" w:eastAsiaTheme="majorEastAsia" w:hAnsi="Arial Narrow" w:cstheme="majorBidi"/>
                <w:bCs/>
                <w:sz w:val="20"/>
                <w:szCs w:val="18"/>
              </w:rPr>
            </w:pPr>
            <w:r>
              <w:rPr>
                <w:rFonts w:ascii="Arial Narrow" w:eastAsiaTheme="majorEastAsia" w:hAnsi="Arial Narrow" w:cstheme="majorBidi"/>
                <w:bCs/>
                <w:sz w:val="20"/>
                <w:szCs w:val="18"/>
              </w:rPr>
              <w:t>Flare rescue treatment</w:t>
            </w:r>
            <w:r w:rsidRPr="00CE3CDC">
              <w:rPr>
                <w:rFonts w:ascii="Arial Narrow" w:eastAsiaTheme="majorEastAsia" w:hAnsi="Arial Narrow" w:cstheme="majorBidi"/>
                <w:bCs/>
                <w:sz w:val="20"/>
                <w:szCs w:val="18"/>
                <w:vertAlign w:val="superscript"/>
              </w:rPr>
              <w:t>b</w:t>
            </w:r>
            <w:r>
              <w:rPr>
                <w:rFonts w:ascii="Arial Narrow" w:eastAsiaTheme="majorEastAsia" w:hAnsi="Arial Narrow" w:cstheme="majorBidi"/>
                <w:bCs/>
                <w:sz w:val="20"/>
                <w:szCs w:val="18"/>
              </w:rPr>
              <w:t xml:space="preserve"> </w:t>
            </w:r>
          </w:p>
        </w:tc>
        <w:tc>
          <w:tcPr>
            <w:tcW w:w="218" w:type="pct"/>
            <w:vMerge w:val="restart"/>
            <w:shd w:val="clear" w:color="auto" w:fill="auto"/>
            <w:vAlign w:val="center"/>
          </w:tcPr>
          <w:p w14:paraId="4B1564C8"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Low</w:t>
            </w:r>
          </w:p>
        </w:tc>
        <w:tc>
          <w:tcPr>
            <w:tcW w:w="1166" w:type="pct"/>
            <w:vAlign w:val="center"/>
          </w:tcPr>
          <w:p w14:paraId="0EC83050" w14:textId="77777777" w:rsidR="0061175D" w:rsidRPr="009A5A91" w:rsidRDefault="0061175D" w:rsidP="00CC1644">
            <w:pPr>
              <w:keepNext/>
              <w:keepLines/>
              <w:rPr>
                <w:rFonts w:ascii="Arial Narrow" w:eastAsiaTheme="majorEastAsia" w:hAnsi="Arial Narrow" w:cstheme="majorBidi"/>
                <w:bCs/>
                <w:sz w:val="20"/>
                <w:szCs w:val="18"/>
              </w:rPr>
            </w:pPr>
            <w:r w:rsidRPr="008C185A">
              <w:rPr>
                <w:rFonts w:ascii="Arial Narrow" w:eastAsiaTheme="majorEastAsia" w:hAnsi="Arial Narrow" w:cstheme="majorBidi"/>
                <w:bCs/>
                <w:sz w:val="20"/>
                <w:szCs w:val="18"/>
              </w:rPr>
              <w:t>ABRO 10</w:t>
            </w:r>
            <w:r>
              <w:rPr>
                <w:rFonts w:ascii="Arial Narrow" w:eastAsiaTheme="majorEastAsia" w:hAnsi="Arial Narrow" w:cstheme="majorBidi"/>
                <w:bCs/>
                <w:sz w:val="20"/>
                <w:szCs w:val="18"/>
              </w:rPr>
              <w:t>0 mg</w:t>
            </w:r>
            <w:r w:rsidRPr="008C185A" w:rsidDel="008C185A">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QD</w:t>
            </w:r>
          </w:p>
        </w:tc>
        <w:tc>
          <w:tcPr>
            <w:tcW w:w="713" w:type="pct"/>
            <w:vMerge w:val="restart"/>
            <w:shd w:val="clear" w:color="auto" w:fill="auto"/>
            <w:vAlign w:val="center"/>
          </w:tcPr>
          <w:p w14:paraId="30F236DE" w14:textId="77777777" w:rsidR="0061175D" w:rsidRPr="009A5A91" w:rsidRDefault="0061175D" w:rsidP="00CC1644">
            <w:pPr>
              <w:keepNext/>
              <w:keepLines/>
              <w:rPr>
                <w:rFonts w:ascii="Arial Narrow" w:eastAsiaTheme="majorEastAsia" w:hAnsi="Arial Narrow" w:cstheme="majorBidi"/>
                <w:bCs/>
                <w:sz w:val="20"/>
                <w:szCs w:val="18"/>
              </w:rPr>
            </w:pPr>
            <w:r w:rsidRPr="008C185A">
              <w:rPr>
                <w:rFonts w:ascii="Arial Narrow" w:eastAsiaTheme="majorEastAsia" w:hAnsi="Arial Narrow" w:cstheme="majorBidi"/>
                <w:bCs/>
                <w:sz w:val="20"/>
                <w:szCs w:val="18"/>
              </w:rPr>
              <w:t>M-S AD; adults &amp; adolescents</w:t>
            </w:r>
          </w:p>
        </w:tc>
        <w:tc>
          <w:tcPr>
            <w:tcW w:w="1227" w:type="pct"/>
            <w:vMerge w:val="restart"/>
            <w:shd w:val="clear" w:color="auto" w:fill="auto"/>
            <w:vAlign w:val="center"/>
          </w:tcPr>
          <w:p w14:paraId="572FB944"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IGA </w:t>
            </w:r>
            <w:r>
              <w:rPr>
                <w:rFonts w:ascii="Arial Narrow" w:eastAsiaTheme="majorEastAsia" w:hAnsi="Arial Narrow" w:cstheme="majorBidi"/>
                <w:bCs/>
                <w:sz w:val="20"/>
                <w:szCs w:val="18"/>
              </w:rPr>
              <w:t>response after flare rescue treatment</w:t>
            </w:r>
          </w:p>
          <w:p w14:paraId="5CE33EA4"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EASI75 </w:t>
            </w:r>
            <w:r w:rsidRPr="008C185A">
              <w:rPr>
                <w:rFonts w:ascii="Arial Narrow" w:eastAsiaTheme="majorEastAsia" w:hAnsi="Arial Narrow" w:cstheme="majorBidi"/>
                <w:bCs/>
                <w:sz w:val="20"/>
                <w:szCs w:val="18"/>
              </w:rPr>
              <w:t xml:space="preserve">after </w:t>
            </w:r>
            <w:r>
              <w:rPr>
                <w:rFonts w:ascii="Arial Narrow" w:eastAsiaTheme="majorEastAsia" w:hAnsi="Arial Narrow" w:cstheme="majorBidi"/>
                <w:bCs/>
                <w:sz w:val="20"/>
                <w:szCs w:val="18"/>
              </w:rPr>
              <w:t xml:space="preserve">flare </w:t>
            </w:r>
            <w:r w:rsidRPr="008C185A">
              <w:rPr>
                <w:rFonts w:ascii="Arial Narrow" w:eastAsiaTheme="majorEastAsia" w:hAnsi="Arial Narrow" w:cstheme="majorBidi"/>
                <w:bCs/>
                <w:sz w:val="20"/>
                <w:szCs w:val="18"/>
              </w:rPr>
              <w:t xml:space="preserve">rescue </w:t>
            </w:r>
            <w:r>
              <w:rPr>
                <w:rFonts w:ascii="Arial Narrow" w:eastAsiaTheme="majorEastAsia" w:hAnsi="Arial Narrow" w:cstheme="majorBidi"/>
                <w:bCs/>
                <w:sz w:val="20"/>
                <w:szCs w:val="18"/>
              </w:rPr>
              <w:t>treatment</w:t>
            </w:r>
          </w:p>
        </w:tc>
      </w:tr>
      <w:tr w:rsidR="0061175D" w:rsidRPr="009A5A91" w14:paraId="255B2537" w14:textId="77777777" w:rsidTr="00CC1644">
        <w:trPr>
          <w:cantSplit/>
          <w:trHeight w:val="375"/>
        </w:trPr>
        <w:tc>
          <w:tcPr>
            <w:tcW w:w="622" w:type="pct"/>
            <w:vMerge/>
            <w:shd w:val="clear" w:color="auto" w:fill="auto"/>
            <w:vAlign w:val="center"/>
          </w:tcPr>
          <w:p w14:paraId="7E931952"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6C3F4EE1"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53C203C0" w14:textId="77777777" w:rsidR="0061175D" w:rsidRPr="009A5A91"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5516B9E3"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63E60AD6" w14:textId="77777777" w:rsidR="0061175D" w:rsidRPr="009A5A91" w:rsidRDefault="0061175D" w:rsidP="00CC1644">
            <w:pPr>
              <w:keepNext/>
              <w:keepLines/>
              <w:rPr>
                <w:rFonts w:ascii="Arial Narrow" w:eastAsiaTheme="majorEastAsia" w:hAnsi="Arial Narrow" w:cstheme="majorBidi"/>
                <w:bCs/>
                <w:sz w:val="20"/>
                <w:szCs w:val="18"/>
              </w:rPr>
            </w:pPr>
            <w:r w:rsidRPr="008C185A">
              <w:rPr>
                <w:rFonts w:ascii="Arial Narrow" w:eastAsiaTheme="majorEastAsia" w:hAnsi="Arial Narrow" w:cstheme="majorBidi"/>
                <w:bCs/>
                <w:sz w:val="20"/>
                <w:szCs w:val="18"/>
              </w:rPr>
              <w:t>ABRO 20</w:t>
            </w:r>
            <w:r>
              <w:rPr>
                <w:rFonts w:ascii="Arial Narrow" w:eastAsiaTheme="majorEastAsia" w:hAnsi="Arial Narrow" w:cstheme="majorBidi"/>
                <w:bCs/>
                <w:sz w:val="20"/>
                <w:szCs w:val="18"/>
              </w:rPr>
              <w:t>0 mg QD</w:t>
            </w:r>
          </w:p>
        </w:tc>
        <w:tc>
          <w:tcPr>
            <w:tcW w:w="713" w:type="pct"/>
            <w:vMerge/>
            <w:shd w:val="clear" w:color="auto" w:fill="auto"/>
            <w:vAlign w:val="center"/>
          </w:tcPr>
          <w:p w14:paraId="0B3A97A0"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61D78D78"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246462C6" w14:textId="77777777" w:rsidTr="00CC1644">
        <w:trPr>
          <w:cantSplit/>
          <w:trHeight w:val="375"/>
        </w:trPr>
        <w:tc>
          <w:tcPr>
            <w:tcW w:w="622" w:type="pct"/>
            <w:vMerge/>
            <w:shd w:val="clear" w:color="auto" w:fill="auto"/>
            <w:vAlign w:val="center"/>
          </w:tcPr>
          <w:p w14:paraId="34AF62AF"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476993CA"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38577969" w14:textId="77777777" w:rsidR="0061175D" w:rsidRPr="009A5A91"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0ED9807F" w14:textId="77777777" w:rsidR="0061175D" w:rsidRPr="00070C35" w:rsidRDefault="0061175D" w:rsidP="00CC1644">
            <w:pPr>
              <w:keepNext/>
              <w:keepLines/>
              <w:rPr>
                <w:rFonts w:ascii="Arial Narrow" w:eastAsiaTheme="majorEastAsia" w:hAnsi="Arial Narrow" w:cstheme="majorBidi"/>
                <w:bCs/>
                <w:sz w:val="20"/>
                <w:szCs w:val="18"/>
              </w:rPr>
            </w:pPr>
          </w:p>
        </w:tc>
        <w:tc>
          <w:tcPr>
            <w:tcW w:w="1166" w:type="pct"/>
            <w:vAlign w:val="center"/>
          </w:tcPr>
          <w:p w14:paraId="49234953" w14:textId="77777777" w:rsidR="0061175D" w:rsidRPr="009A5A91" w:rsidRDefault="0061175D" w:rsidP="00CC1644">
            <w:pPr>
              <w:keepNext/>
              <w:keepLines/>
              <w:rPr>
                <w:rFonts w:ascii="Arial Narrow" w:eastAsiaTheme="majorEastAsia" w:hAnsi="Arial Narrow" w:cstheme="majorBidi"/>
                <w:bCs/>
                <w:sz w:val="20"/>
                <w:szCs w:val="18"/>
              </w:rPr>
            </w:pPr>
            <w:r w:rsidRPr="008C185A">
              <w:rPr>
                <w:rFonts w:ascii="Arial Narrow" w:eastAsiaTheme="majorEastAsia" w:hAnsi="Arial Narrow" w:cstheme="majorBidi"/>
                <w:bCs/>
                <w:sz w:val="20"/>
                <w:szCs w:val="18"/>
              </w:rPr>
              <w:t>PBO</w:t>
            </w:r>
          </w:p>
        </w:tc>
        <w:tc>
          <w:tcPr>
            <w:tcW w:w="713" w:type="pct"/>
            <w:vMerge/>
            <w:shd w:val="clear" w:color="auto" w:fill="auto"/>
            <w:vAlign w:val="center"/>
          </w:tcPr>
          <w:p w14:paraId="69C0D00A" w14:textId="77777777" w:rsidR="0061175D" w:rsidRPr="009A5A91"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24F9F623" w14:textId="77777777" w:rsidR="0061175D" w:rsidRPr="009A5A91" w:rsidRDefault="0061175D" w:rsidP="00CC1644">
            <w:pPr>
              <w:keepNext/>
              <w:keepLines/>
              <w:rPr>
                <w:rFonts w:ascii="Arial Narrow" w:eastAsiaTheme="majorEastAsia" w:hAnsi="Arial Narrow" w:cstheme="majorBidi"/>
                <w:bCs/>
                <w:sz w:val="20"/>
                <w:szCs w:val="18"/>
              </w:rPr>
            </w:pPr>
          </w:p>
        </w:tc>
      </w:tr>
      <w:tr w:rsidR="0061175D" w:rsidRPr="009A5A91" w14:paraId="72BFC0CC" w14:textId="77777777" w:rsidTr="00CC1644">
        <w:trPr>
          <w:cantSplit/>
          <w:trHeight w:val="339"/>
        </w:trPr>
        <w:tc>
          <w:tcPr>
            <w:tcW w:w="622" w:type="pct"/>
            <w:vMerge w:val="restart"/>
            <w:shd w:val="clear" w:color="auto" w:fill="auto"/>
            <w:vAlign w:val="center"/>
          </w:tcPr>
          <w:p w14:paraId="3A2E1967" w14:textId="77777777" w:rsidR="0061175D"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JADE</w:t>
            </w:r>
          </w:p>
          <w:p w14:paraId="1591453C"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EXTEND</w:t>
            </w:r>
          </w:p>
        </w:tc>
        <w:tc>
          <w:tcPr>
            <w:tcW w:w="232" w:type="pct"/>
            <w:vMerge w:val="restart"/>
            <w:shd w:val="clear" w:color="auto" w:fill="auto"/>
            <w:vAlign w:val="center"/>
          </w:tcPr>
          <w:p w14:paraId="0119C6D9"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1590</w:t>
            </w:r>
          </w:p>
        </w:tc>
        <w:tc>
          <w:tcPr>
            <w:tcW w:w="818" w:type="pct"/>
            <w:vMerge w:val="restart"/>
            <w:shd w:val="clear" w:color="auto" w:fill="auto"/>
            <w:vAlign w:val="center"/>
          </w:tcPr>
          <w:p w14:paraId="54EE2136"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R, DB, MC, AC</w:t>
            </w:r>
          </w:p>
          <w:p w14:paraId="4E7CFF2A"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92 wk</w:t>
            </w:r>
            <w:r>
              <w:rPr>
                <w:rFonts w:ascii="Arial Narrow" w:eastAsiaTheme="majorEastAsia" w:hAnsi="Arial Narrow" w:cstheme="majorBidi"/>
                <w:bCs/>
                <w:sz w:val="20"/>
                <w:szCs w:val="18"/>
              </w:rPr>
              <w:t xml:space="preserve"> </w:t>
            </w:r>
            <w:r w:rsidRPr="009A5A91">
              <w:rPr>
                <w:rFonts w:ascii="Arial Narrow" w:eastAsiaTheme="majorEastAsia" w:hAnsi="Arial Narrow" w:cstheme="majorBidi"/>
                <w:bCs/>
                <w:sz w:val="20"/>
                <w:szCs w:val="18"/>
              </w:rPr>
              <w:t>(Ongoing)</w:t>
            </w:r>
          </w:p>
        </w:tc>
        <w:tc>
          <w:tcPr>
            <w:tcW w:w="218" w:type="pct"/>
            <w:vMerge w:val="restart"/>
            <w:shd w:val="clear" w:color="auto" w:fill="auto"/>
            <w:vAlign w:val="center"/>
          </w:tcPr>
          <w:p w14:paraId="2C55DECD" w14:textId="77777777" w:rsidR="0061175D" w:rsidRPr="00070C35" w:rsidRDefault="0061175D" w:rsidP="00CC1644">
            <w:pPr>
              <w:keepNext/>
              <w:keepLines/>
              <w:rPr>
                <w:rFonts w:ascii="Arial Narrow" w:eastAsiaTheme="majorEastAsia" w:hAnsi="Arial Narrow" w:cstheme="majorBidi"/>
                <w:bCs/>
                <w:sz w:val="20"/>
                <w:szCs w:val="18"/>
              </w:rPr>
            </w:pPr>
            <w:r w:rsidRPr="00070C35">
              <w:rPr>
                <w:rFonts w:ascii="Arial Narrow" w:eastAsiaTheme="majorEastAsia" w:hAnsi="Arial Narrow" w:cstheme="majorBidi"/>
                <w:bCs/>
                <w:sz w:val="20"/>
                <w:szCs w:val="18"/>
              </w:rPr>
              <w:t>Low</w:t>
            </w:r>
          </w:p>
        </w:tc>
        <w:tc>
          <w:tcPr>
            <w:tcW w:w="1166" w:type="pct"/>
            <w:vAlign w:val="center"/>
          </w:tcPr>
          <w:p w14:paraId="75513191"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A</w:t>
            </w:r>
            <w:r>
              <w:rPr>
                <w:rFonts w:ascii="Arial Narrow" w:eastAsiaTheme="majorEastAsia" w:hAnsi="Arial Narrow" w:cstheme="majorBidi"/>
                <w:bCs/>
                <w:sz w:val="20"/>
                <w:szCs w:val="18"/>
              </w:rPr>
              <w:t>BRO</w:t>
            </w:r>
            <w:r w:rsidRPr="009A5A91">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1</w:t>
            </w:r>
            <w:r w:rsidRPr="009A5A91">
              <w:rPr>
                <w:rFonts w:ascii="Arial Narrow" w:eastAsiaTheme="majorEastAsia" w:hAnsi="Arial Narrow" w:cstheme="majorBidi"/>
                <w:bCs/>
                <w:sz w:val="20"/>
                <w:szCs w:val="18"/>
              </w:rPr>
              <w:t>0</w:t>
            </w:r>
            <w:r>
              <w:rPr>
                <w:rFonts w:ascii="Arial Narrow" w:eastAsiaTheme="majorEastAsia" w:hAnsi="Arial Narrow" w:cstheme="majorBidi"/>
                <w:bCs/>
                <w:sz w:val="20"/>
                <w:szCs w:val="18"/>
              </w:rPr>
              <w:t>0 mg</w:t>
            </w:r>
            <w:r w:rsidRPr="009A5A91">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QD</w:t>
            </w:r>
            <w:r w:rsidRPr="009A5A91">
              <w:rPr>
                <w:rFonts w:ascii="Arial Narrow" w:eastAsiaTheme="majorEastAsia" w:hAnsi="Arial Narrow" w:cstheme="majorBidi"/>
                <w:bCs/>
                <w:sz w:val="20"/>
                <w:szCs w:val="18"/>
              </w:rPr>
              <w:t xml:space="preserve">± TCS </w:t>
            </w:r>
          </w:p>
        </w:tc>
        <w:tc>
          <w:tcPr>
            <w:tcW w:w="713" w:type="pct"/>
            <w:vMerge w:val="restart"/>
            <w:shd w:val="clear" w:color="auto" w:fill="auto"/>
            <w:vAlign w:val="center"/>
          </w:tcPr>
          <w:p w14:paraId="46E77260" w14:textId="77777777" w:rsidR="0061175D" w:rsidRPr="009A5A91" w:rsidRDefault="0061175D" w:rsidP="00CC1644">
            <w:pPr>
              <w:keepNext/>
              <w:keepLines/>
              <w:rPr>
                <w:rFonts w:ascii="Arial Narrow" w:eastAsiaTheme="majorEastAsia" w:hAnsi="Arial Narrow" w:cstheme="majorBidi"/>
                <w:bCs/>
                <w:sz w:val="20"/>
                <w:szCs w:val="18"/>
              </w:rPr>
            </w:pPr>
            <w:r w:rsidRPr="00733503">
              <w:rPr>
                <w:rFonts w:ascii="Arial Narrow" w:eastAsiaTheme="majorEastAsia" w:hAnsi="Arial Narrow" w:cstheme="majorBidi"/>
                <w:bCs/>
                <w:sz w:val="20"/>
                <w:szCs w:val="18"/>
              </w:rPr>
              <w:t>M-S AD; adults &amp; adolescents</w:t>
            </w:r>
          </w:p>
        </w:tc>
        <w:tc>
          <w:tcPr>
            <w:tcW w:w="1227" w:type="pct"/>
            <w:vMerge w:val="restart"/>
            <w:shd w:val="clear" w:color="auto" w:fill="auto"/>
            <w:vAlign w:val="center"/>
          </w:tcPr>
          <w:p w14:paraId="381B9987"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 xml:space="preserve">EASI50+DLQI≥4 </w:t>
            </w:r>
            <w:r>
              <w:rPr>
                <w:rFonts w:ascii="Arial Narrow" w:eastAsiaTheme="majorEastAsia" w:hAnsi="Arial Narrow" w:cstheme="majorBidi"/>
                <w:bCs/>
                <w:sz w:val="20"/>
                <w:szCs w:val="18"/>
              </w:rPr>
              <w:t xml:space="preserve">at Wk 48 </w:t>
            </w:r>
            <w:r w:rsidRPr="009A5A91">
              <w:rPr>
                <w:rFonts w:ascii="Arial Narrow" w:eastAsiaTheme="majorEastAsia" w:hAnsi="Arial Narrow" w:cstheme="majorBidi"/>
                <w:bCs/>
                <w:sz w:val="20"/>
                <w:szCs w:val="18"/>
              </w:rPr>
              <w:t>(</w:t>
            </w:r>
            <w:r>
              <w:rPr>
                <w:rFonts w:ascii="Arial Narrow" w:eastAsiaTheme="majorEastAsia" w:hAnsi="Arial Narrow" w:cstheme="majorBidi"/>
                <w:bCs/>
                <w:sz w:val="20"/>
                <w:szCs w:val="18"/>
              </w:rPr>
              <w:t>interim</w:t>
            </w:r>
            <w:r w:rsidRPr="009A5A91">
              <w:rPr>
                <w:rFonts w:ascii="Arial Narrow" w:eastAsiaTheme="majorEastAsia" w:hAnsi="Arial Narrow" w:cstheme="majorBidi"/>
                <w:bCs/>
                <w:sz w:val="20"/>
                <w:szCs w:val="18"/>
              </w:rPr>
              <w:t xml:space="preserve"> analysis)</w:t>
            </w:r>
          </w:p>
          <w:p w14:paraId="15DDA2EB" w14:textId="77777777" w:rsidR="0061175D" w:rsidRPr="009A5A91" w:rsidRDefault="0061175D" w:rsidP="00CC1644">
            <w:pPr>
              <w:keepNext/>
              <w:keepLines/>
              <w:rPr>
                <w:rFonts w:ascii="Arial Narrow" w:eastAsiaTheme="majorEastAsia" w:hAnsi="Arial Narrow" w:cstheme="majorBidi"/>
                <w:bCs/>
                <w:sz w:val="20"/>
                <w:szCs w:val="18"/>
              </w:rPr>
            </w:pPr>
            <w:r w:rsidRPr="009A5A91">
              <w:rPr>
                <w:rFonts w:ascii="Arial Narrow" w:eastAsiaTheme="majorEastAsia" w:hAnsi="Arial Narrow" w:cstheme="majorBidi"/>
                <w:bCs/>
                <w:sz w:val="20"/>
                <w:szCs w:val="18"/>
              </w:rPr>
              <w:t>Safety</w:t>
            </w:r>
          </w:p>
        </w:tc>
      </w:tr>
      <w:tr w:rsidR="0061175D" w:rsidRPr="009A5A91" w14:paraId="79952FF6" w14:textId="77777777" w:rsidTr="00CC1644">
        <w:trPr>
          <w:cantSplit/>
          <w:trHeight w:val="339"/>
        </w:trPr>
        <w:tc>
          <w:tcPr>
            <w:tcW w:w="622" w:type="pct"/>
            <w:vMerge/>
            <w:shd w:val="clear" w:color="auto" w:fill="auto"/>
            <w:vAlign w:val="center"/>
          </w:tcPr>
          <w:p w14:paraId="4154517D" w14:textId="77777777" w:rsidR="0061175D" w:rsidRPr="009A5A91" w:rsidRDefault="0061175D" w:rsidP="00CC1644">
            <w:pPr>
              <w:keepNext/>
              <w:keepLines/>
              <w:rPr>
                <w:rFonts w:ascii="Arial Narrow" w:eastAsiaTheme="majorEastAsia" w:hAnsi="Arial Narrow" w:cstheme="majorBidi"/>
                <w:bCs/>
                <w:sz w:val="20"/>
                <w:szCs w:val="18"/>
              </w:rPr>
            </w:pPr>
          </w:p>
        </w:tc>
        <w:tc>
          <w:tcPr>
            <w:tcW w:w="232" w:type="pct"/>
            <w:vMerge/>
            <w:shd w:val="clear" w:color="auto" w:fill="auto"/>
            <w:vAlign w:val="center"/>
          </w:tcPr>
          <w:p w14:paraId="5AC6FA28" w14:textId="77777777" w:rsidR="0061175D" w:rsidRPr="009A5A91" w:rsidRDefault="0061175D" w:rsidP="00CC1644">
            <w:pPr>
              <w:keepNext/>
              <w:keepLines/>
              <w:rPr>
                <w:rFonts w:ascii="Arial Narrow" w:eastAsiaTheme="majorEastAsia" w:hAnsi="Arial Narrow" w:cstheme="majorBidi"/>
                <w:bCs/>
                <w:sz w:val="20"/>
                <w:szCs w:val="18"/>
              </w:rPr>
            </w:pPr>
          </w:p>
        </w:tc>
        <w:tc>
          <w:tcPr>
            <w:tcW w:w="818" w:type="pct"/>
            <w:vMerge/>
            <w:shd w:val="clear" w:color="auto" w:fill="auto"/>
            <w:vAlign w:val="center"/>
          </w:tcPr>
          <w:p w14:paraId="1E77B0E4" w14:textId="77777777" w:rsidR="0061175D" w:rsidRPr="009A5A91" w:rsidRDefault="0061175D" w:rsidP="00CC1644">
            <w:pPr>
              <w:keepNext/>
              <w:keepLines/>
              <w:rPr>
                <w:rFonts w:ascii="Arial Narrow" w:eastAsiaTheme="majorEastAsia" w:hAnsi="Arial Narrow" w:cstheme="majorBidi"/>
                <w:bCs/>
                <w:sz w:val="20"/>
                <w:szCs w:val="18"/>
              </w:rPr>
            </w:pPr>
          </w:p>
        </w:tc>
        <w:tc>
          <w:tcPr>
            <w:tcW w:w="218" w:type="pct"/>
            <w:vMerge/>
            <w:shd w:val="clear" w:color="auto" w:fill="auto"/>
            <w:vAlign w:val="center"/>
          </w:tcPr>
          <w:p w14:paraId="70C9E4EE" w14:textId="77777777" w:rsidR="0061175D" w:rsidRPr="009A5A91" w:rsidRDefault="0061175D" w:rsidP="00CC1644">
            <w:pPr>
              <w:keepNext/>
              <w:keepLines/>
              <w:rPr>
                <w:rFonts w:ascii="Arial Narrow" w:eastAsiaTheme="majorEastAsia" w:hAnsi="Arial Narrow" w:cstheme="majorBidi"/>
                <w:bCs/>
                <w:sz w:val="20"/>
                <w:szCs w:val="18"/>
              </w:rPr>
            </w:pPr>
          </w:p>
        </w:tc>
        <w:tc>
          <w:tcPr>
            <w:tcW w:w="1166" w:type="pct"/>
            <w:vAlign w:val="center"/>
          </w:tcPr>
          <w:p w14:paraId="0C6070F4" w14:textId="77777777" w:rsidR="0061175D" w:rsidRPr="009A5A91" w:rsidRDefault="0061175D" w:rsidP="00CC1644">
            <w:pPr>
              <w:keepNext/>
              <w:keepLines/>
              <w:rPr>
                <w:rFonts w:ascii="Arial Narrow" w:eastAsiaTheme="majorEastAsia" w:hAnsi="Arial Narrow" w:cstheme="majorBidi"/>
                <w:bCs/>
                <w:sz w:val="20"/>
                <w:szCs w:val="18"/>
              </w:rPr>
            </w:pPr>
            <w:r w:rsidRPr="00D51FD7">
              <w:rPr>
                <w:rFonts w:ascii="Arial Narrow" w:eastAsiaTheme="majorEastAsia" w:hAnsi="Arial Narrow" w:cstheme="majorBidi"/>
                <w:bCs/>
                <w:sz w:val="20"/>
                <w:szCs w:val="18"/>
              </w:rPr>
              <w:t xml:space="preserve">ABRO </w:t>
            </w:r>
            <w:r>
              <w:rPr>
                <w:rFonts w:ascii="Arial Narrow" w:eastAsiaTheme="majorEastAsia" w:hAnsi="Arial Narrow" w:cstheme="majorBidi"/>
                <w:bCs/>
                <w:sz w:val="20"/>
                <w:szCs w:val="18"/>
              </w:rPr>
              <w:t>2</w:t>
            </w:r>
            <w:r w:rsidRPr="00D51FD7">
              <w:rPr>
                <w:rFonts w:ascii="Arial Narrow" w:eastAsiaTheme="majorEastAsia" w:hAnsi="Arial Narrow" w:cstheme="majorBidi"/>
                <w:bCs/>
                <w:sz w:val="20"/>
                <w:szCs w:val="18"/>
              </w:rPr>
              <w:t>0</w:t>
            </w:r>
            <w:r>
              <w:rPr>
                <w:rFonts w:ascii="Arial Narrow" w:eastAsiaTheme="majorEastAsia" w:hAnsi="Arial Narrow" w:cstheme="majorBidi"/>
                <w:bCs/>
                <w:sz w:val="20"/>
                <w:szCs w:val="18"/>
              </w:rPr>
              <w:t>0 mg</w:t>
            </w:r>
            <w:r w:rsidRPr="00D51FD7">
              <w:rPr>
                <w:rFonts w:ascii="Arial Narrow" w:eastAsiaTheme="majorEastAsia" w:hAnsi="Arial Narrow" w:cstheme="majorBidi"/>
                <w:bCs/>
                <w:sz w:val="20"/>
                <w:szCs w:val="18"/>
              </w:rPr>
              <w:t xml:space="preserve"> </w:t>
            </w:r>
            <w:r>
              <w:rPr>
                <w:rFonts w:ascii="Arial Narrow" w:eastAsiaTheme="majorEastAsia" w:hAnsi="Arial Narrow" w:cstheme="majorBidi"/>
                <w:bCs/>
                <w:sz w:val="20"/>
                <w:szCs w:val="18"/>
              </w:rPr>
              <w:t xml:space="preserve">QD </w:t>
            </w:r>
            <w:r w:rsidRPr="00D51FD7">
              <w:rPr>
                <w:rFonts w:ascii="Arial Narrow" w:eastAsiaTheme="majorEastAsia" w:hAnsi="Arial Narrow" w:cstheme="majorBidi"/>
                <w:bCs/>
                <w:sz w:val="20"/>
                <w:szCs w:val="18"/>
              </w:rPr>
              <w:t>± TCS</w:t>
            </w:r>
          </w:p>
        </w:tc>
        <w:tc>
          <w:tcPr>
            <w:tcW w:w="713" w:type="pct"/>
            <w:vMerge/>
            <w:shd w:val="clear" w:color="auto" w:fill="auto"/>
            <w:vAlign w:val="center"/>
          </w:tcPr>
          <w:p w14:paraId="6ADA0918" w14:textId="77777777" w:rsidR="0061175D" w:rsidRPr="00733503" w:rsidRDefault="0061175D" w:rsidP="00CC1644">
            <w:pPr>
              <w:keepNext/>
              <w:keepLines/>
              <w:rPr>
                <w:rFonts w:ascii="Arial Narrow" w:eastAsiaTheme="majorEastAsia" w:hAnsi="Arial Narrow" w:cstheme="majorBidi"/>
                <w:bCs/>
                <w:sz w:val="20"/>
                <w:szCs w:val="18"/>
              </w:rPr>
            </w:pPr>
          </w:p>
        </w:tc>
        <w:tc>
          <w:tcPr>
            <w:tcW w:w="1227" w:type="pct"/>
            <w:vMerge/>
            <w:shd w:val="clear" w:color="auto" w:fill="auto"/>
            <w:vAlign w:val="center"/>
          </w:tcPr>
          <w:p w14:paraId="499BD05C" w14:textId="77777777" w:rsidR="0061175D" w:rsidRPr="009A5A91" w:rsidRDefault="0061175D" w:rsidP="00CC1644">
            <w:pPr>
              <w:keepNext/>
              <w:keepLines/>
              <w:rPr>
                <w:rFonts w:ascii="Arial Narrow" w:eastAsiaTheme="majorEastAsia" w:hAnsi="Arial Narrow" w:cstheme="majorBidi"/>
                <w:bCs/>
                <w:sz w:val="20"/>
                <w:szCs w:val="18"/>
              </w:rPr>
            </w:pPr>
          </w:p>
        </w:tc>
      </w:tr>
    </w:tbl>
    <w:p w14:paraId="6B5DE8B3" w14:textId="77777777" w:rsidR="0061175D" w:rsidRPr="009A5A91" w:rsidRDefault="0061175D" w:rsidP="0061175D">
      <w:pPr>
        <w:spacing w:after="120"/>
        <w:contextualSpacing/>
        <w:rPr>
          <w:rFonts w:ascii="Arial Narrow" w:hAnsi="Arial Narrow"/>
          <w:snapToGrid w:val="0"/>
          <w:sz w:val="18"/>
          <w:szCs w:val="22"/>
        </w:rPr>
      </w:pPr>
      <w:r w:rsidRPr="009A5A91">
        <w:rPr>
          <w:rFonts w:ascii="Arial Narrow" w:hAnsi="Arial Narrow"/>
          <w:snapToGrid w:val="0"/>
          <w:sz w:val="18"/>
          <w:szCs w:val="22"/>
        </w:rPr>
        <w:t>Source: Table 2.2.1, p29 of the submission.</w:t>
      </w:r>
    </w:p>
    <w:p w14:paraId="0CB51072" w14:textId="77777777" w:rsidR="0061175D" w:rsidRPr="006E1DEE" w:rsidRDefault="0061175D" w:rsidP="0061175D">
      <w:pPr>
        <w:spacing w:after="120"/>
        <w:contextualSpacing/>
        <w:rPr>
          <w:rFonts w:ascii="Arial Narrow" w:hAnsi="Arial Narrow"/>
          <w:snapToGrid w:val="0"/>
          <w:sz w:val="18"/>
          <w:szCs w:val="22"/>
        </w:rPr>
      </w:pPr>
      <w:r>
        <w:rPr>
          <w:rFonts w:ascii="Arial Narrow" w:hAnsi="Arial Narrow"/>
          <w:snapToGrid w:val="0"/>
          <w:sz w:val="18"/>
          <w:szCs w:val="22"/>
        </w:rPr>
        <w:t xml:space="preserve">ABRO = </w:t>
      </w:r>
      <w:proofErr w:type="spellStart"/>
      <w:r>
        <w:rPr>
          <w:rFonts w:ascii="Arial Narrow" w:hAnsi="Arial Narrow"/>
          <w:snapToGrid w:val="0"/>
          <w:sz w:val="18"/>
          <w:szCs w:val="22"/>
        </w:rPr>
        <w:t>abrocitinib</w:t>
      </w:r>
      <w:proofErr w:type="spellEnd"/>
      <w:r>
        <w:rPr>
          <w:rFonts w:ascii="Arial Narrow" w:hAnsi="Arial Narrow"/>
          <w:snapToGrid w:val="0"/>
          <w:sz w:val="18"/>
          <w:szCs w:val="22"/>
        </w:rPr>
        <w:t xml:space="preserve">; </w:t>
      </w:r>
      <w:r w:rsidRPr="008A2671">
        <w:rPr>
          <w:rFonts w:ascii="Arial Narrow" w:hAnsi="Arial Narrow"/>
          <w:snapToGrid w:val="0"/>
          <w:sz w:val="18"/>
          <w:szCs w:val="22"/>
        </w:rPr>
        <w:t xml:space="preserve">AC = active control; </w:t>
      </w:r>
      <w:r>
        <w:rPr>
          <w:rFonts w:ascii="Arial Narrow" w:hAnsi="Arial Narrow"/>
          <w:snapToGrid w:val="0"/>
          <w:sz w:val="18"/>
          <w:szCs w:val="22"/>
        </w:rPr>
        <w:t>AD = atopic dermatitis;</w:t>
      </w:r>
      <w:r w:rsidRPr="008A2671">
        <w:rPr>
          <w:rFonts w:ascii="Arial Narrow" w:hAnsi="Arial Narrow"/>
          <w:snapToGrid w:val="0"/>
          <w:sz w:val="18"/>
          <w:szCs w:val="22"/>
        </w:rPr>
        <w:t xml:space="preserve"> DB = double blind; DD = double dummy; </w:t>
      </w:r>
      <w:r>
        <w:rPr>
          <w:rFonts w:ascii="Arial Narrow" w:hAnsi="Arial Narrow"/>
          <w:snapToGrid w:val="0"/>
          <w:sz w:val="18"/>
          <w:szCs w:val="22"/>
        </w:rPr>
        <w:t xml:space="preserve">DLQI = </w:t>
      </w:r>
      <w:r w:rsidRPr="00775292">
        <w:rPr>
          <w:rFonts w:ascii="Arial Narrow" w:hAnsi="Arial Narrow"/>
          <w:snapToGrid w:val="0"/>
          <w:sz w:val="18"/>
          <w:szCs w:val="22"/>
        </w:rPr>
        <w:t xml:space="preserve">Dermatology </w:t>
      </w:r>
      <w:r>
        <w:rPr>
          <w:rFonts w:ascii="Arial Narrow" w:hAnsi="Arial Narrow"/>
          <w:snapToGrid w:val="0"/>
          <w:sz w:val="18"/>
          <w:szCs w:val="22"/>
        </w:rPr>
        <w:t>L</w:t>
      </w:r>
      <w:r w:rsidRPr="00775292">
        <w:rPr>
          <w:rFonts w:ascii="Arial Narrow" w:hAnsi="Arial Narrow"/>
          <w:snapToGrid w:val="0"/>
          <w:sz w:val="18"/>
          <w:szCs w:val="22"/>
        </w:rPr>
        <w:t xml:space="preserve">ife </w:t>
      </w:r>
      <w:r>
        <w:rPr>
          <w:rFonts w:ascii="Arial Narrow" w:hAnsi="Arial Narrow"/>
          <w:snapToGrid w:val="0"/>
          <w:sz w:val="18"/>
          <w:szCs w:val="22"/>
        </w:rPr>
        <w:t>Q</w:t>
      </w:r>
      <w:r w:rsidRPr="00775292">
        <w:rPr>
          <w:rFonts w:ascii="Arial Narrow" w:hAnsi="Arial Narrow"/>
          <w:snapToGrid w:val="0"/>
          <w:sz w:val="18"/>
          <w:szCs w:val="22"/>
        </w:rPr>
        <w:t xml:space="preserve">uality </w:t>
      </w:r>
      <w:r>
        <w:rPr>
          <w:rFonts w:ascii="Arial Narrow" w:hAnsi="Arial Narrow"/>
          <w:snapToGrid w:val="0"/>
          <w:sz w:val="18"/>
          <w:szCs w:val="22"/>
        </w:rPr>
        <w:t>I</w:t>
      </w:r>
      <w:r w:rsidRPr="00775292">
        <w:rPr>
          <w:rFonts w:ascii="Arial Narrow" w:hAnsi="Arial Narrow"/>
          <w:snapToGrid w:val="0"/>
          <w:sz w:val="18"/>
          <w:szCs w:val="22"/>
        </w:rPr>
        <w:t>ndex</w:t>
      </w:r>
      <w:r>
        <w:rPr>
          <w:rFonts w:ascii="Arial Narrow" w:hAnsi="Arial Narrow"/>
          <w:snapToGrid w:val="0"/>
          <w:sz w:val="18"/>
          <w:szCs w:val="22"/>
        </w:rPr>
        <w:t xml:space="preserve">; </w:t>
      </w:r>
      <w:r w:rsidRPr="003A3918">
        <w:rPr>
          <w:rFonts w:ascii="Arial Narrow" w:hAnsi="Arial Narrow"/>
          <w:snapToGrid w:val="0"/>
          <w:sz w:val="18"/>
          <w:szCs w:val="22"/>
        </w:rPr>
        <w:t xml:space="preserve">DLQI≥4 </w:t>
      </w:r>
      <w:r>
        <w:rPr>
          <w:rFonts w:ascii="Arial Narrow" w:hAnsi="Arial Narrow"/>
          <w:snapToGrid w:val="0"/>
          <w:sz w:val="18"/>
          <w:szCs w:val="22"/>
        </w:rPr>
        <w:t>= p</w:t>
      </w:r>
      <w:r w:rsidRPr="007C12B8">
        <w:rPr>
          <w:rFonts w:ascii="Arial Narrow" w:hAnsi="Arial Narrow"/>
          <w:snapToGrid w:val="0"/>
          <w:sz w:val="18"/>
          <w:szCs w:val="22"/>
        </w:rPr>
        <w:t xml:space="preserve">roportion of patients with </w:t>
      </w:r>
      <w:r w:rsidRPr="003A3918">
        <w:rPr>
          <w:rFonts w:ascii="Arial Narrow" w:hAnsi="Arial Narrow"/>
          <w:snapToGrid w:val="0"/>
          <w:sz w:val="18"/>
          <w:szCs w:val="22"/>
        </w:rPr>
        <w:t xml:space="preserve">improvement in baseline DLQI of </w:t>
      </w:r>
      <w:r>
        <w:rPr>
          <w:rFonts w:ascii="Arial Narrow" w:hAnsi="Arial Narrow"/>
          <w:snapToGrid w:val="0"/>
          <w:sz w:val="18"/>
          <w:szCs w:val="22"/>
        </w:rPr>
        <w:t>≥</w:t>
      </w:r>
      <w:r w:rsidRPr="003A3918">
        <w:rPr>
          <w:rFonts w:ascii="Arial Narrow" w:hAnsi="Arial Narrow"/>
          <w:snapToGrid w:val="0"/>
          <w:sz w:val="18"/>
          <w:szCs w:val="22"/>
        </w:rPr>
        <w:t>4 points</w:t>
      </w:r>
      <w:r>
        <w:rPr>
          <w:rFonts w:ascii="Arial Narrow" w:hAnsi="Arial Narrow"/>
          <w:snapToGrid w:val="0"/>
          <w:sz w:val="18"/>
          <w:szCs w:val="22"/>
        </w:rPr>
        <w:t xml:space="preserve"> from baseline;</w:t>
      </w:r>
      <w:r w:rsidRPr="00775292">
        <w:rPr>
          <w:rFonts w:ascii="Arial Narrow" w:hAnsi="Arial Narrow"/>
          <w:snapToGrid w:val="0"/>
          <w:sz w:val="18"/>
          <w:szCs w:val="22"/>
        </w:rPr>
        <w:t xml:space="preserve"> </w:t>
      </w:r>
      <w:r w:rsidRPr="008A2671">
        <w:rPr>
          <w:rFonts w:ascii="Arial Narrow" w:hAnsi="Arial Narrow"/>
          <w:snapToGrid w:val="0"/>
          <w:sz w:val="18"/>
          <w:szCs w:val="22"/>
        </w:rPr>
        <w:t>DUPI = dupilumab; EASI = Eczema Area and Severity Index; EASI 50/75</w:t>
      </w:r>
      <w:r w:rsidRPr="003A3918">
        <w:rPr>
          <w:rFonts w:ascii="Arial Narrow" w:hAnsi="Arial Narrow"/>
          <w:snapToGrid w:val="0"/>
          <w:sz w:val="18"/>
          <w:szCs w:val="22"/>
        </w:rPr>
        <w:t>/90</w:t>
      </w:r>
      <w:r w:rsidRPr="008A2671">
        <w:rPr>
          <w:rFonts w:ascii="Arial Narrow" w:hAnsi="Arial Narrow"/>
          <w:snapToGrid w:val="0"/>
          <w:sz w:val="18"/>
          <w:szCs w:val="22"/>
        </w:rPr>
        <w:t xml:space="preserve"> = </w:t>
      </w:r>
      <w:r>
        <w:rPr>
          <w:rFonts w:ascii="Arial Narrow" w:hAnsi="Arial Narrow"/>
          <w:snapToGrid w:val="0"/>
          <w:sz w:val="18"/>
          <w:szCs w:val="22"/>
        </w:rPr>
        <w:t>p</w:t>
      </w:r>
      <w:r w:rsidRPr="007C12B8">
        <w:rPr>
          <w:rFonts w:ascii="Arial Narrow" w:hAnsi="Arial Narrow"/>
          <w:snapToGrid w:val="0"/>
          <w:sz w:val="18"/>
          <w:szCs w:val="22"/>
        </w:rPr>
        <w:t xml:space="preserve">roportion of patients with </w:t>
      </w:r>
      <w:r w:rsidRPr="008A2671">
        <w:rPr>
          <w:rFonts w:ascii="Arial Narrow" w:hAnsi="Arial Narrow"/>
          <w:snapToGrid w:val="0"/>
          <w:sz w:val="18"/>
          <w:szCs w:val="22"/>
        </w:rPr>
        <w:t xml:space="preserve">improvement of </w:t>
      </w:r>
      <w:r>
        <w:rPr>
          <w:rFonts w:ascii="Arial Narrow" w:hAnsi="Arial Narrow"/>
          <w:snapToGrid w:val="0"/>
          <w:sz w:val="18"/>
          <w:szCs w:val="22"/>
        </w:rPr>
        <w:t>≥</w:t>
      </w:r>
      <w:r w:rsidRPr="008A2671">
        <w:rPr>
          <w:rFonts w:ascii="Arial Narrow" w:hAnsi="Arial Narrow"/>
          <w:snapToGrid w:val="0"/>
          <w:sz w:val="18"/>
          <w:szCs w:val="22"/>
        </w:rPr>
        <w:t xml:space="preserve"> 50</w:t>
      </w:r>
      <w:r>
        <w:rPr>
          <w:rFonts w:ascii="Arial Narrow" w:hAnsi="Arial Narrow"/>
          <w:snapToGrid w:val="0"/>
          <w:sz w:val="18"/>
          <w:szCs w:val="22"/>
        </w:rPr>
        <w:t>%</w:t>
      </w:r>
      <w:r w:rsidRPr="008A2671">
        <w:rPr>
          <w:rFonts w:ascii="Arial Narrow" w:hAnsi="Arial Narrow"/>
          <w:snapToGrid w:val="0"/>
          <w:sz w:val="18"/>
          <w:szCs w:val="22"/>
        </w:rPr>
        <w:t>/75</w:t>
      </w:r>
      <w:r>
        <w:rPr>
          <w:rFonts w:ascii="Arial Narrow" w:hAnsi="Arial Narrow"/>
          <w:snapToGrid w:val="0"/>
          <w:sz w:val="18"/>
          <w:szCs w:val="22"/>
        </w:rPr>
        <w:t>%</w:t>
      </w:r>
      <w:r w:rsidRPr="003A3918">
        <w:rPr>
          <w:rFonts w:ascii="Arial Narrow" w:hAnsi="Arial Narrow"/>
          <w:snapToGrid w:val="0"/>
          <w:sz w:val="18"/>
          <w:szCs w:val="22"/>
        </w:rPr>
        <w:t>/90</w:t>
      </w:r>
      <w:r w:rsidRPr="008A2671">
        <w:rPr>
          <w:rFonts w:ascii="Arial Narrow" w:hAnsi="Arial Narrow"/>
          <w:snapToGrid w:val="0"/>
          <w:sz w:val="18"/>
          <w:szCs w:val="22"/>
        </w:rPr>
        <w:t xml:space="preserve">% from baseline in </w:t>
      </w:r>
      <w:r w:rsidRPr="003A3918">
        <w:rPr>
          <w:rFonts w:ascii="Arial Narrow" w:hAnsi="Arial Narrow"/>
          <w:snapToGrid w:val="0"/>
          <w:sz w:val="18"/>
          <w:szCs w:val="22"/>
        </w:rPr>
        <w:t>EASI;</w:t>
      </w:r>
      <w:r w:rsidRPr="008A2671">
        <w:rPr>
          <w:rFonts w:ascii="Arial Narrow" w:hAnsi="Arial Narrow"/>
          <w:snapToGrid w:val="0"/>
          <w:sz w:val="18"/>
          <w:szCs w:val="22"/>
        </w:rPr>
        <w:t xml:space="preserve"> </w:t>
      </w:r>
      <w:r w:rsidRPr="003A3918">
        <w:rPr>
          <w:rFonts w:ascii="Arial Narrow" w:hAnsi="Arial Narrow"/>
          <w:snapToGrid w:val="0"/>
          <w:sz w:val="18"/>
          <w:szCs w:val="22"/>
        </w:rPr>
        <w:t xml:space="preserve">IGA = </w:t>
      </w:r>
      <w:r>
        <w:rPr>
          <w:rFonts w:ascii="Arial Narrow" w:hAnsi="Arial Narrow"/>
          <w:snapToGrid w:val="0"/>
          <w:sz w:val="18"/>
          <w:szCs w:val="22"/>
        </w:rPr>
        <w:t>I</w:t>
      </w:r>
      <w:r w:rsidRPr="003A3918">
        <w:rPr>
          <w:rFonts w:ascii="Arial Narrow" w:hAnsi="Arial Narrow"/>
          <w:snapToGrid w:val="0"/>
          <w:sz w:val="18"/>
          <w:szCs w:val="22"/>
        </w:rPr>
        <w:t xml:space="preserve">nvestigator’s </w:t>
      </w:r>
      <w:r>
        <w:rPr>
          <w:rFonts w:ascii="Arial Narrow" w:hAnsi="Arial Narrow"/>
          <w:snapToGrid w:val="0"/>
          <w:sz w:val="18"/>
          <w:szCs w:val="22"/>
        </w:rPr>
        <w:t>G</w:t>
      </w:r>
      <w:r w:rsidRPr="003A3918">
        <w:rPr>
          <w:rFonts w:ascii="Arial Narrow" w:hAnsi="Arial Narrow"/>
          <w:snapToGrid w:val="0"/>
          <w:sz w:val="18"/>
          <w:szCs w:val="22"/>
        </w:rPr>
        <w:t xml:space="preserve">lobal </w:t>
      </w:r>
      <w:r>
        <w:rPr>
          <w:rFonts w:ascii="Arial Narrow" w:hAnsi="Arial Narrow"/>
          <w:snapToGrid w:val="0"/>
          <w:sz w:val="18"/>
          <w:szCs w:val="22"/>
        </w:rPr>
        <w:t>A</w:t>
      </w:r>
      <w:r w:rsidRPr="003A3918">
        <w:rPr>
          <w:rFonts w:ascii="Arial Narrow" w:hAnsi="Arial Narrow"/>
          <w:snapToGrid w:val="0"/>
          <w:sz w:val="18"/>
          <w:szCs w:val="22"/>
        </w:rPr>
        <w:t xml:space="preserve">ssessment; IGA </w:t>
      </w:r>
      <w:r>
        <w:rPr>
          <w:rFonts w:ascii="Arial Narrow" w:hAnsi="Arial Narrow"/>
          <w:snapToGrid w:val="0"/>
          <w:sz w:val="18"/>
          <w:szCs w:val="22"/>
        </w:rPr>
        <w:t>response</w:t>
      </w:r>
      <w:r w:rsidRPr="003A3918">
        <w:rPr>
          <w:rFonts w:ascii="Arial Narrow" w:hAnsi="Arial Narrow"/>
          <w:snapToGrid w:val="0"/>
          <w:sz w:val="18"/>
          <w:szCs w:val="22"/>
        </w:rPr>
        <w:t xml:space="preserve"> = </w:t>
      </w:r>
      <w:r>
        <w:rPr>
          <w:rFonts w:ascii="Arial Narrow" w:hAnsi="Arial Narrow"/>
          <w:snapToGrid w:val="0"/>
          <w:sz w:val="18"/>
          <w:szCs w:val="22"/>
        </w:rPr>
        <w:t xml:space="preserve">proportion of patients with </w:t>
      </w:r>
      <w:r w:rsidRPr="003A3918">
        <w:rPr>
          <w:rFonts w:ascii="Arial Narrow" w:hAnsi="Arial Narrow"/>
          <w:snapToGrid w:val="0"/>
          <w:sz w:val="18"/>
          <w:szCs w:val="22"/>
        </w:rPr>
        <w:t xml:space="preserve">IGA response of clear (0) or almost clear (1) </w:t>
      </w:r>
      <w:r>
        <w:rPr>
          <w:rFonts w:ascii="Arial Narrow" w:hAnsi="Arial Narrow"/>
          <w:snapToGrid w:val="0"/>
          <w:sz w:val="18"/>
          <w:szCs w:val="22"/>
        </w:rPr>
        <w:t>+</w:t>
      </w:r>
      <w:r w:rsidRPr="003A3918">
        <w:rPr>
          <w:rFonts w:ascii="Arial Narrow" w:hAnsi="Arial Narrow"/>
          <w:snapToGrid w:val="0"/>
          <w:sz w:val="18"/>
          <w:szCs w:val="22"/>
        </w:rPr>
        <w:t xml:space="preserve"> ≥2 points improvement from baseline; </w:t>
      </w:r>
      <w:r w:rsidRPr="008A2671">
        <w:rPr>
          <w:rFonts w:ascii="Arial Narrow" w:hAnsi="Arial Narrow"/>
          <w:snapToGrid w:val="0"/>
          <w:sz w:val="18"/>
          <w:szCs w:val="22"/>
        </w:rPr>
        <w:t>MC = multi-centre; M-S = moderate to severe</w:t>
      </w:r>
      <w:r w:rsidRPr="003A3918">
        <w:rPr>
          <w:rFonts w:ascii="Arial Narrow" w:hAnsi="Arial Narrow"/>
          <w:snapToGrid w:val="0"/>
          <w:sz w:val="18"/>
          <w:szCs w:val="22"/>
        </w:rPr>
        <w:t xml:space="preserve">; </w:t>
      </w:r>
      <w:r w:rsidRPr="008A2671">
        <w:rPr>
          <w:rFonts w:ascii="Arial Narrow" w:hAnsi="Arial Narrow"/>
          <w:snapToGrid w:val="0"/>
          <w:sz w:val="18"/>
          <w:szCs w:val="22"/>
        </w:rPr>
        <w:t>P3 = phase 3; PBO = placebo</w:t>
      </w:r>
      <w:r>
        <w:rPr>
          <w:rFonts w:ascii="Arial Narrow" w:hAnsi="Arial Narrow"/>
          <w:snapToGrid w:val="0"/>
          <w:sz w:val="18"/>
          <w:szCs w:val="22"/>
        </w:rPr>
        <w:t>;</w:t>
      </w:r>
      <w:r w:rsidRPr="008A2671">
        <w:rPr>
          <w:rFonts w:ascii="Arial Narrow" w:hAnsi="Arial Narrow"/>
          <w:snapToGrid w:val="0"/>
          <w:sz w:val="18"/>
          <w:szCs w:val="22"/>
        </w:rPr>
        <w:t xml:space="preserve"> PC = placebo-control</w:t>
      </w:r>
      <w:r>
        <w:rPr>
          <w:rFonts w:ascii="Arial Narrow" w:hAnsi="Arial Narrow"/>
          <w:snapToGrid w:val="0"/>
          <w:sz w:val="18"/>
          <w:szCs w:val="22"/>
        </w:rPr>
        <w:t>;</w:t>
      </w:r>
      <w:r w:rsidRPr="008A2671">
        <w:rPr>
          <w:rFonts w:ascii="Arial Narrow" w:hAnsi="Arial Narrow"/>
          <w:snapToGrid w:val="0"/>
          <w:sz w:val="18"/>
          <w:szCs w:val="22"/>
        </w:rPr>
        <w:t xml:space="preserve"> </w:t>
      </w:r>
      <w:r>
        <w:rPr>
          <w:rFonts w:ascii="Arial Narrow" w:hAnsi="Arial Narrow"/>
          <w:snapToGrid w:val="0"/>
          <w:sz w:val="18"/>
          <w:szCs w:val="22"/>
        </w:rPr>
        <w:t>PDE-4 = p</w:t>
      </w:r>
      <w:r w:rsidRPr="0053212C">
        <w:rPr>
          <w:rFonts w:ascii="Arial Narrow" w:hAnsi="Arial Narrow"/>
          <w:snapToGrid w:val="0"/>
          <w:sz w:val="18"/>
          <w:szCs w:val="22"/>
        </w:rPr>
        <w:t>hosphodiesterase 4</w:t>
      </w:r>
      <w:r>
        <w:rPr>
          <w:rFonts w:ascii="Arial Narrow" w:hAnsi="Arial Narrow"/>
          <w:snapToGrid w:val="0"/>
          <w:sz w:val="18"/>
          <w:szCs w:val="22"/>
        </w:rPr>
        <w:t xml:space="preserve">; </w:t>
      </w:r>
      <w:r w:rsidRPr="003A3918">
        <w:rPr>
          <w:rFonts w:ascii="Arial Narrow" w:hAnsi="Arial Narrow"/>
          <w:snapToGrid w:val="0"/>
          <w:sz w:val="18"/>
          <w:szCs w:val="22"/>
        </w:rPr>
        <w:t xml:space="preserve">PP-NRS = </w:t>
      </w:r>
      <w:bookmarkStart w:id="34" w:name="_Hlk176542385"/>
      <w:r w:rsidRPr="003A3918">
        <w:rPr>
          <w:rFonts w:ascii="Arial Narrow" w:hAnsi="Arial Narrow"/>
          <w:snapToGrid w:val="0"/>
          <w:sz w:val="18"/>
          <w:szCs w:val="22"/>
        </w:rPr>
        <w:t>Peak Pruritus Numerical Rating Scale</w:t>
      </w:r>
      <w:bookmarkEnd w:id="34"/>
      <w:r w:rsidRPr="003A3918">
        <w:rPr>
          <w:rFonts w:ascii="Arial Narrow" w:hAnsi="Arial Narrow"/>
          <w:snapToGrid w:val="0"/>
          <w:sz w:val="18"/>
          <w:szCs w:val="22"/>
        </w:rPr>
        <w:t xml:space="preserve">; PP-NRS4 = </w:t>
      </w:r>
      <w:r>
        <w:rPr>
          <w:rFonts w:ascii="Arial Narrow" w:hAnsi="Arial Narrow"/>
          <w:snapToGrid w:val="0"/>
          <w:sz w:val="18"/>
          <w:szCs w:val="22"/>
        </w:rPr>
        <w:t>p</w:t>
      </w:r>
      <w:r w:rsidRPr="007C12B8">
        <w:rPr>
          <w:rFonts w:ascii="Arial Narrow" w:hAnsi="Arial Narrow"/>
          <w:snapToGrid w:val="0"/>
          <w:sz w:val="18"/>
          <w:szCs w:val="22"/>
        </w:rPr>
        <w:t xml:space="preserve">roportion of patients with </w:t>
      </w:r>
      <w:r w:rsidRPr="003A3918">
        <w:rPr>
          <w:rFonts w:ascii="Arial Narrow" w:hAnsi="Arial Narrow"/>
          <w:snapToGrid w:val="0"/>
          <w:sz w:val="18"/>
          <w:szCs w:val="22"/>
        </w:rPr>
        <w:t xml:space="preserve">≥4 points improvement from baseline in PP-NRS; </w:t>
      </w:r>
      <w:r w:rsidRPr="008A2671">
        <w:rPr>
          <w:rFonts w:ascii="Arial Narrow" w:hAnsi="Arial Narrow"/>
          <w:snapToGrid w:val="0"/>
          <w:sz w:val="18"/>
          <w:szCs w:val="22"/>
        </w:rPr>
        <w:t xml:space="preserve">R = randomised; </w:t>
      </w:r>
      <w:r>
        <w:rPr>
          <w:rFonts w:ascii="Arial Narrow" w:hAnsi="Arial Narrow"/>
          <w:snapToGrid w:val="0"/>
          <w:sz w:val="18"/>
          <w:szCs w:val="22"/>
        </w:rPr>
        <w:t>TCI = t</w:t>
      </w:r>
      <w:r w:rsidRPr="0053212C">
        <w:rPr>
          <w:rFonts w:ascii="Arial Narrow" w:hAnsi="Arial Narrow"/>
          <w:snapToGrid w:val="0"/>
          <w:sz w:val="18"/>
          <w:szCs w:val="22"/>
        </w:rPr>
        <w:t>opical calcineurin inhibitors</w:t>
      </w:r>
      <w:r>
        <w:rPr>
          <w:rFonts w:ascii="Arial Narrow" w:hAnsi="Arial Narrow"/>
          <w:snapToGrid w:val="0"/>
          <w:sz w:val="18"/>
          <w:szCs w:val="22"/>
        </w:rPr>
        <w:t xml:space="preserve">; </w:t>
      </w:r>
      <w:r w:rsidRPr="008A2671">
        <w:rPr>
          <w:rFonts w:ascii="Arial Narrow" w:hAnsi="Arial Narrow"/>
          <w:snapToGrid w:val="0"/>
          <w:sz w:val="18"/>
          <w:szCs w:val="22"/>
        </w:rPr>
        <w:t xml:space="preserve">TCS = topical corticosteroids; UPA = </w:t>
      </w:r>
      <w:r>
        <w:rPr>
          <w:rFonts w:ascii="Arial Narrow" w:hAnsi="Arial Narrow"/>
          <w:snapToGrid w:val="0"/>
          <w:sz w:val="18"/>
          <w:szCs w:val="22"/>
        </w:rPr>
        <w:t>Upadacitinib;</w:t>
      </w:r>
      <w:r w:rsidRPr="006E1DEE">
        <w:rPr>
          <w:rFonts w:ascii="Arial Narrow" w:hAnsi="Arial Narrow"/>
          <w:snapToGrid w:val="0"/>
          <w:sz w:val="18"/>
          <w:szCs w:val="22"/>
        </w:rPr>
        <w:t xml:space="preserve"> </w:t>
      </w:r>
      <w:r w:rsidRPr="008A2671">
        <w:rPr>
          <w:rFonts w:ascii="Arial Narrow" w:hAnsi="Arial Narrow"/>
          <w:snapToGrid w:val="0"/>
          <w:sz w:val="18"/>
          <w:szCs w:val="22"/>
        </w:rPr>
        <w:t>wk = week</w:t>
      </w:r>
      <w:r>
        <w:rPr>
          <w:rFonts w:ascii="Arial Narrow" w:hAnsi="Arial Narrow"/>
          <w:snapToGrid w:val="0"/>
          <w:sz w:val="18"/>
          <w:szCs w:val="22"/>
        </w:rPr>
        <w:t xml:space="preserve">. </w:t>
      </w:r>
    </w:p>
    <w:p w14:paraId="19448ACE" w14:textId="77777777" w:rsidR="0061175D" w:rsidRDefault="0061175D" w:rsidP="0061175D">
      <w:pPr>
        <w:spacing w:after="120"/>
        <w:contextualSpacing/>
        <w:rPr>
          <w:rFonts w:ascii="Arial Narrow" w:hAnsi="Arial Narrow"/>
          <w:snapToGrid w:val="0"/>
          <w:sz w:val="18"/>
          <w:szCs w:val="22"/>
        </w:rPr>
      </w:pPr>
      <w:r w:rsidRPr="00CE3CDC">
        <w:rPr>
          <w:rFonts w:ascii="Arial Narrow" w:hAnsi="Arial Narrow"/>
          <w:snapToGrid w:val="0"/>
          <w:sz w:val="18"/>
          <w:szCs w:val="22"/>
          <w:vertAlign w:val="superscript"/>
        </w:rPr>
        <w:t>a</w:t>
      </w:r>
      <w:r>
        <w:rPr>
          <w:rFonts w:ascii="Arial Narrow" w:hAnsi="Arial Narrow"/>
          <w:snapToGrid w:val="0"/>
          <w:sz w:val="18"/>
          <w:szCs w:val="22"/>
        </w:rPr>
        <w:t xml:space="preserve"> </w:t>
      </w:r>
      <w:r w:rsidRPr="008A2671">
        <w:rPr>
          <w:rFonts w:ascii="Arial Narrow" w:hAnsi="Arial Narrow"/>
          <w:snapToGrid w:val="0"/>
          <w:sz w:val="18"/>
          <w:szCs w:val="22"/>
        </w:rPr>
        <w:t xml:space="preserve">Protocols allowed investigators to rescue patients who were experiencing unacceptable or worsening of symptoms. Patients who received rescue therapy were discontinued from study treatment and considered non-responders. </w:t>
      </w:r>
    </w:p>
    <w:p w14:paraId="5BF72872" w14:textId="667F48F2" w:rsidR="0061175D" w:rsidRPr="008A2671" w:rsidRDefault="0061175D" w:rsidP="005D4E1C">
      <w:pPr>
        <w:spacing w:after="120"/>
        <w:rPr>
          <w:rFonts w:ascii="Arial Narrow" w:hAnsi="Arial Narrow"/>
          <w:snapToGrid w:val="0"/>
          <w:sz w:val="18"/>
          <w:szCs w:val="22"/>
        </w:rPr>
      </w:pPr>
      <w:r w:rsidRPr="00CE3CDC">
        <w:rPr>
          <w:rFonts w:ascii="Arial Narrow" w:hAnsi="Arial Narrow"/>
          <w:snapToGrid w:val="0"/>
          <w:sz w:val="18"/>
          <w:szCs w:val="22"/>
          <w:vertAlign w:val="superscript"/>
        </w:rPr>
        <w:t>b</w:t>
      </w:r>
      <w:r w:rsidRPr="008A2671">
        <w:rPr>
          <w:rFonts w:ascii="Arial Narrow" w:hAnsi="Arial Narrow"/>
          <w:snapToGrid w:val="0"/>
          <w:sz w:val="18"/>
          <w:szCs w:val="22"/>
        </w:rPr>
        <w:t xml:space="preserve"> </w:t>
      </w:r>
      <w:r>
        <w:rPr>
          <w:rFonts w:ascii="Arial Narrow" w:hAnsi="Arial Narrow"/>
          <w:snapToGrid w:val="0"/>
          <w:sz w:val="18"/>
          <w:szCs w:val="22"/>
        </w:rPr>
        <w:t>Rescue treatment of flare with open label ABRO 200 mg + topical therapy (TCS, TCI, PDE-4) for 12 weeks</w:t>
      </w:r>
      <w:r w:rsidRPr="008A2671">
        <w:rPr>
          <w:rFonts w:ascii="Arial Narrow" w:hAnsi="Arial Narrow"/>
          <w:snapToGrid w:val="0"/>
          <w:sz w:val="18"/>
          <w:szCs w:val="22"/>
        </w:rPr>
        <w:t xml:space="preserve"> </w:t>
      </w:r>
    </w:p>
    <w:p w14:paraId="33D77202" w14:textId="77777777" w:rsidR="0061175D" w:rsidRPr="009A5A91" w:rsidRDefault="0061175D" w:rsidP="0091041C">
      <w:pPr>
        <w:numPr>
          <w:ilvl w:val="1"/>
          <w:numId w:val="6"/>
        </w:numPr>
        <w:spacing w:after="120"/>
        <w:rPr>
          <w:rFonts w:eastAsiaTheme="minorHAnsi" w:cstheme="minorBidi"/>
          <w:szCs w:val="22"/>
        </w:rPr>
      </w:pPr>
      <w:r w:rsidRPr="009A5A91">
        <w:rPr>
          <w:rFonts w:eastAsiaTheme="minorHAnsi" w:cstheme="minorBidi"/>
          <w:szCs w:val="22"/>
        </w:rPr>
        <w:t xml:space="preserve">JADE COMPARE and JADE DARE included </w:t>
      </w:r>
      <w:r>
        <w:rPr>
          <w:rFonts w:eastAsiaTheme="minorHAnsi" w:cstheme="minorBidi"/>
          <w:szCs w:val="22"/>
        </w:rPr>
        <w:t xml:space="preserve">adults aged </w:t>
      </w:r>
      <w:r>
        <w:rPr>
          <w:rFonts w:eastAsiaTheme="minorHAnsi" w:cstheme="minorHAnsi"/>
          <w:szCs w:val="22"/>
        </w:rPr>
        <w:t>≥</w:t>
      </w:r>
      <w:r>
        <w:rPr>
          <w:rFonts w:eastAsiaTheme="minorHAnsi" w:cstheme="minorBidi"/>
          <w:szCs w:val="22"/>
        </w:rPr>
        <w:t>18 years with</w:t>
      </w:r>
      <w:r w:rsidRPr="009A5A91">
        <w:rPr>
          <w:rFonts w:eastAsiaTheme="minorHAnsi" w:cstheme="minorBidi"/>
          <w:szCs w:val="22"/>
        </w:rPr>
        <w:t xml:space="preserve"> chronic moderate</w:t>
      </w:r>
      <w:r>
        <w:rPr>
          <w:rFonts w:eastAsiaTheme="minorHAnsi" w:cstheme="minorBidi"/>
          <w:szCs w:val="22"/>
        </w:rPr>
        <w:t xml:space="preserve"> </w:t>
      </w:r>
      <w:r w:rsidRPr="009A5A91">
        <w:rPr>
          <w:rFonts w:eastAsiaTheme="minorHAnsi" w:cstheme="minorBidi"/>
          <w:szCs w:val="22"/>
        </w:rPr>
        <w:t>to</w:t>
      </w:r>
      <w:r>
        <w:rPr>
          <w:rFonts w:eastAsiaTheme="minorHAnsi" w:cstheme="minorBidi"/>
          <w:szCs w:val="22"/>
        </w:rPr>
        <w:t xml:space="preserve"> </w:t>
      </w:r>
      <w:r w:rsidRPr="009A5A91">
        <w:rPr>
          <w:rFonts w:eastAsiaTheme="minorHAnsi" w:cstheme="minorBidi"/>
          <w:szCs w:val="22"/>
        </w:rPr>
        <w:t xml:space="preserve">severe AD </w:t>
      </w:r>
      <w:r>
        <w:rPr>
          <w:rFonts w:eastAsiaTheme="minorHAnsi" w:cstheme="minorBidi"/>
          <w:szCs w:val="22"/>
        </w:rPr>
        <w:t>who had</w:t>
      </w:r>
      <w:r w:rsidRPr="009A5A91">
        <w:rPr>
          <w:rFonts w:eastAsiaTheme="minorHAnsi" w:cstheme="minorBidi"/>
          <w:szCs w:val="22"/>
        </w:rPr>
        <w:t xml:space="preserve"> an inadequate response to treatment with medicated topical therapy (</w:t>
      </w:r>
      <w:r w:rsidRPr="00514737">
        <w:rPr>
          <w:rFonts w:eastAsiaTheme="minorHAnsi" w:cstheme="minorBidi"/>
          <w:szCs w:val="22"/>
        </w:rPr>
        <w:t xml:space="preserve">topical corticosteroids </w:t>
      </w:r>
      <w:r>
        <w:rPr>
          <w:rFonts w:eastAsiaTheme="minorHAnsi" w:cstheme="minorBidi"/>
          <w:szCs w:val="22"/>
        </w:rPr>
        <w:t>[</w:t>
      </w:r>
      <w:r w:rsidRPr="009A5A91">
        <w:rPr>
          <w:rFonts w:eastAsiaTheme="minorHAnsi" w:cstheme="minorBidi"/>
          <w:szCs w:val="22"/>
        </w:rPr>
        <w:t>TCS</w:t>
      </w:r>
      <w:r>
        <w:rPr>
          <w:rFonts w:eastAsiaTheme="minorHAnsi" w:cstheme="minorBidi"/>
          <w:szCs w:val="22"/>
        </w:rPr>
        <w:t>]</w:t>
      </w:r>
      <w:r w:rsidRPr="009A5A91">
        <w:rPr>
          <w:rFonts w:eastAsiaTheme="minorHAnsi" w:cstheme="minorBidi"/>
          <w:szCs w:val="22"/>
        </w:rPr>
        <w:t>/</w:t>
      </w:r>
      <w:r w:rsidRPr="00514737">
        <w:t xml:space="preserve"> </w:t>
      </w:r>
      <w:r>
        <w:rPr>
          <w:rFonts w:eastAsiaTheme="minorHAnsi" w:cstheme="minorBidi"/>
          <w:szCs w:val="22"/>
        </w:rPr>
        <w:t>t</w:t>
      </w:r>
      <w:r w:rsidRPr="00514737">
        <w:rPr>
          <w:rFonts w:eastAsiaTheme="minorHAnsi" w:cstheme="minorBidi"/>
          <w:szCs w:val="22"/>
        </w:rPr>
        <w:t xml:space="preserve">opical calcineurin inhibitors </w:t>
      </w:r>
      <w:r>
        <w:rPr>
          <w:rFonts w:eastAsiaTheme="minorHAnsi" w:cstheme="minorBidi"/>
          <w:szCs w:val="22"/>
        </w:rPr>
        <w:t>[</w:t>
      </w:r>
      <w:r w:rsidRPr="009A5A91">
        <w:rPr>
          <w:rFonts w:eastAsiaTheme="minorHAnsi" w:cstheme="minorBidi"/>
          <w:szCs w:val="22"/>
        </w:rPr>
        <w:t>TCI</w:t>
      </w:r>
      <w:r>
        <w:rPr>
          <w:rFonts w:eastAsiaTheme="minorHAnsi" w:cstheme="minorBidi"/>
          <w:szCs w:val="22"/>
        </w:rPr>
        <w:t>]</w:t>
      </w:r>
      <w:r w:rsidRPr="009A5A91">
        <w:rPr>
          <w:rFonts w:eastAsiaTheme="minorHAnsi" w:cstheme="minorBidi"/>
          <w:szCs w:val="22"/>
        </w:rPr>
        <w:t xml:space="preserve">) for AD for at least 28 days or required systemic therapies for control of their disease. </w:t>
      </w:r>
    </w:p>
    <w:p w14:paraId="6B3D9356" w14:textId="77777777"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The eligibility criteria of JADE COMPARE and JADE DARE were not aligned with the requested PBS restrictions as follows:</w:t>
      </w:r>
    </w:p>
    <w:p w14:paraId="344A3790" w14:textId="74941EAC" w:rsidR="0061175D" w:rsidRPr="00070C35" w:rsidRDefault="0061175D" w:rsidP="0091041C">
      <w:pPr>
        <w:pStyle w:val="ListParagraph"/>
        <w:numPr>
          <w:ilvl w:val="0"/>
          <w:numId w:val="11"/>
        </w:numPr>
        <w:ind w:left="993" w:hanging="284"/>
        <w:jc w:val="both"/>
        <w:rPr>
          <w:rFonts w:eastAsiaTheme="minorHAnsi" w:cstheme="minorBidi"/>
          <w:szCs w:val="22"/>
        </w:rPr>
      </w:pPr>
      <w:r w:rsidRPr="00070C35">
        <w:rPr>
          <w:rFonts w:eastAsiaTheme="minorHAnsi" w:cstheme="minorBidi"/>
          <w:szCs w:val="22"/>
        </w:rPr>
        <w:t>Both clinical trials included patients with moderate to severe AD defined as affected body surface area (BSA) ≥10%, Investigators Global Assessment (IGA)</w:t>
      </w:r>
      <w:r w:rsidRPr="00070C35">
        <w:rPr>
          <w:rStyle w:val="FootnoteReference"/>
          <w:rFonts w:eastAsiaTheme="minorHAnsi" w:cstheme="minorBidi"/>
          <w:szCs w:val="22"/>
        </w:rPr>
        <w:footnoteReference w:id="2"/>
      </w:r>
      <w:r w:rsidRPr="00070C35">
        <w:rPr>
          <w:rFonts w:eastAsiaTheme="minorHAnsi" w:cstheme="minorBidi"/>
          <w:szCs w:val="22"/>
        </w:rPr>
        <w:t xml:space="preserve"> score ≥3, Eczema Area and Severity Index (EASI) score ≥16, and Pruritus Numerical Rating Scale (NRS) severity score of ≥4 at baseline. This population was broader than the proposed PBS population of severe AD which was defined as EASI </w:t>
      </w:r>
      <w:bookmarkStart w:id="35" w:name="_Hlk178172213"/>
      <w:r w:rsidRPr="00070C35">
        <w:rPr>
          <w:rFonts w:eastAsiaTheme="minorHAnsi" w:cstheme="minorBidi"/>
          <w:szCs w:val="22"/>
        </w:rPr>
        <w:t>≥20</w:t>
      </w:r>
      <w:bookmarkEnd w:id="35"/>
      <w:r w:rsidRPr="00070C35">
        <w:rPr>
          <w:rFonts w:eastAsiaTheme="minorHAnsi" w:cstheme="minorBidi"/>
          <w:szCs w:val="22"/>
        </w:rPr>
        <w:t xml:space="preserve">, PGA=4 and </w:t>
      </w:r>
      <w:r w:rsidRPr="00070C35">
        <w:rPr>
          <w:rFonts w:eastAsiaTheme="minorHAnsi" w:cstheme="minorBidi"/>
          <w:szCs w:val="22"/>
        </w:rPr>
        <w:lastRenderedPageBreak/>
        <w:t>any age-appropriate Dermatology Life Quality Index (DLQI) score. Therefore, the submission relied on post hoc subgroup analyses of patients with severe AD (defined as IGA=4 only) to support the use of ABRO in the proposed PBS population. The submission stated that most participants in the trials with IGA=4 at baseline also had an EASI score ≥20. Therefore, results of these analyses would not be expected to differ for a severe AD subgroup based only on the baseline IGA score.</w:t>
      </w:r>
      <w:r w:rsidR="0074644B" w:rsidRPr="00070C35">
        <w:rPr>
          <w:rFonts w:eastAsiaTheme="minorHAnsi" w:cstheme="minorBidi"/>
          <w:szCs w:val="22"/>
        </w:rPr>
        <w:t xml:space="preserve"> </w:t>
      </w:r>
      <w:r w:rsidR="00F24A90" w:rsidRPr="00E574CC">
        <w:rPr>
          <w:rFonts w:eastAsiaTheme="minorHAnsi" w:cstheme="minorBidi"/>
          <w:iCs/>
          <w:szCs w:val="22"/>
        </w:rPr>
        <w:t xml:space="preserve">The </w:t>
      </w:r>
      <w:r w:rsidR="003A26FD" w:rsidRPr="00E574CC">
        <w:rPr>
          <w:rFonts w:eastAsiaTheme="minorHAnsi" w:cstheme="minorBidi"/>
          <w:iCs/>
          <w:szCs w:val="22"/>
        </w:rPr>
        <w:t>PSCR</w:t>
      </w:r>
      <w:r w:rsidR="00347481">
        <w:rPr>
          <w:rFonts w:eastAsiaTheme="minorHAnsi" w:cstheme="minorBidi"/>
          <w:iCs/>
          <w:szCs w:val="22"/>
        </w:rPr>
        <w:t xml:space="preserve"> </w:t>
      </w:r>
      <w:r w:rsidR="003A26FD" w:rsidRPr="00E574CC">
        <w:rPr>
          <w:rFonts w:eastAsiaTheme="minorHAnsi" w:cstheme="minorBidi"/>
          <w:iCs/>
          <w:szCs w:val="22"/>
        </w:rPr>
        <w:t>stated that approximately 95% of JADE COMPARE patients with an IGA score of 4 across all treatment arms also had an EASI score of ≥20 and reiterated that the results for the subgroup analyses are applicable to the proposed PBS population</w:t>
      </w:r>
      <w:r w:rsidR="00F24A90" w:rsidRPr="00E574CC">
        <w:rPr>
          <w:rFonts w:eastAsiaTheme="minorHAnsi" w:cstheme="minorBidi"/>
          <w:iCs/>
          <w:szCs w:val="22"/>
        </w:rPr>
        <w:t xml:space="preserve">.  </w:t>
      </w:r>
    </w:p>
    <w:p w14:paraId="1E4269C1" w14:textId="77777777" w:rsidR="0061175D" w:rsidRPr="00070C35" w:rsidRDefault="0061175D" w:rsidP="0091041C">
      <w:pPr>
        <w:pStyle w:val="ListParagraph"/>
        <w:numPr>
          <w:ilvl w:val="0"/>
          <w:numId w:val="11"/>
        </w:numPr>
        <w:ind w:left="993" w:hanging="284"/>
        <w:jc w:val="both"/>
        <w:rPr>
          <w:rFonts w:eastAsiaTheme="minorHAnsi" w:cstheme="minorBidi"/>
          <w:szCs w:val="22"/>
        </w:rPr>
      </w:pPr>
      <w:r w:rsidRPr="00070C35">
        <w:rPr>
          <w:rFonts w:eastAsiaTheme="minorHAnsi" w:cstheme="minorBidi"/>
          <w:szCs w:val="22"/>
        </w:rPr>
        <w:t xml:space="preserve">There were no eligibility criteria in the trials specifically relevant to disease severity of AD affecting the face and/or hands. </w:t>
      </w:r>
    </w:p>
    <w:p w14:paraId="74DFCDCD" w14:textId="77777777" w:rsidR="0061175D" w:rsidRPr="00070C35" w:rsidRDefault="0061175D" w:rsidP="0091041C">
      <w:pPr>
        <w:pStyle w:val="ListParagraph"/>
        <w:numPr>
          <w:ilvl w:val="0"/>
          <w:numId w:val="11"/>
        </w:numPr>
        <w:ind w:left="993" w:hanging="284"/>
        <w:jc w:val="both"/>
        <w:rPr>
          <w:rFonts w:eastAsiaTheme="minorHAnsi" w:cstheme="minorBidi"/>
          <w:szCs w:val="22"/>
        </w:rPr>
      </w:pPr>
      <w:r w:rsidRPr="00070C35">
        <w:rPr>
          <w:rFonts w:eastAsiaTheme="minorHAnsi" w:cstheme="minorBidi"/>
          <w:szCs w:val="22"/>
        </w:rPr>
        <w:t xml:space="preserve">Patients who had received prior treatment with any systemic JAK inhibitors, IL-4 or IL-13 antagonists (DUPI, UPA, or LEB) were excluded from the trials but not from the requested PBS listing. </w:t>
      </w:r>
    </w:p>
    <w:p w14:paraId="48E7369F" w14:textId="77777777" w:rsidR="0061175D" w:rsidRPr="00070C35" w:rsidRDefault="0061175D" w:rsidP="0091041C">
      <w:pPr>
        <w:pStyle w:val="ListParagraph"/>
        <w:numPr>
          <w:ilvl w:val="1"/>
          <w:numId w:val="6"/>
        </w:numPr>
        <w:jc w:val="both"/>
        <w:rPr>
          <w:rFonts w:eastAsiaTheme="minorHAnsi" w:cstheme="minorBidi"/>
          <w:szCs w:val="22"/>
        </w:rPr>
      </w:pPr>
      <w:r w:rsidRPr="00070C35">
        <w:rPr>
          <w:rFonts w:eastAsiaTheme="minorHAnsi" w:cstheme="minorBidi"/>
          <w:szCs w:val="22"/>
        </w:rPr>
        <w:t>The co-primary endpoints in JADE COMPARE were EASI75 (≥75% improvement in EASI score from baseline) and IGA response (IGA of clear (0) or almost clear (1) and ≥2 points improvement from baseline) at Week 12. Secondary endpoints included assessment of EASI75 and IGA response at Week 16 and PP-NRS4 (≥4 points improvement from baseline in Peak Pruritus Numerical Rating Scale) at Week 2. The co-primary endpoints in JADE DARE were PP-NRS4 at Week 2 and EASI90 (≥90% improvement in EASI score from baseline) at Week 4.</w:t>
      </w:r>
    </w:p>
    <w:p w14:paraId="6927430F" w14:textId="0D7A2774"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 xml:space="preserve">The submission noted that the outcome preferred by PBAC for assessment of systemic treatments for severe AD affecting the whole body was a composite endpoint EASI50+DLQI≥4 (≥50% improvement from baseline in EASI score and an improvement in DLQI from baseline of ≥4 points) as it is consistent with the continuing criteria in the PBS listings of systemic treatments for whole body severe AD. The ESC </w:t>
      </w:r>
      <w:r w:rsidR="009B0D0D">
        <w:rPr>
          <w:rFonts w:eastAsiaTheme="minorHAnsi" w:cstheme="minorBidi"/>
          <w:szCs w:val="22"/>
        </w:rPr>
        <w:t xml:space="preserve">previously </w:t>
      </w:r>
      <w:r w:rsidRPr="00070C35">
        <w:rPr>
          <w:rFonts w:eastAsiaTheme="minorHAnsi" w:cstheme="minorBidi"/>
          <w:szCs w:val="22"/>
        </w:rPr>
        <w:t xml:space="preserve">noted that using a marker of lesions (EASI) and patient impact (DLQI) for continuing criteria is broadly consistent with Australian consensus guidelines. </w:t>
      </w:r>
      <w:r w:rsidR="00703880">
        <w:rPr>
          <w:rFonts w:eastAsiaTheme="minorHAnsi" w:cstheme="minorBidi"/>
          <w:szCs w:val="22"/>
        </w:rPr>
        <w:t>In its consideration for DUPI in March 2020 t</w:t>
      </w:r>
      <w:r w:rsidRPr="00070C35">
        <w:rPr>
          <w:rFonts w:eastAsiaTheme="minorHAnsi" w:cstheme="minorBidi"/>
          <w:szCs w:val="22"/>
        </w:rPr>
        <w:t xml:space="preserve">he PBAC agreed with the ESC that the proposed approach </w:t>
      </w:r>
      <w:r w:rsidR="00703880">
        <w:rPr>
          <w:rFonts w:eastAsiaTheme="minorHAnsi" w:cstheme="minorBidi"/>
          <w:szCs w:val="22"/>
        </w:rPr>
        <w:t>wa</w:t>
      </w:r>
      <w:r w:rsidRPr="00070C35">
        <w:rPr>
          <w:rFonts w:eastAsiaTheme="minorHAnsi" w:cstheme="minorBidi"/>
          <w:szCs w:val="22"/>
        </w:rPr>
        <w:t xml:space="preserve">s likely to be clinically reasonable and able to capture patients with a meaningful response to treatment (para 7.4, DUPI PSD, March 2020 PBAC meeting). </w:t>
      </w:r>
    </w:p>
    <w:p w14:paraId="2244735D" w14:textId="7169ADBC" w:rsidR="0061175D" w:rsidRPr="0052714A" w:rsidRDefault="0061175D" w:rsidP="0091041C">
      <w:pPr>
        <w:numPr>
          <w:ilvl w:val="1"/>
          <w:numId w:val="6"/>
        </w:numPr>
        <w:spacing w:after="120"/>
      </w:pPr>
      <w:r w:rsidRPr="00070C35">
        <w:rPr>
          <w:rFonts w:eastAsiaTheme="minorHAnsi" w:cstheme="minorBidi"/>
          <w:szCs w:val="22"/>
        </w:rPr>
        <w:t>The composite endpoint of EASI50+DLQI≥4 was not a pre-specified outcome in either of the head-to-head RCTs, JADE COMPARE or JADE DARE. However, both individual outcome measures (EASI50 and DLQI≥4) were assessed in participants throughout the studies. In addition, the clinical trials included participants outside the PBS restriction (adults with moderate AD). Therefore, post hoc subgroup analyses were conducted based on the individual patient data from JADE COMPARE and JADE DARE to obtain results for the composite endpoint of EASI50+DLQI≥4 for adults with severe AD.</w:t>
      </w:r>
      <w:r w:rsidR="009B0D0D" w:rsidRPr="009B0D0D">
        <w:t xml:space="preserve"> </w:t>
      </w:r>
      <w:r w:rsidR="009B0D0D" w:rsidRPr="00513E34">
        <w:rPr>
          <w:rFonts w:cstheme="minorHAnsi"/>
        </w:rPr>
        <w:t xml:space="preserve">The assessment of the composite outcome EASI50+DLQI≥4 in the subgroup analyses was presented at a single time point (Week 16); however, the relative effectiveness of </w:t>
      </w:r>
      <w:r w:rsidR="009B0D0D" w:rsidRPr="00513E34">
        <w:rPr>
          <w:rFonts w:cstheme="minorHAnsi"/>
        </w:rPr>
        <w:lastRenderedPageBreak/>
        <w:t>ABRO versus DUPI varies over time due to differences in time to the onset of treatment response and time to the plateauing of treatment response.</w:t>
      </w:r>
      <w:r w:rsidR="009B0D0D" w:rsidRPr="00513E34">
        <w:rPr>
          <w:rFonts w:cstheme="minorHAnsi"/>
          <w:iCs/>
        </w:rPr>
        <w:t xml:space="preserve"> The PSCR stated that Week 16 was chosen as the time point to assess efficacy as this is the time point in the existing PBS restrictions for DUPI. The PSCR noted that by focussing on Week 16 the submission did not quantify the benefits of ABRO over DUPI through its earlier onset of action. The ESC considered that assessment of response at 16 weeks was likely reasonable.</w:t>
      </w:r>
    </w:p>
    <w:p w14:paraId="370A7341" w14:textId="7E3AEBDF"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 xml:space="preserve">Clinical evidence supporting the proposed listing for adults with severe AD affecting the face and/or hands was scarce. The effectiveness of ABRO 200 mg, ABRO 100 mg, and DUPI 300 mg for the treatment of face AD was based on a </w:t>
      </w:r>
      <w:r w:rsidR="00347481" w:rsidRPr="00070C35">
        <w:rPr>
          <w:rFonts w:eastAsiaTheme="minorHAnsi" w:cstheme="minorBidi"/>
          <w:szCs w:val="22"/>
        </w:rPr>
        <w:t>published</w:t>
      </w:r>
      <w:r w:rsidR="00347481" w:rsidRPr="00070C35">
        <w:rPr>
          <w:rStyle w:val="FootnoteReference"/>
          <w:rFonts w:eastAsiaTheme="minorHAnsi" w:cstheme="minorBidi"/>
          <w:szCs w:val="22"/>
        </w:rPr>
        <w:footnoteReference w:id="3"/>
      </w:r>
      <w:r w:rsidR="00347481">
        <w:rPr>
          <w:rFonts w:eastAsiaTheme="minorHAnsi" w:cstheme="minorBidi"/>
          <w:szCs w:val="22"/>
        </w:rPr>
        <w:t xml:space="preserve"> </w:t>
      </w:r>
      <w:r w:rsidRPr="00070C35">
        <w:rPr>
          <w:rFonts w:eastAsiaTheme="minorHAnsi" w:cstheme="minorBidi"/>
          <w:szCs w:val="22"/>
        </w:rPr>
        <w:t>post hoc analysis of change from baseline in the EASI head and neck region score at Week 16 in the intention-to-treat (ITT) population of JADE COMPARE. This outcome was not aligned with the PBS continuation criteria for the face and/or hands. Data for patients with severe AD affecting the hands were not presented in the submission.</w:t>
      </w:r>
      <w:r w:rsidR="002913B1">
        <w:rPr>
          <w:rFonts w:eastAsiaTheme="minorHAnsi" w:cstheme="minorBidi"/>
          <w:szCs w:val="22"/>
        </w:rPr>
        <w:t xml:space="preserve"> </w:t>
      </w:r>
      <w:r w:rsidR="002342A7" w:rsidRPr="00513E34">
        <w:rPr>
          <w:rFonts w:cstheme="minorHAnsi"/>
        </w:rPr>
        <w:t>T</w:t>
      </w:r>
      <w:r w:rsidR="002913B1" w:rsidRPr="00513E34">
        <w:rPr>
          <w:rFonts w:cstheme="minorHAnsi"/>
        </w:rPr>
        <w:t>he PSCR acknowledged that the analysis wasn’t perfectly aligned with the treatment response criteria, however requested this be an additional option for patients alongside DUPI and UPA, based on previous PBAC precedent for DUPI and UPA. The ESC noted that there w</w:t>
      </w:r>
      <w:r w:rsidR="002342A7" w:rsidRPr="00513E34">
        <w:rPr>
          <w:rFonts w:cstheme="minorHAnsi"/>
        </w:rPr>
        <w:t xml:space="preserve">ere </w:t>
      </w:r>
      <w:r w:rsidR="002913B1" w:rsidRPr="00513E34">
        <w:rPr>
          <w:rFonts w:cstheme="minorHAnsi"/>
        </w:rPr>
        <w:t>similar limitation</w:t>
      </w:r>
      <w:r w:rsidR="002342A7" w:rsidRPr="00513E34">
        <w:rPr>
          <w:rFonts w:cstheme="minorHAnsi"/>
        </w:rPr>
        <w:t>s</w:t>
      </w:r>
      <w:r w:rsidR="002913B1" w:rsidRPr="00513E34">
        <w:rPr>
          <w:rFonts w:cstheme="minorHAnsi"/>
        </w:rPr>
        <w:t xml:space="preserve"> with the </w:t>
      </w:r>
      <w:r w:rsidR="002342A7" w:rsidRPr="00513E34">
        <w:rPr>
          <w:rFonts w:cstheme="minorHAnsi"/>
        </w:rPr>
        <w:t>data available</w:t>
      </w:r>
      <w:r w:rsidR="002913B1" w:rsidRPr="00513E34">
        <w:rPr>
          <w:rFonts w:cstheme="minorHAnsi"/>
        </w:rPr>
        <w:t xml:space="preserve"> for DUPI and UP</w:t>
      </w:r>
      <w:r w:rsidR="002342A7" w:rsidRPr="00513E34">
        <w:rPr>
          <w:rFonts w:cstheme="minorHAnsi"/>
        </w:rPr>
        <w:t>A</w:t>
      </w:r>
      <w:r w:rsidR="002913B1" w:rsidRPr="00513E34">
        <w:rPr>
          <w:rFonts w:cstheme="minorHAnsi"/>
        </w:rPr>
        <w:t xml:space="preserve"> and that the submission had taken the same approach to demonstrate the effects were similar across body regions, which was reasonable.</w:t>
      </w:r>
    </w:p>
    <w:p w14:paraId="26F44E7F" w14:textId="77777777" w:rsidR="0061175D" w:rsidRPr="00070C35" w:rsidRDefault="0061175D" w:rsidP="0091041C">
      <w:pPr>
        <w:numPr>
          <w:ilvl w:val="1"/>
          <w:numId w:val="6"/>
        </w:numPr>
        <w:spacing w:after="120"/>
        <w:rPr>
          <w:rFonts w:eastAsiaTheme="minorHAnsi" w:cstheme="minorBidi"/>
          <w:color w:val="0066FF"/>
          <w:szCs w:val="22"/>
        </w:rPr>
      </w:pPr>
      <w:r w:rsidRPr="00070C35">
        <w:rPr>
          <w:rFonts w:eastAsiaTheme="minorHAnsi" w:cstheme="minorBidi"/>
          <w:szCs w:val="22"/>
        </w:rPr>
        <w:t>The patient demographics and disease characteristics at baseline were broadly comparable across study arms within trials and between JADE COMPARE and JADE DARE.</w:t>
      </w:r>
      <w:r w:rsidRPr="00070C35">
        <w:rPr>
          <w:rFonts w:eastAsiaTheme="minorHAnsi" w:cstheme="minorBidi"/>
          <w:color w:val="0066FF"/>
          <w:szCs w:val="22"/>
        </w:rPr>
        <w:t xml:space="preserve"> </w:t>
      </w:r>
      <w:bookmarkStart w:id="36" w:name="_Hlk176543414"/>
      <w:r w:rsidRPr="00070C35">
        <w:rPr>
          <w:rFonts w:eastAsiaTheme="minorHAnsi" w:cstheme="minorBidi"/>
          <w:szCs w:val="22"/>
        </w:rPr>
        <w:t xml:space="preserve">The submission did not present the baseline demographic or disease characteristics of the patients in the two severe AD subgroups (severe AD with no prior systemic treatment and severe AD with prior systemic treatment) that were used in the </w:t>
      </w:r>
      <w:r w:rsidRPr="0094445D">
        <w:rPr>
          <w:rFonts w:eastAsiaTheme="minorHAnsi" w:cstheme="minorBidi"/>
          <w:szCs w:val="22"/>
        </w:rPr>
        <w:t>post hoc</w:t>
      </w:r>
      <w:r w:rsidRPr="00070C35">
        <w:rPr>
          <w:rFonts w:eastAsiaTheme="minorHAnsi" w:cstheme="minorBidi"/>
          <w:szCs w:val="22"/>
        </w:rPr>
        <w:t xml:space="preserve"> analyses to support the clinical claims in the proposed PBS population. Randomisation was not stratified according to disease severity in JADE COMPARE but was in JADE DARE; neither trial used prior systemic treatment as a stratification factor at randomisation. These were considered potential treatment effect modifiers in the submission.</w:t>
      </w:r>
    </w:p>
    <w:p w14:paraId="0574155D" w14:textId="77777777" w:rsidR="0061175D" w:rsidRPr="00070C35" w:rsidRDefault="0061175D" w:rsidP="0091041C">
      <w:pPr>
        <w:numPr>
          <w:ilvl w:val="1"/>
          <w:numId w:val="6"/>
        </w:numPr>
        <w:spacing w:after="120"/>
        <w:rPr>
          <w:rFonts w:eastAsiaTheme="minorHAnsi" w:cstheme="minorBidi"/>
          <w:color w:val="0066FF"/>
          <w:szCs w:val="22"/>
        </w:rPr>
      </w:pPr>
      <w:r w:rsidRPr="00070C35">
        <w:rPr>
          <w:rFonts w:eastAsiaTheme="minorHAnsi" w:cstheme="minorBidi"/>
          <w:szCs w:val="22"/>
        </w:rPr>
        <w:t xml:space="preserve">Patients in JADE REGIMEN and JADE EXTEND received ABRO treatment only. Therefore, JADE REGIMEN did not provide comparative evidence for flexible dosing of ABRO versus DUPI to support the clinical claim in the submission. Similarly, the extension study JADE EXTEND did not provide comparative evidence of effectiveness or safety for ABRO versus DUPI. </w:t>
      </w:r>
    </w:p>
    <w:p w14:paraId="51643F3D" w14:textId="77777777"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In Appendix 4 to the main submission, supplementary anchored indirect treatment comparisons (ITCs) of ABRO versus UPA, via placebo as the common reference, were provided. ITCs were based on:</w:t>
      </w:r>
    </w:p>
    <w:p w14:paraId="0DDAF8AE" w14:textId="77777777" w:rsidR="0061175D" w:rsidRPr="00070C35" w:rsidRDefault="0061175D">
      <w:pPr>
        <w:pStyle w:val="3-BodyText"/>
        <w:numPr>
          <w:ilvl w:val="1"/>
          <w:numId w:val="12"/>
        </w:numPr>
        <w:ind w:left="1418"/>
      </w:pPr>
      <w:r w:rsidRPr="00070C35">
        <w:lastRenderedPageBreak/>
        <w:t>ABRO and placebo arms of JADE COMPARE versus UPA and placebo arms of an UPA trial (AD UP). These studies permitted concomitant use of topical emollients, and topical medicated therapies such as TCS.</w:t>
      </w:r>
    </w:p>
    <w:p w14:paraId="2482E5CF" w14:textId="77777777" w:rsidR="0061175D" w:rsidRPr="00070C35" w:rsidRDefault="0061175D">
      <w:pPr>
        <w:pStyle w:val="3-BodyText"/>
        <w:numPr>
          <w:ilvl w:val="1"/>
          <w:numId w:val="12"/>
        </w:numPr>
        <w:ind w:left="1418"/>
      </w:pPr>
      <w:r w:rsidRPr="00070C35">
        <w:t xml:space="preserve">ABRO monotherapy studies (JADE MONO-1 and JADE MONO-2) versus UPA monotherapy studies (MEASURE UP-1 and MEASURE UP-2). </w:t>
      </w:r>
    </w:p>
    <w:p w14:paraId="4CB6EB53" w14:textId="77777777" w:rsidR="0061175D" w:rsidRPr="00070C35" w:rsidRDefault="0061175D">
      <w:pPr>
        <w:pStyle w:val="3-BodyText"/>
        <w:numPr>
          <w:ilvl w:val="1"/>
          <w:numId w:val="12"/>
        </w:numPr>
        <w:ind w:left="1418"/>
      </w:pPr>
      <w:r w:rsidRPr="00070C35">
        <w:t>Meta-analysis of data from the studies above (monotherapy and combination therapy) for ABRO versus UPA.</w:t>
      </w:r>
    </w:p>
    <w:p w14:paraId="206EA0AD" w14:textId="77777777" w:rsidR="0061175D" w:rsidRPr="00070C35" w:rsidRDefault="0061175D" w:rsidP="0091041C">
      <w:pPr>
        <w:spacing w:after="120"/>
        <w:ind w:left="720"/>
        <w:rPr>
          <w:rFonts w:eastAsiaTheme="minorHAnsi" w:cstheme="minorBidi"/>
          <w:szCs w:val="22"/>
        </w:rPr>
      </w:pPr>
      <w:r w:rsidRPr="00070C35">
        <w:rPr>
          <w:rFonts w:eastAsiaTheme="minorHAnsi" w:cstheme="minorBidi"/>
          <w:szCs w:val="22"/>
        </w:rPr>
        <w:t xml:space="preserve">The data from the UPA trials included in ITCs were sourced from the UPA PSD, July 2021 PBAC meeting. </w:t>
      </w:r>
    </w:p>
    <w:p w14:paraId="4F16D84D" w14:textId="77777777" w:rsidR="0061175D" w:rsidRPr="00070C35" w:rsidRDefault="0061175D">
      <w:pPr>
        <w:pStyle w:val="3-BodyText"/>
      </w:pPr>
      <w:r w:rsidRPr="00070C35">
        <w:t xml:space="preserve">Limitations regarding the ITCs of ABRO with UPA were: </w:t>
      </w:r>
    </w:p>
    <w:p w14:paraId="3A74D871" w14:textId="77777777" w:rsidR="0061175D" w:rsidRPr="00070C35" w:rsidRDefault="0061175D">
      <w:pPr>
        <w:pStyle w:val="3-BodyText"/>
        <w:numPr>
          <w:ilvl w:val="1"/>
          <w:numId w:val="13"/>
        </w:numPr>
        <w:ind w:left="1134"/>
      </w:pPr>
      <w:r w:rsidRPr="00070C35">
        <w:t>The AD UP study of UPA versus placebo included adolescents aged ≥12 to 17 years in the study population; whereas the ABRO trials included adult patients only.</w:t>
      </w:r>
    </w:p>
    <w:p w14:paraId="2FA0320E" w14:textId="343B966B" w:rsidR="0061175D" w:rsidRPr="00070C35" w:rsidRDefault="0061175D">
      <w:pPr>
        <w:pStyle w:val="3-BodyText"/>
        <w:numPr>
          <w:ilvl w:val="1"/>
          <w:numId w:val="13"/>
        </w:numPr>
        <w:ind w:left="1134"/>
      </w:pPr>
      <w:r w:rsidRPr="00070C35">
        <w:t xml:space="preserve">In the ITC presented in the UPA PSD (para 6.25, </w:t>
      </w:r>
      <w:r w:rsidR="00BF1930">
        <w:t>UPA</w:t>
      </w:r>
      <w:r w:rsidR="00BF1930" w:rsidRPr="00070C35">
        <w:t xml:space="preserve"> </w:t>
      </w:r>
      <w:r w:rsidRPr="00070C35">
        <w:t xml:space="preserve">PSD, July 2021 PBAC meeting), AD UP participants with severe AD were defined as EASI≥20 and IGA=4 at baseline; while JADE COMPARE participants with severe AD included in the ITC to UPA were assessed as having severe AD based only on IGA=4 at baseline. </w:t>
      </w:r>
    </w:p>
    <w:p w14:paraId="2FAD161C" w14:textId="4C4D97C1" w:rsidR="0061175D" w:rsidRPr="00070C35" w:rsidRDefault="0061175D">
      <w:pPr>
        <w:pStyle w:val="3-BodyText"/>
        <w:numPr>
          <w:ilvl w:val="1"/>
          <w:numId w:val="13"/>
        </w:numPr>
        <w:ind w:left="1134"/>
      </w:pPr>
      <w:r w:rsidRPr="00070C35">
        <w:t>The small number of patients in the severe AD subgroups indirectly compared led to wide 95% confidence intervals (CIs) of the indirect estimates, based on which no firm non-inferiority conclusion c</w:t>
      </w:r>
      <w:r w:rsidR="00703880">
        <w:t>ould</w:t>
      </w:r>
      <w:r w:rsidRPr="00070C35">
        <w:t xml:space="preserve"> be made.</w:t>
      </w:r>
    </w:p>
    <w:p w14:paraId="1E35ED8A" w14:textId="77777777" w:rsidR="0061175D" w:rsidRPr="00070C35" w:rsidRDefault="0061175D">
      <w:pPr>
        <w:pStyle w:val="3-BodyText"/>
        <w:numPr>
          <w:ilvl w:val="1"/>
          <w:numId w:val="13"/>
        </w:numPr>
        <w:ind w:left="1134"/>
      </w:pPr>
      <w:r w:rsidRPr="00070C35">
        <w:t>The ITCs were based on post hoc analyses of an endpoint that was not prespecified in the trials.</w:t>
      </w:r>
    </w:p>
    <w:p w14:paraId="15E697E9" w14:textId="77777777" w:rsidR="0061175D" w:rsidRPr="00070C35" w:rsidRDefault="0061175D">
      <w:pPr>
        <w:pStyle w:val="3-BodyText"/>
        <w:numPr>
          <w:ilvl w:val="1"/>
          <w:numId w:val="13"/>
        </w:numPr>
        <w:ind w:left="1134"/>
      </w:pPr>
      <w:r w:rsidRPr="00070C35">
        <w:t>Data on baseline disease characteristics and demographics were not provided for the subgroups included in the ITCs.</w:t>
      </w:r>
    </w:p>
    <w:p w14:paraId="4A5E71C7" w14:textId="08EB2C55"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 xml:space="preserve">No clinical claim for ABRO versus UPA was made in the submission. </w:t>
      </w:r>
      <w:r w:rsidRPr="00513E34">
        <w:rPr>
          <w:rFonts w:cstheme="minorHAnsi"/>
          <w:lang w:eastAsia="en-US"/>
        </w:rPr>
        <w:t>The PBAC submission for UPA relied on the results of an ITC between UPA and DUPI via placebo as a common comparator because the head-to-head trial of UPA versus DUPI (HEADS UP) did not include the 15 mg dose of UPA and did not include assessment of DLQI. The PBAC’s recommendation for listing of UPA was based on, among other matters, its assessment</w:t>
      </w:r>
      <w:r w:rsidR="009A00BB" w:rsidRPr="00513E34">
        <w:rPr>
          <w:rFonts w:cstheme="minorHAnsi"/>
          <w:lang w:eastAsia="en-US"/>
        </w:rPr>
        <w:t xml:space="preserve"> </w:t>
      </w:r>
      <w:r w:rsidRPr="00513E34">
        <w:rPr>
          <w:rFonts w:cstheme="minorHAnsi"/>
          <w:lang w:eastAsia="en-US"/>
        </w:rPr>
        <w:t xml:space="preserve">that the cost-effectiveness of UPA would be acceptable if it were cost-minimised against DUPI. The PBAC advised that the equi-effective doses are UPA 15 mg or 30 mg QD and DUPI 600 mg as an initial dose then 300 mg Q2W thereafter, or DUPI 400 mg as an initial dose then 200 mg Q2W thereafter in adolescents with a body weight &lt;60kg (not within the PBS target population for ABRO), assuming equivalent drug costs over a two-year period (para. 9.1, </w:t>
      </w:r>
      <w:r w:rsidR="00BF1930" w:rsidRPr="00513E34">
        <w:rPr>
          <w:rFonts w:cstheme="minorHAnsi"/>
          <w:lang w:eastAsia="en-US"/>
        </w:rPr>
        <w:t xml:space="preserve">UPA </w:t>
      </w:r>
      <w:r w:rsidRPr="00513E34">
        <w:rPr>
          <w:rFonts w:cstheme="minorHAnsi"/>
          <w:lang w:eastAsia="en-US"/>
        </w:rPr>
        <w:t>PSD, July 2021 PBAC meeting).</w:t>
      </w:r>
    </w:p>
    <w:p w14:paraId="243FB89C" w14:textId="77777777" w:rsidR="0061175D" w:rsidRPr="009A5A91" w:rsidRDefault="0061175D" w:rsidP="0061175D">
      <w:pPr>
        <w:pStyle w:val="4-SubsectionHeading"/>
      </w:pPr>
      <w:bookmarkStart w:id="37" w:name="_Toc177558648"/>
      <w:bookmarkEnd w:id="36"/>
      <w:r w:rsidRPr="009A5A91">
        <w:lastRenderedPageBreak/>
        <w:t>Comparative effectiveness</w:t>
      </w:r>
      <w:bookmarkEnd w:id="37"/>
    </w:p>
    <w:p w14:paraId="3B99FFEE" w14:textId="77777777" w:rsidR="0061175D" w:rsidRDefault="0061175D" w:rsidP="0091041C">
      <w:pPr>
        <w:keepNext/>
        <w:keepLines/>
        <w:spacing w:after="120"/>
        <w:outlineLvl w:val="2"/>
        <w:rPr>
          <w:rFonts w:eastAsiaTheme="majorEastAsia" w:cstheme="majorBidi"/>
          <w:b/>
          <w:color w:val="000000" w:themeColor="text1"/>
        </w:rPr>
      </w:pPr>
      <w:r>
        <w:rPr>
          <w:rFonts w:eastAsiaTheme="majorEastAsia" w:cstheme="majorBidi"/>
          <w:b/>
          <w:color w:val="000000" w:themeColor="text1"/>
        </w:rPr>
        <w:t xml:space="preserve">ABRO </w:t>
      </w:r>
      <w:r w:rsidRPr="00E574CC">
        <w:rPr>
          <w:rFonts w:eastAsiaTheme="majorEastAsia" w:cstheme="majorBidi"/>
          <w:b/>
          <w:iCs/>
          <w:color w:val="000000" w:themeColor="text1"/>
        </w:rPr>
        <w:t xml:space="preserve">vs. </w:t>
      </w:r>
      <w:r>
        <w:rPr>
          <w:rFonts w:eastAsiaTheme="majorEastAsia" w:cstheme="majorBidi"/>
          <w:b/>
          <w:color w:val="000000" w:themeColor="text1"/>
        </w:rPr>
        <w:t xml:space="preserve">DUPI: adults with </w:t>
      </w:r>
      <w:r w:rsidRPr="009A5A91">
        <w:rPr>
          <w:rFonts w:eastAsiaTheme="majorEastAsia" w:cstheme="majorBidi"/>
          <w:b/>
          <w:color w:val="000000" w:themeColor="text1"/>
        </w:rPr>
        <w:t>moderate to severe AD</w:t>
      </w:r>
      <w:r>
        <w:rPr>
          <w:rFonts w:eastAsiaTheme="majorEastAsia" w:cstheme="majorBidi"/>
          <w:b/>
          <w:color w:val="000000" w:themeColor="text1"/>
        </w:rPr>
        <w:t xml:space="preserve"> (ITT population</w:t>
      </w:r>
      <w:r w:rsidRPr="009A5A91">
        <w:rPr>
          <w:rFonts w:eastAsiaTheme="majorEastAsia" w:cstheme="majorBidi"/>
          <w:b/>
          <w:color w:val="000000" w:themeColor="text1"/>
        </w:rPr>
        <w:t>)</w:t>
      </w:r>
    </w:p>
    <w:p w14:paraId="2218878C" w14:textId="71FD21D6" w:rsidR="00C904B4" w:rsidRPr="00D546CB" w:rsidRDefault="0061175D" w:rsidP="00160BC4">
      <w:pPr>
        <w:numPr>
          <w:ilvl w:val="1"/>
          <w:numId w:val="6"/>
        </w:numPr>
        <w:spacing w:after="120"/>
        <w:rPr>
          <w:rFonts w:eastAsiaTheme="minorHAnsi" w:cstheme="minorHAnsi"/>
        </w:rPr>
      </w:pPr>
      <w:r>
        <w:rPr>
          <w:rFonts w:eastAsiaTheme="minorHAnsi" w:cstheme="minorBidi"/>
          <w:szCs w:val="22"/>
        </w:rPr>
        <w:t>T</w:t>
      </w:r>
      <w:r w:rsidRPr="009A5A91">
        <w:rPr>
          <w:rFonts w:eastAsiaTheme="minorHAnsi" w:cstheme="minorBidi"/>
          <w:szCs w:val="22"/>
        </w:rPr>
        <w:t xml:space="preserve">he </w:t>
      </w:r>
      <w:r>
        <w:rPr>
          <w:rFonts w:eastAsiaTheme="minorHAnsi" w:cstheme="minorBidi"/>
          <w:szCs w:val="22"/>
        </w:rPr>
        <w:t xml:space="preserve">results of the </w:t>
      </w:r>
      <w:r w:rsidRPr="009A5A91">
        <w:rPr>
          <w:rFonts w:eastAsiaTheme="minorHAnsi" w:cstheme="minorBidi"/>
          <w:szCs w:val="22"/>
        </w:rPr>
        <w:t>primary and key secondary outcomes fro</w:t>
      </w:r>
      <w:r>
        <w:rPr>
          <w:rFonts w:eastAsiaTheme="minorHAnsi" w:cstheme="minorBidi"/>
          <w:szCs w:val="22"/>
        </w:rPr>
        <w:t xml:space="preserve">m </w:t>
      </w:r>
      <w:r w:rsidRPr="009A5A91">
        <w:rPr>
          <w:rFonts w:eastAsiaTheme="minorHAnsi" w:cstheme="minorBidi"/>
          <w:szCs w:val="22"/>
        </w:rPr>
        <w:t>JADE COMPARE and JADE DARE in the ITT population with moderate to severe AD</w:t>
      </w:r>
      <w:r>
        <w:rPr>
          <w:rFonts w:eastAsiaTheme="minorHAnsi" w:cstheme="minorBidi"/>
          <w:szCs w:val="22"/>
        </w:rPr>
        <w:t xml:space="preserve"> are </w:t>
      </w:r>
      <w:r w:rsidRPr="00513E34">
        <w:rPr>
          <w:rFonts w:eastAsiaTheme="minorHAnsi" w:cstheme="minorHAnsi"/>
        </w:rPr>
        <w:t>presented in</w:t>
      </w:r>
      <w:r w:rsidR="00C904B4">
        <w:rPr>
          <w:rFonts w:eastAsiaTheme="minorHAnsi" w:cstheme="minorHAnsi"/>
        </w:rPr>
        <w:t xml:space="preserve"> Table 4.</w:t>
      </w:r>
    </w:p>
    <w:p w14:paraId="12B13DE0" w14:textId="748890D9" w:rsidR="0061175D" w:rsidRPr="009A5A91" w:rsidRDefault="0061175D" w:rsidP="0061175D">
      <w:pPr>
        <w:keepNext/>
        <w:keepLines/>
        <w:rPr>
          <w:rFonts w:ascii="Arial Narrow" w:hAnsi="Arial Narrow"/>
          <w:b/>
          <w:bCs/>
          <w:sz w:val="20"/>
          <w:szCs w:val="18"/>
        </w:rPr>
      </w:pPr>
      <w:bookmarkStart w:id="38" w:name="_Ref176798286"/>
      <w:r w:rsidRPr="009A5A91">
        <w:rPr>
          <w:rFonts w:ascii="Arial Narrow" w:hAnsi="Arial Narrow"/>
          <w:b/>
          <w:bCs/>
          <w:sz w:val="20"/>
          <w:szCs w:val="18"/>
        </w:rPr>
        <w:t xml:space="preserve">Table </w:t>
      </w:r>
      <w:r w:rsidRPr="009A5A91">
        <w:rPr>
          <w:rFonts w:ascii="Arial Narrow" w:hAnsi="Arial Narrow"/>
          <w:b/>
          <w:bCs/>
          <w:sz w:val="20"/>
          <w:szCs w:val="18"/>
        </w:rPr>
        <w:fldChar w:fldCharType="begin" w:fldLock="1"/>
      </w:r>
      <w:r w:rsidRPr="009A5A91">
        <w:rPr>
          <w:rFonts w:ascii="Arial Narrow" w:hAnsi="Arial Narrow"/>
          <w:b/>
          <w:bCs/>
          <w:sz w:val="20"/>
          <w:szCs w:val="18"/>
        </w:rPr>
        <w:instrText xml:space="preserve"> SEQ Table \* ARABIC </w:instrText>
      </w:r>
      <w:r w:rsidRPr="009A5A91">
        <w:rPr>
          <w:rFonts w:ascii="Arial Narrow" w:hAnsi="Arial Narrow"/>
          <w:b/>
          <w:bCs/>
          <w:sz w:val="20"/>
          <w:szCs w:val="18"/>
        </w:rPr>
        <w:fldChar w:fldCharType="separate"/>
      </w:r>
      <w:r w:rsidR="004F2A70">
        <w:rPr>
          <w:rFonts w:ascii="Arial Narrow" w:hAnsi="Arial Narrow"/>
          <w:b/>
          <w:bCs/>
          <w:noProof/>
          <w:sz w:val="20"/>
          <w:szCs w:val="18"/>
        </w:rPr>
        <w:t>4</w:t>
      </w:r>
      <w:r w:rsidRPr="009A5A91">
        <w:rPr>
          <w:rFonts w:ascii="Arial Narrow" w:hAnsi="Arial Narrow"/>
          <w:b/>
          <w:bCs/>
          <w:sz w:val="20"/>
          <w:szCs w:val="18"/>
        </w:rPr>
        <w:fldChar w:fldCharType="end"/>
      </w:r>
      <w:bookmarkEnd w:id="38"/>
      <w:r w:rsidRPr="009A5A91">
        <w:rPr>
          <w:rFonts w:ascii="Arial Narrow" w:hAnsi="Arial Narrow"/>
          <w:b/>
          <w:bCs/>
          <w:sz w:val="20"/>
          <w:szCs w:val="18"/>
        </w:rPr>
        <w:t xml:space="preserve">: </w:t>
      </w:r>
      <w:r>
        <w:rPr>
          <w:rFonts w:ascii="Arial Narrow" w:hAnsi="Arial Narrow"/>
          <w:b/>
          <w:bCs/>
          <w:sz w:val="20"/>
          <w:szCs w:val="18"/>
        </w:rPr>
        <w:t>Results of p</w:t>
      </w:r>
      <w:r w:rsidRPr="009A5A91">
        <w:rPr>
          <w:rFonts w:ascii="Arial Narrow" w:hAnsi="Arial Narrow"/>
          <w:b/>
          <w:bCs/>
          <w:sz w:val="20"/>
          <w:szCs w:val="18"/>
        </w:rPr>
        <w:t>rimary and key secondary outcomes in JADE COMPARE and JADE DARE trial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33"/>
        <w:gridCol w:w="1134"/>
        <w:gridCol w:w="1275"/>
        <w:gridCol w:w="979"/>
        <w:gridCol w:w="1168"/>
        <w:gridCol w:w="1168"/>
        <w:gridCol w:w="1170"/>
      </w:tblGrid>
      <w:tr w:rsidR="0061175D" w:rsidRPr="00B41982" w14:paraId="6C4AFB45" w14:textId="77777777" w:rsidTr="00B41982">
        <w:trPr>
          <w:tblHeader/>
        </w:trPr>
        <w:tc>
          <w:tcPr>
            <w:tcW w:w="548" w:type="pct"/>
            <w:vAlign w:val="center"/>
          </w:tcPr>
          <w:p w14:paraId="349F7D23" w14:textId="77777777" w:rsidR="0061175D" w:rsidRPr="00B41982" w:rsidRDefault="0061175D" w:rsidP="00CC1644">
            <w:pPr>
              <w:pStyle w:val="Tabletext"/>
              <w:rPr>
                <w:szCs w:val="20"/>
                <w:lang w:val="en-US"/>
              </w:rPr>
            </w:pPr>
            <w:bookmarkStart w:id="39" w:name="_Hlk176596814"/>
            <w:r w:rsidRPr="00B41982">
              <w:rPr>
                <w:b/>
                <w:bCs/>
                <w:szCs w:val="20"/>
                <w:lang w:val="en-US"/>
              </w:rPr>
              <w:t>Endpoint</w:t>
            </w:r>
          </w:p>
        </w:tc>
        <w:tc>
          <w:tcPr>
            <w:tcW w:w="628" w:type="pct"/>
            <w:vAlign w:val="center"/>
          </w:tcPr>
          <w:p w14:paraId="65907B7C" w14:textId="77777777" w:rsidR="0061175D" w:rsidRPr="00B41982" w:rsidRDefault="0061175D" w:rsidP="00CC1644">
            <w:pPr>
              <w:pStyle w:val="Tabletext"/>
              <w:jc w:val="center"/>
              <w:rPr>
                <w:szCs w:val="20"/>
                <w:lang w:val="en-US"/>
              </w:rPr>
            </w:pPr>
            <w:r w:rsidRPr="00B41982">
              <w:rPr>
                <w:b/>
                <w:bCs/>
                <w:szCs w:val="20"/>
                <w:lang w:val="en-US"/>
              </w:rPr>
              <w:t>ABRO</w:t>
            </w:r>
          </w:p>
          <w:p w14:paraId="72DE20BB" w14:textId="77777777" w:rsidR="0061175D" w:rsidRPr="00B41982" w:rsidRDefault="0061175D" w:rsidP="00CC1644">
            <w:pPr>
              <w:pStyle w:val="Tabletext"/>
              <w:jc w:val="center"/>
              <w:rPr>
                <w:szCs w:val="20"/>
                <w:lang w:val="en-US"/>
              </w:rPr>
            </w:pPr>
            <w:r w:rsidRPr="00B41982">
              <w:rPr>
                <w:b/>
                <w:bCs/>
                <w:szCs w:val="20"/>
                <w:lang w:val="en-US"/>
              </w:rPr>
              <w:t>100 mg QD</w:t>
            </w:r>
          </w:p>
          <w:p w14:paraId="4E9A9A39" w14:textId="77777777" w:rsidR="0061175D" w:rsidRPr="00B41982" w:rsidRDefault="0061175D" w:rsidP="00CC1644">
            <w:pPr>
              <w:pStyle w:val="Tabletext"/>
              <w:jc w:val="center"/>
              <w:rPr>
                <w:szCs w:val="20"/>
                <w:lang w:val="en-US"/>
              </w:rPr>
            </w:pPr>
            <w:r w:rsidRPr="00B41982">
              <w:rPr>
                <w:b/>
                <w:bCs/>
                <w:szCs w:val="20"/>
                <w:lang w:val="en-US"/>
              </w:rPr>
              <w:t>n/N (%)</w:t>
            </w:r>
          </w:p>
        </w:tc>
        <w:tc>
          <w:tcPr>
            <w:tcW w:w="629" w:type="pct"/>
            <w:vAlign w:val="center"/>
          </w:tcPr>
          <w:p w14:paraId="1C1B52F4" w14:textId="77777777" w:rsidR="0061175D" w:rsidRPr="00B41982" w:rsidRDefault="0061175D" w:rsidP="00CC1644">
            <w:pPr>
              <w:pStyle w:val="Tabletext"/>
              <w:jc w:val="center"/>
              <w:rPr>
                <w:szCs w:val="20"/>
                <w:lang w:val="en-US"/>
              </w:rPr>
            </w:pPr>
            <w:r w:rsidRPr="00B41982">
              <w:rPr>
                <w:b/>
                <w:bCs/>
                <w:szCs w:val="20"/>
                <w:lang w:val="en-US"/>
              </w:rPr>
              <w:t>ABRO</w:t>
            </w:r>
          </w:p>
          <w:p w14:paraId="5F4A10BD" w14:textId="77777777" w:rsidR="0061175D" w:rsidRPr="00B41982" w:rsidRDefault="0061175D" w:rsidP="00CC1644">
            <w:pPr>
              <w:pStyle w:val="Tabletext"/>
              <w:jc w:val="center"/>
              <w:rPr>
                <w:szCs w:val="20"/>
                <w:lang w:val="en-US"/>
              </w:rPr>
            </w:pPr>
            <w:r w:rsidRPr="00B41982">
              <w:rPr>
                <w:b/>
                <w:bCs/>
                <w:szCs w:val="20"/>
                <w:lang w:val="en-US"/>
              </w:rPr>
              <w:t>200 mg QD</w:t>
            </w:r>
          </w:p>
          <w:p w14:paraId="3771020B" w14:textId="77777777" w:rsidR="0061175D" w:rsidRPr="00B41982" w:rsidRDefault="0061175D" w:rsidP="00CC1644">
            <w:pPr>
              <w:pStyle w:val="Tabletext"/>
              <w:jc w:val="center"/>
              <w:rPr>
                <w:szCs w:val="20"/>
                <w:lang w:val="en-US"/>
              </w:rPr>
            </w:pPr>
            <w:r w:rsidRPr="00B41982">
              <w:rPr>
                <w:b/>
                <w:bCs/>
                <w:szCs w:val="20"/>
                <w:lang w:val="en-US"/>
              </w:rPr>
              <w:t>n/N (%)</w:t>
            </w:r>
          </w:p>
        </w:tc>
        <w:tc>
          <w:tcPr>
            <w:tcW w:w="707" w:type="pct"/>
            <w:vAlign w:val="center"/>
          </w:tcPr>
          <w:p w14:paraId="0568429B" w14:textId="77777777" w:rsidR="0061175D" w:rsidRPr="00B41982" w:rsidRDefault="0061175D" w:rsidP="00CC1644">
            <w:pPr>
              <w:pStyle w:val="Tabletext"/>
              <w:jc w:val="center"/>
              <w:rPr>
                <w:szCs w:val="20"/>
                <w:lang w:val="en-US"/>
              </w:rPr>
            </w:pPr>
            <w:r w:rsidRPr="00B41982">
              <w:rPr>
                <w:b/>
                <w:bCs/>
                <w:szCs w:val="20"/>
                <w:lang w:val="en-US"/>
              </w:rPr>
              <w:t>DUPI</w:t>
            </w:r>
          </w:p>
          <w:p w14:paraId="0BCFE949" w14:textId="77777777" w:rsidR="0061175D" w:rsidRPr="00B41982" w:rsidRDefault="0061175D" w:rsidP="00CC1644">
            <w:pPr>
              <w:pStyle w:val="Tabletext"/>
              <w:jc w:val="center"/>
              <w:rPr>
                <w:szCs w:val="20"/>
                <w:lang w:val="en-US"/>
              </w:rPr>
            </w:pPr>
            <w:r w:rsidRPr="00B41982">
              <w:rPr>
                <w:b/>
                <w:bCs/>
                <w:szCs w:val="20"/>
                <w:lang w:val="en-US"/>
              </w:rPr>
              <w:t>300 mg Q2W</w:t>
            </w:r>
          </w:p>
          <w:p w14:paraId="4235591B" w14:textId="77777777" w:rsidR="0061175D" w:rsidRPr="00B41982" w:rsidRDefault="0061175D" w:rsidP="00CC1644">
            <w:pPr>
              <w:pStyle w:val="Tabletext"/>
              <w:jc w:val="center"/>
              <w:rPr>
                <w:szCs w:val="20"/>
                <w:lang w:val="en-US"/>
              </w:rPr>
            </w:pPr>
            <w:r w:rsidRPr="00B41982">
              <w:rPr>
                <w:b/>
                <w:bCs/>
                <w:szCs w:val="20"/>
                <w:lang w:val="en-US"/>
              </w:rPr>
              <w:t>n/N (%)</w:t>
            </w:r>
          </w:p>
        </w:tc>
        <w:tc>
          <w:tcPr>
            <w:tcW w:w="543" w:type="pct"/>
            <w:vAlign w:val="center"/>
          </w:tcPr>
          <w:p w14:paraId="13A83482" w14:textId="77777777" w:rsidR="0061175D" w:rsidRPr="00B41982" w:rsidRDefault="0061175D" w:rsidP="00CC1644">
            <w:pPr>
              <w:pStyle w:val="Tabletext"/>
              <w:jc w:val="center"/>
              <w:rPr>
                <w:szCs w:val="20"/>
                <w:lang w:val="en-US"/>
              </w:rPr>
            </w:pPr>
            <w:r w:rsidRPr="00B41982">
              <w:rPr>
                <w:b/>
                <w:bCs/>
                <w:szCs w:val="20"/>
                <w:lang w:val="en-US"/>
              </w:rPr>
              <w:t>PBO</w:t>
            </w:r>
          </w:p>
          <w:p w14:paraId="36F30E95" w14:textId="77777777" w:rsidR="0061175D" w:rsidRPr="00B41982" w:rsidRDefault="0061175D" w:rsidP="00CC1644">
            <w:pPr>
              <w:pStyle w:val="Tabletext"/>
              <w:jc w:val="center"/>
              <w:rPr>
                <w:szCs w:val="20"/>
                <w:lang w:val="en-US"/>
              </w:rPr>
            </w:pPr>
            <w:r w:rsidRPr="00B41982">
              <w:rPr>
                <w:b/>
                <w:bCs/>
                <w:szCs w:val="20"/>
                <w:lang w:val="en-US"/>
              </w:rPr>
              <w:t>n/N (%)</w:t>
            </w:r>
          </w:p>
        </w:tc>
        <w:tc>
          <w:tcPr>
            <w:tcW w:w="648" w:type="pct"/>
            <w:vAlign w:val="center"/>
          </w:tcPr>
          <w:p w14:paraId="25833C2D" w14:textId="77777777" w:rsidR="0061175D" w:rsidRPr="00B41982" w:rsidRDefault="0061175D" w:rsidP="00CC1644">
            <w:pPr>
              <w:pStyle w:val="Tabletext"/>
              <w:jc w:val="center"/>
              <w:rPr>
                <w:szCs w:val="20"/>
              </w:rPr>
            </w:pPr>
            <w:r w:rsidRPr="00B41982">
              <w:rPr>
                <w:b/>
                <w:bCs/>
                <w:szCs w:val="20"/>
              </w:rPr>
              <w:t>RR</w:t>
            </w:r>
          </w:p>
          <w:p w14:paraId="36A86037" w14:textId="77777777" w:rsidR="0061175D" w:rsidRPr="00B41982" w:rsidRDefault="0061175D" w:rsidP="00CC1644">
            <w:pPr>
              <w:pStyle w:val="Tabletext"/>
              <w:jc w:val="center"/>
              <w:rPr>
                <w:szCs w:val="20"/>
              </w:rPr>
            </w:pPr>
            <w:r w:rsidRPr="00B41982">
              <w:rPr>
                <w:b/>
                <w:bCs/>
                <w:szCs w:val="20"/>
              </w:rPr>
              <w:t>[95% CI]</w:t>
            </w:r>
          </w:p>
        </w:tc>
        <w:tc>
          <w:tcPr>
            <w:tcW w:w="648" w:type="pct"/>
            <w:vAlign w:val="center"/>
          </w:tcPr>
          <w:p w14:paraId="747FFDF6" w14:textId="77777777" w:rsidR="0061175D" w:rsidRPr="00B41982" w:rsidRDefault="0061175D" w:rsidP="00CC1644">
            <w:pPr>
              <w:pStyle w:val="Tabletext"/>
              <w:jc w:val="center"/>
              <w:rPr>
                <w:szCs w:val="20"/>
              </w:rPr>
            </w:pPr>
            <w:r w:rsidRPr="00B41982">
              <w:rPr>
                <w:b/>
                <w:bCs/>
                <w:szCs w:val="20"/>
              </w:rPr>
              <w:t>OR</w:t>
            </w:r>
          </w:p>
          <w:p w14:paraId="6D3EBA5B" w14:textId="77777777" w:rsidR="0061175D" w:rsidRPr="00B41982" w:rsidRDefault="0061175D" w:rsidP="00CC1644">
            <w:pPr>
              <w:pStyle w:val="Tabletext"/>
              <w:jc w:val="center"/>
              <w:rPr>
                <w:szCs w:val="20"/>
                <w:lang w:val="en-US"/>
              </w:rPr>
            </w:pPr>
            <w:r w:rsidRPr="00B41982">
              <w:rPr>
                <w:b/>
                <w:bCs/>
                <w:szCs w:val="20"/>
              </w:rPr>
              <w:t>[95% CI]</w:t>
            </w:r>
          </w:p>
        </w:tc>
        <w:tc>
          <w:tcPr>
            <w:tcW w:w="649" w:type="pct"/>
            <w:vAlign w:val="center"/>
          </w:tcPr>
          <w:p w14:paraId="1A8015CB" w14:textId="77777777" w:rsidR="0061175D" w:rsidRPr="00B41982" w:rsidRDefault="0061175D" w:rsidP="00CC1644">
            <w:pPr>
              <w:pStyle w:val="Tabletext"/>
              <w:jc w:val="center"/>
              <w:rPr>
                <w:b/>
                <w:bCs/>
                <w:szCs w:val="20"/>
                <w:lang w:val="en-US"/>
              </w:rPr>
            </w:pPr>
            <w:r w:rsidRPr="00B41982">
              <w:rPr>
                <w:b/>
                <w:bCs/>
                <w:szCs w:val="20"/>
                <w:lang w:val="en-US"/>
              </w:rPr>
              <w:t xml:space="preserve">RD, % </w:t>
            </w:r>
          </w:p>
          <w:p w14:paraId="3ED0D367" w14:textId="77777777" w:rsidR="0061175D" w:rsidRPr="00B41982" w:rsidRDefault="0061175D" w:rsidP="00CC1644">
            <w:pPr>
              <w:pStyle w:val="Tabletext"/>
              <w:jc w:val="center"/>
              <w:rPr>
                <w:szCs w:val="20"/>
                <w:lang w:val="en-US"/>
              </w:rPr>
            </w:pPr>
            <w:r w:rsidRPr="00B41982">
              <w:rPr>
                <w:b/>
                <w:bCs/>
                <w:szCs w:val="20"/>
                <w:lang w:val="en-US"/>
              </w:rPr>
              <w:t>[95% CI]</w:t>
            </w:r>
          </w:p>
        </w:tc>
      </w:tr>
      <w:tr w:rsidR="0061175D" w:rsidRPr="00B41982" w14:paraId="0DB8B8B3" w14:textId="77777777" w:rsidTr="00CC1644">
        <w:tc>
          <w:tcPr>
            <w:tcW w:w="5000" w:type="pct"/>
            <w:gridSpan w:val="8"/>
            <w:vAlign w:val="center"/>
          </w:tcPr>
          <w:p w14:paraId="139672A4" w14:textId="77777777" w:rsidR="0061175D" w:rsidRPr="00B41982" w:rsidRDefault="0061175D" w:rsidP="00CC1644">
            <w:pPr>
              <w:pStyle w:val="Tabletext"/>
              <w:rPr>
                <w:rFonts w:cs="Arial Narrow"/>
                <w:b/>
                <w:bCs/>
                <w:szCs w:val="20"/>
              </w:rPr>
            </w:pPr>
            <w:r w:rsidRPr="00B41982">
              <w:rPr>
                <w:rFonts w:cs="Arial Narrow"/>
                <w:b/>
                <w:bCs/>
                <w:szCs w:val="20"/>
              </w:rPr>
              <w:t>JADE COMPARE</w:t>
            </w:r>
          </w:p>
        </w:tc>
      </w:tr>
      <w:tr w:rsidR="0061175D" w:rsidRPr="00B41982" w14:paraId="5ACFC6CE" w14:textId="77777777" w:rsidTr="00B41982">
        <w:tc>
          <w:tcPr>
            <w:tcW w:w="548" w:type="pct"/>
            <w:vMerge w:val="restart"/>
            <w:vAlign w:val="center"/>
          </w:tcPr>
          <w:p w14:paraId="02926A92" w14:textId="77777777" w:rsidR="0061175D" w:rsidRPr="00B41982" w:rsidRDefault="0061175D" w:rsidP="00CC1644">
            <w:pPr>
              <w:pStyle w:val="Tabletext"/>
              <w:rPr>
                <w:rFonts w:eastAsiaTheme="majorEastAsia"/>
                <w:szCs w:val="20"/>
              </w:rPr>
            </w:pPr>
            <w:r w:rsidRPr="00B41982">
              <w:rPr>
                <w:rFonts w:eastAsiaTheme="majorEastAsia"/>
                <w:szCs w:val="20"/>
              </w:rPr>
              <w:t>IGA response</w:t>
            </w:r>
          </w:p>
          <w:p w14:paraId="460F17B7" w14:textId="77777777" w:rsidR="0061175D" w:rsidRPr="00B41982" w:rsidRDefault="0061175D" w:rsidP="00CC1644">
            <w:pPr>
              <w:pStyle w:val="Tabletext"/>
              <w:rPr>
                <w:rFonts w:eastAsiaTheme="majorEastAsia"/>
                <w:szCs w:val="20"/>
              </w:rPr>
            </w:pPr>
            <w:r w:rsidRPr="00B41982">
              <w:rPr>
                <w:rFonts w:eastAsiaTheme="majorEastAsia"/>
                <w:szCs w:val="20"/>
              </w:rPr>
              <w:t>Week 12</w:t>
            </w:r>
          </w:p>
        </w:tc>
        <w:tc>
          <w:tcPr>
            <w:tcW w:w="628" w:type="pct"/>
            <w:vAlign w:val="center"/>
          </w:tcPr>
          <w:p w14:paraId="4C0D958F" w14:textId="77777777" w:rsidR="0061175D" w:rsidRPr="00B41982" w:rsidRDefault="0061175D" w:rsidP="00CC1644">
            <w:pPr>
              <w:pStyle w:val="Tabletext"/>
              <w:jc w:val="center"/>
              <w:rPr>
                <w:rFonts w:eastAsiaTheme="majorEastAsia"/>
                <w:szCs w:val="20"/>
              </w:rPr>
            </w:pPr>
            <w:r w:rsidRPr="00B41982">
              <w:rPr>
                <w:rFonts w:eastAsiaTheme="majorEastAsia"/>
                <w:szCs w:val="20"/>
              </w:rPr>
              <w:t>86/235</w:t>
            </w:r>
          </w:p>
          <w:p w14:paraId="402F63C5" w14:textId="77777777" w:rsidR="0061175D" w:rsidRPr="00B41982" w:rsidRDefault="0061175D" w:rsidP="00CC1644">
            <w:pPr>
              <w:pStyle w:val="Tabletext"/>
              <w:jc w:val="center"/>
              <w:rPr>
                <w:rFonts w:eastAsiaTheme="majorEastAsia"/>
                <w:szCs w:val="20"/>
              </w:rPr>
            </w:pPr>
            <w:r w:rsidRPr="00B41982">
              <w:rPr>
                <w:rFonts w:eastAsiaTheme="majorEastAsia"/>
                <w:szCs w:val="20"/>
              </w:rPr>
              <w:t>(36.6)</w:t>
            </w:r>
          </w:p>
        </w:tc>
        <w:tc>
          <w:tcPr>
            <w:tcW w:w="629" w:type="pct"/>
            <w:vAlign w:val="center"/>
          </w:tcPr>
          <w:p w14:paraId="751347B7"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7FB33ECC" w14:textId="77777777" w:rsidR="0061175D" w:rsidRPr="00B41982" w:rsidRDefault="0061175D" w:rsidP="00CC1644">
            <w:pPr>
              <w:pStyle w:val="Tabletext"/>
              <w:jc w:val="center"/>
              <w:rPr>
                <w:rFonts w:eastAsiaTheme="majorEastAsia"/>
                <w:szCs w:val="20"/>
              </w:rPr>
            </w:pPr>
            <w:r w:rsidRPr="00B41982">
              <w:rPr>
                <w:rFonts w:eastAsiaTheme="majorEastAsia"/>
                <w:szCs w:val="20"/>
              </w:rPr>
              <w:t>88/241</w:t>
            </w:r>
          </w:p>
          <w:p w14:paraId="1A7D1A1D" w14:textId="77777777" w:rsidR="0061175D" w:rsidRPr="00B41982" w:rsidRDefault="0061175D" w:rsidP="00CC1644">
            <w:pPr>
              <w:pStyle w:val="Tabletext"/>
              <w:jc w:val="center"/>
              <w:rPr>
                <w:rFonts w:eastAsiaTheme="majorEastAsia"/>
                <w:szCs w:val="20"/>
              </w:rPr>
            </w:pPr>
            <w:r w:rsidRPr="00B41982">
              <w:rPr>
                <w:rFonts w:eastAsiaTheme="majorEastAsia"/>
                <w:szCs w:val="20"/>
              </w:rPr>
              <w:t>(36.5)</w:t>
            </w:r>
          </w:p>
        </w:tc>
        <w:tc>
          <w:tcPr>
            <w:tcW w:w="543" w:type="pct"/>
            <w:vAlign w:val="center"/>
          </w:tcPr>
          <w:p w14:paraId="4C5F83B4"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074C80F0" w14:textId="77777777" w:rsidR="0061175D" w:rsidRPr="00B41982" w:rsidRDefault="0061175D" w:rsidP="00CC1644">
            <w:pPr>
              <w:pStyle w:val="Tabletext"/>
              <w:jc w:val="center"/>
              <w:rPr>
                <w:rFonts w:eastAsiaTheme="majorEastAsia"/>
                <w:szCs w:val="20"/>
              </w:rPr>
            </w:pPr>
            <w:r w:rsidRPr="00B41982">
              <w:rPr>
                <w:rFonts w:eastAsiaTheme="majorEastAsia"/>
                <w:szCs w:val="20"/>
              </w:rPr>
              <w:t>1.00</w:t>
            </w:r>
          </w:p>
          <w:p w14:paraId="1CFB23EC" w14:textId="77777777" w:rsidR="0061175D" w:rsidRPr="00B41982" w:rsidRDefault="0061175D" w:rsidP="00CC1644">
            <w:pPr>
              <w:pStyle w:val="Tabletext"/>
              <w:jc w:val="center"/>
              <w:rPr>
                <w:rFonts w:eastAsiaTheme="majorEastAsia"/>
                <w:szCs w:val="20"/>
              </w:rPr>
            </w:pPr>
            <w:r w:rsidRPr="00B41982">
              <w:rPr>
                <w:rFonts w:eastAsiaTheme="majorEastAsia"/>
                <w:szCs w:val="20"/>
              </w:rPr>
              <w:t>[0.79, 1.27]</w:t>
            </w:r>
          </w:p>
        </w:tc>
        <w:tc>
          <w:tcPr>
            <w:tcW w:w="648" w:type="pct"/>
            <w:vAlign w:val="center"/>
          </w:tcPr>
          <w:p w14:paraId="699DD911" w14:textId="77777777" w:rsidR="0061175D" w:rsidRPr="00B41982" w:rsidRDefault="0061175D" w:rsidP="00CC1644">
            <w:pPr>
              <w:pStyle w:val="Tabletext"/>
              <w:jc w:val="center"/>
              <w:rPr>
                <w:szCs w:val="20"/>
              </w:rPr>
            </w:pPr>
            <w:r w:rsidRPr="00B41982">
              <w:rPr>
                <w:szCs w:val="20"/>
              </w:rPr>
              <w:t>1.00</w:t>
            </w:r>
          </w:p>
          <w:p w14:paraId="679D5430" w14:textId="77777777" w:rsidR="0061175D" w:rsidRPr="00B41982" w:rsidRDefault="0061175D" w:rsidP="00CC1644">
            <w:pPr>
              <w:pStyle w:val="Tabletext"/>
              <w:jc w:val="center"/>
              <w:rPr>
                <w:szCs w:val="20"/>
              </w:rPr>
            </w:pPr>
            <w:r w:rsidRPr="00B41982">
              <w:rPr>
                <w:szCs w:val="20"/>
              </w:rPr>
              <w:t>[0.69, 1.46]</w:t>
            </w:r>
          </w:p>
        </w:tc>
        <w:tc>
          <w:tcPr>
            <w:tcW w:w="649" w:type="pct"/>
            <w:vAlign w:val="center"/>
          </w:tcPr>
          <w:p w14:paraId="19B3AEAD" w14:textId="77777777" w:rsidR="0061175D" w:rsidRPr="00B41982" w:rsidRDefault="0061175D" w:rsidP="00CC1644">
            <w:pPr>
              <w:pStyle w:val="Tabletext"/>
              <w:jc w:val="center"/>
              <w:rPr>
                <w:rFonts w:eastAsiaTheme="majorEastAsia"/>
                <w:szCs w:val="20"/>
              </w:rPr>
            </w:pPr>
            <w:r w:rsidRPr="00B41982">
              <w:rPr>
                <w:rFonts w:eastAsiaTheme="majorEastAsia"/>
                <w:szCs w:val="20"/>
              </w:rPr>
              <w:t>0.05</w:t>
            </w:r>
          </w:p>
          <w:p w14:paraId="1D40D248" w14:textId="77777777" w:rsidR="0061175D" w:rsidRPr="00B41982" w:rsidRDefault="0061175D" w:rsidP="00CC1644">
            <w:pPr>
              <w:pStyle w:val="Tabletext"/>
              <w:jc w:val="center"/>
              <w:rPr>
                <w:rFonts w:eastAsiaTheme="majorEastAsia"/>
                <w:szCs w:val="20"/>
              </w:rPr>
            </w:pPr>
            <w:r w:rsidRPr="00B41982">
              <w:rPr>
                <w:rFonts w:eastAsiaTheme="majorEastAsia"/>
                <w:szCs w:val="20"/>
              </w:rPr>
              <w:t>[-8.0, 9.1]</w:t>
            </w:r>
          </w:p>
        </w:tc>
      </w:tr>
      <w:tr w:rsidR="0061175D" w:rsidRPr="00B41982" w14:paraId="401575A7" w14:textId="77777777" w:rsidTr="00B41982">
        <w:trPr>
          <w:trHeight w:val="431"/>
        </w:trPr>
        <w:tc>
          <w:tcPr>
            <w:tcW w:w="548" w:type="pct"/>
            <w:vMerge/>
            <w:vAlign w:val="center"/>
          </w:tcPr>
          <w:p w14:paraId="700AC4F2" w14:textId="77777777" w:rsidR="0061175D" w:rsidRPr="00B41982" w:rsidRDefault="0061175D" w:rsidP="00CC1644">
            <w:pPr>
              <w:pStyle w:val="Tabletext"/>
              <w:rPr>
                <w:rFonts w:eastAsiaTheme="majorEastAsia" w:cstheme="majorBidi"/>
                <w:bCs/>
                <w:szCs w:val="20"/>
              </w:rPr>
            </w:pPr>
          </w:p>
        </w:tc>
        <w:tc>
          <w:tcPr>
            <w:tcW w:w="628" w:type="pct"/>
            <w:vAlign w:val="center"/>
          </w:tcPr>
          <w:p w14:paraId="68325845"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6E713FAE" w14:textId="77777777" w:rsidR="0061175D" w:rsidRPr="00B41982" w:rsidRDefault="0061175D" w:rsidP="00CC1644">
            <w:pPr>
              <w:pStyle w:val="Tabletext"/>
              <w:jc w:val="center"/>
              <w:rPr>
                <w:rFonts w:eastAsiaTheme="majorEastAsia"/>
                <w:szCs w:val="20"/>
              </w:rPr>
            </w:pPr>
            <w:r w:rsidRPr="00B41982">
              <w:rPr>
                <w:rFonts w:eastAsiaTheme="majorEastAsia"/>
                <w:szCs w:val="20"/>
              </w:rPr>
              <w:t>106/219</w:t>
            </w:r>
          </w:p>
          <w:p w14:paraId="09A4F6A4" w14:textId="77777777" w:rsidR="0061175D" w:rsidRPr="00B41982" w:rsidRDefault="0061175D" w:rsidP="00CC1644">
            <w:pPr>
              <w:pStyle w:val="Tabletext"/>
              <w:jc w:val="center"/>
              <w:rPr>
                <w:rFonts w:eastAsiaTheme="majorEastAsia"/>
                <w:szCs w:val="20"/>
              </w:rPr>
            </w:pPr>
            <w:r w:rsidRPr="00B41982">
              <w:rPr>
                <w:rFonts w:eastAsiaTheme="majorEastAsia"/>
                <w:szCs w:val="20"/>
              </w:rPr>
              <w:t>(48.4)</w:t>
            </w:r>
          </w:p>
        </w:tc>
        <w:tc>
          <w:tcPr>
            <w:tcW w:w="707" w:type="pct"/>
            <w:vAlign w:val="center"/>
          </w:tcPr>
          <w:p w14:paraId="1896B1F2" w14:textId="77777777" w:rsidR="0061175D" w:rsidRPr="00B41982" w:rsidRDefault="0061175D" w:rsidP="00CC1644">
            <w:pPr>
              <w:pStyle w:val="Tabletext"/>
              <w:jc w:val="center"/>
              <w:rPr>
                <w:rFonts w:eastAsiaTheme="majorEastAsia"/>
                <w:szCs w:val="20"/>
              </w:rPr>
            </w:pPr>
            <w:r w:rsidRPr="00B41982">
              <w:rPr>
                <w:rFonts w:eastAsiaTheme="majorEastAsia"/>
                <w:szCs w:val="20"/>
              </w:rPr>
              <w:t>88/241</w:t>
            </w:r>
          </w:p>
          <w:p w14:paraId="68354583" w14:textId="77777777" w:rsidR="0061175D" w:rsidRPr="00B41982" w:rsidRDefault="0061175D" w:rsidP="00CC1644">
            <w:pPr>
              <w:pStyle w:val="Tabletext"/>
              <w:jc w:val="center"/>
              <w:rPr>
                <w:rFonts w:eastAsiaTheme="majorEastAsia"/>
                <w:szCs w:val="20"/>
              </w:rPr>
            </w:pPr>
            <w:r w:rsidRPr="00B41982">
              <w:rPr>
                <w:rFonts w:eastAsiaTheme="majorEastAsia"/>
                <w:szCs w:val="20"/>
              </w:rPr>
              <w:t>(36.5)</w:t>
            </w:r>
          </w:p>
        </w:tc>
        <w:tc>
          <w:tcPr>
            <w:tcW w:w="543" w:type="pct"/>
            <w:vAlign w:val="center"/>
          </w:tcPr>
          <w:p w14:paraId="5EB8A00F"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6BE147BF" w14:textId="77777777" w:rsidR="0061175D" w:rsidRPr="00B41982" w:rsidRDefault="0061175D" w:rsidP="00CC1644">
            <w:pPr>
              <w:pStyle w:val="Tabletext"/>
              <w:jc w:val="center"/>
              <w:rPr>
                <w:rFonts w:eastAsiaTheme="majorEastAsia"/>
                <w:szCs w:val="20"/>
              </w:rPr>
            </w:pPr>
            <w:r w:rsidRPr="00B41982">
              <w:rPr>
                <w:rFonts w:eastAsiaTheme="majorEastAsia"/>
                <w:szCs w:val="20"/>
              </w:rPr>
              <w:t>1.33</w:t>
            </w:r>
          </w:p>
          <w:p w14:paraId="3C8A6498" w14:textId="77777777" w:rsidR="0061175D" w:rsidRPr="00B41982" w:rsidRDefault="0061175D" w:rsidP="00CC1644">
            <w:pPr>
              <w:pStyle w:val="Tabletext"/>
              <w:jc w:val="center"/>
              <w:rPr>
                <w:rFonts w:eastAsiaTheme="majorEastAsia"/>
                <w:szCs w:val="20"/>
              </w:rPr>
            </w:pPr>
            <w:r w:rsidRPr="00B41982">
              <w:rPr>
                <w:rFonts w:eastAsiaTheme="majorEastAsia"/>
                <w:szCs w:val="20"/>
              </w:rPr>
              <w:t>[1.07, 1.64]</w:t>
            </w:r>
          </w:p>
        </w:tc>
        <w:tc>
          <w:tcPr>
            <w:tcW w:w="648" w:type="pct"/>
            <w:vAlign w:val="center"/>
          </w:tcPr>
          <w:p w14:paraId="2441FEF3" w14:textId="77777777" w:rsidR="0061175D" w:rsidRPr="00B41982" w:rsidRDefault="0061175D" w:rsidP="00CC1644">
            <w:pPr>
              <w:pStyle w:val="Tabletext"/>
              <w:jc w:val="center"/>
              <w:rPr>
                <w:szCs w:val="20"/>
              </w:rPr>
            </w:pPr>
            <w:r w:rsidRPr="00B41982">
              <w:rPr>
                <w:szCs w:val="20"/>
              </w:rPr>
              <w:t>1.63</w:t>
            </w:r>
          </w:p>
          <w:p w14:paraId="12DE810E" w14:textId="77777777" w:rsidR="0061175D" w:rsidRPr="00B41982" w:rsidRDefault="0061175D" w:rsidP="00CC1644">
            <w:pPr>
              <w:pStyle w:val="Tabletext"/>
              <w:jc w:val="center"/>
              <w:rPr>
                <w:szCs w:val="20"/>
              </w:rPr>
            </w:pPr>
            <w:r w:rsidRPr="00B41982">
              <w:rPr>
                <w:szCs w:val="20"/>
              </w:rPr>
              <w:t>[1.12, 2.37]</w:t>
            </w:r>
          </w:p>
        </w:tc>
        <w:tc>
          <w:tcPr>
            <w:tcW w:w="649" w:type="pct"/>
            <w:vAlign w:val="center"/>
          </w:tcPr>
          <w:p w14:paraId="7D09A237" w14:textId="77777777" w:rsidR="0061175D" w:rsidRPr="00B41982" w:rsidRDefault="0061175D" w:rsidP="00CC1644">
            <w:pPr>
              <w:pStyle w:val="Tabletext"/>
              <w:jc w:val="center"/>
              <w:rPr>
                <w:rFonts w:eastAsiaTheme="majorEastAsia"/>
                <w:szCs w:val="20"/>
              </w:rPr>
            </w:pPr>
            <w:r w:rsidRPr="00B41982">
              <w:rPr>
                <w:rFonts w:eastAsiaTheme="majorEastAsia"/>
                <w:szCs w:val="20"/>
              </w:rPr>
              <w:t>12.4</w:t>
            </w:r>
          </w:p>
          <w:p w14:paraId="75A117A8" w14:textId="77777777" w:rsidR="0061175D" w:rsidRPr="00B41982" w:rsidRDefault="0061175D" w:rsidP="00CC1644">
            <w:pPr>
              <w:pStyle w:val="Tabletext"/>
              <w:jc w:val="center"/>
              <w:rPr>
                <w:rFonts w:eastAsiaTheme="majorEastAsia"/>
                <w:szCs w:val="20"/>
              </w:rPr>
            </w:pPr>
            <w:r w:rsidRPr="00B41982">
              <w:rPr>
                <w:rFonts w:eastAsiaTheme="majorEastAsia"/>
                <w:szCs w:val="20"/>
              </w:rPr>
              <w:t>[3.5, 21.3]</w:t>
            </w:r>
          </w:p>
        </w:tc>
      </w:tr>
      <w:tr w:rsidR="0061175D" w:rsidRPr="00B41982" w14:paraId="0E2789C5" w14:textId="77777777" w:rsidTr="00B41982">
        <w:tc>
          <w:tcPr>
            <w:tcW w:w="548" w:type="pct"/>
            <w:vMerge/>
            <w:vAlign w:val="center"/>
          </w:tcPr>
          <w:p w14:paraId="124F579F" w14:textId="77777777" w:rsidR="0061175D" w:rsidRPr="00B41982" w:rsidRDefault="0061175D" w:rsidP="00CC1644">
            <w:pPr>
              <w:pStyle w:val="Tabletext"/>
              <w:rPr>
                <w:rFonts w:eastAsiaTheme="majorEastAsia" w:cstheme="majorBidi"/>
                <w:bCs/>
                <w:szCs w:val="20"/>
              </w:rPr>
            </w:pPr>
          </w:p>
        </w:tc>
        <w:tc>
          <w:tcPr>
            <w:tcW w:w="628" w:type="pct"/>
            <w:vAlign w:val="center"/>
          </w:tcPr>
          <w:p w14:paraId="08E11AF9"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3ED47C61"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78B4585F"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543" w:type="pct"/>
            <w:vAlign w:val="center"/>
          </w:tcPr>
          <w:p w14:paraId="39AF2B20" w14:textId="77777777" w:rsidR="0061175D" w:rsidRPr="00B41982" w:rsidRDefault="0061175D" w:rsidP="00CC1644">
            <w:pPr>
              <w:pStyle w:val="Tabletext"/>
              <w:jc w:val="center"/>
              <w:rPr>
                <w:rFonts w:eastAsiaTheme="majorEastAsia"/>
                <w:szCs w:val="20"/>
              </w:rPr>
            </w:pPr>
            <w:r w:rsidRPr="00B41982">
              <w:rPr>
                <w:rFonts w:eastAsiaTheme="majorEastAsia"/>
                <w:szCs w:val="20"/>
              </w:rPr>
              <w:t>18/129</w:t>
            </w:r>
          </w:p>
          <w:p w14:paraId="101632C9" w14:textId="77777777" w:rsidR="0061175D" w:rsidRPr="00B41982" w:rsidRDefault="0061175D" w:rsidP="00CC1644">
            <w:pPr>
              <w:pStyle w:val="Tabletext"/>
              <w:jc w:val="center"/>
              <w:rPr>
                <w:rFonts w:eastAsiaTheme="majorEastAsia"/>
                <w:szCs w:val="20"/>
              </w:rPr>
            </w:pPr>
            <w:r w:rsidRPr="00B41982">
              <w:rPr>
                <w:rFonts w:eastAsiaTheme="majorEastAsia"/>
                <w:szCs w:val="20"/>
              </w:rPr>
              <w:t>(14.0)</w:t>
            </w:r>
          </w:p>
        </w:tc>
        <w:tc>
          <w:tcPr>
            <w:tcW w:w="648" w:type="pct"/>
            <w:vAlign w:val="center"/>
          </w:tcPr>
          <w:p w14:paraId="3EA6F96C"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26BB8B1D"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9" w:type="pct"/>
            <w:vAlign w:val="center"/>
          </w:tcPr>
          <w:p w14:paraId="03D49A13"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r>
      <w:tr w:rsidR="0061175D" w:rsidRPr="00B41982" w14:paraId="50FC21A4" w14:textId="77777777" w:rsidTr="00B41982">
        <w:tc>
          <w:tcPr>
            <w:tcW w:w="548" w:type="pct"/>
            <w:vMerge w:val="restart"/>
            <w:vAlign w:val="center"/>
          </w:tcPr>
          <w:p w14:paraId="1DDD0D41"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EASI75</w:t>
            </w:r>
          </w:p>
          <w:p w14:paraId="4452436A"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Week 12</w:t>
            </w:r>
          </w:p>
        </w:tc>
        <w:tc>
          <w:tcPr>
            <w:tcW w:w="628" w:type="pct"/>
            <w:vAlign w:val="center"/>
          </w:tcPr>
          <w:p w14:paraId="22F11A51" w14:textId="77777777" w:rsidR="0061175D" w:rsidRPr="00B41982" w:rsidRDefault="0061175D" w:rsidP="00CC1644">
            <w:pPr>
              <w:pStyle w:val="Tabletext"/>
              <w:jc w:val="center"/>
              <w:rPr>
                <w:rFonts w:eastAsiaTheme="majorEastAsia"/>
                <w:szCs w:val="20"/>
              </w:rPr>
            </w:pPr>
            <w:r w:rsidRPr="00B41982">
              <w:rPr>
                <w:rFonts w:eastAsiaTheme="majorEastAsia"/>
                <w:szCs w:val="20"/>
              </w:rPr>
              <w:t>138/235</w:t>
            </w:r>
          </w:p>
          <w:p w14:paraId="168B62FB" w14:textId="77777777" w:rsidR="0061175D" w:rsidRPr="00B41982" w:rsidRDefault="0061175D" w:rsidP="00CC1644">
            <w:pPr>
              <w:pStyle w:val="Tabletext"/>
              <w:jc w:val="center"/>
              <w:rPr>
                <w:rFonts w:eastAsiaTheme="majorEastAsia"/>
                <w:szCs w:val="20"/>
              </w:rPr>
            </w:pPr>
            <w:r w:rsidRPr="00B41982">
              <w:rPr>
                <w:rFonts w:eastAsiaTheme="majorEastAsia"/>
                <w:szCs w:val="20"/>
              </w:rPr>
              <w:t>(58.7)</w:t>
            </w:r>
          </w:p>
        </w:tc>
        <w:tc>
          <w:tcPr>
            <w:tcW w:w="629" w:type="pct"/>
            <w:vAlign w:val="center"/>
          </w:tcPr>
          <w:p w14:paraId="7C60EA95"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2D144732" w14:textId="77777777" w:rsidR="0061175D" w:rsidRPr="00B41982" w:rsidRDefault="0061175D" w:rsidP="00CC1644">
            <w:pPr>
              <w:pStyle w:val="Tabletext"/>
              <w:jc w:val="center"/>
              <w:rPr>
                <w:rFonts w:eastAsiaTheme="majorEastAsia"/>
                <w:szCs w:val="20"/>
              </w:rPr>
            </w:pPr>
            <w:r w:rsidRPr="00B41982">
              <w:rPr>
                <w:rFonts w:eastAsiaTheme="majorEastAsia"/>
                <w:szCs w:val="20"/>
              </w:rPr>
              <w:t>140/241</w:t>
            </w:r>
          </w:p>
          <w:p w14:paraId="7DFC26BF" w14:textId="77777777" w:rsidR="0061175D" w:rsidRPr="00B41982" w:rsidRDefault="0061175D" w:rsidP="00CC1644">
            <w:pPr>
              <w:pStyle w:val="Tabletext"/>
              <w:jc w:val="center"/>
              <w:rPr>
                <w:rFonts w:eastAsiaTheme="majorEastAsia"/>
                <w:szCs w:val="20"/>
              </w:rPr>
            </w:pPr>
            <w:r w:rsidRPr="00B41982">
              <w:rPr>
                <w:rFonts w:eastAsiaTheme="majorEastAsia"/>
                <w:szCs w:val="20"/>
              </w:rPr>
              <w:t>(58.1)</w:t>
            </w:r>
          </w:p>
        </w:tc>
        <w:tc>
          <w:tcPr>
            <w:tcW w:w="543" w:type="pct"/>
            <w:vAlign w:val="center"/>
          </w:tcPr>
          <w:p w14:paraId="4D676891"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13237432" w14:textId="77777777" w:rsidR="0061175D" w:rsidRPr="00B41982" w:rsidRDefault="0061175D" w:rsidP="00CC1644">
            <w:pPr>
              <w:pStyle w:val="Tabletext"/>
              <w:jc w:val="center"/>
              <w:rPr>
                <w:rFonts w:eastAsiaTheme="majorEastAsia"/>
                <w:szCs w:val="20"/>
              </w:rPr>
            </w:pPr>
            <w:r w:rsidRPr="00B41982">
              <w:rPr>
                <w:rFonts w:eastAsiaTheme="majorEastAsia"/>
                <w:szCs w:val="20"/>
              </w:rPr>
              <w:t>1.01</w:t>
            </w:r>
          </w:p>
          <w:p w14:paraId="522D5CC2" w14:textId="77777777" w:rsidR="0061175D" w:rsidRPr="00B41982" w:rsidRDefault="0061175D" w:rsidP="00CC1644">
            <w:pPr>
              <w:pStyle w:val="Tabletext"/>
              <w:jc w:val="center"/>
              <w:rPr>
                <w:rFonts w:eastAsiaTheme="majorEastAsia"/>
                <w:szCs w:val="20"/>
              </w:rPr>
            </w:pPr>
            <w:r w:rsidRPr="00B41982">
              <w:rPr>
                <w:rFonts w:eastAsiaTheme="majorEastAsia"/>
                <w:szCs w:val="20"/>
              </w:rPr>
              <w:t>[0.87, 1.18]</w:t>
            </w:r>
          </w:p>
        </w:tc>
        <w:tc>
          <w:tcPr>
            <w:tcW w:w="648" w:type="pct"/>
            <w:vAlign w:val="center"/>
          </w:tcPr>
          <w:p w14:paraId="314C59F7" w14:textId="77777777" w:rsidR="0061175D" w:rsidRPr="00B41982" w:rsidRDefault="0061175D" w:rsidP="00CC1644">
            <w:pPr>
              <w:pStyle w:val="Tabletext"/>
              <w:jc w:val="center"/>
              <w:rPr>
                <w:szCs w:val="20"/>
              </w:rPr>
            </w:pPr>
            <w:r w:rsidRPr="00B41982">
              <w:rPr>
                <w:szCs w:val="20"/>
              </w:rPr>
              <w:t>1.03</w:t>
            </w:r>
          </w:p>
          <w:p w14:paraId="59242A40" w14:textId="77777777" w:rsidR="0061175D" w:rsidRPr="00B41982" w:rsidRDefault="0061175D" w:rsidP="00CC1644">
            <w:pPr>
              <w:pStyle w:val="Tabletext"/>
              <w:jc w:val="center"/>
              <w:rPr>
                <w:rFonts w:eastAsiaTheme="majorEastAsia"/>
                <w:szCs w:val="20"/>
              </w:rPr>
            </w:pPr>
            <w:r w:rsidRPr="00B41982">
              <w:rPr>
                <w:szCs w:val="20"/>
              </w:rPr>
              <w:t>[0.71, 1.48]</w:t>
            </w:r>
          </w:p>
        </w:tc>
        <w:tc>
          <w:tcPr>
            <w:tcW w:w="649" w:type="pct"/>
            <w:vAlign w:val="center"/>
          </w:tcPr>
          <w:p w14:paraId="1B85200B" w14:textId="77777777" w:rsidR="00312DE3" w:rsidRDefault="0061175D" w:rsidP="00CC1644">
            <w:pPr>
              <w:pStyle w:val="Tabletext"/>
              <w:jc w:val="center"/>
              <w:rPr>
                <w:rFonts w:eastAsiaTheme="majorEastAsia"/>
                <w:szCs w:val="20"/>
              </w:rPr>
            </w:pPr>
            <w:r w:rsidRPr="00B41982">
              <w:rPr>
                <w:rFonts w:eastAsiaTheme="majorEastAsia"/>
                <w:szCs w:val="20"/>
              </w:rPr>
              <w:t xml:space="preserve">0.8 </w:t>
            </w:r>
          </w:p>
          <w:p w14:paraId="5B75CB11" w14:textId="0BC18E84" w:rsidR="0061175D" w:rsidRPr="00B41982" w:rsidRDefault="0061175D" w:rsidP="00CC1644">
            <w:pPr>
              <w:pStyle w:val="Tabletext"/>
              <w:jc w:val="center"/>
              <w:rPr>
                <w:rFonts w:eastAsiaTheme="majorEastAsia"/>
                <w:szCs w:val="20"/>
              </w:rPr>
            </w:pPr>
            <w:r w:rsidRPr="00B41982">
              <w:rPr>
                <w:rFonts w:eastAsiaTheme="majorEastAsia"/>
                <w:szCs w:val="20"/>
              </w:rPr>
              <w:t>[-8.1, 9.6]</w:t>
            </w:r>
          </w:p>
        </w:tc>
      </w:tr>
      <w:tr w:rsidR="0061175D" w:rsidRPr="00B41982" w14:paraId="3523ACCD" w14:textId="77777777" w:rsidTr="00B41982">
        <w:tc>
          <w:tcPr>
            <w:tcW w:w="548" w:type="pct"/>
            <w:vMerge/>
            <w:vAlign w:val="center"/>
          </w:tcPr>
          <w:p w14:paraId="73A381F1" w14:textId="77777777" w:rsidR="0061175D" w:rsidRPr="00B41982" w:rsidRDefault="0061175D" w:rsidP="00CC1644">
            <w:pPr>
              <w:pStyle w:val="Tabletext"/>
              <w:rPr>
                <w:rFonts w:eastAsiaTheme="majorEastAsia" w:cstheme="majorBidi"/>
                <w:bCs/>
                <w:szCs w:val="20"/>
              </w:rPr>
            </w:pPr>
          </w:p>
        </w:tc>
        <w:tc>
          <w:tcPr>
            <w:tcW w:w="628" w:type="pct"/>
            <w:vAlign w:val="center"/>
          </w:tcPr>
          <w:p w14:paraId="62BCF3EF"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05E6FB8F" w14:textId="77777777" w:rsidR="0061175D" w:rsidRPr="00B41982" w:rsidRDefault="0061175D" w:rsidP="00CC1644">
            <w:pPr>
              <w:pStyle w:val="Tabletext"/>
              <w:jc w:val="center"/>
              <w:rPr>
                <w:rFonts w:eastAsiaTheme="majorEastAsia"/>
                <w:szCs w:val="20"/>
              </w:rPr>
            </w:pPr>
            <w:r w:rsidRPr="00B41982">
              <w:rPr>
                <w:rFonts w:eastAsiaTheme="majorEastAsia"/>
                <w:szCs w:val="20"/>
              </w:rPr>
              <w:t>154/219</w:t>
            </w:r>
          </w:p>
          <w:p w14:paraId="094D475D" w14:textId="77777777" w:rsidR="0061175D" w:rsidRPr="00B41982" w:rsidRDefault="0061175D" w:rsidP="00CC1644">
            <w:pPr>
              <w:pStyle w:val="Tabletext"/>
              <w:jc w:val="center"/>
              <w:rPr>
                <w:rFonts w:eastAsiaTheme="majorEastAsia"/>
                <w:szCs w:val="20"/>
              </w:rPr>
            </w:pPr>
            <w:r w:rsidRPr="00B41982">
              <w:rPr>
                <w:rFonts w:eastAsiaTheme="majorEastAsia"/>
                <w:szCs w:val="20"/>
              </w:rPr>
              <w:t>(70.3)</w:t>
            </w:r>
          </w:p>
        </w:tc>
        <w:tc>
          <w:tcPr>
            <w:tcW w:w="707" w:type="pct"/>
            <w:vAlign w:val="center"/>
          </w:tcPr>
          <w:p w14:paraId="74B766EA" w14:textId="77777777" w:rsidR="0061175D" w:rsidRPr="00B41982" w:rsidRDefault="0061175D" w:rsidP="00CC1644">
            <w:pPr>
              <w:pStyle w:val="Tabletext"/>
              <w:jc w:val="center"/>
              <w:rPr>
                <w:rFonts w:eastAsiaTheme="majorEastAsia"/>
                <w:szCs w:val="20"/>
              </w:rPr>
            </w:pPr>
            <w:r w:rsidRPr="00B41982">
              <w:rPr>
                <w:rFonts w:eastAsiaTheme="majorEastAsia"/>
                <w:szCs w:val="20"/>
              </w:rPr>
              <w:t>140/241</w:t>
            </w:r>
          </w:p>
          <w:p w14:paraId="3AF41EB0" w14:textId="77777777" w:rsidR="0061175D" w:rsidRPr="00B41982" w:rsidRDefault="0061175D" w:rsidP="00CC1644">
            <w:pPr>
              <w:pStyle w:val="Tabletext"/>
              <w:jc w:val="center"/>
              <w:rPr>
                <w:rFonts w:eastAsiaTheme="majorEastAsia"/>
                <w:szCs w:val="20"/>
              </w:rPr>
            </w:pPr>
            <w:r w:rsidRPr="00B41982">
              <w:rPr>
                <w:rFonts w:eastAsiaTheme="majorEastAsia"/>
                <w:szCs w:val="20"/>
              </w:rPr>
              <w:t>(58.1)</w:t>
            </w:r>
          </w:p>
        </w:tc>
        <w:tc>
          <w:tcPr>
            <w:tcW w:w="543" w:type="pct"/>
            <w:vAlign w:val="center"/>
          </w:tcPr>
          <w:p w14:paraId="424A0D32"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2DE9070A" w14:textId="77777777" w:rsidR="0061175D" w:rsidRPr="00B41982" w:rsidRDefault="0061175D" w:rsidP="00CC1644">
            <w:pPr>
              <w:pStyle w:val="Tabletext"/>
              <w:jc w:val="center"/>
              <w:rPr>
                <w:rFonts w:eastAsiaTheme="majorEastAsia"/>
                <w:szCs w:val="20"/>
              </w:rPr>
            </w:pPr>
            <w:r w:rsidRPr="00B41982">
              <w:rPr>
                <w:rFonts w:eastAsiaTheme="majorEastAsia"/>
                <w:szCs w:val="20"/>
              </w:rPr>
              <w:t>1.21</w:t>
            </w:r>
          </w:p>
          <w:p w14:paraId="5FBFD63C" w14:textId="77777777" w:rsidR="0061175D" w:rsidRPr="00B41982" w:rsidRDefault="0061175D" w:rsidP="00CC1644">
            <w:pPr>
              <w:pStyle w:val="Tabletext"/>
              <w:jc w:val="center"/>
              <w:rPr>
                <w:rFonts w:eastAsiaTheme="majorEastAsia"/>
                <w:szCs w:val="20"/>
              </w:rPr>
            </w:pPr>
            <w:r w:rsidRPr="00B41982">
              <w:rPr>
                <w:rFonts w:eastAsiaTheme="majorEastAsia"/>
                <w:szCs w:val="20"/>
              </w:rPr>
              <w:t>[1.06, 1.39]</w:t>
            </w:r>
          </w:p>
        </w:tc>
        <w:tc>
          <w:tcPr>
            <w:tcW w:w="648" w:type="pct"/>
            <w:vAlign w:val="center"/>
          </w:tcPr>
          <w:p w14:paraId="5D8AA033" w14:textId="77777777" w:rsidR="0061175D" w:rsidRPr="00B41982" w:rsidRDefault="0061175D" w:rsidP="00CC1644">
            <w:pPr>
              <w:pStyle w:val="Tabletext"/>
              <w:jc w:val="center"/>
              <w:rPr>
                <w:szCs w:val="20"/>
              </w:rPr>
            </w:pPr>
            <w:r w:rsidRPr="00B41982">
              <w:rPr>
                <w:szCs w:val="20"/>
              </w:rPr>
              <w:t>1.71</w:t>
            </w:r>
          </w:p>
          <w:p w14:paraId="2A30ADA7" w14:textId="77777777" w:rsidR="0061175D" w:rsidRPr="00B41982" w:rsidRDefault="0061175D" w:rsidP="00CC1644">
            <w:pPr>
              <w:pStyle w:val="Tabletext"/>
              <w:jc w:val="center"/>
              <w:rPr>
                <w:rFonts w:eastAsiaTheme="majorEastAsia"/>
                <w:szCs w:val="20"/>
              </w:rPr>
            </w:pPr>
            <w:r w:rsidRPr="00B41982">
              <w:rPr>
                <w:szCs w:val="20"/>
              </w:rPr>
              <w:t>[1.16, 2.52]</w:t>
            </w:r>
          </w:p>
        </w:tc>
        <w:tc>
          <w:tcPr>
            <w:tcW w:w="649" w:type="pct"/>
            <w:vAlign w:val="center"/>
          </w:tcPr>
          <w:p w14:paraId="2882B371" w14:textId="77777777" w:rsidR="0061175D" w:rsidRPr="00B41982" w:rsidRDefault="0061175D" w:rsidP="00CC1644">
            <w:pPr>
              <w:pStyle w:val="Tabletext"/>
              <w:jc w:val="center"/>
              <w:rPr>
                <w:rFonts w:eastAsiaTheme="majorEastAsia"/>
                <w:szCs w:val="20"/>
              </w:rPr>
            </w:pPr>
            <w:r w:rsidRPr="00B41982">
              <w:rPr>
                <w:rFonts w:eastAsiaTheme="majorEastAsia"/>
                <w:szCs w:val="20"/>
              </w:rPr>
              <w:t>12.0</w:t>
            </w:r>
          </w:p>
          <w:p w14:paraId="392AAC60" w14:textId="77777777" w:rsidR="0061175D" w:rsidRPr="00B41982" w:rsidRDefault="0061175D" w:rsidP="00CC1644">
            <w:pPr>
              <w:pStyle w:val="Tabletext"/>
              <w:jc w:val="center"/>
              <w:rPr>
                <w:rFonts w:eastAsiaTheme="majorEastAsia"/>
                <w:szCs w:val="20"/>
              </w:rPr>
            </w:pPr>
            <w:r w:rsidRPr="00B41982">
              <w:rPr>
                <w:rFonts w:eastAsiaTheme="majorEastAsia"/>
                <w:szCs w:val="20"/>
              </w:rPr>
              <w:t>[2.8, 20.2]</w:t>
            </w:r>
          </w:p>
        </w:tc>
      </w:tr>
      <w:tr w:rsidR="0061175D" w:rsidRPr="00B41982" w14:paraId="35637AEB" w14:textId="77777777" w:rsidTr="00B41982">
        <w:tc>
          <w:tcPr>
            <w:tcW w:w="548" w:type="pct"/>
            <w:vMerge/>
            <w:vAlign w:val="center"/>
          </w:tcPr>
          <w:p w14:paraId="34A90AB7" w14:textId="77777777" w:rsidR="0061175D" w:rsidRPr="00B41982" w:rsidRDefault="0061175D" w:rsidP="00CC1644">
            <w:pPr>
              <w:pStyle w:val="Tabletext"/>
              <w:rPr>
                <w:rFonts w:eastAsiaTheme="majorEastAsia" w:cstheme="majorBidi"/>
                <w:bCs/>
                <w:szCs w:val="20"/>
              </w:rPr>
            </w:pPr>
          </w:p>
        </w:tc>
        <w:tc>
          <w:tcPr>
            <w:tcW w:w="628" w:type="pct"/>
            <w:vAlign w:val="center"/>
          </w:tcPr>
          <w:p w14:paraId="540CEAF1"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0E9DFEF0"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5E49F96E"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543" w:type="pct"/>
            <w:vAlign w:val="center"/>
          </w:tcPr>
          <w:p w14:paraId="56F2CC4C" w14:textId="77777777" w:rsidR="0061175D" w:rsidRPr="00B41982" w:rsidRDefault="0061175D" w:rsidP="00CC1644">
            <w:pPr>
              <w:pStyle w:val="Tabletext"/>
              <w:jc w:val="center"/>
              <w:rPr>
                <w:rFonts w:eastAsiaTheme="majorEastAsia"/>
                <w:szCs w:val="20"/>
              </w:rPr>
            </w:pPr>
            <w:r w:rsidRPr="00B41982">
              <w:rPr>
                <w:rFonts w:eastAsiaTheme="majorEastAsia"/>
                <w:szCs w:val="20"/>
              </w:rPr>
              <w:t>35/129</w:t>
            </w:r>
          </w:p>
          <w:p w14:paraId="3B94698F" w14:textId="77777777" w:rsidR="0061175D" w:rsidRPr="00B41982" w:rsidRDefault="0061175D" w:rsidP="00CC1644">
            <w:pPr>
              <w:pStyle w:val="Tabletext"/>
              <w:jc w:val="center"/>
              <w:rPr>
                <w:rFonts w:eastAsiaTheme="majorEastAsia"/>
                <w:szCs w:val="20"/>
              </w:rPr>
            </w:pPr>
            <w:r w:rsidRPr="00B41982">
              <w:rPr>
                <w:rFonts w:eastAsiaTheme="majorEastAsia"/>
                <w:szCs w:val="20"/>
              </w:rPr>
              <w:t>(27.1)</w:t>
            </w:r>
          </w:p>
        </w:tc>
        <w:tc>
          <w:tcPr>
            <w:tcW w:w="648" w:type="pct"/>
            <w:vAlign w:val="center"/>
          </w:tcPr>
          <w:p w14:paraId="47A266A5"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3C489DA9"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9" w:type="pct"/>
            <w:vAlign w:val="center"/>
          </w:tcPr>
          <w:p w14:paraId="48D52E71"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r>
      <w:tr w:rsidR="0061175D" w:rsidRPr="00B41982" w14:paraId="1D8867CD" w14:textId="77777777" w:rsidTr="00B41982">
        <w:trPr>
          <w:trHeight w:val="605"/>
        </w:trPr>
        <w:tc>
          <w:tcPr>
            <w:tcW w:w="548" w:type="pct"/>
            <w:vMerge w:val="restart"/>
            <w:vAlign w:val="center"/>
          </w:tcPr>
          <w:p w14:paraId="446F695B"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PP-NRS4</w:t>
            </w:r>
          </w:p>
          <w:p w14:paraId="012995B0"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Week 2</w:t>
            </w:r>
          </w:p>
        </w:tc>
        <w:tc>
          <w:tcPr>
            <w:tcW w:w="628" w:type="pct"/>
            <w:vAlign w:val="center"/>
          </w:tcPr>
          <w:p w14:paraId="33603B4F" w14:textId="77777777" w:rsidR="0061175D" w:rsidRPr="00B41982" w:rsidRDefault="0061175D" w:rsidP="00CC1644">
            <w:pPr>
              <w:pStyle w:val="Tabletext"/>
              <w:jc w:val="center"/>
              <w:rPr>
                <w:rFonts w:eastAsiaTheme="majorEastAsia"/>
                <w:szCs w:val="20"/>
              </w:rPr>
            </w:pPr>
            <w:r w:rsidRPr="00B41982">
              <w:rPr>
                <w:rFonts w:eastAsiaTheme="majorEastAsia"/>
                <w:szCs w:val="20"/>
              </w:rPr>
              <w:t>75/236</w:t>
            </w:r>
          </w:p>
          <w:p w14:paraId="0DD00C49" w14:textId="77777777" w:rsidR="0061175D" w:rsidRPr="00B41982" w:rsidRDefault="0061175D" w:rsidP="00CC1644">
            <w:pPr>
              <w:pStyle w:val="Tabletext"/>
              <w:jc w:val="center"/>
              <w:rPr>
                <w:rFonts w:eastAsiaTheme="majorEastAsia"/>
                <w:szCs w:val="20"/>
              </w:rPr>
            </w:pPr>
            <w:r w:rsidRPr="00B41982">
              <w:rPr>
                <w:rFonts w:eastAsiaTheme="majorEastAsia"/>
                <w:szCs w:val="20"/>
              </w:rPr>
              <w:t>(31.8)</w:t>
            </w:r>
          </w:p>
        </w:tc>
        <w:tc>
          <w:tcPr>
            <w:tcW w:w="629" w:type="pct"/>
            <w:vAlign w:val="center"/>
          </w:tcPr>
          <w:p w14:paraId="01740F8C"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5C852079" w14:textId="77777777" w:rsidR="0061175D" w:rsidRPr="00B41982" w:rsidRDefault="0061175D" w:rsidP="00CC1644">
            <w:pPr>
              <w:pStyle w:val="Tabletext"/>
              <w:jc w:val="center"/>
              <w:rPr>
                <w:rFonts w:eastAsiaTheme="majorEastAsia"/>
                <w:szCs w:val="20"/>
              </w:rPr>
            </w:pPr>
            <w:r w:rsidRPr="00B41982">
              <w:rPr>
                <w:rFonts w:eastAsiaTheme="majorEastAsia"/>
                <w:szCs w:val="20"/>
              </w:rPr>
              <w:t>63/239</w:t>
            </w:r>
          </w:p>
          <w:p w14:paraId="7A3BA366" w14:textId="77777777" w:rsidR="0061175D" w:rsidRPr="00B41982" w:rsidRDefault="0061175D" w:rsidP="00CC1644">
            <w:pPr>
              <w:pStyle w:val="Tabletext"/>
              <w:jc w:val="center"/>
              <w:rPr>
                <w:rFonts w:eastAsiaTheme="majorEastAsia"/>
                <w:szCs w:val="20"/>
              </w:rPr>
            </w:pPr>
            <w:r w:rsidRPr="00B41982">
              <w:rPr>
                <w:rFonts w:eastAsiaTheme="majorEastAsia"/>
                <w:szCs w:val="20"/>
              </w:rPr>
              <w:t>(26.4)</w:t>
            </w:r>
          </w:p>
        </w:tc>
        <w:tc>
          <w:tcPr>
            <w:tcW w:w="543" w:type="pct"/>
            <w:vAlign w:val="center"/>
          </w:tcPr>
          <w:p w14:paraId="5CF88128"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447FB42C" w14:textId="77777777" w:rsidR="0061175D" w:rsidRPr="00B41982" w:rsidRDefault="0061175D" w:rsidP="00CC1644">
            <w:pPr>
              <w:pStyle w:val="Tabletext"/>
              <w:jc w:val="center"/>
              <w:rPr>
                <w:rFonts w:eastAsiaTheme="majorEastAsia"/>
                <w:szCs w:val="20"/>
              </w:rPr>
            </w:pPr>
            <w:r w:rsidRPr="00B41982">
              <w:rPr>
                <w:rFonts w:eastAsiaTheme="majorEastAsia"/>
                <w:szCs w:val="20"/>
              </w:rPr>
              <w:t>1.21</w:t>
            </w:r>
          </w:p>
          <w:p w14:paraId="722FD140" w14:textId="77777777" w:rsidR="0061175D" w:rsidRPr="00B41982" w:rsidRDefault="0061175D" w:rsidP="00CC1644">
            <w:pPr>
              <w:pStyle w:val="Tabletext"/>
              <w:jc w:val="center"/>
              <w:rPr>
                <w:rFonts w:eastAsiaTheme="majorEastAsia"/>
                <w:szCs w:val="20"/>
              </w:rPr>
            </w:pPr>
            <w:r w:rsidRPr="00B41982">
              <w:rPr>
                <w:rFonts w:eastAsiaTheme="majorEastAsia"/>
                <w:szCs w:val="20"/>
              </w:rPr>
              <w:t>[0.91, 1.60]</w:t>
            </w:r>
          </w:p>
        </w:tc>
        <w:tc>
          <w:tcPr>
            <w:tcW w:w="648" w:type="pct"/>
            <w:vAlign w:val="center"/>
          </w:tcPr>
          <w:p w14:paraId="2F7B7937" w14:textId="77777777" w:rsidR="0061175D" w:rsidRPr="00B41982" w:rsidRDefault="0061175D" w:rsidP="00CC1644">
            <w:pPr>
              <w:pStyle w:val="Tabletext"/>
              <w:jc w:val="center"/>
              <w:rPr>
                <w:szCs w:val="20"/>
              </w:rPr>
            </w:pPr>
            <w:r w:rsidRPr="00B41982">
              <w:rPr>
                <w:szCs w:val="20"/>
              </w:rPr>
              <w:t>1.30</w:t>
            </w:r>
          </w:p>
          <w:p w14:paraId="2EE5FB4A" w14:textId="77777777" w:rsidR="0061175D" w:rsidRPr="00B41982" w:rsidRDefault="0061175D" w:rsidP="00CC1644">
            <w:pPr>
              <w:pStyle w:val="Tabletext"/>
              <w:jc w:val="center"/>
              <w:rPr>
                <w:rFonts w:eastAsiaTheme="majorEastAsia"/>
                <w:szCs w:val="20"/>
              </w:rPr>
            </w:pPr>
            <w:r w:rsidRPr="00B41982">
              <w:rPr>
                <w:szCs w:val="20"/>
              </w:rPr>
              <w:t>[0.87, 1.94]</w:t>
            </w:r>
          </w:p>
        </w:tc>
        <w:tc>
          <w:tcPr>
            <w:tcW w:w="649" w:type="pct"/>
            <w:vAlign w:val="center"/>
          </w:tcPr>
          <w:p w14:paraId="47E60439" w14:textId="77777777" w:rsidR="0061175D" w:rsidRPr="00B41982" w:rsidRDefault="0061175D" w:rsidP="00CC1644">
            <w:pPr>
              <w:pStyle w:val="Tabletext"/>
              <w:jc w:val="center"/>
              <w:rPr>
                <w:rFonts w:eastAsiaTheme="majorEastAsia"/>
                <w:szCs w:val="20"/>
              </w:rPr>
            </w:pPr>
            <w:r w:rsidRPr="00B41982">
              <w:rPr>
                <w:rFonts w:eastAsiaTheme="majorEastAsia"/>
                <w:szCs w:val="20"/>
              </w:rPr>
              <w:t>5.2</w:t>
            </w:r>
          </w:p>
          <w:p w14:paraId="5E3CDD57" w14:textId="77777777" w:rsidR="0061175D" w:rsidRPr="00B41982" w:rsidRDefault="0061175D" w:rsidP="00CC1644">
            <w:pPr>
              <w:pStyle w:val="Tabletext"/>
              <w:jc w:val="center"/>
              <w:rPr>
                <w:rFonts w:eastAsiaTheme="majorEastAsia"/>
                <w:szCs w:val="20"/>
              </w:rPr>
            </w:pPr>
            <w:r w:rsidRPr="00B41982">
              <w:rPr>
                <w:rFonts w:eastAsiaTheme="majorEastAsia"/>
                <w:szCs w:val="20"/>
              </w:rPr>
              <w:t>[-2.9, 13.4]</w:t>
            </w:r>
          </w:p>
          <w:p w14:paraId="60043C41" w14:textId="77777777" w:rsidR="0061175D" w:rsidRPr="00B41982" w:rsidRDefault="0061175D" w:rsidP="00CC1644">
            <w:pPr>
              <w:pStyle w:val="Tabletext"/>
              <w:jc w:val="center"/>
              <w:rPr>
                <w:rFonts w:eastAsiaTheme="majorEastAsia"/>
                <w:szCs w:val="20"/>
              </w:rPr>
            </w:pPr>
            <w:r w:rsidRPr="00B41982">
              <w:rPr>
                <w:rFonts w:eastAsiaTheme="majorEastAsia"/>
                <w:szCs w:val="20"/>
              </w:rPr>
              <w:t>p=0.2084</w:t>
            </w:r>
          </w:p>
        </w:tc>
      </w:tr>
      <w:tr w:rsidR="0061175D" w:rsidRPr="00B41982" w14:paraId="22238341" w14:textId="77777777" w:rsidTr="00B41982">
        <w:tc>
          <w:tcPr>
            <w:tcW w:w="548" w:type="pct"/>
            <w:vMerge/>
            <w:vAlign w:val="center"/>
          </w:tcPr>
          <w:p w14:paraId="1502E351" w14:textId="77777777" w:rsidR="0061175D" w:rsidRPr="00B41982" w:rsidRDefault="0061175D" w:rsidP="00CC1644">
            <w:pPr>
              <w:pStyle w:val="Tabletext"/>
              <w:rPr>
                <w:rFonts w:eastAsiaTheme="majorEastAsia" w:cstheme="majorBidi"/>
                <w:bCs/>
                <w:szCs w:val="20"/>
              </w:rPr>
            </w:pPr>
          </w:p>
        </w:tc>
        <w:tc>
          <w:tcPr>
            <w:tcW w:w="628" w:type="pct"/>
            <w:vAlign w:val="center"/>
          </w:tcPr>
          <w:p w14:paraId="2AD7449D"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1F6FF8A1" w14:textId="77777777" w:rsidR="0061175D" w:rsidRPr="00B41982" w:rsidRDefault="0061175D" w:rsidP="00CC1644">
            <w:pPr>
              <w:pStyle w:val="Tabletext"/>
              <w:jc w:val="center"/>
              <w:rPr>
                <w:rFonts w:eastAsiaTheme="majorEastAsia"/>
                <w:szCs w:val="20"/>
              </w:rPr>
            </w:pPr>
            <w:r w:rsidRPr="00B41982">
              <w:rPr>
                <w:rFonts w:eastAsiaTheme="majorEastAsia"/>
                <w:szCs w:val="20"/>
              </w:rPr>
              <w:t>111/226</w:t>
            </w:r>
          </w:p>
          <w:p w14:paraId="25A1F7CE" w14:textId="77777777" w:rsidR="0061175D" w:rsidRPr="00B41982" w:rsidRDefault="0061175D" w:rsidP="00CC1644">
            <w:pPr>
              <w:pStyle w:val="Tabletext"/>
              <w:jc w:val="center"/>
              <w:rPr>
                <w:rFonts w:eastAsiaTheme="majorEastAsia"/>
                <w:szCs w:val="20"/>
              </w:rPr>
            </w:pPr>
            <w:r w:rsidRPr="00B41982">
              <w:rPr>
                <w:rFonts w:eastAsiaTheme="majorEastAsia"/>
                <w:szCs w:val="20"/>
              </w:rPr>
              <w:t>(49.1)</w:t>
            </w:r>
          </w:p>
        </w:tc>
        <w:tc>
          <w:tcPr>
            <w:tcW w:w="707" w:type="pct"/>
            <w:vAlign w:val="center"/>
          </w:tcPr>
          <w:p w14:paraId="51AC5FF8" w14:textId="77777777" w:rsidR="0061175D" w:rsidRPr="00B41982" w:rsidRDefault="0061175D" w:rsidP="00CC1644">
            <w:pPr>
              <w:pStyle w:val="Tabletext"/>
              <w:jc w:val="center"/>
              <w:rPr>
                <w:rFonts w:eastAsiaTheme="majorEastAsia"/>
                <w:szCs w:val="20"/>
              </w:rPr>
            </w:pPr>
            <w:r w:rsidRPr="00B41982">
              <w:rPr>
                <w:rFonts w:eastAsiaTheme="majorEastAsia"/>
                <w:szCs w:val="20"/>
              </w:rPr>
              <w:t>63/239</w:t>
            </w:r>
          </w:p>
          <w:p w14:paraId="5CEA8788" w14:textId="77777777" w:rsidR="0061175D" w:rsidRPr="00B41982" w:rsidRDefault="0061175D" w:rsidP="00CC1644">
            <w:pPr>
              <w:pStyle w:val="Tabletext"/>
              <w:jc w:val="center"/>
              <w:rPr>
                <w:rFonts w:eastAsiaTheme="majorEastAsia"/>
                <w:szCs w:val="20"/>
              </w:rPr>
            </w:pPr>
            <w:r w:rsidRPr="00B41982">
              <w:rPr>
                <w:rFonts w:eastAsiaTheme="majorEastAsia"/>
                <w:szCs w:val="20"/>
              </w:rPr>
              <w:t>(26.4)</w:t>
            </w:r>
          </w:p>
        </w:tc>
        <w:tc>
          <w:tcPr>
            <w:tcW w:w="543" w:type="pct"/>
            <w:vAlign w:val="center"/>
          </w:tcPr>
          <w:p w14:paraId="2C5E4F77"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391B40A7"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1.78</w:t>
            </w:r>
          </w:p>
          <w:p w14:paraId="658C17E3"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[1.39, 2.29]</w:t>
            </w:r>
          </w:p>
        </w:tc>
        <w:tc>
          <w:tcPr>
            <w:tcW w:w="648" w:type="pct"/>
            <w:vAlign w:val="center"/>
          </w:tcPr>
          <w:p w14:paraId="4A7D5BC5" w14:textId="77777777" w:rsidR="0061175D" w:rsidRPr="00B41982" w:rsidRDefault="0061175D" w:rsidP="00CC1644">
            <w:pPr>
              <w:pStyle w:val="Tabletext"/>
              <w:jc w:val="center"/>
              <w:rPr>
                <w:b/>
                <w:szCs w:val="20"/>
              </w:rPr>
            </w:pPr>
            <w:r w:rsidRPr="00B41982">
              <w:rPr>
                <w:b/>
                <w:szCs w:val="20"/>
              </w:rPr>
              <w:t>2.48</w:t>
            </w:r>
          </w:p>
          <w:p w14:paraId="46367B85" w14:textId="77777777" w:rsidR="0061175D" w:rsidRPr="00B41982" w:rsidRDefault="0061175D" w:rsidP="00CC1644">
            <w:pPr>
              <w:pStyle w:val="Tabletext"/>
              <w:jc w:val="center"/>
              <w:rPr>
                <w:rFonts w:eastAsiaTheme="majorEastAsia"/>
                <w:b/>
                <w:szCs w:val="20"/>
              </w:rPr>
            </w:pPr>
            <w:r w:rsidRPr="00B41982">
              <w:rPr>
                <w:b/>
                <w:szCs w:val="20"/>
              </w:rPr>
              <w:t>[1.69, 3.65]</w:t>
            </w:r>
          </w:p>
        </w:tc>
        <w:tc>
          <w:tcPr>
            <w:tcW w:w="649" w:type="pct"/>
            <w:vAlign w:val="center"/>
          </w:tcPr>
          <w:p w14:paraId="332D66D2"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22.1</w:t>
            </w:r>
          </w:p>
          <w:p w14:paraId="6FCE6765"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[13.5, 30.7]</w:t>
            </w:r>
          </w:p>
          <w:p w14:paraId="5C61771D"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p&lt;0.0001</w:t>
            </w:r>
          </w:p>
        </w:tc>
      </w:tr>
      <w:tr w:rsidR="0061175D" w:rsidRPr="00B41982" w14:paraId="47469938" w14:textId="77777777" w:rsidTr="00B41982">
        <w:tc>
          <w:tcPr>
            <w:tcW w:w="548" w:type="pct"/>
            <w:vMerge/>
            <w:vAlign w:val="center"/>
          </w:tcPr>
          <w:p w14:paraId="476F27C9" w14:textId="77777777" w:rsidR="0061175D" w:rsidRPr="00B41982" w:rsidRDefault="0061175D" w:rsidP="00CC1644">
            <w:pPr>
              <w:pStyle w:val="Tabletext"/>
              <w:rPr>
                <w:rFonts w:eastAsiaTheme="majorEastAsia" w:cstheme="majorBidi"/>
                <w:bCs/>
                <w:szCs w:val="20"/>
              </w:rPr>
            </w:pPr>
          </w:p>
        </w:tc>
        <w:tc>
          <w:tcPr>
            <w:tcW w:w="628" w:type="pct"/>
            <w:vAlign w:val="center"/>
          </w:tcPr>
          <w:p w14:paraId="0E561553"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177CD9B0"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707" w:type="pct"/>
            <w:vAlign w:val="center"/>
          </w:tcPr>
          <w:p w14:paraId="2BB7E1D2"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543" w:type="pct"/>
            <w:vAlign w:val="center"/>
          </w:tcPr>
          <w:p w14:paraId="485F078F" w14:textId="77777777" w:rsidR="0061175D" w:rsidRPr="00B41982" w:rsidRDefault="0061175D" w:rsidP="00CC1644">
            <w:pPr>
              <w:pStyle w:val="Tabletext"/>
              <w:jc w:val="center"/>
              <w:rPr>
                <w:rFonts w:eastAsiaTheme="majorEastAsia"/>
                <w:szCs w:val="20"/>
              </w:rPr>
            </w:pPr>
            <w:r w:rsidRPr="00B41982">
              <w:rPr>
                <w:rFonts w:eastAsiaTheme="majorEastAsia"/>
                <w:szCs w:val="20"/>
              </w:rPr>
              <w:t>18/130</w:t>
            </w:r>
          </w:p>
          <w:p w14:paraId="00B1E3BA" w14:textId="77777777" w:rsidR="0061175D" w:rsidRPr="00B41982" w:rsidRDefault="0061175D" w:rsidP="00CC1644">
            <w:pPr>
              <w:pStyle w:val="Tabletext"/>
              <w:jc w:val="center"/>
              <w:rPr>
                <w:rFonts w:eastAsiaTheme="majorEastAsia"/>
                <w:szCs w:val="20"/>
              </w:rPr>
            </w:pPr>
            <w:r w:rsidRPr="00B41982">
              <w:rPr>
                <w:rFonts w:eastAsiaTheme="majorEastAsia"/>
                <w:szCs w:val="20"/>
              </w:rPr>
              <w:t>(13.8)</w:t>
            </w:r>
          </w:p>
        </w:tc>
        <w:tc>
          <w:tcPr>
            <w:tcW w:w="648" w:type="pct"/>
            <w:vAlign w:val="center"/>
          </w:tcPr>
          <w:p w14:paraId="437A03D4"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vAlign w:val="center"/>
          </w:tcPr>
          <w:p w14:paraId="3AF1AAC4" w14:textId="77777777" w:rsidR="0061175D" w:rsidRPr="00B41982" w:rsidRDefault="0061175D" w:rsidP="00CC1644">
            <w:pPr>
              <w:pStyle w:val="Tabletext"/>
              <w:jc w:val="center"/>
              <w:rPr>
                <w:rFonts w:eastAsiaTheme="majorEastAsia"/>
                <w:szCs w:val="20"/>
              </w:rPr>
            </w:pPr>
          </w:p>
        </w:tc>
        <w:tc>
          <w:tcPr>
            <w:tcW w:w="649" w:type="pct"/>
            <w:vAlign w:val="center"/>
          </w:tcPr>
          <w:p w14:paraId="643102D5"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r>
      <w:tr w:rsidR="0061175D" w:rsidRPr="00B41982" w14:paraId="54544FE7" w14:textId="77777777" w:rsidTr="00CC1644">
        <w:tc>
          <w:tcPr>
            <w:tcW w:w="5000" w:type="pct"/>
            <w:gridSpan w:val="8"/>
            <w:vAlign w:val="center"/>
          </w:tcPr>
          <w:p w14:paraId="4D711EB1" w14:textId="77777777" w:rsidR="00C44093" w:rsidRPr="00B41982" w:rsidRDefault="00C44093" w:rsidP="00CC1644">
            <w:pPr>
              <w:pStyle w:val="Tabletext"/>
              <w:rPr>
                <w:rFonts w:cs="Arial Narrow"/>
                <w:b/>
                <w:szCs w:val="20"/>
              </w:rPr>
            </w:pPr>
          </w:p>
          <w:p w14:paraId="7A70CC23" w14:textId="2BE6B9C2" w:rsidR="0061175D" w:rsidRPr="00B41982" w:rsidRDefault="0061175D" w:rsidP="00CC1644">
            <w:pPr>
              <w:pStyle w:val="Tabletext"/>
              <w:rPr>
                <w:rFonts w:cs="Arial Narrow"/>
                <w:b/>
                <w:szCs w:val="20"/>
              </w:rPr>
            </w:pPr>
            <w:r w:rsidRPr="00B41982">
              <w:rPr>
                <w:rFonts w:cs="Arial Narrow"/>
                <w:b/>
                <w:szCs w:val="20"/>
              </w:rPr>
              <w:t>JADE DARE</w:t>
            </w:r>
          </w:p>
        </w:tc>
      </w:tr>
      <w:tr w:rsidR="0061175D" w:rsidRPr="00B41982" w14:paraId="3C3CC69D" w14:textId="77777777" w:rsidTr="00B41982">
        <w:tc>
          <w:tcPr>
            <w:tcW w:w="548" w:type="pct"/>
            <w:vAlign w:val="center"/>
          </w:tcPr>
          <w:p w14:paraId="418A2E0E"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PP-NRS4</w:t>
            </w:r>
          </w:p>
          <w:p w14:paraId="6D15A075"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Week 2</w:t>
            </w:r>
          </w:p>
        </w:tc>
        <w:tc>
          <w:tcPr>
            <w:tcW w:w="628" w:type="pct"/>
            <w:vAlign w:val="center"/>
          </w:tcPr>
          <w:p w14:paraId="71B98C61"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vAlign w:val="center"/>
          </w:tcPr>
          <w:p w14:paraId="764B6A62" w14:textId="77777777" w:rsidR="0061175D" w:rsidRPr="00B41982" w:rsidRDefault="0061175D" w:rsidP="00CC1644">
            <w:pPr>
              <w:pStyle w:val="Tabletext"/>
              <w:jc w:val="center"/>
              <w:rPr>
                <w:rFonts w:eastAsiaTheme="majorEastAsia"/>
                <w:szCs w:val="20"/>
              </w:rPr>
            </w:pPr>
            <w:r w:rsidRPr="00B41982">
              <w:rPr>
                <w:rFonts w:eastAsiaTheme="majorEastAsia"/>
                <w:szCs w:val="20"/>
              </w:rPr>
              <w:t>172/357</w:t>
            </w:r>
          </w:p>
          <w:p w14:paraId="463D2943" w14:textId="77777777" w:rsidR="0061175D" w:rsidRPr="00B41982" w:rsidRDefault="0061175D" w:rsidP="00CC1644">
            <w:pPr>
              <w:pStyle w:val="Tabletext"/>
              <w:jc w:val="center"/>
              <w:rPr>
                <w:rFonts w:eastAsiaTheme="majorEastAsia"/>
                <w:szCs w:val="20"/>
              </w:rPr>
            </w:pPr>
            <w:r w:rsidRPr="00B41982">
              <w:rPr>
                <w:rFonts w:eastAsiaTheme="majorEastAsia"/>
                <w:szCs w:val="20"/>
              </w:rPr>
              <w:t>(48.2)</w:t>
            </w:r>
          </w:p>
        </w:tc>
        <w:tc>
          <w:tcPr>
            <w:tcW w:w="707" w:type="pct"/>
            <w:vAlign w:val="center"/>
          </w:tcPr>
          <w:p w14:paraId="3364CC54" w14:textId="77777777" w:rsidR="0061175D" w:rsidRPr="00B41982" w:rsidRDefault="0061175D" w:rsidP="00CC1644">
            <w:pPr>
              <w:pStyle w:val="Tabletext"/>
              <w:jc w:val="center"/>
              <w:rPr>
                <w:rFonts w:eastAsiaTheme="majorEastAsia"/>
                <w:szCs w:val="20"/>
              </w:rPr>
            </w:pPr>
            <w:r w:rsidRPr="00B41982">
              <w:rPr>
                <w:rFonts w:eastAsiaTheme="majorEastAsia"/>
                <w:szCs w:val="20"/>
              </w:rPr>
              <w:t>93/364</w:t>
            </w:r>
          </w:p>
          <w:p w14:paraId="3CFF75F4" w14:textId="77777777" w:rsidR="0061175D" w:rsidRPr="00B41982" w:rsidRDefault="0061175D" w:rsidP="00CC1644">
            <w:pPr>
              <w:pStyle w:val="Tabletext"/>
              <w:jc w:val="center"/>
              <w:rPr>
                <w:rFonts w:eastAsiaTheme="majorEastAsia"/>
                <w:szCs w:val="20"/>
              </w:rPr>
            </w:pPr>
            <w:r w:rsidRPr="00B41982">
              <w:rPr>
                <w:rFonts w:eastAsiaTheme="majorEastAsia"/>
                <w:szCs w:val="20"/>
              </w:rPr>
              <w:t>(25.5)</w:t>
            </w:r>
          </w:p>
        </w:tc>
        <w:tc>
          <w:tcPr>
            <w:tcW w:w="543" w:type="pct"/>
            <w:vAlign w:val="center"/>
          </w:tcPr>
          <w:p w14:paraId="2F5CD766"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tcBorders>
              <w:bottom w:val="single" w:sz="4" w:space="0" w:color="auto"/>
            </w:tcBorders>
            <w:vAlign w:val="center"/>
          </w:tcPr>
          <w:p w14:paraId="17C04204"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1.89</w:t>
            </w:r>
          </w:p>
          <w:p w14:paraId="45B164C0"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[1.54, 2.32]</w:t>
            </w:r>
          </w:p>
        </w:tc>
        <w:tc>
          <w:tcPr>
            <w:tcW w:w="648" w:type="pct"/>
            <w:tcBorders>
              <w:bottom w:val="single" w:sz="4" w:space="0" w:color="auto"/>
            </w:tcBorders>
            <w:vAlign w:val="center"/>
          </w:tcPr>
          <w:p w14:paraId="4172F6A9"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2.71</w:t>
            </w:r>
          </w:p>
          <w:p w14:paraId="726D9439"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[1.98, 3.71]</w:t>
            </w:r>
          </w:p>
        </w:tc>
        <w:tc>
          <w:tcPr>
            <w:tcW w:w="649" w:type="pct"/>
            <w:tcBorders>
              <w:bottom w:val="single" w:sz="4" w:space="0" w:color="auto"/>
            </w:tcBorders>
            <w:vAlign w:val="center"/>
          </w:tcPr>
          <w:p w14:paraId="70DC3EF2"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22.6</w:t>
            </w:r>
          </w:p>
          <w:p w14:paraId="4C67CE03"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[15.8, 29.5]</w:t>
            </w:r>
          </w:p>
          <w:p w14:paraId="45572BEC"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p&lt;0.0001</w:t>
            </w:r>
          </w:p>
        </w:tc>
      </w:tr>
      <w:tr w:rsidR="0061175D" w:rsidRPr="00B41982" w14:paraId="61425E0E" w14:textId="77777777" w:rsidTr="00B41982">
        <w:tc>
          <w:tcPr>
            <w:tcW w:w="548" w:type="pct"/>
            <w:vAlign w:val="center"/>
          </w:tcPr>
          <w:p w14:paraId="029C52A0"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EASI90</w:t>
            </w:r>
          </w:p>
          <w:p w14:paraId="421A7295" w14:textId="77777777" w:rsidR="0061175D" w:rsidRPr="00B41982" w:rsidRDefault="0061175D" w:rsidP="00CC1644">
            <w:pPr>
              <w:pStyle w:val="Tabletext"/>
              <w:rPr>
                <w:rFonts w:eastAsiaTheme="majorEastAsia" w:cstheme="majorBidi"/>
                <w:bCs/>
                <w:szCs w:val="20"/>
              </w:rPr>
            </w:pPr>
            <w:r w:rsidRPr="00B41982">
              <w:rPr>
                <w:rFonts w:eastAsiaTheme="majorEastAsia" w:cstheme="majorBidi"/>
                <w:bCs/>
                <w:szCs w:val="20"/>
              </w:rPr>
              <w:t>Week 4</w:t>
            </w:r>
          </w:p>
        </w:tc>
        <w:tc>
          <w:tcPr>
            <w:tcW w:w="628" w:type="pct"/>
            <w:vAlign w:val="center"/>
          </w:tcPr>
          <w:p w14:paraId="0BAA894A"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29" w:type="pct"/>
            <w:tcBorders>
              <w:bottom w:val="single" w:sz="4" w:space="0" w:color="auto"/>
            </w:tcBorders>
            <w:vAlign w:val="center"/>
          </w:tcPr>
          <w:p w14:paraId="2861871E" w14:textId="77777777" w:rsidR="0061175D" w:rsidRPr="00B41982" w:rsidRDefault="0061175D" w:rsidP="00CC1644">
            <w:pPr>
              <w:pStyle w:val="Tabletext"/>
              <w:jc w:val="center"/>
              <w:rPr>
                <w:rFonts w:eastAsiaTheme="majorEastAsia"/>
                <w:szCs w:val="20"/>
              </w:rPr>
            </w:pPr>
            <w:r w:rsidRPr="00B41982">
              <w:rPr>
                <w:rFonts w:eastAsiaTheme="majorEastAsia"/>
                <w:szCs w:val="20"/>
              </w:rPr>
              <w:t>101/</w:t>
            </w:r>
          </w:p>
          <w:p w14:paraId="40895C52" w14:textId="77777777" w:rsidR="0061175D" w:rsidRPr="00B41982" w:rsidRDefault="0061175D" w:rsidP="00CC1644">
            <w:pPr>
              <w:pStyle w:val="Tabletext"/>
              <w:jc w:val="center"/>
              <w:rPr>
                <w:rFonts w:eastAsiaTheme="majorEastAsia"/>
                <w:szCs w:val="20"/>
              </w:rPr>
            </w:pPr>
            <w:r w:rsidRPr="00B41982">
              <w:rPr>
                <w:rFonts w:eastAsiaTheme="majorEastAsia"/>
                <w:szCs w:val="20"/>
              </w:rPr>
              <w:t>(28.5)</w:t>
            </w:r>
          </w:p>
        </w:tc>
        <w:tc>
          <w:tcPr>
            <w:tcW w:w="707" w:type="pct"/>
            <w:tcBorders>
              <w:bottom w:val="single" w:sz="4" w:space="0" w:color="auto"/>
            </w:tcBorders>
            <w:vAlign w:val="center"/>
          </w:tcPr>
          <w:p w14:paraId="70A78822" w14:textId="77777777" w:rsidR="0061175D" w:rsidRPr="00B41982" w:rsidRDefault="0061175D" w:rsidP="00CC1644">
            <w:pPr>
              <w:pStyle w:val="Tabletext"/>
              <w:jc w:val="center"/>
              <w:rPr>
                <w:rFonts w:eastAsiaTheme="majorEastAsia"/>
                <w:szCs w:val="20"/>
              </w:rPr>
            </w:pPr>
            <w:r w:rsidRPr="00B41982">
              <w:rPr>
                <w:rFonts w:eastAsiaTheme="majorEastAsia"/>
                <w:szCs w:val="20"/>
              </w:rPr>
              <w:t>53/364</w:t>
            </w:r>
          </w:p>
          <w:p w14:paraId="661E7217" w14:textId="77777777" w:rsidR="0061175D" w:rsidRPr="00B41982" w:rsidRDefault="0061175D" w:rsidP="00CC1644">
            <w:pPr>
              <w:pStyle w:val="Tabletext"/>
              <w:jc w:val="center"/>
              <w:rPr>
                <w:rFonts w:eastAsiaTheme="majorEastAsia"/>
                <w:szCs w:val="20"/>
              </w:rPr>
            </w:pPr>
            <w:r w:rsidRPr="00B41982">
              <w:rPr>
                <w:rFonts w:eastAsiaTheme="majorEastAsia"/>
                <w:szCs w:val="20"/>
              </w:rPr>
              <w:t>(14.6)</w:t>
            </w:r>
          </w:p>
        </w:tc>
        <w:tc>
          <w:tcPr>
            <w:tcW w:w="543" w:type="pct"/>
            <w:vAlign w:val="center"/>
          </w:tcPr>
          <w:p w14:paraId="390BD25E" w14:textId="77777777" w:rsidR="0061175D" w:rsidRPr="00B41982" w:rsidRDefault="0061175D" w:rsidP="00CC1644">
            <w:pPr>
              <w:pStyle w:val="Tabletext"/>
              <w:jc w:val="center"/>
              <w:rPr>
                <w:rFonts w:eastAsiaTheme="majorEastAsia"/>
                <w:szCs w:val="20"/>
              </w:rPr>
            </w:pPr>
            <w:r w:rsidRPr="00B41982">
              <w:rPr>
                <w:rFonts w:eastAsiaTheme="majorEastAsia"/>
                <w:szCs w:val="20"/>
              </w:rPr>
              <w:t>–</w:t>
            </w:r>
          </w:p>
        </w:tc>
        <w:tc>
          <w:tcPr>
            <w:tcW w:w="648" w:type="pct"/>
            <w:tcBorders>
              <w:bottom w:val="single" w:sz="4" w:space="0" w:color="auto"/>
            </w:tcBorders>
            <w:vAlign w:val="center"/>
          </w:tcPr>
          <w:p w14:paraId="15923D36"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1.96</w:t>
            </w:r>
          </w:p>
          <w:p w14:paraId="26430B06"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[1.45, 2.64]</w:t>
            </w:r>
          </w:p>
        </w:tc>
        <w:tc>
          <w:tcPr>
            <w:tcW w:w="648" w:type="pct"/>
            <w:tcBorders>
              <w:bottom w:val="single" w:sz="4" w:space="0" w:color="auto"/>
            </w:tcBorders>
            <w:vAlign w:val="center"/>
          </w:tcPr>
          <w:p w14:paraId="750AA6D0"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2.34</w:t>
            </w:r>
          </w:p>
          <w:p w14:paraId="34AE7E43"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[1.62, 3.40]</w:t>
            </w:r>
          </w:p>
        </w:tc>
        <w:tc>
          <w:tcPr>
            <w:tcW w:w="649" w:type="pct"/>
            <w:tcBorders>
              <w:bottom w:val="single" w:sz="4" w:space="0" w:color="auto"/>
            </w:tcBorders>
            <w:vAlign w:val="center"/>
          </w:tcPr>
          <w:p w14:paraId="252E9E31"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14.1</w:t>
            </w:r>
          </w:p>
          <w:p w14:paraId="08778D14"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[8.2, 20.0]</w:t>
            </w:r>
          </w:p>
          <w:p w14:paraId="6D6BF27C" w14:textId="77777777" w:rsidR="0061175D" w:rsidRPr="00B41982" w:rsidRDefault="0061175D" w:rsidP="00CC1644">
            <w:pPr>
              <w:pStyle w:val="Tabletext"/>
              <w:jc w:val="center"/>
              <w:rPr>
                <w:rFonts w:eastAsiaTheme="majorEastAsia"/>
                <w:b/>
                <w:szCs w:val="20"/>
              </w:rPr>
            </w:pPr>
            <w:r w:rsidRPr="00B41982">
              <w:rPr>
                <w:rFonts w:eastAsiaTheme="majorEastAsia"/>
                <w:b/>
                <w:szCs w:val="20"/>
              </w:rPr>
              <w:t>p&lt;0.0001</w:t>
            </w:r>
          </w:p>
        </w:tc>
      </w:tr>
    </w:tbl>
    <w:bookmarkEnd w:id="39"/>
    <w:p w14:paraId="4A1F2537" w14:textId="77777777" w:rsidR="0061175D" w:rsidRDefault="0061175D" w:rsidP="0061175D">
      <w:pPr>
        <w:pStyle w:val="TableFigureFooter"/>
      </w:pPr>
      <w:r>
        <w:t>Source: Table 2.6.1, p40; Table 2.6.2, p42; Table 2.6.3 p43; and Table 2.6.4, p44 of the submission</w:t>
      </w:r>
    </w:p>
    <w:p w14:paraId="27E37890" w14:textId="77777777" w:rsidR="0061175D" w:rsidRPr="00136212" w:rsidRDefault="0061175D" w:rsidP="0061175D">
      <w:pPr>
        <w:pStyle w:val="TableFigureFooter"/>
      </w:pPr>
      <w:r>
        <w:t xml:space="preserve">ABRO = </w:t>
      </w:r>
      <w:proofErr w:type="spellStart"/>
      <w:r>
        <w:t>abrocitinib</w:t>
      </w:r>
      <w:proofErr w:type="spellEnd"/>
      <w:r>
        <w:t>; CI = Confidence Interval; DUPI = dupilumab; EASI75 = Proportion of patients with improvement of ≥ 75% from baseline in Eczema Area and Severity Index; EASI90 = Proportion of patients with improvement of ≥ 90% from baseline in Eczema Area and Severity Index; IGA = Investigator's Global Assessment; IGA response = Proportion of patients with IGA response of clear (0) or almost clear (1) + ≥2 points improvement from baseline;; ITT = Intention to treat; OR = Odds ratio; PBO = Placebo; PP = per protocol; PP-NRS4 = Proportion of patients with ≥4 points improvement from baseline in PP-NRS; Q2W = Once every 2 weeks; QD = Once Daily; RD = Risk Difference; RR = Relative Risk.</w:t>
      </w:r>
    </w:p>
    <w:p w14:paraId="5C94EE06" w14:textId="77777777" w:rsidR="0061175D" w:rsidRPr="00136212" w:rsidRDefault="0061175D" w:rsidP="0061175D">
      <w:pPr>
        <w:pStyle w:val="TableFigureFooter"/>
      </w:pPr>
      <w:r>
        <w:t>Notes:</w:t>
      </w:r>
      <w:r w:rsidRPr="009A5A91">
        <w:t xml:space="preserve"> Risk difference as reported in the JADE COMPARE C</w:t>
      </w:r>
      <w:r>
        <w:t xml:space="preserve">linical </w:t>
      </w:r>
      <w:r w:rsidRPr="009A5A91">
        <w:t>S</w:t>
      </w:r>
      <w:r>
        <w:t xml:space="preserve">tudy </w:t>
      </w:r>
      <w:r w:rsidRPr="009A5A91">
        <w:t>R</w:t>
      </w:r>
      <w:r>
        <w:t>eport</w:t>
      </w:r>
      <w:r w:rsidRPr="009A5A91">
        <w:t xml:space="preserve">. The estimate and </w:t>
      </w:r>
      <w:r>
        <w:t>95% CI</w:t>
      </w:r>
      <w:r w:rsidRPr="009A5A91">
        <w:t xml:space="preserve"> for difference were calculated based on the weighted average of difference by disease severity group using the normal approximation of binomial proportions. </w:t>
      </w:r>
      <w:r>
        <w:t xml:space="preserve">95% </w:t>
      </w:r>
      <w:r w:rsidRPr="009A5A91">
        <w:t xml:space="preserve">CI for the response rate was based on normal approximation (or the Clopper-Pearson exact method when there were 0 or 100% responders). </w:t>
      </w:r>
    </w:p>
    <w:p w14:paraId="587C417B" w14:textId="77777777" w:rsidR="0061175D" w:rsidRDefault="0061175D" w:rsidP="0061175D">
      <w:pPr>
        <w:pStyle w:val="TableFigureFooter"/>
      </w:pPr>
      <w:r w:rsidRPr="009A5A91">
        <w:t>Relative risk and odds ratio was calculated based on the number of patients in the treatment groups in RevMan v5.0 software, using a random effects model.</w:t>
      </w:r>
      <w:r>
        <w:t xml:space="preserve"> </w:t>
      </w:r>
    </w:p>
    <w:p w14:paraId="520CF112" w14:textId="21972EF9" w:rsidR="0061175D" w:rsidRPr="009A5A91" w:rsidRDefault="0061175D" w:rsidP="0091041C">
      <w:pPr>
        <w:pStyle w:val="TableFigureFooter"/>
        <w:contextualSpacing w:val="0"/>
      </w:pPr>
      <w:r w:rsidRPr="00136212">
        <w:t>Results in bold are statistically significant.</w:t>
      </w:r>
    </w:p>
    <w:p w14:paraId="558920B8" w14:textId="77777777" w:rsidR="0061175D" w:rsidRPr="009A5A91" w:rsidRDefault="0061175D" w:rsidP="0091041C">
      <w:pPr>
        <w:numPr>
          <w:ilvl w:val="1"/>
          <w:numId w:val="6"/>
        </w:numPr>
        <w:spacing w:after="120"/>
        <w:rPr>
          <w:rFonts w:eastAsiaTheme="minorHAnsi" w:cstheme="minorBidi"/>
          <w:szCs w:val="22"/>
        </w:rPr>
      </w:pPr>
      <w:r>
        <w:rPr>
          <w:rFonts w:eastAsiaTheme="minorHAnsi" w:cstheme="minorBidi"/>
          <w:szCs w:val="22"/>
        </w:rPr>
        <w:lastRenderedPageBreak/>
        <w:t>Results for the</w:t>
      </w:r>
      <w:r w:rsidRPr="009A5A91">
        <w:rPr>
          <w:rFonts w:eastAsiaTheme="minorHAnsi" w:cstheme="minorBidi"/>
          <w:szCs w:val="22"/>
        </w:rPr>
        <w:t xml:space="preserve"> co-primary endpoints in JADE COMPARE suggest</w:t>
      </w:r>
      <w:r>
        <w:rPr>
          <w:rFonts w:eastAsiaTheme="minorHAnsi" w:cstheme="minorBidi"/>
          <w:szCs w:val="22"/>
        </w:rPr>
        <w:t>ed</w:t>
      </w:r>
      <w:r w:rsidRPr="009A5A91">
        <w:rPr>
          <w:rFonts w:eastAsiaTheme="minorHAnsi" w:cstheme="minorBidi"/>
          <w:szCs w:val="22"/>
        </w:rPr>
        <w:t xml:space="preserve"> that ABRO 20</w:t>
      </w:r>
      <w:r>
        <w:rPr>
          <w:rFonts w:eastAsiaTheme="minorHAnsi" w:cstheme="minorBidi"/>
          <w:szCs w:val="22"/>
        </w:rPr>
        <w:t xml:space="preserve">0 mg is </w:t>
      </w:r>
      <w:r w:rsidRPr="009A5A91">
        <w:rPr>
          <w:rFonts w:eastAsiaTheme="minorHAnsi" w:cstheme="minorBidi"/>
          <w:szCs w:val="22"/>
        </w:rPr>
        <w:t>superior to DUPI 30</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 xml:space="preserve">in terms of IGA response and EASI75 </w:t>
      </w:r>
      <w:r w:rsidRPr="009A5A91">
        <w:rPr>
          <w:rFonts w:eastAsiaTheme="minorHAnsi" w:cstheme="minorBidi"/>
          <w:szCs w:val="22"/>
        </w:rPr>
        <w:t xml:space="preserve">at Week 12 </w:t>
      </w:r>
      <w:r>
        <w:rPr>
          <w:rFonts w:eastAsiaTheme="minorHAnsi" w:cstheme="minorBidi"/>
          <w:szCs w:val="22"/>
        </w:rPr>
        <w:t xml:space="preserve">for treatment of moderate to severe AD </w:t>
      </w:r>
      <w:r w:rsidRPr="009A5A91">
        <w:rPr>
          <w:rFonts w:eastAsiaTheme="minorHAnsi" w:cstheme="minorBidi"/>
          <w:szCs w:val="22"/>
        </w:rPr>
        <w:t xml:space="preserve">(IGA response: 48.4% </w:t>
      </w:r>
      <w:r w:rsidRPr="00E574CC">
        <w:rPr>
          <w:rFonts w:eastAsiaTheme="minorHAnsi" w:cstheme="minorBidi"/>
          <w:iCs/>
          <w:szCs w:val="22"/>
        </w:rPr>
        <w:t>vs</w:t>
      </w:r>
      <w:r w:rsidRPr="009A5A91">
        <w:rPr>
          <w:rFonts w:eastAsiaTheme="minorHAnsi" w:cstheme="minorBidi"/>
          <w:szCs w:val="22"/>
        </w:rPr>
        <w:t xml:space="preserve">. 36.5%, </w:t>
      </w:r>
      <w:r>
        <w:rPr>
          <w:rFonts w:eastAsiaTheme="minorHAnsi" w:cstheme="minorBidi"/>
          <w:szCs w:val="22"/>
        </w:rPr>
        <w:t>risk difference [</w:t>
      </w:r>
      <w:r w:rsidRPr="009A5A91">
        <w:rPr>
          <w:rFonts w:eastAsiaTheme="minorHAnsi" w:cstheme="minorBidi"/>
          <w:szCs w:val="22"/>
        </w:rPr>
        <w:t>RD</w:t>
      </w:r>
      <w:r>
        <w:rPr>
          <w:rFonts w:eastAsiaTheme="minorHAnsi" w:cstheme="minorBidi"/>
          <w:szCs w:val="22"/>
        </w:rPr>
        <w:t>]</w:t>
      </w:r>
      <w:r>
        <w:rPr>
          <w:rStyle w:val="FootnoteReference"/>
          <w:rFonts w:eastAsiaTheme="minorHAnsi" w:cstheme="minorBidi"/>
          <w:szCs w:val="22"/>
        </w:rPr>
        <w:footnoteReference w:id="4"/>
      </w:r>
      <w:r w:rsidRPr="009A5A91">
        <w:rPr>
          <w:rFonts w:eastAsiaTheme="minorHAnsi" w:cstheme="minorBidi"/>
          <w:szCs w:val="22"/>
        </w:rPr>
        <w:t>: 12.4%</w:t>
      </w:r>
      <w:r>
        <w:rPr>
          <w:rFonts w:eastAsiaTheme="minorHAnsi" w:cstheme="minorBidi"/>
          <w:szCs w:val="22"/>
        </w:rPr>
        <w:t xml:space="preserve"> [</w:t>
      </w:r>
      <w:r w:rsidRPr="009A5A91">
        <w:rPr>
          <w:rFonts w:eastAsiaTheme="minorHAnsi" w:cstheme="minorBidi"/>
          <w:szCs w:val="22"/>
        </w:rPr>
        <w:t>95% CI</w:t>
      </w:r>
      <w:r>
        <w:rPr>
          <w:rFonts w:eastAsiaTheme="minorHAnsi" w:cstheme="minorBidi"/>
          <w:szCs w:val="22"/>
        </w:rPr>
        <w:t xml:space="preserve">: </w:t>
      </w:r>
      <w:r w:rsidRPr="009A5A91">
        <w:rPr>
          <w:rFonts w:eastAsiaTheme="minorHAnsi" w:cstheme="minorBidi"/>
          <w:szCs w:val="22"/>
        </w:rPr>
        <w:t>3.5, 21.3]; EASI75: 70.3% vs. 58.1%, RD: 12.0%</w:t>
      </w:r>
      <w:r>
        <w:rPr>
          <w:rFonts w:eastAsiaTheme="minorHAnsi" w:cstheme="minorBidi"/>
          <w:szCs w:val="22"/>
        </w:rPr>
        <w:t xml:space="preserve"> [</w:t>
      </w:r>
      <w:r w:rsidRPr="009A5A91">
        <w:rPr>
          <w:rFonts w:eastAsiaTheme="minorHAnsi" w:cstheme="minorBidi"/>
          <w:szCs w:val="22"/>
        </w:rPr>
        <w:t>95% CI</w:t>
      </w:r>
      <w:r>
        <w:rPr>
          <w:rFonts w:eastAsiaTheme="minorHAnsi" w:cstheme="minorBidi"/>
          <w:szCs w:val="22"/>
        </w:rPr>
        <w:t xml:space="preserve">: </w:t>
      </w:r>
      <w:r w:rsidRPr="009A5A91">
        <w:rPr>
          <w:rFonts w:eastAsiaTheme="minorHAnsi" w:cstheme="minorBidi"/>
          <w:szCs w:val="22"/>
        </w:rPr>
        <w:t xml:space="preserve">2.8, 20.2]). Similar </w:t>
      </w:r>
      <w:r>
        <w:rPr>
          <w:rFonts w:eastAsiaTheme="minorHAnsi" w:cstheme="minorBidi"/>
          <w:szCs w:val="22"/>
        </w:rPr>
        <w:t xml:space="preserve">results </w:t>
      </w:r>
      <w:r w:rsidRPr="009A5A91">
        <w:rPr>
          <w:rFonts w:eastAsiaTheme="minorHAnsi" w:cstheme="minorBidi"/>
          <w:szCs w:val="22"/>
        </w:rPr>
        <w:t xml:space="preserve">were </w:t>
      </w:r>
      <w:r>
        <w:rPr>
          <w:rFonts w:eastAsiaTheme="minorHAnsi" w:cstheme="minorBidi"/>
          <w:szCs w:val="22"/>
        </w:rPr>
        <w:t>reported</w:t>
      </w:r>
      <w:r w:rsidRPr="009A5A91">
        <w:rPr>
          <w:rFonts w:eastAsiaTheme="minorHAnsi" w:cstheme="minorBidi"/>
          <w:szCs w:val="22"/>
        </w:rPr>
        <w:t xml:space="preserve"> for IGA response and EASI75 response </w:t>
      </w:r>
      <w:r>
        <w:rPr>
          <w:rFonts w:eastAsiaTheme="minorHAnsi" w:cstheme="minorBidi"/>
          <w:szCs w:val="22"/>
        </w:rPr>
        <w:t xml:space="preserve">at Week 12 </w:t>
      </w:r>
      <w:r w:rsidRPr="009A5A91">
        <w:rPr>
          <w:rFonts w:eastAsiaTheme="minorHAnsi" w:cstheme="minorBidi"/>
          <w:szCs w:val="22"/>
        </w:rPr>
        <w:t xml:space="preserve">in JADE DARE </w:t>
      </w:r>
      <w:r>
        <w:rPr>
          <w:rFonts w:eastAsiaTheme="minorHAnsi" w:cstheme="minorBidi"/>
          <w:szCs w:val="22"/>
        </w:rPr>
        <w:t xml:space="preserve">which were </w:t>
      </w:r>
      <w:r w:rsidRPr="009A5A91">
        <w:rPr>
          <w:rFonts w:eastAsiaTheme="minorHAnsi" w:cstheme="minorBidi"/>
          <w:szCs w:val="22"/>
        </w:rPr>
        <w:t>assessed as secondary endpoints. Although the comparisons were not statistically tested, the 95% CIs of the RD excluded zero.</w:t>
      </w:r>
    </w:p>
    <w:p w14:paraId="08B9233D" w14:textId="77777777" w:rsidR="0061175D" w:rsidRPr="009A5A91" w:rsidRDefault="0061175D" w:rsidP="0091041C">
      <w:pPr>
        <w:widowControl w:val="0"/>
        <w:numPr>
          <w:ilvl w:val="1"/>
          <w:numId w:val="6"/>
        </w:numPr>
        <w:spacing w:after="120"/>
        <w:rPr>
          <w:rFonts w:eastAsiaTheme="minorHAnsi" w:cstheme="minorBidi"/>
          <w:szCs w:val="22"/>
        </w:rPr>
      </w:pPr>
      <w:r>
        <w:rPr>
          <w:rFonts w:eastAsiaTheme="minorHAnsi" w:cstheme="minorBidi"/>
          <w:szCs w:val="22"/>
        </w:rPr>
        <w:t xml:space="preserve">Results for the </w:t>
      </w:r>
      <w:r w:rsidRPr="009A5A91">
        <w:rPr>
          <w:rFonts w:eastAsiaTheme="minorHAnsi" w:cstheme="minorBidi"/>
          <w:szCs w:val="22"/>
        </w:rPr>
        <w:t xml:space="preserve">co-primary endpoints at Week 12 </w:t>
      </w:r>
      <w:r>
        <w:rPr>
          <w:rFonts w:eastAsiaTheme="minorHAnsi" w:cstheme="minorBidi"/>
          <w:szCs w:val="22"/>
        </w:rPr>
        <w:t xml:space="preserve">were similar between the ABRO 100 mg QD and DUPI 300 mg Q2W arms in JADE COMPARE </w:t>
      </w:r>
      <w:r w:rsidRPr="009A5A91">
        <w:rPr>
          <w:rFonts w:eastAsiaTheme="minorHAnsi" w:cstheme="minorBidi"/>
          <w:szCs w:val="22"/>
        </w:rPr>
        <w:t xml:space="preserve">(IGA response: 36.6% </w:t>
      </w:r>
      <w:r w:rsidRPr="00E574CC">
        <w:rPr>
          <w:rFonts w:eastAsiaTheme="minorHAnsi" w:cstheme="minorBidi"/>
          <w:iCs/>
          <w:szCs w:val="22"/>
        </w:rPr>
        <w:t>vs</w:t>
      </w:r>
      <w:r w:rsidRPr="009A5A91">
        <w:rPr>
          <w:rFonts w:eastAsiaTheme="minorHAnsi" w:cstheme="minorBidi"/>
          <w:szCs w:val="22"/>
        </w:rPr>
        <w:t xml:space="preserve">. 36.5%, RD: 0.05% [95% CI: -8.0, 9.1]; EASI75: 58.7% </w:t>
      </w:r>
      <w:r w:rsidRPr="00E574CC">
        <w:rPr>
          <w:rFonts w:eastAsiaTheme="minorHAnsi" w:cstheme="minorBidi"/>
          <w:iCs/>
          <w:szCs w:val="22"/>
        </w:rPr>
        <w:t>vs</w:t>
      </w:r>
      <w:r w:rsidRPr="009A5A91">
        <w:rPr>
          <w:rFonts w:eastAsiaTheme="minorHAnsi" w:cstheme="minorBidi"/>
          <w:szCs w:val="22"/>
        </w:rPr>
        <w:t>. 58.1%, RD: 0.8% [95% CI: -8.1, 9.6])</w:t>
      </w:r>
      <w:r>
        <w:rPr>
          <w:rFonts w:eastAsiaTheme="minorHAnsi" w:cstheme="minorBidi"/>
          <w:szCs w:val="22"/>
        </w:rPr>
        <w:t xml:space="preserve">. </w:t>
      </w:r>
    </w:p>
    <w:p w14:paraId="4189A052" w14:textId="12BD1BA0" w:rsidR="0061175D" w:rsidRPr="00065540" w:rsidRDefault="0061175D" w:rsidP="0091041C">
      <w:pPr>
        <w:widowControl w:val="0"/>
        <w:numPr>
          <w:ilvl w:val="1"/>
          <w:numId w:val="6"/>
        </w:numPr>
        <w:spacing w:after="120"/>
        <w:rPr>
          <w:rFonts w:eastAsiaTheme="minorHAnsi" w:cstheme="minorBidi"/>
          <w:szCs w:val="22"/>
        </w:rPr>
      </w:pPr>
      <w:r w:rsidRPr="00065540">
        <w:rPr>
          <w:rFonts w:eastAsiaTheme="minorHAnsi" w:cstheme="minorBidi"/>
          <w:szCs w:val="22"/>
        </w:rPr>
        <w:t>Both IGA response and EASI75 data were collected at Weeks 2, 4, 8, 12 and 16 in JADE COMPARE (</w:t>
      </w:r>
      <w:r w:rsidRPr="00513E34">
        <w:rPr>
          <w:rFonts w:eastAsiaTheme="minorHAnsi" w:cstheme="minorHAnsi"/>
        </w:rPr>
        <w:fldChar w:fldCharType="begin" w:fldLock="1"/>
      </w:r>
      <w:r w:rsidRPr="00513E34">
        <w:rPr>
          <w:rFonts w:eastAsiaTheme="minorHAnsi" w:cstheme="minorHAnsi"/>
        </w:rPr>
        <w:instrText xml:space="preserve"> REF _Ref176799105 \h  \* MERGEFORMAT </w:instrText>
      </w:r>
      <w:r w:rsidRPr="00513E34">
        <w:rPr>
          <w:rFonts w:eastAsiaTheme="minorHAnsi" w:cstheme="minorHAnsi"/>
        </w:rPr>
      </w:r>
      <w:r w:rsidRPr="00513E34">
        <w:rPr>
          <w:rFonts w:eastAsiaTheme="minorHAnsi" w:cstheme="minorHAnsi"/>
        </w:rPr>
        <w:fldChar w:fldCharType="separate"/>
      </w:r>
      <w:r w:rsidR="004F2A70" w:rsidRPr="00513E34">
        <w:rPr>
          <w:rFonts w:cstheme="minorHAnsi"/>
        </w:rPr>
        <w:t>Figure 1</w:t>
      </w:r>
      <w:r w:rsidRPr="00513E34">
        <w:rPr>
          <w:rFonts w:eastAsiaTheme="minorHAnsi" w:cstheme="minorHAnsi"/>
        </w:rPr>
        <w:fldChar w:fldCharType="end"/>
      </w:r>
      <w:r w:rsidRPr="00513E34">
        <w:rPr>
          <w:rFonts w:eastAsiaTheme="minorHAnsi" w:cstheme="minorHAnsi"/>
        </w:rPr>
        <w:t xml:space="preserve"> and </w:t>
      </w:r>
      <w:r w:rsidRPr="00513E34">
        <w:rPr>
          <w:rFonts w:eastAsiaTheme="minorHAnsi" w:cstheme="minorHAnsi"/>
        </w:rPr>
        <w:fldChar w:fldCharType="begin" w:fldLock="1"/>
      </w:r>
      <w:r w:rsidRPr="00513E34">
        <w:rPr>
          <w:rFonts w:eastAsiaTheme="minorHAnsi" w:cstheme="minorHAnsi"/>
        </w:rPr>
        <w:instrText xml:space="preserve"> REF _Ref176799124 \h  \* MERGEFORMAT </w:instrText>
      </w:r>
      <w:r w:rsidRPr="00513E34">
        <w:rPr>
          <w:rFonts w:eastAsiaTheme="minorHAnsi" w:cstheme="minorHAnsi"/>
        </w:rPr>
      </w:r>
      <w:r w:rsidRPr="00513E34">
        <w:rPr>
          <w:rFonts w:eastAsiaTheme="minorHAnsi" w:cstheme="minorHAnsi"/>
        </w:rPr>
        <w:fldChar w:fldCharType="separate"/>
      </w:r>
      <w:r w:rsidR="004F2A70" w:rsidRPr="00513E34">
        <w:rPr>
          <w:rFonts w:cstheme="minorHAnsi"/>
        </w:rPr>
        <w:t>Figure 2</w:t>
      </w:r>
      <w:r w:rsidRPr="00513E34">
        <w:rPr>
          <w:rFonts w:eastAsiaTheme="minorHAnsi" w:cstheme="minorHAnsi"/>
        </w:rPr>
        <w:fldChar w:fldCharType="end"/>
      </w:r>
      <w:r w:rsidRPr="005F67CF">
        <w:rPr>
          <w:rFonts w:eastAsiaTheme="minorHAnsi" w:cstheme="minorHAnsi"/>
          <w:szCs w:val="22"/>
        </w:rPr>
        <w:t>)</w:t>
      </w:r>
      <w:r w:rsidRPr="00065540">
        <w:rPr>
          <w:rFonts w:eastAsiaTheme="minorHAnsi" w:cstheme="minorBidi"/>
          <w:szCs w:val="22"/>
        </w:rPr>
        <w:t>. An earlier onset of treatment response was observed for both doses of ABRO compared to DUPI with a difference continuing up to Week 8. Response to treatment with ABRO 10</w:t>
      </w:r>
      <w:r>
        <w:rPr>
          <w:rFonts w:eastAsiaTheme="minorHAnsi" w:cstheme="minorBidi"/>
          <w:szCs w:val="22"/>
        </w:rPr>
        <w:t>0 mg</w:t>
      </w:r>
      <w:r w:rsidRPr="00065540">
        <w:rPr>
          <w:rFonts w:eastAsiaTheme="minorHAnsi" w:cstheme="minorBidi"/>
          <w:szCs w:val="22"/>
        </w:rPr>
        <w:t xml:space="preserve"> and 20</w:t>
      </w:r>
      <w:r>
        <w:rPr>
          <w:rFonts w:eastAsiaTheme="minorHAnsi" w:cstheme="minorBidi"/>
          <w:szCs w:val="22"/>
        </w:rPr>
        <w:t>0 mg</w:t>
      </w:r>
      <w:r w:rsidRPr="00065540">
        <w:rPr>
          <w:rFonts w:eastAsiaTheme="minorHAnsi" w:cstheme="minorBidi"/>
          <w:szCs w:val="22"/>
        </w:rPr>
        <w:t xml:space="preserve"> was plateauing from Week 8 onwards while response to DUPI continued to increase to Week 16. </w:t>
      </w:r>
    </w:p>
    <w:p w14:paraId="1CAA800E" w14:textId="7BD9775A" w:rsidR="0061175D" w:rsidRPr="009A5A91" w:rsidRDefault="00160BC4" w:rsidP="0091041C">
      <w:pPr>
        <w:keepNext/>
        <w:keepLines/>
        <w:spacing w:before="240"/>
      </w:pPr>
      <w:bookmarkStart w:id="40" w:name="_Ref176799105"/>
      <w:r w:rsidRPr="009A5A91">
        <w:rPr>
          <w:noProof/>
        </w:rPr>
        <w:drawing>
          <wp:anchor distT="0" distB="0" distL="114300" distR="114300" simplePos="0" relativeHeight="251658240" behindDoc="0" locked="0" layoutInCell="1" allowOverlap="1" wp14:anchorId="287EE750" wp14:editId="6A282D52">
            <wp:simplePos x="0" y="0"/>
            <wp:positionH relativeFrom="column">
              <wp:posOffset>3810</wp:posOffset>
            </wp:positionH>
            <wp:positionV relativeFrom="paragraph">
              <wp:posOffset>247386</wp:posOffset>
            </wp:positionV>
            <wp:extent cx="5054600" cy="3238500"/>
            <wp:effectExtent l="0" t="0" r="0" b="0"/>
            <wp:wrapTopAndBottom/>
            <wp:docPr id="626992959" name="Picture 2"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2959" name="Picture 2" descr="A graph of different colored lin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4600" cy="3238500"/>
                    </a:xfrm>
                    <a:prstGeom prst="rect">
                      <a:avLst/>
                    </a:prstGeom>
                    <a:noFill/>
                  </pic:spPr>
                </pic:pic>
              </a:graphicData>
            </a:graphic>
            <wp14:sizeRelH relativeFrom="margin">
              <wp14:pctWidth>0</wp14:pctWidth>
            </wp14:sizeRelH>
            <wp14:sizeRelV relativeFrom="margin">
              <wp14:pctHeight>0</wp14:pctHeight>
            </wp14:sizeRelV>
          </wp:anchor>
        </w:drawing>
      </w:r>
      <w:r w:rsidR="0061175D" w:rsidRPr="009A5A91">
        <w:rPr>
          <w:rFonts w:ascii="Arial Narrow" w:hAnsi="Arial Narrow"/>
          <w:b/>
          <w:bCs/>
          <w:sz w:val="20"/>
          <w:szCs w:val="18"/>
        </w:rPr>
        <w:t xml:space="preserve">Figure </w:t>
      </w:r>
      <w:r w:rsidR="0061175D" w:rsidRPr="009A5A91">
        <w:rPr>
          <w:rFonts w:ascii="Arial Narrow" w:hAnsi="Arial Narrow"/>
          <w:b/>
          <w:bCs/>
          <w:sz w:val="20"/>
          <w:szCs w:val="18"/>
        </w:rPr>
        <w:fldChar w:fldCharType="begin" w:fldLock="1"/>
      </w:r>
      <w:r w:rsidR="0061175D" w:rsidRPr="009A5A91">
        <w:rPr>
          <w:rFonts w:ascii="Arial Narrow" w:hAnsi="Arial Narrow"/>
          <w:b/>
          <w:bCs/>
          <w:sz w:val="20"/>
          <w:szCs w:val="18"/>
        </w:rPr>
        <w:instrText xml:space="preserve"> SEQ Figure \* ARABIC </w:instrText>
      </w:r>
      <w:r w:rsidR="0061175D" w:rsidRPr="009A5A91">
        <w:rPr>
          <w:rFonts w:ascii="Arial Narrow" w:hAnsi="Arial Narrow"/>
          <w:b/>
          <w:bCs/>
          <w:sz w:val="20"/>
          <w:szCs w:val="18"/>
        </w:rPr>
        <w:fldChar w:fldCharType="separate"/>
      </w:r>
      <w:r w:rsidR="004F2A70">
        <w:rPr>
          <w:rFonts w:ascii="Arial Narrow" w:hAnsi="Arial Narrow"/>
          <w:b/>
          <w:bCs/>
          <w:noProof/>
          <w:sz w:val="20"/>
          <w:szCs w:val="18"/>
        </w:rPr>
        <w:t>1</w:t>
      </w:r>
      <w:r w:rsidR="0061175D" w:rsidRPr="009A5A91">
        <w:rPr>
          <w:rFonts w:ascii="Arial Narrow" w:hAnsi="Arial Narrow"/>
          <w:b/>
          <w:bCs/>
          <w:sz w:val="20"/>
          <w:szCs w:val="18"/>
        </w:rPr>
        <w:fldChar w:fldCharType="end"/>
      </w:r>
      <w:bookmarkEnd w:id="40"/>
      <w:r w:rsidR="0061175D" w:rsidRPr="009A5A91">
        <w:rPr>
          <w:rFonts w:ascii="Arial Narrow" w:hAnsi="Arial Narrow"/>
          <w:b/>
          <w:bCs/>
          <w:sz w:val="20"/>
          <w:szCs w:val="18"/>
        </w:rPr>
        <w:t xml:space="preserve">: </w:t>
      </w:r>
      <w:r w:rsidR="0061175D">
        <w:rPr>
          <w:rFonts w:ascii="Arial Narrow" w:hAnsi="Arial Narrow"/>
          <w:b/>
          <w:bCs/>
          <w:sz w:val="20"/>
          <w:szCs w:val="18"/>
        </w:rPr>
        <w:t>Proportion of participants in JADE COMPARE with EASI75</w:t>
      </w:r>
      <w:r w:rsidR="0061175D" w:rsidRPr="009A5A91">
        <w:rPr>
          <w:rFonts w:ascii="Arial Narrow" w:hAnsi="Arial Narrow"/>
          <w:b/>
          <w:bCs/>
          <w:sz w:val="20"/>
          <w:szCs w:val="18"/>
        </w:rPr>
        <w:t xml:space="preserve"> </w:t>
      </w:r>
      <w:r w:rsidR="0061175D">
        <w:rPr>
          <w:rFonts w:ascii="Arial Narrow" w:hAnsi="Arial Narrow"/>
          <w:b/>
          <w:bCs/>
          <w:sz w:val="20"/>
          <w:szCs w:val="18"/>
        </w:rPr>
        <w:t xml:space="preserve">response </w:t>
      </w:r>
      <w:r w:rsidR="0061175D" w:rsidRPr="009A5A91">
        <w:rPr>
          <w:rFonts w:ascii="Arial Narrow" w:hAnsi="Arial Narrow"/>
          <w:b/>
          <w:bCs/>
          <w:sz w:val="20"/>
          <w:szCs w:val="18"/>
        </w:rPr>
        <w:t>to Week 16 (ITT)</w:t>
      </w:r>
    </w:p>
    <w:p w14:paraId="53FF4CA3" w14:textId="77777777" w:rsidR="0061175D" w:rsidRPr="009A5A91" w:rsidRDefault="0061175D" w:rsidP="0091041C">
      <w:pPr>
        <w:keepNext/>
        <w:keepLines/>
        <w:spacing w:after="120"/>
        <w:contextualSpacing/>
        <w:rPr>
          <w:rFonts w:ascii="Arial Narrow" w:hAnsi="Arial Narrow"/>
          <w:iCs/>
          <w:snapToGrid w:val="0"/>
          <w:sz w:val="18"/>
          <w:szCs w:val="22"/>
          <w:lang w:eastAsia="en-US"/>
        </w:rPr>
      </w:pPr>
      <w:r w:rsidRPr="009A5A91">
        <w:rPr>
          <w:rFonts w:ascii="Arial Narrow" w:hAnsi="Arial Narrow"/>
          <w:iCs/>
          <w:snapToGrid w:val="0"/>
          <w:sz w:val="18"/>
          <w:szCs w:val="22"/>
          <w:lang w:eastAsia="en-US"/>
        </w:rPr>
        <w:t>Source: Figure 2.6.1, p41 in the submission</w:t>
      </w:r>
    </w:p>
    <w:p w14:paraId="042BE1DC" w14:textId="77777777" w:rsidR="0061175D" w:rsidRDefault="0061175D" w:rsidP="0091041C">
      <w:pPr>
        <w:keepNext/>
        <w:keepLines/>
        <w:spacing w:after="120"/>
        <w:contextualSpacing/>
        <w:rPr>
          <w:rFonts w:ascii="Arial Narrow" w:hAnsi="Arial Narrow"/>
          <w:iCs/>
          <w:snapToGrid w:val="0"/>
          <w:sz w:val="18"/>
          <w:szCs w:val="22"/>
          <w:lang w:eastAsia="en-US"/>
        </w:rPr>
      </w:pPr>
      <w:r>
        <w:rPr>
          <w:rFonts w:ascii="Arial Narrow" w:hAnsi="Arial Narrow"/>
          <w:iCs/>
          <w:snapToGrid w:val="0"/>
          <w:sz w:val="18"/>
          <w:szCs w:val="22"/>
          <w:lang w:eastAsia="en-US"/>
        </w:rPr>
        <w:t xml:space="preserve">ITT = intention-to-treat; </w:t>
      </w:r>
      <w:r w:rsidRPr="009A5A91">
        <w:rPr>
          <w:rFonts w:ascii="Arial Narrow" w:hAnsi="Arial Narrow"/>
          <w:iCs/>
          <w:snapToGrid w:val="0"/>
          <w:sz w:val="18"/>
          <w:szCs w:val="22"/>
          <w:lang w:eastAsia="en-US"/>
        </w:rPr>
        <w:t>QD = once daily; Q2W = once every two weeks</w:t>
      </w:r>
    </w:p>
    <w:p w14:paraId="228463D4" w14:textId="77777777" w:rsidR="0061175D" w:rsidRDefault="0061175D" w:rsidP="00160BC4">
      <w:pPr>
        <w:keepLines/>
        <w:spacing w:after="120"/>
        <w:rPr>
          <w:rFonts w:ascii="Arial Narrow" w:hAnsi="Arial Narrow"/>
          <w:iCs/>
          <w:snapToGrid w:val="0"/>
          <w:sz w:val="18"/>
          <w:szCs w:val="22"/>
          <w:lang w:eastAsia="en-US"/>
        </w:rPr>
      </w:pPr>
      <w:r w:rsidRPr="009A5A91">
        <w:rPr>
          <w:rFonts w:ascii="Arial Narrow" w:hAnsi="Arial Narrow"/>
          <w:iCs/>
          <w:snapToGrid w:val="0"/>
          <w:sz w:val="18"/>
          <w:szCs w:val="22"/>
          <w:lang w:eastAsia="en-US"/>
        </w:rPr>
        <w:t xml:space="preserve">Note: PF-04965842 is </w:t>
      </w:r>
      <w:r>
        <w:rPr>
          <w:rFonts w:ascii="Arial Narrow" w:hAnsi="Arial Narrow"/>
          <w:iCs/>
          <w:snapToGrid w:val="0"/>
          <w:sz w:val="18"/>
          <w:szCs w:val="22"/>
          <w:lang w:eastAsia="en-US"/>
        </w:rPr>
        <w:t>ABRO</w:t>
      </w:r>
      <w:r w:rsidRPr="009A5A91">
        <w:rPr>
          <w:rFonts w:ascii="Arial Narrow" w:hAnsi="Arial Narrow"/>
          <w:iCs/>
          <w:snapToGrid w:val="0"/>
          <w:sz w:val="18"/>
          <w:szCs w:val="22"/>
          <w:lang w:eastAsia="en-US"/>
        </w:rPr>
        <w:t>.</w:t>
      </w:r>
    </w:p>
    <w:p w14:paraId="4C3097A1" w14:textId="7DB78D8A" w:rsidR="0061175D" w:rsidRPr="00603407" w:rsidRDefault="0061175D" w:rsidP="0061175D">
      <w:pPr>
        <w:keepNext/>
        <w:keepLines/>
        <w:rPr>
          <w:rFonts w:ascii="Arial Narrow" w:hAnsi="Arial Narrow"/>
          <w:b/>
          <w:bCs/>
          <w:sz w:val="20"/>
          <w:szCs w:val="18"/>
        </w:rPr>
      </w:pPr>
      <w:bookmarkStart w:id="41" w:name="_Ref176799124"/>
      <w:r w:rsidRPr="009A5A91">
        <w:rPr>
          <w:rFonts w:ascii="Arial Narrow" w:hAnsi="Arial Narrow"/>
          <w:b/>
          <w:bCs/>
          <w:noProof/>
          <w:sz w:val="20"/>
          <w:szCs w:val="18"/>
        </w:rPr>
        <w:lastRenderedPageBreak/>
        <w:drawing>
          <wp:anchor distT="0" distB="0" distL="114300" distR="114300" simplePos="0" relativeHeight="251658241" behindDoc="0" locked="0" layoutInCell="1" allowOverlap="1" wp14:anchorId="72DAC9A1" wp14:editId="11EB1C46">
            <wp:simplePos x="0" y="0"/>
            <wp:positionH relativeFrom="margin">
              <wp:posOffset>0</wp:posOffset>
            </wp:positionH>
            <wp:positionV relativeFrom="paragraph">
              <wp:posOffset>190764</wp:posOffset>
            </wp:positionV>
            <wp:extent cx="5037826" cy="3255192"/>
            <wp:effectExtent l="0" t="0" r="0" b="2540"/>
            <wp:wrapTopAndBottom/>
            <wp:docPr id="856889136" name="Picture 3" descr="A graph of a patient's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04674" name="Picture 3" descr="A graph of a patient's growth&#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7826" cy="3255192"/>
                    </a:xfrm>
                    <a:prstGeom prst="rect">
                      <a:avLst/>
                    </a:prstGeom>
                    <a:noFill/>
                  </pic:spPr>
                </pic:pic>
              </a:graphicData>
            </a:graphic>
          </wp:anchor>
        </w:drawing>
      </w:r>
      <w:r w:rsidRPr="009A5A91">
        <w:rPr>
          <w:rFonts w:ascii="Arial Narrow" w:hAnsi="Arial Narrow"/>
          <w:b/>
          <w:bCs/>
          <w:sz w:val="20"/>
          <w:szCs w:val="18"/>
        </w:rPr>
        <w:t xml:space="preserve">Figure </w:t>
      </w:r>
      <w:r w:rsidRPr="009A5A91">
        <w:rPr>
          <w:rFonts w:ascii="Arial Narrow" w:hAnsi="Arial Narrow"/>
          <w:b/>
          <w:bCs/>
          <w:sz w:val="20"/>
          <w:szCs w:val="18"/>
        </w:rPr>
        <w:fldChar w:fldCharType="begin" w:fldLock="1"/>
      </w:r>
      <w:r w:rsidRPr="009A5A91">
        <w:rPr>
          <w:rFonts w:ascii="Arial Narrow" w:hAnsi="Arial Narrow"/>
          <w:b/>
          <w:bCs/>
          <w:sz w:val="20"/>
          <w:szCs w:val="18"/>
        </w:rPr>
        <w:instrText xml:space="preserve"> SEQ Figure \* ARABIC </w:instrText>
      </w:r>
      <w:r w:rsidRPr="009A5A91">
        <w:rPr>
          <w:rFonts w:ascii="Arial Narrow" w:hAnsi="Arial Narrow"/>
          <w:b/>
          <w:bCs/>
          <w:sz w:val="20"/>
          <w:szCs w:val="18"/>
        </w:rPr>
        <w:fldChar w:fldCharType="separate"/>
      </w:r>
      <w:r w:rsidR="004F2A70">
        <w:rPr>
          <w:rFonts w:ascii="Arial Narrow" w:hAnsi="Arial Narrow"/>
          <w:b/>
          <w:bCs/>
          <w:noProof/>
          <w:sz w:val="20"/>
          <w:szCs w:val="18"/>
        </w:rPr>
        <w:t>2</w:t>
      </w:r>
      <w:r w:rsidRPr="009A5A91">
        <w:rPr>
          <w:rFonts w:ascii="Arial Narrow" w:hAnsi="Arial Narrow"/>
          <w:b/>
          <w:bCs/>
          <w:sz w:val="20"/>
          <w:szCs w:val="18"/>
        </w:rPr>
        <w:fldChar w:fldCharType="end"/>
      </w:r>
      <w:bookmarkEnd w:id="41"/>
      <w:r w:rsidRPr="009A5A91">
        <w:rPr>
          <w:rFonts w:ascii="Arial Narrow" w:hAnsi="Arial Narrow"/>
          <w:b/>
          <w:bCs/>
          <w:sz w:val="20"/>
          <w:szCs w:val="18"/>
        </w:rPr>
        <w:t xml:space="preserve">: </w:t>
      </w:r>
      <w:r w:rsidRPr="00603407">
        <w:rPr>
          <w:rFonts w:ascii="Arial Narrow" w:hAnsi="Arial Narrow"/>
          <w:b/>
          <w:bCs/>
          <w:sz w:val="20"/>
          <w:szCs w:val="18"/>
        </w:rPr>
        <w:t>Proportion of participants in JADE COMPARE with an IGA response to Week 16 (ITT)</w:t>
      </w:r>
    </w:p>
    <w:p w14:paraId="4FDB4276" w14:textId="77777777" w:rsidR="0061175D" w:rsidRPr="009A5A91" w:rsidRDefault="0061175D" w:rsidP="0061175D">
      <w:pPr>
        <w:keepLines/>
        <w:spacing w:after="120"/>
        <w:contextualSpacing/>
        <w:rPr>
          <w:rFonts w:ascii="Arial Narrow" w:hAnsi="Arial Narrow"/>
          <w:iCs/>
          <w:snapToGrid w:val="0"/>
          <w:sz w:val="18"/>
          <w:szCs w:val="22"/>
          <w:lang w:eastAsia="en-US"/>
        </w:rPr>
      </w:pPr>
      <w:r w:rsidRPr="009A5A91">
        <w:rPr>
          <w:rFonts w:ascii="Arial Narrow" w:hAnsi="Arial Narrow"/>
          <w:iCs/>
          <w:snapToGrid w:val="0"/>
          <w:sz w:val="18"/>
          <w:szCs w:val="22"/>
          <w:lang w:eastAsia="en-US"/>
        </w:rPr>
        <w:t>Source: Figure 2.6.2, p42 in the submission</w:t>
      </w:r>
    </w:p>
    <w:p w14:paraId="2991924B" w14:textId="77777777" w:rsidR="0061175D" w:rsidRDefault="0061175D" w:rsidP="0061175D">
      <w:pPr>
        <w:keepLines/>
        <w:spacing w:after="120"/>
        <w:contextualSpacing/>
        <w:rPr>
          <w:rFonts w:ascii="Arial Narrow" w:hAnsi="Arial Narrow"/>
          <w:iCs/>
          <w:snapToGrid w:val="0"/>
          <w:sz w:val="18"/>
          <w:szCs w:val="22"/>
          <w:lang w:eastAsia="en-US"/>
        </w:rPr>
      </w:pPr>
      <w:r>
        <w:rPr>
          <w:rFonts w:ascii="Arial Narrow" w:hAnsi="Arial Narrow"/>
          <w:iCs/>
          <w:snapToGrid w:val="0"/>
          <w:sz w:val="18"/>
          <w:szCs w:val="22"/>
          <w:lang w:eastAsia="en-US"/>
        </w:rPr>
        <w:t xml:space="preserve">ITT = intention-to-treat; </w:t>
      </w:r>
      <w:r w:rsidRPr="009A5A91">
        <w:rPr>
          <w:rFonts w:ascii="Arial Narrow" w:hAnsi="Arial Narrow"/>
          <w:iCs/>
          <w:snapToGrid w:val="0"/>
          <w:sz w:val="18"/>
          <w:szCs w:val="22"/>
          <w:lang w:eastAsia="en-US"/>
        </w:rPr>
        <w:t>QD = once daily; Q2W = once every two weeks</w:t>
      </w:r>
    </w:p>
    <w:p w14:paraId="0DD4D740" w14:textId="320E3AEB" w:rsidR="0061175D" w:rsidRDefault="0061175D" w:rsidP="0091041C">
      <w:pPr>
        <w:keepLines/>
        <w:spacing w:after="120"/>
        <w:rPr>
          <w:rFonts w:eastAsiaTheme="minorHAnsi" w:cstheme="minorBidi"/>
          <w:szCs w:val="22"/>
        </w:rPr>
      </w:pPr>
      <w:r w:rsidRPr="009A5A91">
        <w:rPr>
          <w:rFonts w:ascii="Arial Narrow" w:hAnsi="Arial Narrow"/>
          <w:iCs/>
          <w:snapToGrid w:val="0"/>
          <w:sz w:val="18"/>
          <w:szCs w:val="22"/>
          <w:lang w:eastAsia="en-US"/>
        </w:rPr>
        <w:t xml:space="preserve">Note: PF-04965842 refers to </w:t>
      </w:r>
      <w:proofErr w:type="spellStart"/>
      <w:r w:rsidRPr="009A5A91">
        <w:rPr>
          <w:rFonts w:ascii="Arial Narrow" w:hAnsi="Arial Narrow"/>
          <w:iCs/>
          <w:snapToGrid w:val="0"/>
          <w:sz w:val="18"/>
          <w:szCs w:val="22"/>
          <w:lang w:eastAsia="en-US"/>
        </w:rPr>
        <w:t>abrocitinib</w:t>
      </w:r>
      <w:proofErr w:type="spellEnd"/>
    </w:p>
    <w:p w14:paraId="39525B50" w14:textId="4E4147B0" w:rsidR="0061175D" w:rsidRDefault="0061175D" w:rsidP="0091041C">
      <w:pPr>
        <w:widowControl w:val="0"/>
        <w:numPr>
          <w:ilvl w:val="1"/>
          <w:numId w:val="6"/>
        </w:numPr>
        <w:spacing w:after="120"/>
        <w:rPr>
          <w:rFonts w:eastAsiaTheme="minorHAnsi" w:cstheme="minorBidi"/>
          <w:szCs w:val="22"/>
        </w:rPr>
      </w:pPr>
      <w:r w:rsidRPr="00C64093">
        <w:rPr>
          <w:rFonts w:eastAsiaTheme="minorHAnsi" w:cstheme="minorBidi"/>
          <w:szCs w:val="22"/>
        </w:rPr>
        <w:t>IGA response and EASI75 response w</w:t>
      </w:r>
      <w:r w:rsidR="00D97A2F">
        <w:rPr>
          <w:rFonts w:eastAsiaTheme="minorHAnsi" w:cstheme="minorBidi"/>
          <w:szCs w:val="22"/>
        </w:rPr>
        <w:t>ere</w:t>
      </w:r>
      <w:r w:rsidRPr="00C64093">
        <w:rPr>
          <w:rFonts w:eastAsiaTheme="minorHAnsi" w:cstheme="minorBidi"/>
          <w:szCs w:val="22"/>
        </w:rPr>
        <w:t xml:space="preserve"> assessed in JADE DARE beyond Week 16 to Week 26</w:t>
      </w:r>
      <w:bookmarkStart w:id="42" w:name="_Hlk176738771"/>
      <w:r w:rsidRPr="00C64093">
        <w:rPr>
          <w:rFonts w:eastAsiaTheme="minorHAnsi" w:cstheme="minorBidi"/>
          <w:szCs w:val="22"/>
        </w:rPr>
        <w:t xml:space="preserve">. </w:t>
      </w:r>
      <w:bookmarkEnd w:id="42"/>
      <w:r w:rsidRPr="00C64093">
        <w:rPr>
          <w:rFonts w:eastAsiaTheme="minorHAnsi" w:cstheme="minorBidi"/>
          <w:szCs w:val="22"/>
        </w:rPr>
        <w:t>At Week 26, there was no statistically significant difference between the ABRO 20</w:t>
      </w:r>
      <w:r>
        <w:rPr>
          <w:rFonts w:eastAsiaTheme="minorHAnsi" w:cstheme="minorBidi"/>
          <w:szCs w:val="22"/>
        </w:rPr>
        <w:t>0 mg</w:t>
      </w:r>
      <w:r w:rsidRPr="00C64093">
        <w:rPr>
          <w:rFonts w:eastAsiaTheme="minorHAnsi" w:cstheme="minorBidi"/>
          <w:szCs w:val="22"/>
        </w:rPr>
        <w:t xml:space="preserve"> and DUPI 30</w:t>
      </w:r>
      <w:r>
        <w:rPr>
          <w:rFonts w:eastAsiaTheme="minorHAnsi" w:cstheme="minorBidi"/>
          <w:szCs w:val="22"/>
        </w:rPr>
        <w:t>0 mg</w:t>
      </w:r>
      <w:r w:rsidRPr="00C64093">
        <w:rPr>
          <w:rFonts w:eastAsiaTheme="minorHAnsi" w:cstheme="minorBidi"/>
          <w:szCs w:val="22"/>
        </w:rPr>
        <w:t xml:space="preserve"> arms for IGA response (55.6% </w:t>
      </w:r>
      <w:r w:rsidRPr="00E574CC">
        <w:rPr>
          <w:rFonts w:eastAsiaTheme="minorHAnsi" w:cstheme="minorBidi"/>
          <w:iCs/>
          <w:szCs w:val="22"/>
        </w:rPr>
        <w:t>vs</w:t>
      </w:r>
      <w:r w:rsidRPr="00C64093">
        <w:rPr>
          <w:rFonts w:eastAsiaTheme="minorHAnsi" w:cstheme="minorBidi"/>
          <w:szCs w:val="22"/>
        </w:rPr>
        <w:t xml:space="preserve">. 51,1%; RD: 4.5 [95% CI: </w:t>
      </w:r>
      <w:r w:rsidRPr="00C64093">
        <w:rPr>
          <w:rFonts w:eastAsiaTheme="minorHAnsi" w:cstheme="minorBidi"/>
          <w:szCs w:val="22"/>
        </w:rPr>
        <w:noBreakHyphen/>
        <w:t xml:space="preserve">2.8, 11.8], p=0.2293) or EASI75 response (73.0% </w:t>
      </w:r>
      <w:r w:rsidRPr="00E574CC">
        <w:rPr>
          <w:rFonts w:eastAsiaTheme="minorHAnsi" w:cstheme="minorBidi"/>
          <w:iCs/>
          <w:szCs w:val="22"/>
        </w:rPr>
        <w:t>vs</w:t>
      </w:r>
      <w:r w:rsidRPr="00C64093">
        <w:rPr>
          <w:rFonts w:eastAsiaTheme="minorHAnsi" w:cstheme="minorBidi"/>
          <w:szCs w:val="22"/>
        </w:rPr>
        <w:t>. 72.3%; RD: 0.7 [95% CI: -5.9, 7.2], p=0.8395). Th</w:t>
      </w:r>
      <w:r w:rsidR="000B7DD8">
        <w:rPr>
          <w:rFonts w:eastAsiaTheme="minorHAnsi" w:cstheme="minorBidi"/>
          <w:szCs w:val="22"/>
        </w:rPr>
        <w:t>ese</w:t>
      </w:r>
      <w:r w:rsidRPr="00C64093">
        <w:rPr>
          <w:rFonts w:eastAsiaTheme="minorHAnsi" w:cstheme="minorBidi"/>
          <w:szCs w:val="22"/>
        </w:rPr>
        <w:t xml:space="preserve"> data support observations at Week 16 that the difference in response rate between the ABRO 20</w:t>
      </w:r>
      <w:r>
        <w:rPr>
          <w:rFonts w:eastAsiaTheme="minorHAnsi" w:cstheme="minorBidi"/>
          <w:szCs w:val="22"/>
        </w:rPr>
        <w:t>0 mg</w:t>
      </w:r>
      <w:r w:rsidRPr="00C64093">
        <w:rPr>
          <w:rFonts w:eastAsiaTheme="minorHAnsi" w:cstheme="minorBidi"/>
          <w:szCs w:val="22"/>
        </w:rPr>
        <w:t xml:space="preserve"> and DUPI 30</w:t>
      </w:r>
      <w:r>
        <w:rPr>
          <w:rFonts w:eastAsiaTheme="minorHAnsi" w:cstheme="minorBidi"/>
          <w:szCs w:val="22"/>
        </w:rPr>
        <w:t>0 mg</w:t>
      </w:r>
      <w:r w:rsidRPr="00C64093">
        <w:rPr>
          <w:rFonts w:eastAsiaTheme="minorHAnsi" w:cstheme="minorBidi"/>
          <w:szCs w:val="22"/>
        </w:rPr>
        <w:t xml:space="preserve"> arms was decreasing over time with the curve for DUPI 30</w:t>
      </w:r>
      <w:r>
        <w:rPr>
          <w:rFonts w:eastAsiaTheme="minorHAnsi" w:cstheme="minorBidi"/>
          <w:szCs w:val="22"/>
        </w:rPr>
        <w:t>0 mg</w:t>
      </w:r>
      <w:r w:rsidRPr="00C64093">
        <w:rPr>
          <w:rFonts w:eastAsiaTheme="minorHAnsi" w:cstheme="minorBidi"/>
          <w:szCs w:val="22"/>
        </w:rPr>
        <w:t xml:space="preserve"> plateauing from Week 20 and response to ABRO 20</w:t>
      </w:r>
      <w:r>
        <w:rPr>
          <w:rFonts w:eastAsiaTheme="minorHAnsi" w:cstheme="minorBidi"/>
          <w:szCs w:val="22"/>
        </w:rPr>
        <w:t>0 mg</w:t>
      </w:r>
      <w:r w:rsidRPr="00C64093">
        <w:rPr>
          <w:rFonts w:eastAsiaTheme="minorHAnsi" w:cstheme="minorBidi"/>
          <w:szCs w:val="22"/>
        </w:rPr>
        <w:t xml:space="preserve"> plateauing from Week 16.</w:t>
      </w:r>
    </w:p>
    <w:p w14:paraId="2785D438" w14:textId="6621BCBF" w:rsidR="0061175D" w:rsidRPr="00070C35" w:rsidRDefault="0061175D" w:rsidP="0091041C">
      <w:pPr>
        <w:widowControl w:val="0"/>
        <w:numPr>
          <w:ilvl w:val="1"/>
          <w:numId w:val="6"/>
        </w:numPr>
        <w:spacing w:after="120"/>
        <w:rPr>
          <w:rFonts w:eastAsiaTheme="minorHAnsi" w:cstheme="minorBidi"/>
          <w:szCs w:val="22"/>
        </w:rPr>
      </w:pPr>
      <w:r w:rsidRPr="00980F07">
        <w:rPr>
          <w:rFonts w:eastAsiaTheme="minorHAnsi" w:cstheme="minorBidi"/>
          <w:szCs w:val="22"/>
        </w:rPr>
        <w:t xml:space="preserve">Onset of </w:t>
      </w:r>
      <w:proofErr w:type="spellStart"/>
      <w:r w:rsidRPr="00980F07">
        <w:rPr>
          <w:rFonts w:eastAsiaTheme="minorHAnsi" w:cstheme="minorBidi"/>
          <w:szCs w:val="22"/>
        </w:rPr>
        <w:t>pruritis</w:t>
      </w:r>
      <w:proofErr w:type="spellEnd"/>
      <w:r w:rsidRPr="00980F07">
        <w:rPr>
          <w:rFonts w:eastAsiaTheme="minorHAnsi" w:cstheme="minorBidi"/>
          <w:szCs w:val="22"/>
        </w:rPr>
        <w:t xml:space="preserve"> (itch) relief assessed as PP-NRS4 response at Week 2 was more rapid with ABRO 20</w:t>
      </w:r>
      <w:r>
        <w:rPr>
          <w:rFonts w:eastAsiaTheme="minorHAnsi" w:cstheme="minorBidi"/>
          <w:szCs w:val="22"/>
        </w:rPr>
        <w:t>0 mg</w:t>
      </w:r>
      <w:r w:rsidRPr="00980F07">
        <w:rPr>
          <w:rFonts w:eastAsiaTheme="minorHAnsi" w:cstheme="minorBidi"/>
          <w:szCs w:val="22"/>
        </w:rPr>
        <w:t xml:space="preserve"> compared with DUPI 30</w:t>
      </w:r>
      <w:r>
        <w:rPr>
          <w:rFonts w:eastAsiaTheme="minorHAnsi" w:cstheme="minorBidi"/>
          <w:szCs w:val="22"/>
        </w:rPr>
        <w:t>0 mg</w:t>
      </w:r>
      <w:r w:rsidRPr="00980F07">
        <w:rPr>
          <w:rFonts w:eastAsiaTheme="minorHAnsi" w:cstheme="minorBidi"/>
          <w:szCs w:val="22"/>
        </w:rPr>
        <w:t xml:space="preserve"> in JADE COMPARE. The proportion of participants achieving PP-NRS4 with ABRO 20</w:t>
      </w:r>
      <w:r>
        <w:rPr>
          <w:rFonts w:eastAsiaTheme="minorHAnsi" w:cstheme="minorBidi"/>
          <w:szCs w:val="22"/>
        </w:rPr>
        <w:t>0 mg</w:t>
      </w:r>
      <w:r w:rsidRPr="00980F07">
        <w:rPr>
          <w:rFonts w:eastAsiaTheme="minorHAnsi" w:cstheme="minorBidi"/>
          <w:szCs w:val="22"/>
        </w:rPr>
        <w:t xml:space="preserve"> was significantly higher than DUPI 30</w:t>
      </w:r>
      <w:r>
        <w:rPr>
          <w:rFonts w:eastAsiaTheme="minorHAnsi" w:cstheme="minorBidi"/>
          <w:szCs w:val="22"/>
        </w:rPr>
        <w:t>0 mg</w:t>
      </w:r>
      <w:r w:rsidRPr="00980F07">
        <w:rPr>
          <w:rFonts w:eastAsiaTheme="minorHAnsi" w:cstheme="minorBidi"/>
          <w:szCs w:val="22"/>
        </w:rPr>
        <w:t xml:space="preserve"> at Week 2 in both JADE COMPARE (RD: 22.1% [95% CI: 13.5, 30.7]; p&lt;0.0001) and JADE DARE (RD: 22.6% [95% CI: 15.8, 29.5]; p&lt;0.0001). The proportion of patients achieving PP-NRS4 at Week 2 was not statistically significantly different between ABRO 10</w:t>
      </w:r>
      <w:r>
        <w:rPr>
          <w:rFonts w:eastAsiaTheme="minorHAnsi" w:cstheme="minorBidi"/>
          <w:szCs w:val="22"/>
        </w:rPr>
        <w:t>0 mg</w:t>
      </w:r>
      <w:r w:rsidRPr="00980F07">
        <w:rPr>
          <w:rFonts w:eastAsiaTheme="minorHAnsi" w:cstheme="minorBidi"/>
          <w:szCs w:val="22"/>
        </w:rPr>
        <w:t xml:space="preserve"> and DUPI 30</w:t>
      </w:r>
      <w:r>
        <w:rPr>
          <w:rFonts w:eastAsiaTheme="minorHAnsi" w:cstheme="minorBidi"/>
          <w:szCs w:val="22"/>
        </w:rPr>
        <w:t>0 mg</w:t>
      </w:r>
      <w:r w:rsidRPr="00980F07">
        <w:rPr>
          <w:rFonts w:eastAsiaTheme="minorHAnsi" w:cstheme="minorBidi"/>
          <w:szCs w:val="22"/>
        </w:rPr>
        <w:t xml:space="preserve"> in JADE COMPARE (RD: 5.2% [95% CI: </w:t>
      </w:r>
      <w:r w:rsidRPr="00980F07">
        <w:rPr>
          <w:rFonts w:eastAsiaTheme="minorHAnsi" w:cstheme="minorBidi"/>
          <w:iCs/>
          <w:szCs w:val="22"/>
        </w:rPr>
        <w:t>-2.9, 13.4];</w:t>
      </w:r>
      <w:r w:rsidRPr="00980F07">
        <w:rPr>
          <w:rFonts w:eastAsiaTheme="minorHAnsi" w:cstheme="minorBidi"/>
          <w:szCs w:val="22"/>
        </w:rPr>
        <w:t xml:space="preserve"> </w:t>
      </w:r>
      <w:r w:rsidRPr="00980F07">
        <w:rPr>
          <w:rFonts w:eastAsiaTheme="minorHAnsi" w:cstheme="minorBidi"/>
          <w:iCs/>
          <w:szCs w:val="22"/>
        </w:rPr>
        <w:t>p=0.2084</w:t>
      </w:r>
      <w:r w:rsidRPr="00980F07">
        <w:rPr>
          <w:rFonts w:eastAsiaTheme="minorHAnsi" w:cstheme="minorBidi"/>
          <w:szCs w:val="22"/>
        </w:rPr>
        <w:t xml:space="preserve">). A similar trend to IGA and EASI75 responses was observed for PP-NRS4 response over time with the responder rate to both doses of ABRO plateauing at Week 8 but continuing to rise for DUPI to Week 16. </w:t>
      </w:r>
      <w:r w:rsidRPr="00070C35">
        <w:rPr>
          <w:rFonts w:eastAsiaTheme="minorHAnsi" w:cstheme="minorBidi"/>
          <w:szCs w:val="22"/>
        </w:rPr>
        <w:t>From Week 16 to Week 26, the response rate for ABRO 200 mg was comparable to DUPI 300 mg for PP-NRS4 (Week 16: RD: 3.6 [95%CI: -3.4, 10.5], p=0.3144; Week 26: RD: 5.0, [95% CI: -1.9, 11.9], p=0.1601), with no statistically significant difference observed.</w:t>
      </w:r>
    </w:p>
    <w:p w14:paraId="542B3F1C" w14:textId="77777777" w:rsidR="0061175D" w:rsidRPr="00070C35" w:rsidRDefault="0061175D" w:rsidP="0091041C">
      <w:pPr>
        <w:widowControl w:val="0"/>
        <w:numPr>
          <w:ilvl w:val="1"/>
          <w:numId w:val="6"/>
        </w:numPr>
        <w:spacing w:after="120"/>
        <w:rPr>
          <w:rFonts w:eastAsiaTheme="minorHAnsi" w:cstheme="minorBidi"/>
          <w:szCs w:val="22"/>
        </w:rPr>
      </w:pPr>
      <w:r w:rsidRPr="00070C35">
        <w:rPr>
          <w:rFonts w:eastAsiaTheme="minorHAnsi" w:cstheme="minorBidi"/>
          <w:szCs w:val="22"/>
        </w:rPr>
        <w:lastRenderedPageBreak/>
        <w:t xml:space="preserve">In JADE DARE, more patients treated with ABRO 200 mg versus DUPI 300 mg achieved a 90% improvement in their EASI score (EASI90) at Week 4 (28.5% vs. 14.6%; RD: 14.1% [95% CI: 8.2, 20.0]; p&lt;0.0001), with similar results reported from JADE COMPARE (32.3 % vs. 12.2%; RD: 20.6% [95% CI: 13.2, 27.9]), further supporting an earlier onset of treatment response with ABRO 200 mg versus DUPI 300 mg. In JADE DARE, the difference in response rate for ABRO 200 mg versus DUPI 300 mg was statistically significant at all time points up to Week 20, but not at Week 26. </w:t>
      </w:r>
    </w:p>
    <w:p w14:paraId="1A20FC0D" w14:textId="7B3F9A54"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Evidence supporting the proposed PBS restriction for the face and/or hands was based on post hoc analyses of the EASI head and neck scores in adults with moderate to severe AD (ITT population) from JADE COMPARE only. Differences in the EASI head and neck scores between ABRO and DUPI arms in JADE COMPARE were presented as least square mean (LSM) change in the EASI head and neck region scores. The trends for both doses of ABRO and for DUPI observed for IGA response and EASI75 response for whole body moderate to severe AD to Week 16 in JADE COMPARE were also observed for change in the EASI head and neck region scores over the same period. Treatment with ABRO 200 mg resulted in a LSM reduction of 52.5% at Week 2 and 76.6% at Week 16 in the head and neck region EASI score from baseline.</w:t>
      </w:r>
      <w:r w:rsidRPr="00070C35">
        <w:rPr>
          <w:rStyle w:val="FootnoteReference"/>
          <w:rFonts w:eastAsiaTheme="minorHAnsi" w:cstheme="minorBidi"/>
          <w:szCs w:val="22"/>
        </w:rPr>
        <w:footnoteReference w:id="5"/>
      </w:r>
      <w:r w:rsidRPr="00070C35">
        <w:rPr>
          <w:rFonts w:eastAsiaTheme="minorHAnsi" w:cstheme="minorBidi"/>
          <w:szCs w:val="22"/>
        </w:rPr>
        <w:t xml:space="preserve"> The median (95% CI) time to achieving an EASI75 score for the head and neck region was 29 days (29, 32) with ABRO 200 mg, 57 days (31, 58) with ABRO 100 mg and 57 days (56, 83) with DUPI 300 mg suggesting that the time to response was faster for ABRO 200 mg than DUPI 300 mg but comparable for ABRO 100 mg versus DUPI 300 mg.</w:t>
      </w:r>
    </w:p>
    <w:p w14:paraId="7E724141" w14:textId="77777777" w:rsidR="0061175D" w:rsidRPr="00070C35" w:rsidRDefault="0061175D" w:rsidP="0091041C">
      <w:pPr>
        <w:keepNext/>
        <w:keepLines/>
        <w:spacing w:after="120"/>
        <w:outlineLvl w:val="2"/>
        <w:rPr>
          <w:rFonts w:eastAsiaTheme="majorEastAsia" w:cstheme="majorBidi"/>
          <w:b/>
          <w:color w:val="000000" w:themeColor="text1"/>
        </w:rPr>
      </w:pPr>
      <w:bookmarkStart w:id="43" w:name="_Hlk176782555"/>
      <w:r w:rsidRPr="00070C35">
        <w:rPr>
          <w:rFonts w:eastAsiaTheme="majorEastAsia" w:cstheme="majorBidi"/>
          <w:b/>
          <w:color w:val="000000" w:themeColor="text1"/>
        </w:rPr>
        <w:t xml:space="preserve">ABRO vs. DUPI: </w:t>
      </w:r>
      <w:bookmarkStart w:id="44" w:name="_Hlk176615860"/>
      <w:r w:rsidRPr="00070C35">
        <w:rPr>
          <w:rFonts w:eastAsiaTheme="majorEastAsia" w:cstheme="majorBidi"/>
          <w:b/>
          <w:color w:val="000000" w:themeColor="text1"/>
        </w:rPr>
        <w:t>post hoc analyses of EASI50+DLQI≥4</w:t>
      </w:r>
      <w:bookmarkEnd w:id="44"/>
    </w:p>
    <w:bookmarkEnd w:id="43"/>
    <w:p w14:paraId="003E6635" w14:textId="22795FD6" w:rsidR="0061175D" w:rsidRPr="00070C35" w:rsidRDefault="0061175D">
      <w:pPr>
        <w:pStyle w:val="3-BodyText"/>
      </w:pPr>
      <w:r w:rsidRPr="00070C35">
        <w:t xml:space="preserve">Results for the composite endpoint of EASI50+DLQI≥4 for ABRO versus DUPI in subgroups relevant to the PBS listing (severe AD with no prior systemic treatment and severe AD with prior systemic treatment) from JADE COMPARE and JADE DARE at Week 16 </w:t>
      </w:r>
      <w:r w:rsidR="00347481">
        <w:t>are</w:t>
      </w:r>
      <w:r w:rsidRPr="00070C35">
        <w:t xml:space="preserve"> presented in </w:t>
      </w:r>
      <w:r w:rsidRPr="00070C35">
        <w:rPr>
          <w:rFonts w:ascii="Calibri" w:hAnsi="Calibri" w:cs="Arial"/>
          <w:szCs w:val="24"/>
        </w:rPr>
        <w:fldChar w:fldCharType="begin" w:fldLock="1"/>
      </w:r>
      <w:r w:rsidRPr="00070C35">
        <w:rPr>
          <w:rFonts w:ascii="Calibri" w:hAnsi="Calibri" w:cs="Arial"/>
          <w:szCs w:val="24"/>
        </w:rPr>
        <w:instrText xml:space="preserve"> REF _Ref176724585 \h </w:instrText>
      </w:r>
      <w:r w:rsidRPr="00070C35">
        <w:instrText xml:space="preserve"> \* MERGEFORMAT </w:instrText>
      </w:r>
      <w:r w:rsidRPr="00070C35">
        <w:rPr>
          <w:rFonts w:ascii="Calibri" w:hAnsi="Calibri" w:cs="Arial"/>
          <w:szCs w:val="24"/>
        </w:rPr>
      </w:r>
      <w:r w:rsidRPr="00070C35">
        <w:rPr>
          <w:rFonts w:ascii="Calibri" w:hAnsi="Calibri" w:cs="Arial"/>
          <w:szCs w:val="24"/>
        </w:rPr>
        <w:fldChar w:fldCharType="separate"/>
      </w:r>
      <w:r w:rsidR="004F2A70" w:rsidRPr="004F2A70">
        <w:rPr>
          <w:rFonts w:ascii="Calibri" w:hAnsi="Calibri"/>
          <w:szCs w:val="24"/>
        </w:rPr>
        <w:t>Table 5</w:t>
      </w:r>
      <w:r w:rsidRPr="00070C35">
        <w:rPr>
          <w:rFonts w:ascii="Calibri" w:hAnsi="Calibri" w:cs="Arial"/>
          <w:szCs w:val="24"/>
        </w:rPr>
        <w:fldChar w:fldCharType="end"/>
      </w:r>
      <w:r w:rsidRPr="00070C35">
        <w:rPr>
          <w:rFonts w:ascii="Calibri" w:hAnsi="Calibri" w:cs="Arial"/>
          <w:szCs w:val="24"/>
        </w:rPr>
        <w:t>.</w:t>
      </w:r>
      <w:r w:rsidRPr="00070C35">
        <w:t xml:space="preserve"> </w:t>
      </w:r>
      <w:bookmarkStart w:id="45" w:name="_Hlk176617085"/>
      <w:r w:rsidRPr="00070C35">
        <w:t>The subgroups w</w:t>
      </w:r>
      <w:r w:rsidR="00347481">
        <w:t>ere</w:t>
      </w:r>
      <w:r w:rsidRPr="00070C35">
        <w:t xml:space="preserve"> small, leading to uncertainty in the estimates of effectiveness. S</w:t>
      </w:r>
      <w:bookmarkEnd w:id="45"/>
      <w:r w:rsidRPr="00070C35">
        <w:t xml:space="preserve">ubgroup populations from JADE COMPARE and JADE DARE were pooled for the comparison of ABRO 200 mg and DUPI 300 mg for these analyses to increase the sample size. </w:t>
      </w:r>
    </w:p>
    <w:p w14:paraId="74E3C203" w14:textId="3FD4E89A" w:rsidR="0061175D" w:rsidRPr="00070C35" w:rsidRDefault="0061175D" w:rsidP="00A87075">
      <w:pPr>
        <w:keepNext/>
        <w:keepLines/>
        <w:rPr>
          <w:rFonts w:ascii="Arial Narrow" w:hAnsi="Arial Narrow"/>
          <w:b/>
          <w:bCs/>
          <w:sz w:val="20"/>
          <w:szCs w:val="18"/>
        </w:rPr>
      </w:pPr>
      <w:bookmarkStart w:id="46" w:name="_Ref176724585"/>
      <w:r w:rsidRPr="00070C35">
        <w:rPr>
          <w:rFonts w:ascii="Arial Narrow" w:hAnsi="Arial Narrow"/>
          <w:b/>
          <w:bCs/>
          <w:sz w:val="20"/>
          <w:szCs w:val="18"/>
        </w:rPr>
        <w:lastRenderedPageBreak/>
        <w:t xml:space="preserve">Table </w:t>
      </w:r>
      <w:r w:rsidRPr="00070C35">
        <w:rPr>
          <w:rFonts w:ascii="Arial Narrow" w:hAnsi="Arial Narrow"/>
          <w:b/>
          <w:bCs/>
          <w:sz w:val="20"/>
          <w:szCs w:val="18"/>
        </w:rPr>
        <w:fldChar w:fldCharType="begin" w:fldLock="1"/>
      </w:r>
      <w:r w:rsidRPr="00070C35">
        <w:rPr>
          <w:rFonts w:ascii="Arial Narrow" w:hAnsi="Arial Narrow"/>
          <w:b/>
          <w:bCs/>
          <w:sz w:val="20"/>
          <w:szCs w:val="18"/>
        </w:rPr>
        <w:instrText xml:space="preserve"> SEQ Table \* ARABIC </w:instrText>
      </w:r>
      <w:r w:rsidRPr="00070C35">
        <w:rPr>
          <w:rFonts w:ascii="Arial Narrow" w:hAnsi="Arial Narrow"/>
          <w:b/>
          <w:bCs/>
          <w:sz w:val="20"/>
          <w:szCs w:val="18"/>
        </w:rPr>
        <w:fldChar w:fldCharType="separate"/>
      </w:r>
      <w:r w:rsidR="004F2A70">
        <w:rPr>
          <w:rFonts w:ascii="Arial Narrow" w:hAnsi="Arial Narrow"/>
          <w:b/>
          <w:bCs/>
          <w:noProof/>
          <w:sz w:val="20"/>
          <w:szCs w:val="18"/>
        </w:rPr>
        <w:t>5</w:t>
      </w:r>
      <w:r w:rsidRPr="00070C35">
        <w:rPr>
          <w:rFonts w:ascii="Arial Narrow" w:hAnsi="Arial Narrow"/>
          <w:b/>
          <w:bCs/>
          <w:sz w:val="20"/>
          <w:szCs w:val="18"/>
        </w:rPr>
        <w:fldChar w:fldCharType="end"/>
      </w:r>
      <w:bookmarkEnd w:id="46"/>
      <w:r w:rsidRPr="00070C35">
        <w:rPr>
          <w:rFonts w:ascii="Arial Narrow" w:hAnsi="Arial Narrow"/>
          <w:b/>
          <w:bCs/>
          <w:sz w:val="20"/>
          <w:szCs w:val="18"/>
        </w:rPr>
        <w:t xml:space="preserve">: Subgroup analysis results for EASI50+DLQI≥4 response rate at Week 16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22"/>
        <w:gridCol w:w="997"/>
        <w:gridCol w:w="976"/>
        <w:gridCol w:w="976"/>
        <w:gridCol w:w="882"/>
        <w:gridCol w:w="882"/>
        <w:gridCol w:w="1062"/>
        <w:gridCol w:w="1062"/>
        <w:gridCol w:w="1057"/>
      </w:tblGrid>
      <w:tr w:rsidR="0061175D" w:rsidRPr="00070C35" w14:paraId="007513A3" w14:textId="77777777" w:rsidTr="00CC1644">
        <w:trPr>
          <w:trHeight w:val="112"/>
          <w:tblHeader/>
        </w:trPr>
        <w:tc>
          <w:tcPr>
            <w:tcW w:w="623" w:type="pct"/>
            <w:vMerge w:val="restart"/>
            <w:tcBorders>
              <w:right w:val="nil"/>
            </w:tcBorders>
            <w:shd w:val="clear" w:color="auto" w:fill="auto"/>
            <w:vAlign w:val="center"/>
          </w:tcPr>
          <w:p w14:paraId="6096E739"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vMerge w:val="restart"/>
            <w:tcBorders>
              <w:right w:val="single" w:sz="4" w:space="0" w:color="auto"/>
            </w:tcBorders>
            <w:shd w:val="clear" w:color="auto" w:fill="auto"/>
            <w:vAlign w:val="center"/>
          </w:tcPr>
          <w:p w14:paraId="183160C8"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Trial</w:t>
            </w:r>
          </w:p>
        </w:tc>
        <w:tc>
          <w:tcPr>
            <w:tcW w:w="541" w:type="pct"/>
            <w:vMerge w:val="restart"/>
            <w:tcBorders>
              <w:left w:val="single" w:sz="4" w:space="0" w:color="auto"/>
              <w:right w:val="single" w:sz="4" w:space="0" w:color="auto"/>
            </w:tcBorders>
            <w:shd w:val="clear" w:color="auto" w:fill="auto"/>
          </w:tcPr>
          <w:p w14:paraId="395AA1C9" w14:textId="77777777" w:rsidR="0061175D" w:rsidRPr="00070C35" w:rsidRDefault="0061175D" w:rsidP="0091041C">
            <w:pPr>
              <w:keepNext/>
              <w:keepLines/>
              <w:jc w:val="center"/>
              <w:rPr>
                <w:rFonts w:ascii="Arial Narrow" w:eastAsiaTheme="majorEastAsia" w:hAnsi="Arial Narrow" w:cstheme="majorBidi"/>
                <w:b/>
                <w:bCs/>
                <w:sz w:val="18"/>
                <w:szCs w:val="18"/>
                <w:lang w:val="en-US"/>
              </w:rPr>
            </w:pPr>
            <w:r w:rsidRPr="00070C35">
              <w:rPr>
                <w:rFonts w:ascii="Arial Narrow" w:eastAsiaTheme="majorEastAsia" w:hAnsi="Arial Narrow" w:cstheme="majorBidi"/>
                <w:b/>
                <w:bCs/>
                <w:sz w:val="18"/>
                <w:szCs w:val="18"/>
                <w:lang w:val="en-US"/>
              </w:rPr>
              <w:t xml:space="preserve">ABRO </w:t>
            </w:r>
          </w:p>
          <w:p w14:paraId="64FD80A5"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lang w:val="en-US"/>
              </w:rPr>
              <w:t>100 mg QD</w:t>
            </w:r>
          </w:p>
          <w:p w14:paraId="6C3D37F8"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n/N (%)</w:t>
            </w:r>
          </w:p>
        </w:tc>
        <w:tc>
          <w:tcPr>
            <w:tcW w:w="541" w:type="pct"/>
            <w:vMerge w:val="restart"/>
            <w:tcBorders>
              <w:left w:val="single" w:sz="4" w:space="0" w:color="auto"/>
              <w:right w:val="single" w:sz="4" w:space="0" w:color="auto"/>
            </w:tcBorders>
            <w:shd w:val="clear" w:color="auto" w:fill="auto"/>
          </w:tcPr>
          <w:p w14:paraId="039912DE"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 xml:space="preserve">ABRO </w:t>
            </w:r>
          </w:p>
          <w:p w14:paraId="2275862C"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200 mg QD</w:t>
            </w:r>
          </w:p>
          <w:p w14:paraId="11A91051"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n/N (%)</w:t>
            </w:r>
          </w:p>
        </w:tc>
        <w:tc>
          <w:tcPr>
            <w:tcW w:w="489" w:type="pct"/>
            <w:vMerge w:val="restart"/>
            <w:tcBorders>
              <w:left w:val="single" w:sz="4" w:space="0" w:color="auto"/>
              <w:right w:val="single" w:sz="4" w:space="0" w:color="auto"/>
            </w:tcBorders>
            <w:shd w:val="clear" w:color="auto" w:fill="auto"/>
          </w:tcPr>
          <w:p w14:paraId="1DE3AE19"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PBO</w:t>
            </w:r>
          </w:p>
          <w:p w14:paraId="429AB12D"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n/N (%)</w:t>
            </w:r>
          </w:p>
        </w:tc>
        <w:tc>
          <w:tcPr>
            <w:tcW w:w="489" w:type="pct"/>
            <w:vMerge w:val="restart"/>
            <w:tcBorders>
              <w:left w:val="single" w:sz="4" w:space="0" w:color="auto"/>
              <w:right w:val="single" w:sz="4" w:space="0" w:color="auto"/>
            </w:tcBorders>
            <w:shd w:val="clear" w:color="auto" w:fill="auto"/>
          </w:tcPr>
          <w:p w14:paraId="438BD8C0" w14:textId="77777777" w:rsidR="0061175D" w:rsidRPr="00070C35" w:rsidRDefault="0061175D" w:rsidP="0091041C">
            <w:pPr>
              <w:keepNext/>
              <w:keepLines/>
              <w:ind w:left="-57" w:right="-57"/>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 xml:space="preserve">DUPI </w:t>
            </w:r>
          </w:p>
          <w:p w14:paraId="67070993" w14:textId="77777777" w:rsidR="0061175D" w:rsidRPr="00070C35" w:rsidRDefault="0061175D" w:rsidP="0091041C">
            <w:pPr>
              <w:keepNext/>
              <w:keepLines/>
              <w:ind w:left="-57" w:right="-57"/>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300 mg Q2W</w:t>
            </w:r>
          </w:p>
          <w:p w14:paraId="140745B7" w14:textId="77777777" w:rsidR="0061175D" w:rsidRPr="00070C35" w:rsidRDefault="0061175D" w:rsidP="0091041C">
            <w:pPr>
              <w:keepNext/>
              <w:keepLines/>
              <w:ind w:left="-57" w:right="-57"/>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n/N (%)</w:t>
            </w:r>
          </w:p>
        </w:tc>
        <w:tc>
          <w:tcPr>
            <w:tcW w:w="1764" w:type="pct"/>
            <w:gridSpan w:val="3"/>
            <w:tcBorders>
              <w:left w:val="single" w:sz="4" w:space="0" w:color="auto"/>
            </w:tcBorders>
            <w:shd w:val="clear" w:color="auto" w:fill="auto"/>
            <w:vAlign w:val="bottom"/>
          </w:tcPr>
          <w:p w14:paraId="760A33E0"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ABRO vs. DUPI</w:t>
            </w:r>
          </w:p>
        </w:tc>
      </w:tr>
      <w:tr w:rsidR="0061175D" w:rsidRPr="00070C35" w14:paraId="7D1F8C5E" w14:textId="77777777" w:rsidTr="00CC1644">
        <w:trPr>
          <w:trHeight w:val="70"/>
          <w:tblHeader/>
        </w:trPr>
        <w:tc>
          <w:tcPr>
            <w:tcW w:w="623" w:type="pct"/>
            <w:vMerge/>
            <w:tcBorders>
              <w:bottom w:val="single" w:sz="4" w:space="0" w:color="auto"/>
            </w:tcBorders>
            <w:shd w:val="clear" w:color="auto" w:fill="auto"/>
            <w:vAlign w:val="center"/>
          </w:tcPr>
          <w:p w14:paraId="267F000D"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vMerge/>
            <w:tcBorders>
              <w:bottom w:val="single" w:sz="4" w:space="0" w:color="auto"/>
            </w:tcBorders>
            <w:shd w:val="clear" w:color="auto" w:fill="auto"/>
            <w:vAlign w:val="center"/>
          </w:tcPr>
          <w:p w14:paraId="7131B02A" w14:textId="77777777" w:rsidR="0061175D" w:rsidRPr="00070C35" w:rsidRDefault="0061175D" w:rsidP="0091041C">
            <w:pPr>
              <w:keepNext/>
              <w:keepLines/>
              <w:rPr>
                <w:rFonts w:ascii="Arial Narrow" w:eastAsiaTheme="majorEastAsia" w:hAnsi="Arial Narrow" w:cstheme="majorBidi"/>
                <w:b/>
                <w:bCs/>
                <w:sz w:val="18"/>
                <w:szCs w:val="18"/>
              </w:rPr>
            </w:pPr>
          </w:p>
        </w:tc>
        <w:tc>
          <w:tcPr>
            <w:tcW w:w="541" w:type="pct"/>
            <w:vMerge/>
            <w:tcBorders>
              <w:bottom w:val="single" w:sz="4" w:space="0" w:color="auto"/>
            </w:tcBorders>
            <w:shd w:val="clear" w:color="auto" w:fill="auto"/>
            <w:vAlign w:val="center"/>
          </w:tcPr>
          <w:p w14:paraId="1A401E81" w14:textId="77777777" w:rsidR="0061175D" w:rsidRPr="00070C35" w:rsidRDefault="0061175D" w:rsidP="0091041C">
            <w:pPr>
              <w:keepNext/>
              <w:keepLines/>
              <w:jc w:val="center"/>
              <w:rPr>
                <w:rFonts w:ascii="Arial Narrow" w:eastAsiaTheme="majorEastAsia" w:hAnsi="Arial Narrow" w:cstheme="majorBidi"/>
                <w:b/>
                <w:bCs/>
                <w:sz w:val="18"/>
                <w:szCs w:val="18"/>
              </w:rPr>
            </w:pPr>
          </w:p>
        </w:tc>
        <w:tc>
          <w:tcPr>
            <w:tcW w:w="541" w:type="pct"/>
            <w:vMerge/>
            <w:tcBorders>
              <w:bottom w:val="single" w:sz="4" w:space="0" w:color="auto"/>
            </w:tcBorders>
            <w:shd w:val="clear" w:color="auto" w:fill="auto"/>
            <w:vAlign w:val="center"/>
          </w:tcPr>
          <w:p w14:paraId="28DEF1A3" w14:textId="77777777" w:rsidR="0061175D" w:rsidRPr="00070C35" w:rsidRDefault="0061175D" w:rsidP="0091041C">
            <w:pPr>
              <w:keepNext/>
              <w:keepLines/>
              <w:jc w:val="center"/>
              <w:rPr>
                <w:rFonts w:ascii="Arial Narrow" w:eastAsiaTheme="majorEastAsia" w:hAnsi="Arial Narrow" w:cstheme="majorBidi"/>
                <w:b/>
                <w:bCs/>
                <w:sz w:val="18"/>
                <w:szCs w:val="18"/>
              </w:rPr>
            </w:pPr>
          </w:p>
        </w:tc>
        <w:tc>
          <w:tcPr>
            <w:tcW w:w="489" w:type="pct"/>
            <w:vMerge/>
            <w:tcBorders>
              <w:bottom w:val="single" w:sz="4" w:space="0" w:color="auto"/>
              <w:right w:val="single" w:sz="4" w:space="0" w:color="auto"/>
            </w:tcBorders>
            <w:shd w:val="clear" w:color="auto" w:fill="auto"/>
            <w:vAlign w:val="center"/>
          </w:tcPr>
          <w:p w14:paraId="0BE8CB97" w14:textId="77777777" w:rsidR="0061175D" w:rsidRPr="00070C35" w:rsidRDefault="0061175D" w:rsidP="0091041C">
            <w:pPr>
              <w:keepNext/>
              <w:keepLines/>
              <w:jc w:val="center"/>
              <w:rPr>
                <w:rFonts w:ascii="Arial Narrow" w:eastAsiaTheme="majorEastAsia" w:hAnsi="Arial Narrow" w:cstheme="majorBidi"/>
                <w:b/>
                <w:bCs/>
                <w:sz w:val="18"/>
                <w:szCs w:val="18"/>
              </w:rPr>
            </w:pPr>
          </w:p>
        </w:tc>
        <w:tc>
          <w:tcPr>
            <w:tcW w:w="489" w:type="pct"/>
            <w:vMerge/>
            <w:tcBorders>
              <w:left w:val="single" w:sz="4" w:space="0" w:color="auto"/>
              <w:bottom w:val="single" w:sz="4" w:space="0" w:color="auto"/>
              <w:right w:val="single" w:sz="4" w:space="0" w:color="auto"/>
            </w:tcBorders>
            <w:shd w:val="clear" w:color="auto" w:fill="auto"/>
            <w:vAlign w:val="center"/>
          </w:tcPr>
          <w:p w14:paraId="7CD71D5E" w14:textId="77777777" w:rsidR="0061175D" w:rsidRPr="00070C35" w:rsidRDefault="0061175D" w:rsidP="0091041C">
            <w:pPr>
              <w:keepNext/>
              <w:keepLines/>
              <w:jc w:val="center"/>
              <w:rPr>
                <w:rFonts w:ascii="Arial Narrow" w:eastAsiaTheme="majorEastAsia" w:hAnsi="Arial Narrow" w:cstheme="majorBidi"/>
                <w:b/>
                <w:bCs/>
                <w:sz w:val="18"/>
                <w:szCs w:val="18"/>
              </w:rPr>
            </w:pPr>
          </w:p>
        </w:tc>
        <w:tc>
          <w:tcPr>
            <w:tcW w:w="589" w:type="pct"/>
            <w:tcBorders>
              <w:left w:val="single" w:sz="4" w:space="0" w:color="auto"/>
            </w:tcBorders>
            <w:shd w:val="clear" w:color="auto" w:fill="auto"/>
            <w:vAlign w:val="center"/>
          </w:tcPr>
          <w:p w14:paraId="638EA438"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RR</w:t>
            </w:r>
          </w:p>
          <w:p w14:paraId="723EE8F5"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[95% CI]</w:t>
            </w:r>
          </w:p>
        </w:tc>
        <w:tc>
          <w:tcPr>
            <w:tcW w:w="589" w:type="pct"/>
            <w:shd w:val="clear" w:color="auto" w:fill="auto"/>
            <w:vAlign w:val="center"/>
          </w:tcPr>
          <w:p w14:paraId="727BFF6E"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 xml:space="preserve">OR </w:t>
            </w:r>
          </w:p>
          <w:p w14:paraId="1A0305B1"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[95% CI]</w:t>
            </w:r>
          </w:p>
        </w:tc>
        <w:tc>
          <w:tcPr>
            <w:tcW w:w="586" w:type="pct"/>
            <w:shd w:val="clear" w:color="auto" w:fill="auto"/>
            <w:vAlign w:val="center"/>
          </w:tcPr>
          <w:p w14:paraId="00FE0BFB"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RD, %</w:t>
            </w:r>
          </w:p>
          <w:p w14:paraId="2D1E43E6" w14:textId="77777777" w:rsidR="0061175D" w:rsidRPr="00070C35" w:rsidRDefault="0061175D" w:rsidP="0091041C">
            <w:pPr>
              <w:keepNext/>
              <w:keepLines/>
              <w:jc w:val="center"/>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[95% CI]</w:t>
            </w:r>
          </w:p>
        </w:tc>
      </w:tr>
      <w:tr w:rsidR="0061175D" w:rsidRPr="00070C35" w14:paraId="12E75C26" w14:textId="77777777" w:rsidTr="00CC1644">
        <w:trPr>
          <w:trHeight w:val="70"/>
        </w:trPr>
        <w:tc>
          <w:tcPr>
            <w:tcW w:w="623" w:type="pct"/>
            <w:vMerge w:val="restart"/>
            <w:tcBorders>
              <w:top w:val="single" w:sz="4" w:space="0" w:color="auto"/>
            </w:tcBorders>
            <w:vAlign w:val="center"/>
          </w:tcPr>
          <w:p w14:paraId="3E58F83C"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Severe AD</w:t>
            </w:r>
          </w:p>
          <w:p w14:paraId="7637DE40"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 xml:space="preserve">IGA=4, </w:t>
            </w:r>
          </w:p>
          <w:p w14:paraId="58562FE4"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No Prior IMM</w:t>
            </w:r>
          </w:p>
        </w:tc>
        <w:tc>
          <w:tcPr>
            <w:tcW w:w="553" w:type="pct"/>
            <w:vMerge w:val="restart"/>
            <w:tcBorders>
              <w:top w:val="single" w:sz="4" w:space="0" w:color="auto"/>
            </w:tcBorders>
            <w:vAlign w:val="center"/>
          </w:tcPr>
          <w:p w14:paraId="7D78145E"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JADE COMPARE</w:t>
            </w:r>
          </w:p>
        </w:tc>
        <w:tc>
          <w:tcPr>
            <w:tcW w:w="541" w:type="pct"/>
            <w:tcBorders>
              <w:top w:val="single" w:sz="4" w:space="0" w:color="auto"/>
              <w:bottom w:val="single" w:sz="4" w:space="0" w:color="auto"/>
            </w:tcBorders>
            <w:vAlign w:val="center"/>
          </w:tcPr>
          <w:p w14:paraId="02B2527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44/67</w:t>
            </w:r>
          </w:p>
          <w:p w14:paraId="0E132E19"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(65.7)</w:t>
            </w:r>
          </w:p>
        </w:tc>
        <w:tc>
          <w:tcPr>
            <w:tcW w:w="541" w:type="pct"/>
            <w:tcBorders>
              <w:top w:val="single" w:sz="4" w:space="0" w:color="auto"/>
              <w:bottom w:val="single" w:sz="4" w:space="0" w:color="auto"/>
            </w:tcBorders>
            <w:vAlign w:val="center"/>
          </w:tcPr>
          <w:p w14:paraId="10DC40C4"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6CAD54D9"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 xml:space="preserve">15/32 </w:t>
            </w:r>
          </w:p>
          <w:p w14:paraId="509D0B22"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(46.9)</w:t>
            </w:r>
          </w:p>
        </w:tc>
        <w:tc>
          <w:tcPr>
            <w:tcW w:w="489" w:type="pct"/>
            <w:tcBorders>
              <w:top w:val="single" w:sz="4" w:space="0" w:color="auto"/>
              <w:bottom w:val="single" w:sz="4" w:space="0" w:color="auto"/>
            </w:tcBorders>
            <w:vAlign w:val="center"/>
          </w:tcPr>
          <w:p w14:paraId="33C0EC6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35/49</w:t>
            </w:r>
          </w:p>
          <w:p w14:paraId="0B39BEC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(71.4)</w:t>
            </w:r>
          </w:p>
        </w:tc>
        <w:tc>
          <w:tcPr>
            <w:tcW w:w="589" w:type="pct"/>
            <w:vAlign w:val="center"/>
          </w:tcPr>
          <w:p w14:paraId="4157A05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89" w:type="pct"/>
            <w:vAlign w:val="center"/>
          </w:tcPr>
          <w:p w14:paraId="59AF2C94"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86" w:type="pct"/>
            <w:vAlign w:val="center"/>
          </w:tcPr>
          <w:p w14:paraId="304E171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-5.8</w:t>
            </w:r>
          </w:p>
          <w:p w14:paraId="3ED8815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[-22.8, 11.3]</w:t>
            </w:r>
          </w:p>
        </w:tc>
      </w:tr>
      <w:tr w:rsidR="0061175D" w:rsidRPr="00070C35" w14:paraId="6D79B653" w14:textId="77777777" w:rsidTr="00CC1644">
        <w:trPr>
          <w:trHeight w:val="70"/>
        </w:trPr>
        <w:tc>
          <w:tcPr>
            <w:tcW w:w="623" w:type="pct"/>
            <w:vMerge/>
            <w:vAlign w:val="center"/>
          </w:tcPr>
          <w:p w14:paraId="50C6DA59"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vMerge/>
            <w:vAlign w:val="center"/>
          </w:tcPr>
          <w:p w14:paraId="77B3592D" w14:textId="77777777" w:rsidR="0061175D" w:rsidRPr="00070C35" w:rsidRDefault="0061175D" w:rsidP="0091041C">
            <w:pPr>
              <w:keepNext/>
              <w:keepLines/>
              <w:rPr>
                <w:rFonts w:ascii="Arial Narrow" w:hAnsi="Arial Narrow"/>
                <w:snapToGrid w:val="0"/>
                <w:sz w:val="18"/>
                <w:szCs w:val="18"/>
              </w:rPr>
            </w:pPr>
          </w:p>
        </w:tc>
        <w:tc>
          <w:tcPr>
            <w:tcW w:w="541" w:type="pct"/>
            <w:tcBorders>
              <w:top w:val="single" w:sz="4" w:space="0" w:color="auto"/>
              <w:bottom w:val="single" w:sz="4" w:space="0" w:color="auto"/>
            </w:tcBorders>
            <w:vAlign w:val="center"/>
          </w:tcPr>
          <w:p w14:paraId="3671132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2AF97AB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49/58</w:t>
            </w:r>
          </w:p>
          <w:p w14:paraId="3FE4ADD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(84.5)</w:t>
            </w:r>
          </w:p>
        </w:tc>
        <w:tc>
          <w:tcPr>
            <w:tcW w:w="489" w:type="pct"/>
            <w:tcBorders>
              <w:top w:val="single" w:sz="4" w:space="0" w:color="auto"/>
              <w:bottom w:val="single" w:sz="4" w:space="0" w:color="auto"/>
            </w:tcBorders>
            <w:vAlign w:val="center"/>
          </w:tcPr>
          <w:p w14:paraId="42EF081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67176B5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35/49</w:t>
            </w:r>
          </w:p>
          <w:p w14:paraId="087EFAC0"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(71.4)</w:t>
            </w:r>
          </w:p>
        </w:tc>
        <w:tc>
          <w:tcPr>
            <w:tcW w:w="589" w:type="pct"/>
            <w:vAlign w:val="center"/>
          </w:tcPr>
          <w:p w14:paraId="0A66460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1.18</w:t>
            </w:r>
          </w:p>
          <w:p w14:paraId="109A6AA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[0.96, 1.46]</w:t>
            </w:r>
          </w:p>
        </w:tc>
        <w:tc>
          <w:tcPr>
            <w:tcW w:w="589" w:type="pct"/>
            <w:vAlign w:val="center"/>
          </w:tcPr>
          <w:p w14:paraId="0EFAE4F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2.18</w:t>
            </w:r>
          </w:p>
          <w:p w14:paraId="4A2E65BE"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[0.85, 5.59]</w:t>
            </w:r>
          </w:p>
        </w:tc>
        <w:tc>
          <w:tcPr>
            <w:tcW w:w="586" w:type="pct"/>
            <w:vAlign w:val="center"/>
          </w:tcPr>
          <w:p w14:paraId="7102029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13.1</w:t>
            </w:r>
          </w:p>
          <w:p w14:paraId="752A292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[-2.7, 28.8]</w:t>
            </w:r>
          </w:p>
        </w:tc>
      </w:tr>
      <w:tr w:rsidR="0061175D" w:rsidRPr="00070C35" w14:paraId="20DBCECA" w14:textId="77777777" w:rsidTr="00CC1644">
        <w:trPr>
          <w:trHeight w:val="70"/>
        </w:trPr>
        <w:tc>
          <w:tcPr>
            <w:tcW w:w="623" w:type="pct"/>
            <w:vMerge/>
            <w:vAlign w:val="center"/>
          </w:tcPr>
          <w:p w14:paraId="7154836A"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tcBorders>
              <w:top w:val="single" w:sz="4" w:space="0" w:color="auto"/>
              <w:bottom w:val="single" w:sz="4" w:space="0" w:color="auto"/>
            </w:tcBorders>
            <w:vAlign w:val="center"/>
          </w:tcPr>
          <w:p w14:paraId="52425DB0"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JADE DARE</w:t>
            </w:r>
          </w:p>
        </w:tc>
        <w:tc>
          <w:tcPr>
            <w:tcW w:w="541" w:type="pct"/>
            <w:tcBorders>
              <w:top w:val="single" w:sz="4" w:space="0" w:color="auto"/>
              <w:bottom w:val="single" w:sz="4" w:space="0" w:color="auto"/>
            </w:tcBorders>
            <w:vAlign w:val="center"/>
          </w:tcPr>
          <w:p w14:paraId="5710FD3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41CFA789"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58/71</w:t>
            </w:r>
          </w:p>
          <w:p w14:paraId="565B0A3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(81.7)</w:t>
            </w:r>
          </w:p>
        </w:tc>
        <w:tc>
          <w:tcPr>
            <w:tcW w:w="489" w:type="pct"/>
            <w:tcBorders>
              <w:top w:val="single" w:sz="4" w:space="0" w:color="auto"/>
              <w:bottom w:val="single" w:sz="4" w:space="0" w:color="auto"/>
            </w:tcBorders>
            <w:vAlign w:val="center"/>
          </w:tcPr>
          <w:p w14:paraId="7DA3927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073762DC"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45/63</w:t>
            </w:r>
          </w:p>
          <w:p w14:paraId="72D8543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(71.4)</w:t>
            </w:r>
          </w:p>
        </w:tc>
        <w:tc>
          <w:tcPr>
            <w:tcW w:w="589" w:type="pct"/>
            <w:vAlign w:val="center"/>
          </w:tcPr>
          <w:p w14:paraId="7024521E"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1.14</w:t>
            </w:r>
          </w:p>
          <w:p w14:paraId="3C6F3E50"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[0.94, 1.38]</w:t>
            </w:r>
          </w:p>
        </w:tc>
        <w:tc>
          <w:tcPr>
            <w:tcW w:w="589" w:type="pct"/>
            <w:vAlign w:val="center"/>
          </w:tcPr>
          <w:p w14:paraId="12B64ED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1.78</w:t>
            </w:r>
          </w:p>
          <w:p w14:paraId="76FA73E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[0.79, 4.02]</w:t>
            </w:r>
          </w:p>
        </w:tc>
        <w:tc>
          <w:tcPr>
            <w:tcW w:w="586" w:type="pct"/>
            <w:vAlign w:val="center"/>
          </w:tcPr>
          <w:p w14:paraId="013D45CE"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10.3</w:t>
            </w:r>
          </w:p>
          <w:p w14:paraId="26AB9E12"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[-4.1, 24.6]</w:t>
            </w:r>
          </w:p>
        </w:tc>
      </w:tr>
      <w:tr w:rsidR="0061175D" w:rsidRPr="00070C35" w14:paraId="2D171E39" w14:textId="77777777" w:rsidTr="00CC1644">
        <w:trPr>
          <w:trHeight w:val="70"/>
        </w:trPr>
        <w:tc>
          <w:tcPr>
            <w:tcW w:w="623" w:type="pct"/>
            <w:vMerge/>
            <w:tcBorders>
              <w:bottom w:val="single" w:sz="4" w:space="0" w:color="auto"/>
            </w:tcBorders>
            <w:vAlign w:val="center"/>
          </w:tcPr>
          <w:p w14:paraId="2B98EDD8"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tcBorders>
              <w:top w:val="single" w:sz="4" w:space="0" w:color="auto"/>
              <w:bottom w:val="single" w:sz="4" w:space="0" w:color="auto"/>
            </w:tcBorders>
            <w:vAlign w:val="center"/>
          </w:tcPr>
          <w:p w14:paraId="24E93A1F"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 xml:space="preserve">Pooled </w:t>
            </w:r>
          </w:p>
        </w:tc>
        <w:tc>
          <w:tcPr>
            <w:tcW w:w="541" w:type="pct"/>
            <w:tcBorders>
              <w:top w:val="single" w:sz="4" w:space="0" w:color="auto"/>
              <w:bottom w:val="single" w:sz="4" w:space="0" w:color="auto"/>
            </w:tcBorders>
            <w:vAlign w:val="center"/>
          </w:tcPr>
          <w:p w14:paraId="22676D6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74DCB1B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107/129 (82.9)</w:t>
            </w:r>
          </w:p>
        </w:tc>
        <w:tc>
          <w:tcPr>
            <w:tcW w:w="489" w:type="pct"/>
            <w:tcBorders>
              <w:top w:val="single" w:sz="4" w:space="0" w:color="auto"/>
              <w:bottom w:val="single" w:sz="4" w:space="0" w:color="auto"/>
            </w:tcBorders>
            <w:vAlign w:val="center"/>
          </w:tcPr>
          <w:p w14:paraId="519B9363"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5872189A"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80/112 (71.4)</w:t>
            </w:r>
          </w:p>
        </w:tc>
        <w:tc>
          <w:tcPr>
            <w:tcW w:w="589" w:type="pct"/>
            <w:vAlign w:val="center"/>
          </w:tcPr>
          <w:p w14:paraId="2C26AB6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1.16</w:t>
            </w:r>
          </w:p>
          <w:p w14:paraId="628A77F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[1.01, 1.34]</w:t>
            </w:r>
          </w:p>
        </w:tc>
        <w:tc>
          <w:tcPr>
            <w:tcW w:w="589" w:type="pct"/>
            <w:vAlign w:val="center"/>
          </w:tcPr>
          <w:p w14:paraId="752A227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1.94</w:t>
            </w:r>
          </w:p>
          <w:p w14:paraId="6C79FFB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[1.05, 3.60]</w:t>
            </w:r>
          </w:p>
        </w:tc>
        <w:tc>
          <w:tcPr>
            <w:tcW w:w="586" w:type="pct"/>
            <w:vAlign w:val="center"/>
          </w:tcPr>
          <w:p w14:paraId="1F549F8C"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11.5</w:t>
            </w:r>
          </w:p>
          <w:p w14:paraId="0C79860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 xml:space="preserve">[-0.9, 22.1] </w:t>
            </w:r>
            <w:r w:rsidRPr="00070C35">
              <w:rPr>
                <w:rFonts w:ascii="Arial Narrow" w:hAnsi="Arial Narrow"/>
                <w:snapToGrid w:val="0"/>
                <w:sz w:val="18"/>
                <w:szCs w:val="18"/>
                <w:vertAlign w:val="superscript"/>
              </w:rPr>
              <w:t>a</w:t>
            </w:r>
          </w:p>
        </w:tc>
      </w:tr>
      <w:tr w:rsidR="0061175D" w:rsidRPr="00070C35" w14:paraId="7686F799" w14:textId="77777777" w:rsidTr="00CC1644">
        <w:trPr>
          <w:trHeight w:val="70"/>
        </w:trPr>
        <w:tc>
          <w:tcPr>
            <w:tcW w:w="623" w:type="pct"/>
            <w:vMerge w:val="restart"/>
            <w:tcBorders>
              <w:top w:val="single" w:sz="4" w:space="0" w:color="auto"/>
            </w:tcBorders>
            <w:vAlign w:val="center"/>
          </w:tcPr>
          <w:p w14:paraId="6AEF3138"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Severe AD</w:t>
            </w:r>
          </w:p>
          <w:p w14:paraId="75401A3E"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 xml:space="preserve">IGA=4, </w:t>
            </w:r>
          </w:p>
          <w:p w14:paraId="373BA1C1" w14:textId="77777777" w:rsidR="0061175D" w:rsidRPr="00070C35" w:rsidRDefault="0061175D" w:rsidP="0091041C">
            <w:pPr>
              <w:keepNext/>
              <w:keepLines/>
              <w:rPr>
                <w:rFonts w:ascii="Arial Narrow" w:eastAsiaTheme="majorEastAsia" w:hAnsi="Arial Narrow" w:cstheme="majorBidi"/>
                <w:b/>
                <w:bCs/>
                <w:sz w:val="18"/>
                <w:szCs w:val="18"/>
              </w:rPr>
            </w:pPr>
            <w:r w:rsidRPr="00070C35">
              <w:rPr>
                <w:rFonts w:ascii="Arial Narrow" w:eastAsiaTheme="majorEastAsia" w:hAnsi="Arial Narrow" w:cstheme="majorBidi"/>
                <w:b/>
                <w:bCs/>
                <w:sz w:val="18"/>
                <w:szCs w:val="18"/>
              </w:rPr>
              <w:t>Prior IMM</w:t>
            </w:r>
          </w:p>
        </w:tc>
        <w:tc>
          <w:tcPr>
            <w:tcW w:w="553" w:type="pct"/>
            <w:vMerge w:val="restart"/>
            <w:tcBorders>
              <w:top w:val="single" w:sz="4" w:space="0" w:color="auto"/>
            </w:tcBorders>
            <w:vAlign w:val="center"/>
          </w:tcPr>
          <w:p w14:paraId="05B92BE1"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JADE COMPARE</w:t>
            </w:r>
          </w:p>
        </w:tc>
        <w:tc>
          <w:tcPr>
            <w:tcW w:w="541" w:type="pct"/>
            <w:tcBorders>
              <w:top w:val="single" w:sz="4" w:space="0" w:color="auto"/>
              <w:bottom w:val="single" w:sz="4" w:space="0" w:color="auto"/>
            </w:tcBorders>
            <w:vAlign w:val="center"/>
          </w:tcPr>
          <w:p w14:paraId="2BD5042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9/14</w:t>
            </w:r>
          </w:p>
          <w:p w14:paraId="260CDC2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(64.3)</w:t>
            </w:r>
          </w:p>
        </w:tc>
        <w:tc>
          <w:tcPr>
            <w:tcW w:w="541" w:type="pct"/>
            <w:tcBorders>
              <w:top w:val="single" w:sz="4" w:space="0" w:color="auto"/>
              <w:bottom w:val="single" w:sz="4" w:space="0" w:color="auto"/>
            </w:tcBorders>
            <w:vAlign w:val="center"/>
          </w:tcPr>
          <w:p w14:paraId="5665ABEA"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1581064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 xml:space="preserve">1/10 </w:t>
            </w:r>
          </w:p>
          <w:p w14:paraId="11D9A1B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(10.0)</w:t>
            </w:r>
          </w:p>
        </w:tc>
        <w:tc>
          <w:tcPr>
            <w:tcW w:w="489" w:type="pct"/>
            <w:tcBorders>
              <w:top w:val="single" w:sz="4" w:space="0" w:color="auto"/>
              <w:bottom w:val="single" w:sz="4" w:space="0" w:color="auto"/>
            </w:tcBorders>
            <w:vAlign w:val="center"/>
          </w:tcPr>
          <w:p w14:paraId="651DA280"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20/25</w:t>
            </w:r>
          </w:p>
          <w:p w14:paraId="3CEFEB1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(80.0)</w:t>
            </w:r>
          </w:p>
        </w:tc>
        <w:tc>
          <w:tcPr>
            <w:tcW w:w="589" w:type="pct"/>
            <w:vAlign w:val="center"/>
          </w:tcPr>
          <w:p w14:paraId="5B1B462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89" w:type="pct"/>
            <w:vAlign w:val="center"/>
          </w:tcPr>
          <w:p w14:paraId="405EE364"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86" w:type="pct"/>
            <w:vAlign w:val="center"/>
          </w:tcPr>
          <w:p w14:paraId="1346470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-15.7</w:t>
            </w:r>
          </w:p>
          <w:p w14:paraId="0A1F86E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[-45.3, 13.9]</w:t>
            </w:r>
          </w:p>
        </w:tc>
      </w:tr>
      <w:tr w:rsidR="0061175D" w:rsidRPr="00070C35" w14:paraId="61A88550" w14:textId="77777777" w:rsidTr="00CC1644">
        <w:trPr>
          <w:trHeight w:val="70"/>
        </w:trPr>
        <w:tc>
          <w:tcPr>
            <w:tcW w:w="623" w:type="pct"/>
            <w:vMerge/>
            <w:vAlign w:val="center"/>
          </w:tcPr>
          <w:p w14:paraId="32D5A4D0"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vMerge/>
            <w:vAlign w:val="center"/>
          </w:tcPr>
          <w:p w14:paraId="49209FB2" w14:textId="77777777" w:rsidR="0061175D" w:rsidRPr="00070C35" w:rsidRDefault="0061175D" w:rsidP="0091041C">
            <w:pPr>
              <w:keepNext/>
              <w:keepLines/>
              <w:rPr>
                <w:rFonts w:ascii="Arial Narrow" w:hAnsi="Arial Narrow"/>
                <w:snapToGrid w:val="0"/>
                <w:sz w:val="18"/>
                <w:szCs w:val="18"/>
              </w:rPr>
            </w:pPr>
          </w:p>
        </w:tc>
        <w:tc>
          <w:tcPr>
            <w:tcW w:w="541" w:type="pct"/>
            <w:tcBorders>
              <w:top w:val="single" w:sz="4" w:space="0" w:color="auto"/>
              <w:bottom w:val="single" w:sz="4" w:space="0" w:color="auto"/>
            </w:tcBorders>
            <w:vAlign w:val="center"/>
          </w:tcPr>
          <w:p w14:paraId="039B4B3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77A1C88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25/29</w:t>
            </w:r>
          </w:p>
          <w:p w14:paraId="149803A6"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(86.2)</w:t>
            </w:r>
          </w:p>
        </w:tc>
        <w:tc>
          <w:tcPr>
            <w:tcW w:w="489" w:type="pct"/>
            <w:tcBorders>
              <w:top w:val="single" w:sz="4" w:space="0" w:color="auto"/>
              <w:bottom w:val="single" w:sz="4" w:space="0" w:color="auto"/>
            </w:tcBorders>
            <w:vAlign w:val="center"/>
          </w:tcPr>
          <w:p w14:paraId="26D0A7C9"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2DC19181"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20/25</w:t>
            </w:r>
          </w:p>
          <w:p w14:paraId="75F7C04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(80.0)</w:t>
            </w:r>
          </w:p>
        </w:tc>
        <w:tc>
          <w:tcPr>
            <w:tcW w:w="589" w:type="pct"/>
            <w:vAlign w:val="center"/>
          </w:tcPr>
          <w:p w14:paraId="3C98496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1.08</w:t>
            </w:r>
          </w:p>
          <w:p w14:paraId="39448D3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[0.84, 1.38]</w:t>
            </w:r>
          </w:p>
        </w:tc>
        <w:tc>
          <w:tcPr>
            <w:tcW w:w="589" w:type="pct"/>
            <w:vAlign w:val="center"/>
          </w:tcPr>
          <w:p w14:paraId="15EA7BE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1.56</w:t>
            </w:r>
          </w:p>
          <w:p w14:paraId="5FA02F99"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[0.37, 6.60]</w:t>
            </w:r>
          </w:p>
        </w:tc>
        <w:tc>
          <w:tcPr>
            <w:tcW w:w="586" w:type="pct"/>
            <w:vAlign w:val="center"/>
          </w:tcPr>
          <w:p w14:paraId="1F4EE2E4"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6.2</w:t>
            </w:r>
          </w:p>
          <w:p w14:paraId="3063044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[-19.9, 26.3]</w:t>
            </w:r>
          </w:p>
        </w:tc>
      </w:tr>
      <w:tr w:rsidR="0061175D" w:rsidRPr="00070C35" w14:paraId="535A2E52" w14:textId="77777777" w:rsidTr="00CC1644">
        <w:trPr>
          <w:trHeight w:val="70"/>
        </w:trPr>
        <w:tc>
          <w:tcPr>
            <w:tcW w:w="623" w:type="pct"/>
            <w:vMerge/>
            <w:vAlign w:val="center"/>
          </w:tcPr>
          <w:p w14:paraId="190F46A0"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tcBorders>
              <w:top w:val="single" w:sz="4" w:space="0" w:color="auto"/>
              <w:bottom w:val="single" w:sz="4" w:space="0" w:color="auto"/>
            </w:tcBorders>
            <w:vAlign w:val="center"/>
          </w:tcPr>
          <w:p w14:paraId="7A152590"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JADE DARE</w:t>
            </w:r>
          </w:p>
        </w:tc>
        <w:tc>
          <w:tcPr>
            <w:tcW w:w="541" w:type="pct"/>
            <w:tcBorders>
              <w:top w:val="single" w:sz="4" w:space="0" w:color="auto"/>
              <w:bottom w:val="single" w:sz="4" w:space="0" w:color="auto"/>
            </w:tcBorders>
            <w:vAlign w:val="center"/>
          </w:tcPr>
          <w:p w14:paraId="184F036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2A42EE53"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58/75</w:t>
            </w:r>
          </w:p>
          <w:p w14:paraId="64BDA072"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(77.3)</w:t>
            </w:r>
          </w:p>
        </w:tc>
        <w:tc>
          <w:tcPr>
            <w:tcW w:w="489" w:type="pct"/>
            <w:tcBorders>
              <w:top w:val="single" w:sz="4" w:space="0" w:color="auto"/>
              <w:bottom w:val="single" w:sz="4" w:space="0" w:color="auto"/>
            </w:tcBorders>
            <w:vAlign w:val="center"/>
          </w:tcPr>
          <w:p w14:paraId="59C11B64"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6044AD5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63/81</w:t>
            </w:r>
          </w:p>
          <w:p w14:paraId="45BA8632"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(77.8)</w:t>
            </w:r>
          </w:p>
        </w:tc>
        <w:tc>
          <w:tcPr>
            <w:tcW w:w="589" w:type="pct"/>
            <w:vAlign w:val="center"/>
          </w:tcPr>
          <w:p w14:paraId="1FBB10B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0.99</w:t>
            </w:r>
          </w:p>
          <w:p w14:paraId="667D338A"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[0.84, 1.18]</w:t>
            </w:r>
          </w:p>
        </w:tc>
        <w:tc>
          <w:tcPr>
            <w:tcW w:w="589" w:type="pct"/>
            <w:vAlign w:val="center"/>
          </w:tcPr>
          <w:p w14:paraId="6C2F2705"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0.97</w:t>
            </w:r>
          </w:p>
          <w:p w14:paraId="67F8EE9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[0.46, 2.07]</w:t>
            </w:r>
          </w:p>
        </w:tc>
        <w:tc>
          <w:tcPr>
            <w:tcW w:w="586" w:type="pct"/>
            <w:vAlign w:val="center"/>
          </w:tcPr>
          <w:p w14:paraId="53E6EA5B" w14:textId="77777777" w:rsidR="0061175D" w:rsidRPr="00070C35" w:rsidRDefault="0061175D" w:rsidP="0091041C">
            <w:pPr>
              <w:keepNext/>
              <w:keepLines/>
              <w:jc w:val="center"/>
              <w:rPr>
                <w:rFonts w:ascii="Arial Narrow" w:hAnsi="Arial Narrow"/>
                <w:snapToGrid w:val="0"/>
                <w:sz w:val="18"/>
                <w:szCs w:val="18"/>
              </w:rPr>
            </w:pPr>
            <w:bookmarkStart w:id="47" w:name="_Hlk176725887"/>
            <w:r w:rsidRPr="00070C35">
              <w:rPr>
                <w:rFonts w:ascii="Arial Narrow" w:hAnsi="Arial Narrow"/>
                <w:snapToGrid w:val="0"/>
                <w:sz w:val="18"/>
                <w:szCs w:val="18"/>
              </w:rPr>
              <w:t>-0.4</w:t>
            </w:r>
          </w:p>
          <w:p w14:paraId="5CB97F6C"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[-13.6, 12.7]</w:t>
            </w:r>
            <w:bookmarkEnd w:id="47"/>
          </w:p>
        </w:tc>
      </w:tr>
      <w:tr w:rsidR="0061175D" w:rsidRPr="00070C35" w14:paraId="5A472AAA" w14:textId="77777777" w:rsidTr="00CC1644">
        <w:trPr>
          <w:trHeight w:val="70"/>
        </w:trPr>
        <w:tc>
          <w:tcPr>
            <w:tcW w:w="623" w:type="pct"/>
            <w:vMerge/>
            <w:tcBorders>
              <w:bottom w:val="single" w:sz="4" w:space="0" w:color="auto"/>
            </w:tcBorders>
            <w:vAlign w:val="center"/>
          </w:tcPr>
          <w:p w14:paraId="45AFE2B2" w14:textId="77777777" w:rsidR="0061175D" w:rsidRPr="00070C35" w:rsidRDefault="0061175D" w:rsidP="0091041C">
            <w:pPr>
              <w:keepNext/>
              <w:keepLines/>
              <w:rPr>
                <w:rFonts w:ascii="Arial Narrow" w:eastAsiaTheme="majorEastAsia" w:hAnsi="Arial Narrow" w:cstheme="majorBidi"/>
                <w:b/>
                <w:bCs/>
                <w:sz w:val="18"/>
                <w:szCs w:val="18"/>
              </w:rPr>
            </w:pPr>
          </w:p>
        </w:tc>
        <w:tc>
          <w:tcPr>
            <w:tcW w:w="553" w:type="pct"/>
            <w:tcBorders>
              <w:top w:val="single" w:sz="4" w:space="0" w:color="auto"/>
              <w:bottom w:val="single" w:sz="4" w:space="0" w:color="auto"/>
            </w:tcBorders>
            <w:vAlign w:val="center"/>
          </w:tcPr>
          <w:p w14:paraId="07989784" w14:textId="77777777" w:rsidR="0061175D" w:rsidRPr="00070C35" w:rsidRDefault="0061175D" w:rsidP="0091041C">
            <w:pPr>
              <w:keepNext/>
              <w:keepLines/>
              <w:rPr>
                <w:rFonts w:ascii="Arial Narrow" w:hAnsi="Arial Narrow"/>
                <w:snapToGrid w:val="0"/>
                <w:sz w:val="18"/>
                <w:szCs w:val="18"/>
              </w:rPr>
            </w:pPr>
            <w:r w:rsidRPr="00070C35">
              <w:rPr>
                <w:rFonts w:ascii="Arial Narrow" w:hAnsi="Arial Narrow"/>
                <w:snapToGrid w:val="0"/>
                <w:sz w:val="18"/>
                <w:szCs w:val="18"/>
              </w:rPr>
              <w:t>Pooled data</w:t>
            </w:r>
          </w:p>
        </w:tc>
        <w:tc>
          <w:tcPr>
            <w:tcW w:w="541" w:type="pct"/>
            <w:tcBorders>
              <w:top w:val="single" w:sz="4" w:space="0" w:color="auto"/>
              <w:bottom w:val="single" w:sz="4" w:space="0" w:color="auto"/>
            </w:tcBorders>
            <w:vAlign w:val="center"/>
          </w:tcPr>
          <w:p w14:paraId="03F9560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541" w:type="pct"/>
            <w:tcBorders>
              <w:top w:val="single" w:sz="4" w:space="0" w:color="auto"/>
              <w:bottom w:val="single" w:sz="4" w:space="0" w:color="auto"/>
            </w:tcBorders>
            <w:vAlign w:val="center"/>
          </w:tcPr>
          <w:p w14:paraId="0F672C4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 xml:space="preserve">83/104 </w:t>
            </w:r>
            <w:r w:rsidRPr="00070C35">
              <w:rPr>
                <w:rFonts w:ascii="Arial Narrow" w:hAnsi="Arial Narrow"/>
                <w:snapToGrid w:val="0"/>
                <w:sz w:val="18"/>
                <w:szCs w:val="18"/>
              </w:rPr>
              <w:br/>
              <w:t>(79.8)</w:t>
            </w:r>
          </w:p>
        </w:tc>
        <w:tc>
          <w:tcPr>
            <w:tcW w:w="489" w:type="pct"/>
            <w:tcBorders>
              <w:top w:val="single" w:sz="4" w:space="0" w:color="auto"/>
              <w:bottom w:val="single" w:sz="4" w:space="0" w:color="auto"/>
            </w:tcBorders>
            <w:vAlign w:val="center"/>
          </w:tcPr>
          <w:p w14:paraId="041A8DCB"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w:t>
            </w:r>
          </w:p>
        </w:tc>
        <w:tc>
          <w:tcPr>
            <w:tcW w:w="489" w:type="pct"/>
            <w:tcBorders>
              <w:top w:val="single" w:sz="4" w:space="0" w:color="auto"/>
              <w:bottom w:val="single" w:sz="4" w:space="0" w:color="auto"/>
            </w:tcBorders>
            <w:vAlign w:val="center"/>
          </w:tcPr>
          <w:p w14:paraId="09BE4ABD"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83/106 (78.3)</w:t>
            </w:r>
          </w:p>
        </w:tc>
        <w:tc>
          <w:tcPr>
            <w:tcW w:w="589" w:type="pct"/>
            <w:vAlign w:val="center"/>
          </w:tcPr>
          <w:p w14:paraId="6445EBA8"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1.02</w:t>
            </w:r>
          </w:p>
          <w:p w14:paraId="696E724E"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[0.89, 1.17]</w:t>
            </w:r>
          </w:p>
        </w:tc>
        <w:tc>
          <w:tcPr>
            <w:tcW w:w="589" w:type="pct"/>
            <w:vAlign w:val="center"/>
          </w:tcPr>
          <w:p w14:paraId="4D241837"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1.08</w:t>
            </w:r>
          </w:p>
          <w:p w14:paraId="7CC1D5CF" w14:textId="77777777" w:rsidR="0061175D" w:rsidRPr="00070C35" w:rsidRDefault="0061175D" w:rsidP="0091041C">
            <w:pPr>
              <w:keepNext/>
              <w:keepLines/>
              <w:jc w:val="center"/>
              <w:rPr>
                <w:rFonts w:ascii="Arial Narrow" w:hAnsi="Arial Narrow"/>
                <w:snapToGrid w:val="0"/>
                <w:sz w:val="18"/>
                <w:szCs w:val="18"/>
              </w:rPr>
            </w:pPr>
            <w:r w:rsidRPr="00070C35">
              <w:rPr>
                <w:rFonts w:ascii="Arial Narrow" w:hAnsi="Arial Narrow"/>
                <w:snapToGrid w:val="0"/>
                <w:sz w:val="18"/>
                <w:szCs w:val="18"/>
              </w:rPr>
              <w:t>[0.55, 2.10]</w:t>
            </w:r>
          </w:p>
        </w:tc>
        <w:tc>
          <w:tcPr>
            <w:tcW w:w="586" w:type="pct"/>
            <w:vAlign w:val="center"/>
          </w:tcPr>
          <w:p w14:paraId="3334729E" w14:textId="77777777" w:rsidR="0061175D" w:rsidRPr="00070C35" w:rsidRDefault="0061175D" w:rsidP="0091041C">
            <w:pPr>
              <w:keepNext/>
              <w:keepLines/>
              <w:jc w:val="center"/>
              <w:rPr>
                <w:rFonts w:ascii="Arial Narrow" w:hAnsi="Arial Narrow"/>
                <w:snapToGrid w:val="0"/>
                <w:sz w:val="18"/>
                <w:szCs w:val="18"/>
              </w:rPr>
            </w:pPr>
            <w:bookmarkStart w:id="48" w:name="_Hlk183188827"/>
            <w:r w:rsidRPr="00070C35">
              <w:rPr>
                <w:rFonts w:ascii="Arial Narrow" w:hAnsi="Arial Narrow"/>
                <w:snapToGrid w:val="0"/>
                <w:sz w:val="18"/>
                <w:szCs w:val="18"/>
              </w:rPr>
              <w:t xml:space="preserve">1.5 </w:t>
            </w:r>
          </w:p>
          <w:p w14:paraId="7E1DDA28" w14:textId="77777777" w:rsidR="0061175D" w:rsidRPr="00070C35" w:rsidRDefault="0061175D" w:rsidP="0091041C">
            <w:pPr>
              <w:keepNext/>
              <w:keepLines/>
              <w:jc w:val="center"/>
              <w:rPr>
                <w:rFonts w:ascii="Arial Narrow" w:hAnsi="Arial Narrow"/>
                <w:snapToGrid w:val="0"/>
                <w:sz w:val="18"/>
                <w:szCs w:val="18"/>
                <w:vertAlign w:val="superscript"/>
              </w:rPr>
            </w:pPr>
            <w:r w:rsidRPr="00070C35">
              <w:rPr>
                <w:rFonts w:ascii="Arial Narrow" w:hAnsi="Arial Narrow"/>
                <w:snapToGrid w:val="0"/>
                <w:sz w:val="18"/>
                <w:szCs w:val="18"/>
              </w:rPr>
              <w:t xml:space="preserve">[-9.5, 12.5] </w:t>
            </w:r>
            <w:r w:rsidRPr="00070C35">
              <w:rPr>
                <w:rFonts w:ascii="Arial Narrow" w:hAnsi="Arial Narrow"/>
                <w:snapToGrid w:val="0"/>
                <w:sz w:val="18"/>
                <w:szCs w:val="18"/>
                <w:vertAlign w:val="superscript"/>
              </w:rPr>
              <w:t>a</w:t>
            </w:r>
            <w:bookmarkEnd w:id="48"/>
          </w:p>
        </w:tc>
      </w:tr>
    </w:tbl>
    <w:p w14:paraId="773C9897" w14:textId="77777777" w:rsidR="0061175D" w:rsidRPr="00070C35" w:rsidRDefault="0061175D" w:rsidP="0091041C">
      <w:pPr>
        <w:keepNext/>
        <w:keepLines/>
        <w:spacing w:after="120"/>
        <w:contextualSpacing/>
        <w:rPr>
          <w:rFonts w:ascii="Arial Narrow" w:hAnsi="Arial Narrow"/>
          <w:snapToGrid w:val="0"/>
          <w:sz w:val="18"/>
          <w:szCs w:val="22"/>
          <w:lang w:eastAsia="en-US"/>
        </w:rPr>
      </w:pPr>
      <w:r w:rsidRPr="00070C35">
        <w:rPr>
          <w:rFonts w:ascii="Arial Narrow" w:hAnsi="Arial Narrow"/>
          <w:snapToGrid w:val="0"/>
          <w:sz w:val="18"/>
          <w:szCs w:val="22"/>
          <w:lang w:eastAsia="en-US"/>
        </w:rPr>
        <w:t>Source: Table 2.7.1, p76 of the submission</w:t>
      </w:r>
    </w:p>
    <w:p w14:paraId="6AB6DB14" w14:textId="77777777" w:rsidR="0061175D" w:rsidRPr="00070C35" w:rsidRDefault="0061175D" w:rsidP="0091041C">
      <w:pPr>
        <w:keepNext/>
        <w:keepLines/>
        <w:spacing w:after="120"/>
        <w:contextualSpacing/>
        <w:rPr>
          <w:rFonts w:ascii="Arial Narrow" w:hAnsi="Arial Narrow"/>
          <w:snapToGrid w:val="0"/>
          <w:sz w:val="18"/>
          <w:szCs w:val="22"/>
          <w:lang w:eastAsia="en-US"/>
        </w:rPr>
      </w:pPr>
      <w:r w:rsidRPr="00070C35">
        <w:rPr>
          <w:rFonts w:ascii="Arial Narrow" w:hAnsi="Arial Narrow"/>
          <w:snapToGrid w:val="0"/>
          <w:sz w:val="18"/>
          <w:szCs w:val="22"/>
          <w:lang w:eastAsia="en-US"/>
        </w:rPr>
        <w:t xml:space="preserve">ABRO = </w:t>
      </w:r>
      <w:proofErr w:type="spellStart"/>
      <w:r w:rsidRPr="00070C35">
        <w:rPr>
          <w:rFonts w:ascii="Arial Narrow" w:hAnsi="Arial Narrow"/>
          <w:snapToGrid w:val="0"/>
          <w:sz w:val="18"/>
          <w:szCs w:val="22"/>
          <w:lang w:eastAsia="en-US"/>
        </w:rPr>
        <w:t>abrocitinib</w:t>
      </w:r>
      <w:proofErr w:type="spellEnd"/>
      <w:r w:rsidRPr="00070C35">
        <w:rPr>
          <w:rFonts w:ascii="Arial Narrow" w:hAnsi="Arial Narrow"/>
          <w:snapToGrid w:val="0"/>
          <w:sz w:val="18"/>
          <w:szCs w:val="22"/>
          <w:lang w:eastAsia="en-US"/>
        </w:rPr>
        <w:t xml:space="preserve">; AD = Atopic Dermatitis; CI = Confidence Interval; DLQI = Dermatology Life Quality Index; DLQI≥4 = Proportion of patients with improvement in baseline DLQI of ≥4 points from baseline; DUPI = DUPI; EASI50 = Proportion of patients with improvement of ≥ 50% from baseline in Eczema Area and Severity Index; IGA = Investigator's Global Assessment; IMM = Immunomodulatory therapy; OR = Odds ratio; PBO = Placebo; Q2W = Once every 2 weeks; QD = Once Daily; RD = Risk Difference; RR = Relative risk. </w:t>
      </w:r>
    </w:p>
    <w:p w14:paraId="03FF82C8" w14:textId="77777777" w:rsidR="0061175D" w:rsidRPr="00070C35" w:rsidRDefault="0061175D" w:rsidP="0091041C">
      <w:pPr>
        <w:keepNext/>
        <w:keepLines/>
        <w:spacing w:after="120"/>
        <w:contextualSpacing/>
        <w:rPr>
          <w:rFonts w:ascii="Arial Narrow" w:hAnsi="Arial Narrow"/>
          <w:snapToGrid w:val="0"/>
          <w:sz w:val="18"/>
          <w:szCs w:val="22"/>
          <w:lang w:eastAsia="en-US"/>
        </w:rPr>
      </w:pPr>
      <w:r w:rsidRPr="00070C35">
        <w:rPr>
          <w:rFonts w:ascii="Arial Narrow" w:hAnsi="Arial Narrow"/>
          <w:snapToGrid w:val="0"/>
          <w:sz w:val="18"/>
          <w:szCs w:val="22"/>
          <w:lang w:eastAsia="en-US"/>
        </w:rPr>
        <w:t>Notes: The estimate and 95% CI for difference were calculated based on the CMH-weighted average difference for each stratification factors (study, baseline disease severity and age category) using the normal approximation of binomial proportions.</w:t>
      </w:r>
    </w:p>
    <w:p w14:paraId="7C48F770" w14:textId="77777777" w:rsidR="0061175D" w:rsidRPr="00070C35" w:rsidRDefault="0061175D" w:rsidP="0091041C">
      <w:pPr>
        <w:keepNext/>
        <w:keepLines/>
        <w:spacing w:after="120"/>
        <w:contextualSpacing/>
        <w:rPr>
          <w:rFonts w:ascii="Arial Narrow" w:hAnsi="Arial Narrow"/>
          <w:snapToGrid w:val="0"/>
          <w:sz w:val="18"/>
          <w:szCs w:val="22"/>
          <w:lang w:eastAsia="en-US"/>
        </w:rPr>
      </w:pPr>
      <w:r w:rsidRPr="00070C35">
        <w:rPr>
          <w:rFonts w:ascii="Arial Narrow" w:hAnsi="Arial Narrow"/>
          <w:snapToGrid w:val="0"/>
          <w:sz w:val="18"/>
          <w:szCs w:val="22"/>
          <w:lang w:eastAsia="en-US"/>
        </w:rPr>
        <w:t>Relative risk and odds ratio calculated based on the number of patients in the treatment groups in RevMan v5.0 software, using a random effects model. Risk difference as reported in analysis.</w:t>
      </w:r>
    </w:p>
    <w:p w14:paraId="16497A27" w14:textId="52108259" w:rsidR="0061175D" w:rsidRPr="00070C35" w:rsidRDefault="0061175D" w:rsidP="0091041C">
      <w:pPr>
        <w:keepNext/>
        <w:keepLines/>
        <w:spacing w:after="120"/>
        <w:contextualSpacing/>
        <w:rPr>
          <w:rFonts w:ascii="Arial Narrow" w:hAnsi="Arial Narrow"/>
          <w:snapToGrid w:val="0"/>
          <w:sz w:val="18"/>
          <w:szCs w:val="22"/>
          <w:lang w:eastAsia="en-US"/>
        </w:rPr>
      </w:pPr>
      <w:r w:rsidRPr="00070C35">
        <w:rPr>
          <w:rFonts w:ascii="Arial Narrow" w:hAnsi="Arial Narrow"/>
          <w:snapToGrid w:val="0"/>
          <w:sz w:val="18"/>
          <w:szCs w:val="22"/>
          <w:lang w:eastAsia="en-US"/>
        </w:rPr>
        <w:t xml:space="preserve">a Data presented in the table on risk differences for pooled ABRO 200 mg versus DUPI were incorrect in the submission and </w:t>
      </w:r>
      <w:r w:rsidR="00B52B9D">
        <w:rPr>
          <w:rFonts w:ascii="Arial Narrow" w:hAnsi="Arial Narrow"/>
          <w:snapToGrid w:val="0"/>
          <w:sz w:val="18"/>
          <w:szCs w:val="22"/>
          <w:lang w:eastAsia="en-US"/>
        </w:rPr>
        <w:t>were</w:t>
      </w:r>
      <w:r w:rsidRPr="00070C35">
        <w:rPr>
          <w:rFonts w:ascii="Arial Narrow" w:hAnsi="Arial Narrow"/>
          <w:snapToGrid w:val="0"/>
          <w:sz w:val="18"/>
          <w:szCs w:val="22"/>
          <w:lang w:eastAsia="en-US"/>
        </w:rPr>
        <w:t xml:space="preserve"> calculated during the evaluation, based on the pooled proportions.</w:t>
      </w:r>
    </w:p>
    <w:p w14:paraId="1BDFE464" w14:textId="57F50924" w:rsidR="0061175D" w:rsidRPr="0091041C" w:rsidRDefault="00521468" w:rsidP="0061175D">
      <w:pPr>
        <w:keepLines/>
        <w:spacing w:after="120"/>
        <w:contextualSpacing/>
        <w:rPr>
          <w:rFonts w:ascii="Arial Narrow" w:hAnsi="Arial Narrow"/>
          <w:i/>
          <w:iCs/>
          <w:snapToGrid w:val="0"/>
          <w:sz w:val="18"/>
          <w:szCs w:val="18"/>
          <w:lang w:eastAsia="en-US"/>
        </w:rPr>
      </w:pPr>
      <w:r w:rsidRPr="0091041C">
        <w:rPr>
          <w:rFonts w:ascii="Arial Narrow" w:hAnsi="Arial Narrow"/>
          <w:i/>
          <w:iCs/>
          <w:snapToGrid w:val="0"/>
          <w:sz w:val="18"/>
          <w:szCs w:val="18"/>
          <w:lang w:eastAsia="en-US"/>
        </w:rPr>
        <w:t>Note that the results presented in Table 5 are derived from post-hoc analyses conducted by the applicant and during the evaluation specifically for the purposes of informing the PBAC consideration. These analyses were not part of the pre-specified statistical plans for JADE COMPARE or JADE DARE. Interpretation of the results and their application should therefore be limited to seeking to understand the basis for the PBAC outcome and should not be used for any other purpose.</w:t>
      </w:r>
    </w:p>
    <w:p w14:paraId="774988F9" w14:textId="77777777" w:rsidR="0061175D" w:rsidRPr="00070C35" w:rsidRDefault="0061175D" w:rsidP="005C62DF">
      <w:pPr>
        <w:pStyle w:val="3-BodyText"/>
      </w:pPr>
      <w:bookmarkStart w:id="49" w:name="_Hlk176725622"/>
      <w:r w:rsidRPr="00070C35">
        <w:t xml:space="preserve">For severe AD subgroups with no prior systemic therapy, </w:t>
      </w:r>
      <w:bookmarkStart w:id="50" w:name="_Hlk176639319"/>
      <w:r w:rsidRPr="00070C35">
        <w:t xml:space="preserve">the response rates for the EASI50+DLQI≥4 endpoint at Week 16 were numerically higher for ABRO 200 mg versus DUPI 300 mg </w:t>
      </w:r>
      <w:bookmarkEnd w:id="50"/>
      <w:r w:rsidRPr="00070C35">
        <w:t xml:space="preserve">in JADE COMPARE (84.5% vs. 71.4%; RD: 13.1% [95% CI: -2.7, 28.8]), in JADE DARE (81.7% vs. 71.4%; RD: 10.3% [95% CI: -4.1, 24.6]) and in pooled populations </w:t>
      </w:r>
      <w:bookmarkStart w:id="51" w:name="_Hlk176639793"/>
      <w:r w:rsidRPr="00070C35">
        <w:t xml:space="preserve">(82.9% vs. 71.4%; RD: 11.5% [95% CI: -0.9, 22.1]). </w:t>
      </w:r>
      <w:bookmarkEnd w:id="51"/>
      <w:r w:rsidRPr="00070C35">
        <w:t>The 95% CI did not include a worsening of the outcome that may be clinically relevant. Results for the EASI50+DLQI≥4 endpoint in the ITT population (i.e., adults with moderate to severe AD) support the claim of non-inferiority for ABRO 200 mg QD versus DUPI 300 mg Q2W.</w:t>
      </w:r>
    </w:p>
    <w:bookmarkEnd w:id="49"/>
    <w:p w14:paraId="5B189E95" w14:textId="77777777" w:rsidR="0061175D" w:rsidRPr="00070C35" w:rsidRDefault="0061175D" w:rsidP="005C62DF">
      <w:pPr>
        <w:pStyle w:val="3-BodyText"/>
      </w:pPr>
      <w:r w:rsidRPr="00070C35">
        <w:t xml:space="preserve">For the severe AD subgroup with no prior systemic therapy from JADE COMPARE, </w:t>
      </w:r>
      <w:bookmarkStart w:id="52" w:name="_Hlk176639556"/>
      <w:r w:rsidRPr="00070C35">
        <w:t xml:space="preserve">a numerically lower response rate for the EASI50+DLQI≥4 endpoint at Week 16 was observed for ABRO 100 mg versus DUPI 300 mg (65.7% vs. 71.4%; RD: -5.8% [95% CI: -22.8, 11.3]). The lower end of the 95% CI suggested a reduction in the responder rate of 22.8%, which is likely to be clinically relevant. </w:t>
      </w:r>
      <w:bookmarkStart w:id="53" w:name="_Hlk176743186"/>
      <w:r w:rsidRPr="00070C35">
        <w:t>Results for the EASI50+DLQI≥4 endpoint in the ITT population (i.e., adults with moderate to severe AD) support the claim of inferiority for ABRO 100 mg QD versus DUPI 300 mg Q2W, with the 95% CI including a worsening of the outcome.</w:t>
      </w:r>
    </w:p>
    <w:p w14:paraId="5A88AA25" w14:textId="77777777" w:rsidR="0061175D" w:rsidRPr="00070C35" w:rsidRDefault="0061175D" w:rsidP="005C62DF">
      <w:pPr>
        <w:pStyle w:val="3-BodyText"/>
      </w:pPr>
      <w:r w:rsidRPr="00070C35">
        <w:lastRenderedPageBreak/>
        <w:t xml:space="preserve">For severe AD subgroups with prior systemic therapy, the sample size was very small and so the estimate of comparative efficacy for ABRO 100 mg QD versus DUPI 300 Q2W was highly uncertain and had a wide 95% CI. The pooled data for EASI50+DLQI≥4 at Week 16 showed comparable responder rates for ABRO 200 mg QD versus DUPI 300 mg Q2W (79.8% vs. 78.3%; RD: 1.5% [95% CI: -9.5, 12.5]). </w:t>
      </w:r>
      <w:bookmarkEnd w:id="52"/>
    </w:p>
    <w:bookmarkEnd w:id="53"/>
    <w:p w14:paraId="1B273594" w14:textId="77777777" w:rsidR="00F00345" w:rsidRDefault="0061175D" w:rsidP="005C62DF">
      <w:pPr>
        <w:pStyle w:val="3-BodyText"/>
      </w:pPr>
      <w:r w:rsidRPr="00070C35">
        <w:t xml:space="preserve">Limitations of the evidence related to the </w:t>
      </w:r>
      <w:r w:rsidRPr="00347481">
        <w:t>post hoc</w:t>
      </w:r>
      <w:r w:rsidRPr="00070C35">
        <w:t xml:space="preserve"> nature of the analyses in small subgroups. The included studies were not designed for comparison of ABRO and DUPI for the composite outcome. </w:t>
      </w:r>
    </w:p>
    <w:p w14:paraId="7FC1423A" w14:textId="77777777" w:rsidR="0061175D" w:rsidRPr="009A5A91" w:rsidRDefault="0061175D" w:rsidP="0061175D">
      <w:pPr>
        <w:pStyle w:val="4-SubsectionHeading"/>
      </w:pPr>
      <w:bookmarkStart w:id="54" w:name="_Toc177558649"/>
      <w:r w:rsidRPr="009A5A91">
        <w:t>Comparative harms</w:t>
      </w:r>
      <w:bookmarkEnd w:id="54"/>
    </w:p>
    <w:p w14:paraId="34169B77" w14:textId="3F6CC9B7" w:rsidR="0061175D" w:rsidRDefault="0061175D" w:rsidP="0091041C">
      <w:pPr>
        <w:numPr>
          <w:ilvl w:val="1"/>
          <w:numId w:val="6"/>
        </w:numPr>
        <w:spacing w:after="120"/>
        <w:rPr>
          <w:rFonts w:eastAsiaTheme="minorHAnsi" w:cstheme="minorBidi"/>
          <w:szCs w:val="22"/>
        </w:rPr>
      </w:pPr>
      <w:r w:rsidRPr="009A5A91">
        <w:rPr>
          <w:rFonts w:eastAsiaTheme="minorHAnsi" w:cstheme="minorBidi"/>
          <w:szCs w:val="22"/>
        </w:rPr>
        <w:t xml:space="preserve">A summary of all-cause treatment emergent </w:t>
      </w:r>
      <w:r>
        <w:rPr>
          <w:rFonts w:eastAsiaTheme="minorHAnsi" w:cstheme="minorBidi"/>
          <w:szCs w:val="22"/>
        </w:rPr>
        <w:t>adverse events</w:t>
      </w:r>
      <w:r w:rsidRPr="009A5A91">
        <w:rPr>
          <w:rFonts w:eastAsiaTheme="minorHAnsi" w:cstheme="minorBidi"/>
          <w:szCs w:val="22"/>
        </w:rPr>
        <w:t xml:space="preserve"> (TEAEs) </w:t>
      </w:r>
      <w:r>
        <w:rPr>
          <w:rFonts w:eastAsiaTheme="minorHAnsi" w:cstheme="minorBidi"/>
          <w:szCs w:val="22"/>
        </w:rPr>
        <w:t xml:space="preserve">in the ABRO and DUPI arms of </w:t>
      </w:r>
      <w:r w:rsidRPr="009A5A91">
        <w:rPr>
          <w:rFonts w:eastAsiaTheme="minorHAnsi" w:cstheme="minorBidi"/>
          <w:szCs w:val="22"/>
        </w:rPr>
        <w:t xml:space="preserve">the JADE COMPARE and JADE DARE studies </w:t>
      </w:r>
      <w:r>
        <w:rPr>
          <w:rFonts w:eastAsiaTheme="minorHAnsi" w:cstheme="minorBidi"/>
          <w:szCs w:val="22"/>
        </w:rPr>
        <w:t>is</w:t>
      </w:r>
      <w:r w:rsidRPr="009A5A91">
        <w:rPr>
          <w:rFonts w:eastAsiaTheme="minorHAnsi" w:cstheme="minorBidi"/>
          <w:szCs w:val="22"/>
        </w:rPr>
        <w:t xml:space="preserve"> presented </w:t>
      </w:r>
      <w:r>
        <w:rPr>
          <w:rFonts w:eastAsiaTheme="minorHAnsi" w:cstheme="minorBidi"/>
          <w:szCs w:val="22"/>
        </w:rPr>
        <w:t xml:space="preserve">in </w:t>
      </w:r>
      <w:r w:rsidRPr="00980F07">
        <w:rPr>
          <w:rFonts w:eastAsiaTheme="minorHAnsi"/>
        </w:rPr>
        <w:fldChar w:fldCharType="begin" w:fldLock="1"/>
      </w:r>
      <w:r w:rsidRPr="00980F07">
        <w:rPr>
          <w:rFonts w:eastAsiaTheme="minorHAnsi"/>
        </w:rPr>
        <w:instrText xml:space="preserve"> REF _Ref176802090 \h </w:instrText>
      </w:r>
      <w:r>
        <w:rPr>
          <w:rFonts w:eastAsiaTheme="minorHAnsi"/>
        </w:rPr>
        <w:instrText xml:space="preserve"> \* MERGEFORMAT </w:instrText>
      </w:r>
      <w:r w:rsidRPr="00980F07">
        <w:rPr>
          <w:rFonts w:eastAsiaTheme="minorHAnsi"/>
        </w:rPr>
      </w:r>
      <w:r w:rsidRPr="00980F07">
        <w:rPr>
          <w:rFonts w:eastAsiaTheme="minorHAnsi"/>
        </w:rPr>
        <w:fldChar w:fldCharType="separate"/>
      </w:r>
      <w:r w:rsidR="004F2A70" w:rsidRPr="00513E34">
        <w:rPr>
          <w:rFonts w:cstheme="minorHAnsi"/>
        </w:rPr>
        <w:t>Table 6</w:t>
      </w:r>
      <w:r w:rsidRPr="00980F07">
        <w:rPr>
          <w:rFonts w:eastAsiaTheme="minorHAnsi"/>
        </w:rPr>
        <w:fldChar w:fldCharType="end"/>
      </w:r>
      <w:r w:rsidRPr="009A5A91">
        <w:rPr>
          <w:rFonts w:eastAsiaTheme="minorHAnsi" w:cstheme="minorBidi"/>
          <w:szCs w:val="22"/>
        </w:rPr>
        <w:t>.</w:t>
      </w:r>
    </w:p>
    <w:p w14:paraId="3B446DE8" w14:textId="026A0AD0" w:rsidR="0061175D" w:rsidRPr="009A5A91" w:rsidRDefault="0061175D" w:rsidP="00EA5F27">
      <w:pPr>
        <w:keepNext/>
        <w:keepLines/>
        <w:rPr>
          <w:rFonts w:ascii="Arial Narrow" w:hAnsi="Arial Narrow"/>
          <w:b/>
          <w:bCs/>
          <w:sz w:val="20"/>
          <w:szCs w:val="18"/>
        </w:rPr>
      </w:pPr>
      <w:bookmarkStart w:id="55" w:name="_Ref176802090"/>
      <w:r w:rsidRPr="009A5A91">
        <w:rPr>
          <w:rFonts w:ascii="Arial Narrow" w:hAnsi="Arial Narrow"/>
          <w:b/>
          <w:bCs/>
          <w:sz w:val="20"/>
          <w:szCs w:val="18"/>
        </w:rPr>
        <w:t xml:space="preserve">Table </w:t>
      </w:r>
      <w:r w:rsidRPr="009A5A91">
        <w:rPr>
          <w:rFonts w:ascii="Arial Narrow" w:hAnsi="Arial Narrow"/>
          <w:b/>
          <w:bCs/>
          <w:sz w:val="20"/>
          <w:szCs w:val="18"/>
        </w:rPr>
        <w:fldChar w:fldCharType="begin" w:fldLock="1"/>
      </w:r>
      <w:r w:rsidRPr="009A5A91">
        <w:rPr>
          <w:rFonts w:ascii="Arial Narrow" w:hAnsi="Arial Narrow"/>
          <w:b/>
          <w:bCs/>
          <w:sz w:val="20"/>
          <w:szCs w:val="18"/>
        </w:rPr>
        <w:instrText xml:space="preserve"> SEQ Table \* ARABIC </w:instrText>
      </w:r>
      <w:r w:rsidRPr="009A5A91">
        <w:rPr>
          <w:rFonts w:ascii="Arial Narrow" w:hAnsi="Arial Narrow"/>
          <w:b/>
          <w:bCs/>
          <w:sz w:val="20"/>
          <w:szCs w:val="18"/>
        </w:rPr>
        <w:fldChar w:fldCharType="separate"/>
      </w:r>
      <w:r w:rsidR="004F2A70">
        <w:rPr>
          <w:rFonts w:ascii="Arial Narrow" w:hAnsi="Arial Narrow"/>
          <w:b/>
          <w:bCs/>
          <w:noProof/>
          <w:sz w:val="20"/>
          <w:szCs w:val="18"/>
        </w:rPr>
        <w:t>6</w:t>
      </w:r>
      <w:r w:rsidRPr="009A5A91">
        <w:rPr>
          <w:rFonts w:ascii="Arial Narrow" w:hAnsi="Arial Narrow"/>
          <w:b/>
          <w:bCs/>
          <w:sz w:val="20"/>
          <w:szCs w:val="18"/>
        </w:rPr>
        <w:fldChar w:fldCharType="end"/>
      </w:r>
      <w:bookmarkEnd w:id="55"/>
      <w:r w:rsidRPr="009A5A91">
        <w:rPr>
          <w:rFonts w:ascii="Arial Narrow" w:hAnsi="Arial Narrow"/>
          <w:b/>
          <w:bCs/>
          <w:sz w:val="20"/>
          <w:szCs w:val="18"/>
        </w:rPr>
        <w:t>: Summary of TEAEs – all causalities (SAS)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31"/>
        <w:gridCol w:w="977"/>
        <w:gridCol w:w="1082"/>
        <w:gridCol w:w="1082"/>
        <w:gridCol w:w="1084"/>
        <w:gridCol w:w="1082"/>
        <w:gridCol w:w="1078"/>
      </w:tblGrid>
      <w:tr w:rsidR="0061175D" w:rsidRPr="009A5A91" w14:paraId="7E764190" w14:textId="77777777" w:rsidTr="00CC1644">
        <w:trPr>
          <w:tblHeader/>
        </w:trPr>
        <w:tc>
          <w:tcPr>
            <w:tcW w:w="1459" w:type="pct"/>
            <w:vMerge w:val="restart"/>
            <w:shd w:val="clear" w:color="auto" w:fill="auto"/>
            <w:vAlign w:val="bottom"/>
          </w:tcPr>
          <w:p w14:paraId="4B39292F" w14:textId="77777777" w:rsidR="0061175D" w:rsidRPr="009A5A91" w:rsidRDefault="0061175D" w:rsidP="00EA5F27">
            <w:pPr>
              <w:keepNext/>
              <w:ind w:left="57"/>
              <w:rPr>
                <w:rFonts w:ascii="Arial Narrow" w:eastAsiaTheme="majorEastAsia" w:hAnsi="Arial Narrow" w:cstheme="majorBidi"/>
                <w:b/>
                <w:bCs/>
                <w:sz w:val="20"/>
                <w:lang w:val="en-US"/>
              </w:rPr>
            </w:pPr>
          </w:p>
        </w:tc>
        <w:tc>
          <w:tcPr>
            <w:tcW w:w="2342" w:type="pct"/>
            <w:gridSpan w:val="4"/>
            <w:shd w:val="clear" w:color="auto" w:fill="auto"/>
            <w:vAlign w:val="center"/>
          </w:tcPr>
          <w:p w14:paraId="6AEDC9FC" w14:textId="77777777" w:rsidR="0061175D" w:rsidRPr="009A5A91"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JADE COMPARE</w:t>
            </w:r>
          </w:p>
        </w:tc>
        <w:tc>
          <w:tcPr>
            <w:tcW w:w="1199" w:type="pct"/>
            <w:gridSpan w:val="2"/>
            <w:shd w:val="clear" w:color="auto" w:fill="auto"/>
            <w:vAlign w:val="center"/>
          </w:tcPr>
          <w:p w14:paraId="3F6AC78D" w14:textId="77777777" w:rsidR="0061175D" w:rsidRPr="009A5A91"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JADE DARE</w:t>
            </w:r>
          </w:p>
        </w:tc>
      </w:tr>
      <w:tr w:rsidR="0061175D" w:rsidRPr="009A5A91" w14:paraId="665A0DB6" w14:textId="77777777" w:rsidTr="00CC1644">
        <w:trPr>
          <w:tblHeader/>
        </w:trPr>
        <w:tc>
          <w:tcPr>
            <w:tcW w:w="1459" w:type="pct"/>
            <w:vMerge/>
            <w:shd w:val="clear" w:color="auto" w:fill="auto"/>
            <w:vAlign w:val="bottom"/>
          </w:tcPr>
          <w:p w14:paraId="19BE2D3F" w14:textId="77777777" w:rsidR="0061175D" w:rsidRPr="009A5A91" w:rsidRDefault="0061175D" w:rsidP="00EA5F27">
            <w:pPr>
              <w:keepNext/>
              <w:ind w:left="57"/>
              <w:rPr>
                <w:rFonts w:ascii="Arial Narrow" w:eastAsiaTheme="majorEastAsia" w:hAnsi="Arial Narrow" w:cstheme="majorBidi"/>
                <w:b/>
                <w:bCs/>
                <w:sz w:val="20"/>
                <w:lang w:val="en-US"/>
              </w:rPr>
            </w:pPr>
          </w:p>
        </w:tc>
        <w:tc>
          <w:tcPr>
            <w:tcW w:w="542" w:type="pct"/>
            <w:shd w:val="clear" w:color="auto" w:fill="auto"/>
            <w:vAlign w:val="center"/>
          </w:tcPr>
          <w:p w14:paraId="2FDA8E26"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P</w:t>
            </w:r>
            <w:r>
              <w:rPr>
                <w:rFonts w:ascii="Arial Narrow" w:eastAsiaTheme="majorEastAsia" w:hAnsi="Arial Narrow" w:cstheme="majorBidi"/>
                <w:b/>
                <w:bCs/>
                <w:sz w:val="20"/>
                <w:lang w:val="en-US"/>
              </w:rPr>
              <w:t>BO</w:t>
            </w:r>
          </w:p>
          <w:p w14:paraId="6E8C0D7C"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(N=131)</w:t>
            </w:r>
          </w:p>
        </w:tc>
        <w:tc>
          <w:tcPr>
            <w:tcW w:w="600" w:type="pct"/>
            <w:shd w:val="clear" w:color="auto" w:fill="auto"/>
            <w:vAlign w:val="center"/>
          </w:tcPr>
          <w:p w14:paraId="0DEE4B68"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 xml:space="preserve">ABRO </w:t>
            </w:r>
            <w:r>
              <w:rPr>
                <w:rFonts w:ascii="Arial Narrow" w:eastAsiaTheme="majorEastAsia" w:hAnsi="Arial Narrow" w:cstheme="majorBidi"/>
                <w:b/>
                <w:bCs/>
                <w:sz w:val="20"/>
                <w:lang w:val="en-US"/>
              </w:rPr>
              <w:br/>
            </w:r>
            <w:r w:rsidRPr="009A5A91">
              <w:rPr>
                <w:rFonts w:ascii="Arial Narrow" w:eastAsiaTheme="majorEastAsia" w:hAnsi="Arial Narrow" w:cstheme="majorBidi"/>
                <w:b/>
                <w:bCs/>
                <w:sz w:val="20"/>
                <w:lang w:val="en-US"/>
              </w:rPr>
              <w:t>10</w:t>
            </w:r>
            <w:r>
              <w:rPr>
                <w:rFonts w:ascii="Arial Narrow" w:eastAsiaTheme="majorEastAsia" w:hAnsi="Arial Narrow" w:cstheme="majorBidi"/>
                <w:b/>
                <w:bCs/>
                <w:sz w:val="20"/>
                <w:lang w:val="en-US"/>
              </w:rPr>
              <w:t>0 mg QD</w:t>
            </w:r>
          </w:p>
          <w:p w14:paraId="09CF83EA"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(N=238)</w:t>
            </w:r>
          </w:p>
        </w:tc>
        <w:tc>
          <w:tcPr>
            <w:tcW w:w="600" w:type="pct"/>
            <w:shd w:val="clear" w:color="auto" w:fill="auto"/>
            <w:vAlign w:val="center"/>
          </w:tcPr>
          <w:p w14:paraId="79046525"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 xml:space="preserve">ABRO </w:t>
            </w:r>
            <w:r>
              <w:rPr>
                <w:rFonts w:ascii="Arial Narrow" w:eastAsiaTheme="majorEastAsia" w:hAnsi="Arial Narrow" w:cstheme="majorBidi"/>
                <w:b/>
                <w:bCs/>
                <w:sz w:val="20"/>
                <w:lang w:val="en-US"/>
              </w:rPr>
              <w:br/>
            </w:r>
            <w:r w:rsidRPr="009A5A91">
              <w:rPr>
                <w:rFonts w:ascii="Arial Narrow" w:eastAsiaTheme="majorEastAsia" w:hAnsi="Arial Narrow" w:cstheme="majorBidi"/>
                <w:b/>
                <w:bCs/>
                <w:sz w:val="20"/>
                <w:lang w:val="en-US"/>
              </w:rPr>
              <w:t>20</w:t>
            </w:r>
            <w:r>
              <w:rPr>
                <w:rFonts w:ascii="Arial Narrow" w:eastAsiaTheme="majorEastAsia" w:hAnsi="Arial Narrow" w:cstheme="majorBidi"/>
                <w:b/>
                <w:bCs/>
                <w:sz w:val="20"/>
                <w:lang w:val="en-US"/>
              </w:rPr>
              <w:t>0 mg QD</w:t>
            </w:r>
            <w:r w:rsidRPr="009A5A91">
              <w:rPr>
                <w:rFonts w:ascii="Arial Narrow" w:eastAsiaTheme="majorEastAsia" w:hAnsi="Arial Narrow" w:cstheme="majorBidi"/>
                <w:b/>
                <w:bCs/>
                <w:sz w:val="20"/>
                <w:lang w:val="en-US"/>
              </w:rPr>
              <w:t xml:space="preserve"> </w:t>
            </w:r>
          </w:p>
          <w:p w14:paraId="38A94509"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(N=226)</w:t>
            </w:r>
          </w:p>
        </w:tc>
        <w:tc>
          <w:tcPr>
            <w:tcW w:w="601" w:type="pct"/>
            <w:shd w:val="clear" w:color="auto" w:fill="auto"/>
            <w:vAlign w:val="center"/>
          </w:tcPr>
          <w:p w14:paraId="50CA4934"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 xml:space="preserve">DUPI </w:t>
            </w:r>
            <w:r>
              <w:rPr>
                <w:rFonts w:ascii="Arial Narrow" w:eastAsiaTheme="majorEastAsia" w:hAnsi="Arial Narrow" w:cstheme="majorBidi"/>
                <w:b/>
                <w:bCs/>
                <w:sz w:val="20"/>
                <w:lang w:val="en-US"/>
              </w:rPr>
              <w:br/>
            </w:r>
            <w:r w:rsidRPr="009A5A91">
              <w:rPr>
                <w:rFonts w:ascii="Arial Narrow" w:eastAsiaTheme="majorEastAsia" w:hAnsi="Arial Narrow" w:cstheme="majorBidi"/>
                <w:b/>
                <w:bCs/>
                <w:sz w:val="20"/>
                <w:lang w:val="en-US"/>
              </w:rPr>
              <w:t>30</w:t>
            </w:r>
            <w:r>
              <w:rPr>
                <w:rFonts w:ascii="Arial Narrow" w:eastAsiaTheme="majorEastAsia" w:hAnsi="Arial Narrow" w:cstheme="majorBidi"/>
                <w:b/>
                <w:bCs/>
                <w:sz w:val="20"/>
                <w:lang w:val="en-US"/>
              </w:rPr>
              <w:t>0 mg</w:t>
            </w:r>
            <w:r w:rsidRPr="009A5A91">
              <w:rPr>
                <w:rFonts w:ascii="Arial Narrow" w:eastAsiaTheme="majorEastAsia" w:hAnsi="Arial Narrow" w:cstheme="majorBidi"/>
                <w:b/>
                <w:bCs/>
                <w:sz w:val="20"/>
                <w:lang w:val="en-US"/>
              </w:rPr>
              <w:t xml:space="preserve"> </w:t>
            </w:r>
            <w:r>
              <w:rPr>
                <w:rFonts w:ascii="Arial Narrow" w:eastAsiaTheme="majorEastAsia" w:hAnsi="Arial Narrow" w:cstheme="majorBidi"/>
                <w:b/>
                <w:bCs/>
                <w:sz w:val="20"/>
                <w:lang w:val="en-US"/>
              </w:rPr>
              <w:t>Q2W</w:t>
            </w:r>
          </w:p>
          <w:p w14:paraId="7B672F0C"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(N=242)</w:t>
            </w:r>
          </w:p>
        </w:tc>
        <w:tc>
          <w:tcPr>
            <w:tcW w:w="600" w:type="pct"/>
            <w:shd w:val="clear" w:color="auto" w:fill="auto"/>
            <w:vAlign w:val="center"/>
          </w:tcPr>
          <w:p w14:paraId="4084D36C"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 xml:space="preserve">ABRO </w:t>
            </w:r>
            <w:r>
              <w:rPr>
                <w:rFonts w:ascii="Arial Narrow" w:eastAsiaTheme="majorEastAsia" w:hAnsi="Arial Narrow" w:cstheme="majorBidi"/>
                <w:b/>
                <w:bCs/>
                <w:sz w:val="20"/>
                <w:lang w:val="en-US"/>
              </w:rPr>
              <w:br/>
            </w:r>
            <w:r w:rsidRPr="009A5A91">
              <w:rPr>
                <w:rFonts w:ascii="Arial Narrow" w:eastAsiaTheme="majorEastAsia" w:hAnsi="Arial Narrow" w:cstheme="majorBidi"/>
                <w:b/>
                <w:bCs/>
                <w:sz w:val="20"/>
                <w:lang w:val="en-US"/>
              </w:rPr>
              <w:t>20</w:t>
            </w:r>
            <w:r>
              <w:rPr>
                <w:rFonts w:ascii="Arial Narrow" w:eastAsiaTheme="majorEastAsia" w:hAnsi="Arial Narrow" w:cstheme="majorBidi"/>
                <w:b/>
                <w:bCs/>
                <w:sz w:val="20"/>
                <w:lang w:val="en-US"/>
              </w:rPr>
              <w:t>0 mg QD</w:t>
            </w:r>
          </w:p>
          <w:p w14:paraId="42AFBE03"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(N=362)</w:t>
            </w:r>
          </w:p>
        </w:tc>
        <w:tc>
          <w:tcPr>
            <w:tcW w:w="599" w:type="pct"/>
            <w:shd w:val="clear" w:color="auto" w:fill="auto"/>
            <w:vAlign w:val="center"/>
          </w:tcPr>
          <w:p w14:paraId="6B194284"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 xml:space="preserve">DUPI </w:t>
            </w:r>
          </w:p>
          <w:p w14:paraId="4319C275" w14:textId="77777777" w:rsidR="0061175D" w:rsidRDefault="0061175D" w:rsidP="00EA5F27">
            <w:pPr>
              <w:keepNext/>
              <w:jc w:val="center"/>
              <w:rPr>
                <w:rFonts w:ascii="Arial Narrow" w:eastAsiaTheme="majorEastAsia" w:hAnsi="Arial Narrow" w:cstheme="majorBidi"/>
                <w:b/>
                <w:bCs/>
                <w:sz w:val="20"/>
                <w:lang w:val="en-US"/>
              </w:rPr>
            </w:pPr>
            <w:r w:rsidRPr="009A5A91">
              <w:rPr>
                <w:rFonts w:ascii="Arial Narrow" w:eastAsiaTheme="majorEastAsia" w:hAnsi="Arial Narrow" w:cstheme="majorBidi"/>
                <w:b/>
                <w:bCs/>
                <w:sz w:val="20"/>
                <w:lang w:val="en-US"/>
              </w:rPr>
              <w:t>30</w:t>
            </w:r>
            <w:r>
              <w:rPr>
                <w:rFonts w:ascii="Arial Narrow" w:eastAsiaTheme="majorEastAsia" w:hAnsi="Arial Narrow" w:cstheme="majorBidi"/>
                <w:b/>
                <w:bCs/>
                <w:sz w:val="20"/>
                <w:lang w:val="en-US"/>
              </w:rPr>
              <w:t>0 mg QD</w:t>
            </w:r>
          </w:p>
          <w:p w14:paraId="4E45C9C3" w14:textId="77777777" w:rsidR="0061175D" w:rsidRPr="009A5A91" w:rsidRDefault="0061175D" w:rsidP="00EA5F27">
            <w:pPr>
              <w:keepNext/>
              <w:jc w:val="center"/>
              <w:rPr>
                <w:rFonts w:ascii="Arial Narrow" w:eastAsiaTheme="majorEastAsia" w:hAnsi="Arial Narrow" w:cstheme="majorBidi"/>
                <w:b/>
                <w:bCs/>
                <w:sz w:val="20"/>
                <w:lang w:val="en-US"/>
              </w:rPr>
            </w:pPr>
            <w:r>
              <w:rPr>
                <w:rFonts w:ascii="Arial Narrow" w:eastAsiaTheme="majorEastAsia" w:hAnsi="Arial Narrow" w:cstheme="majorBidi"/>
                <w:b/>
                <w:bCs/>
                <w:sz w:val="20"/>
                <w:lang w:val="en-US"/>
              </w:rPr>
              <w:t>(N=365)</w:t>
            </w:r>
          </w:p>
        </w:tc>
      </w:tr>
      <w:tr w:rsidR="0061175D" w:rsidRPr="009A5A91" w14:paraId="7C8CCCFB" w14:textId="77777777" w:rsidTr="00CC1644">
        <w:tc>
          <w:tcPr>
            <w:tcW w:w="1459" w:type="pct"/>
            <w:vAlign w:val="center"/>
          </w:tcPr>
          <w:p w14:paraId="27CCF116"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Number of adverse events, n</w:t>
            </w:r>
          </w:p>
        </w:tc>
        <w:tc>
          <w:tcPr>
            <w:tcW w:w="542" w:type="pct"/>
            <w:vAlign w:val="center"/>
          </w:tcPr>
          <w:p w14:paraId="7C499708"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150</w:t>
            </w:r>
          </w:p>
        </w:tc>
        <w:tc>
          <w:tcPr>
            <w:tcW w:w="600" w:type="pct"/>
            <w:vAlign w:val="center"/>
          </w:tcPr>
          <w:p w14:paraId="2E33F708"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269</w:t>
            </w:r>
          </w:p>
        </w:tc>
        <w:tc>
          <w:tcPr>
            <w:tcW w:w="600" w:type="pct"/>
            <w:vAlign w:val="center"/>
          </w:tcPr>
          <w:p w14:paraId="1A98C1C1"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308</w:t>
            </w:r>
          </w:p>
        </w:tc>
        <w:tc>
          <w:tcPr>
            <w:tcW w:w="601" w:type="pct"/>
            <w:vAlign w:val="center"/>
          </w:tcPr>
          <w:p w14:paraId="714DC66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223</w:t>
            </w:r>
          </w:p>
        </w:tc>
        <w:tc>
          <w:tcPr>
            <w:tcW w:w="600" w:type="pct"/>
            <w:vAlign w:val="center"/>
          </w:tcPr>
          <w:p w14:paraId="4FC14D96"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817</w:t>
            </w:r>
          </w:p>
        </w:tc>
        <w:tc>
          <w:tcPr>
            <w:tcW w:w="599" w:type="pct"/>
            <w:vAlign w:val="center"/>
          </w:tcPr>
          <w:p w14:paraId="45CA4A2F"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600</w:t>
            </w:r>
          </w:p>
        </w:tc>
      </w:tr>
      <w:tr w:rsidR="0061175D" w:rsidRPr="009A5A91" w14:paraId="457E721B" w14:textId="77777777" w:rsidTr="00CC1644">
        <w:tc>
          <w:tcPr>
            <w:tcW w:w="1459" w:type="pct"/>
            <w:vAlign w:val="center"/>
          </w:tcPr>
          <w:p w14:paraId="40A0A634"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Subjects with adverse events, n (%)</w:t>
            </w:r>
          </w:p>
        </w:tc>
        <w:tc>
          <w:tcPr>
            <w:tcW w:w="542" w:type="pct"/>
            <w:vAlign w:val="center"/>
          </w:tcPr>
          <w:p w14:paraId="6E14FDD1"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70 (53.4)</w:t>
            </w:r>
          </w:p>
        </w:tc>
        <w:tc>
          <w:tcPr>
            <w:tcW w:w="600" w:type="pct"/>
            <w:vAlign w:val="center"/>
          </w:tcPr>
          <w:p w14:paraId="365A2E7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121 (50.8)</w:t>
            </w:r>
          </w:p>
        </w:tc>
        <w:tc>
          <w:tcPr>
            <w:tcW w:w="600" w:type="pct"/>
            <w:vAlign w:val="center"/>
          </w:tcPr>
          <w:p w14:paraId="3CB568AB"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140 (61.9)</w:t>
            </w:r>
          </w:p>
        </w:tc>
        <w:tc>
          <w:tcPr>
            <w:tcW w:w="601" w:type="pct"/>
            <w:vAlign w:val="center"/>
          </w:tcPr>
          <w:p w14:paraId="167D2F02"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121 (50.0)</w:t>
            </w:r>
          </w:p>
        </w:tc>
        <w:tc>
          <w:tcPr>
            <w:tcW w:w="600" w:type="pct"/>
            <w:vAlign w:val="center"/>
          </w:tcPr>
          <w:p w14:paraId="5B810CC2"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268 (74.0)</w:t>
            </w:r>
          </w:p>
        </w:tc>
        <w:tc>
          <w:tcPr>
            <w:tcW w:w="599" w:type="pct"/>
            <w:vAlign w:val="center"/>
          </w:tcPr>
          <w:p w14:paraId="00D34EB0"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239 (65.5)</w:t>
            </w:r>
          </w:p>
        </w:tc>
      </w:tr>
      <w:tr w:rsidR="0061175D" w:rsidRPr="009A5A91" w14:paraId="4F1BE229" w14:textId="77777777" w:rsidTr="00CC1644">
        <w:tc>
          <w:tcPr>
            <w:tcW w:w="1459" w:type="pct"/>
            <w:vAlign w:val="center"/>
          </w:tcPr>
          <w:p w14:paraId="1EEC4A2E"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Subjects with serious adverse events, n (%)</w:t>
            </w:r>
          </w:p>
        </w:tc>
        <w:tc>
          <w:tcPr>
            <w:tcW w:w="542" w:type="pct"/>
            <w:vAlign w:val="center"/>
          </w:tcPr>
          <w:p w14:paraId="69E699E1"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5 (3.8)</w:t>
            </w:r>
          </w:p>
        </w:tc>
        <w:tc>
          <w:tcPr>
            <w:tcW w:w="600" w:type="pct"/>
            <w:vAlign w:val="center"/>
          </w:tcPr>
          <w:p w14:paraId="4EAA3E6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6 (2.5)</w:t>
            </w:r>
          </w:p>
        </w:tc>
        <w:tc>
          <w:tcPr>
            <w:tcW w:w="600" w:type="pct"/>
            <w:vAlign w:val="center"/>
          </w:tcPr>
          <w:p w14:paraId="7428E44F"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 (0.9)</w:t>
            </w:r>
          </w:p>
        </w:tc>
        <w:tc>
          <w:tcPr>
            <w:tcW w:w="601" w:type="pct"/>
            <w:vAlign w:val="center"/>
          </w:tcPr>
          <w:p w14:paraId="5FCBA44E"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 (0.8)</w:t>
            </w:r>
          </w:p>
        </w:tc>
        <w:tc>
          <w:tcPr>
            <w:tcW w:w="600" w:type="pct"/>
            <w:vAlign w:val="center"/>
          </w:tcPr>
          <w:p w14:paraId="226B3D0C"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6 (1.7)</w:t>
            </w:r>
          </w:p>
        </w:tc>
        <w:tc>
          <w:tcPr>
            <w:tcW w:w="599" w:type="pct"/>
            <w:vAlign w:val="center"/>
          </w:tcPr>
          <w:p w14:paraId="0711C0BE"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6 (1.6)</w:t>
            </w:r>
          </w:p>
        </w:tc>
      </w:tr>
      <w:tr w:rsidR="0061175D" w:rsidRPr="009A5A91" w14:paraId="1CF8E3BC" w14:textId="77777777" w:rsidTr="00CC1644">
        <w:tc>
          <w:tcPr>
            <w:tcW w:w="1459" w:type="pct"/>
            <w:vAlign w:val="center"/>
          </w:tcPr>
          <w:p w14:paraId="7BC00E04"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Subjects with severe adverse events, n (%)</w:t>
            </w:r>
          </w:p>
        </w:tc>
        <w:tc>
          <w:tcPr>
            <w:tcW w:w="542" w:type="pct"/>
            <w:vAlign w:val="center"/>
          </w:tcPr>
          <w:p w14:paraId="11E6A87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3 (2.3)</w:t>
            </w:r>
          </w:p>
        </w:tc>
        <w:tc>
          <w:tcPr>
            <w:tcW w:w="600" w:type="pct"/>
            <w:vAlign w:val="center"/>
          </w:tcPr>
          <w:p w14:paraId="58D99E31"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5 (2.1)</w:t>
            </w:r>
          </w:p>
        </w:tc>
        <w:tc>
          <w:tcPr>
            <w:tcW w:w="600" w:type="pct"/>
            <w:vAlign w:val="center"/>
          </w:tcPr>
          <w:p w14:paraId="2F96AA26"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4 (1.8)</w:t>
            </w:r>
          </w:p>
        </w:tc>
        <w:tc>
          <w:tcPr>
            <w:tcW w:w="601" w:type="pct"/>
            <w:vAlign w:val="center"/>
          </w:tcPr>
          <w:p w14:paraId="420A404F"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 (0.8)</w:t>
            </w:r>
          </w:p>
        </w:tc>
        <w:tc>
          <w:tcPr>
            <w:tcW w:w="600" w:type="pct"/>
            <w:vAlign w:val="center"/>
          </w:tcPr>
          <w:p w14:paraId="1E51DBA3"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11 (3.0)</w:t>
            </w:r>
          </w:p>
        </w:tc>
        <w:tc>
          <w:tcPr>
            <w:tcW w:w="599" w:type="pct"/>
            <w:vAlign w:val="center"/>
          </w:tcPr>
          <w:p w14:paraId="4563B3E3"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8 (2.2)</w:t>
            </w:r>
          </w:p>
        </w:tc>
      </w:tr>
      <w:tr w:rsidR="0061175D" w:rsidRPr="009A5A91" w14:paraId="54452CFC" w14:textId="77777777" w:rsidTr="00CC1644">
        <w:tc>
          <w:tcPr>
            <w:tcW w:w="1459" w:type="pct"/>
            <w:vAlign w:val="center"/>
          </w:tcPr>
          <w:p w14:paraId="134555BA"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 xml:space="preserve">Subjects discontinued from study due to adverse </w:t>
            </w:r>
            <w:proofErr w:type="spellStart"/>
            <w:r w:rsidRPr="009A5A91">
              <w:rPr>
                <w:rFonts w:ascii="Arial Narrow" w:hAnsi="Arial Narrow"/>
                <w:snapToGrid w:val="0"/>
                <w:sz w:val="20"/>
              </w:rPr>
              <w:t>events</w:t>
            </w:r>
            <w:r w:rsidRPr="009A5A91">
              <w:rPr>
                <w:rFonts w:ascii="Arial Narrow" w:hAnsi="Arial Narrow"/>
                <w:snapToGrid w:val="0"/>
                <w:sz w:val="20"/>
                <w:vertAlign w:val="superscript"/>
              </w:rPr>
              <w:t>a</w:t>
            </w:r>
            <w:proofErr w:type="spellEnd"/>
            <w:r w:rsidRPr="009A5A91">
              <w:rPr>
                <w:rFonts w:ascii="Arial Narrow" w:hAnsi="Arial Narrow"/>
                <w:snapToGrid w:val="0"/>
                <w:sz w:val="20"/>
              </w:rPr>
              <w:t>, n (%)</w:t>
            </w:r>
          </w:p>
        </w:tc>
        <w:tc>
          <w:tcPr>
            <w:tcW w:w="542" w:type="pct"/>
            <w:vAlign w:val="center"/>
          </w:tcPr>
          <w:p w14:paraId="65F67D69"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5 (3.8)</w:t>
            </w:r>
          </w:p>
        </w:tc>
        <w:tc>
          <w:tcPr>
            <w:tcW w:w="600" w:type="pct"/>
            <w:vAlign w:val="center"/>
          </w:tcPr>
          <w:p w14:paraId="3C3611DE"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6 (2.5)</w:t>
            </w:r>
          </w:p>
        </w:tc>
        <w:tc>
          <w:tcPr>
            <w:tcW w:w="600" w:type="pct"/>
            <w:vAlign w:val="center"/>
          </w:tcPr>
          <w:p w14:paraId="01583AA2"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10 (4.4)</w:t>
            </w:r>
          </w:p>
        </w:tc>
        <w:tc>
          <w:tcPr>
            <w:tcW w:w="601" w:type="pct"/>
            <w:vAlign w:val="center"/>
          </w:tcPr>
          <w:p w14:paraId="30CE092E"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8 (3.3)</w:t>
            </w:r>
          </w:p>
        </w:tc>
        <w:tc>
          <w:tcPr>
            <w:tcW w:w="600" w:type="pct"/>
            <w:vAlign w:val="center"/>
          </w:tcPr>
          <w:p w14:paraId="6B43099E"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12 (3.3)</w:t>
            </w:r>
          </w:p>
        </w:tc>
        <w:tc>
          <w:tcPr>
            <w:tcW w:w="599" w:type="pct"/>
            <w:vAlign w:val="center"/>
          </w:tcPr>
          <w:p w14:paraId="05D4EAED"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9 (2.5)</w:t>
            </w:r>
          </w:p>
        </w:tc>
      </w:tr>
      <w:tr w:rsidR="0061175D" w:rsidRPr="009A5A91" w14:paraId="72B276D1" w14:textId="77777777" w:rsidTr="00CC1644">
        <w:tc>
          <w:tcPr>
            <w:tcW w:w="1459" w:type="pct"/>
            <w:vAlign w:val="center"/>
          </w:tcPr>
          <w:p w14:paraId="7CDBA3CC"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 xml:space="preserve">Subjects discontinued study drug due to AE and continued </w:t>
            </w:r>
            <w:proofErr w:type="spellStart"/>
            <w:r w:rsidRPr="009A5A91">
              <w:rPr>
                <w:rFonts w:ascii="Arial Narrow" w:hAnsi="Arial Narrow"/>
                <w:snapToGrid w:val="0"/>
                <w:sz w:val="20"/>
              </w:rPr>
              <w:t>study</w:t>
            </w:r>
            <w:r>
              <w:rPr>
                <w:rFonts w:ascii="Arial Narrow" w:hAnsi="Arial Narrow"/>
                <w:snapToGrid w:val="0"/>
                <w:sz w:val="20"/>
                <w:vertAlign w:val="superscript"/>
              </w:rPr>
              <w:t>b</w:t>
            </w:r>
            <w:proofErr w:type="spellEnd"/>
            <w:r w:rsidRPr="009A5A91">
              <w:rPr>
                <w:rFonts w:ascii="Arial Narrow" w:hAnsi="Arial Narrow"/>
                <w:snapToGrid w:val="0"/>
                <w:sz w:val="20"/>
              </w:rPr>
              <w:t>, n (%)</w:t>
            </w:r>
          </w:p>
        </w:tc>
        <w:tc>
          <w:tcPr>
            <w:tcW w:w="542" w:type="pct"/>
            <w:vAlign w:val="center"/>
          </w:tcPr>
          <w:p w14:paraId="1127CAAA"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 (1.5)</w:t>
            </w:r>
          </w:p>
        </w:tc>
        <w:tc>
          <w:tcPr>
            <w:tcW w:w="600" w:type="pct"/>
            <w:vAlign w:val="center"/>
          </w:tcPr>
          <w:p w14:paraId="3E96917B"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 (0.8)</w:t>
            </w:r>
          </w:p>
        </w:tc>
        <w:tc>
          <w:tcPr>
            <w:tcW w:w="600" w:type="pct"/>
            <w:vAlign w:val="center"/>
          </w:tcPr>
          <w:p w14:paraId="3157FE9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 (0.4)</w:t>
            </w:r>
          </w:p>
        </w:tc>
        <w:tc>
          <w:tcPr>
            <w:tcW w:w="601" w:type="pct"/>
            <w:vAlign w:val="center"/>
          </w:tcPr>
          <w:p w14:paraId="17CEB7B5"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0</w:t>
            </w:r>
          </w:p>
        </w:tc>
        <w:tc>
          <w:tcPr>
            <w:tcW w:w="600" w:type="pct"/>
            <w:vAlign w:val="center"/>
          </w:tcPr>
          <w:p w14:paraId="706A4DDA"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0</w:t>
            </w:r>
          </w:p>
        </w:tc>
        <w:tc>
          <w:tcPr>
            <w:tcW w:w="599" w:type="pct"/>
            <w:vAlign w:val="center"/>
          </w:tcPr>
          <w:p w14:paraId="39399FC1"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 (0.3)</w:t>
            </w:r>
          </w:p>
        </w:tc>
      </w:tr>
      <w:tr w:rsidR="0061175D" w:rsidRPr="009A5A91" w14:paraId="54E38ACD" w14:textId="77777777" w:rsidTr="00CC1644">
        <w:tc>
          <w:tcPr>
            <w:tcW w:w="1459" w:type="pct"/>
            <w:vAlign w:val="center"/>
          </w:tcPr>
          <w:p w14:paraId="4385299C" w14:textId="77777777" w:rsidR="0061175D" w:rsidRPr="009A5A91" w:rsidRDefault="0061175D" w:rsidP="00EA5F27">
            <w:pPr>
              <w:keepNext/>
              <w:ind w:left="57"/>
              <w:rPr>
                <w:rFonts w:ascii="Arial Narrow" w:hAnsi="Arial Narrow"/>
                <w:snapToGrid w:val="0"/>
                <w:sz w:val="20"/>
              </w:rPr>
            </w:pPr>
            <w:r w:rsidRPr="009A5A91">
              <w:rPr>
                <w:rFonts w:ascii="Arial Narrow" w:hAnsi="Arial Narrow"/>
                <w:snapToGrid w:val="0"/>
                <w:sz w:val="20"/>
              </w:rPr>
              <w:t>Subjects with temporary discontinuation due to adverse events, n (%)</w:t>
            </w:r>
          </w:p>
        </w:tc>
        <w:tc>
          <w:tcPr>
            <w:tcW w:w="542" w:type="pct"/>
            <w:vAlign w:val="center"/>
          </w:tcPr>
          <w:p w14:paraId="669A1EE9"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9 (6.9)</w:t>
            </w:r>
          </w:p>
        </w:tc>
        <w:tc>
          <w:tcPr>
            <w:tcW w:w="600" w:type="pct"/>
            <w:vAlign w:val="center"/>
          </w:tcPr>
          <w:p w14:paraId="41A0B74C"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15 (6.3)</w:t>
            </w:r>
          </w:p>
        </w:tc>
        <w:tc>
          <w:tcPr>
            <w:tcW w:w="600" w:type="pct"/>
            <w:vAlign w:val="center"/>
          </w:tcPr>
          <w:p w14:paraId="4DA4B29A"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12 (5.3)</w:t>
            </w:r>
          </w:p>
        </w:tc>
        <w:tc>
          <w:tcPr>
            <w:tcW w:w="601" w:type="pct"/>
            <w:vAlign w:val="center"/>
          </w:tcPr>
          <w:p w14:paraId="4264AF89"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9 (3.7)</w:t>
            </w:r>
          </w:p>
        </w:tc>
        <w:tc>
          <w:tcPr>
            <w:tcW w:w="600" w:type="pct"/>
            <w:vAlign w:val="center"/>
          </w:tcPr>
          <w:p w14:paraId="2BAF02B2"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39 (10.8)</w:t>
            </w:r>
          </w:p>
        </w:tc>
        <w:tc>
          <w:tcPr>
            <w:tcW w:w="599" w:type="pct"/>
            <w:vAlign w:val="center"/>
          </w:tcPr>
          <w:p w14:paraId="74073E07" w14:textId="77777777" w:rsidR="0061175D" w:rsidRPr="009A5A91" w:rsidRDefault="0061175D" w:rsidP="00EA5F27">
            <w:pPr>
              <w:keepNext/>
              <w:jc w:val="center"/>
              <w:rPr>
                <w:rFonts w:ascii="Arial Narrow" w:hAnsi="Arial Narrow"/>
                <w:snapToGrid w:val="0"/>
                <w:sz w:val="20"/>
              </w:rPr>
            </w:pPr>
            <w:r w:rsidRPr="009A5A91">
              <w:rPr>
                <w:rFonts w:ascii="Arial Narrow" w:hAnsi="Arial Narrow"/>
                <w:snapToGrid w:val="0"/>
                <w:sz w:val="20"/>
              </w:rPr>
              <w:t>27 (7.4)</w:t>
            </w:r>
          </w:p>
        </w:tc>
      </w:tr>
    </w:tbl>
    <w:p w14:paraId="3850C8D8" w14:textId="77777777" w:rsidR="0061175D" w:rsidRPr="00980F07" w:rsidRDefault="0061175D" w:rsidP="00EA5F27">
      <w:pPr>
        <w:keepNext/>
        <w:rPr>
          <w:rFonts w:ascii="Arial Narrow" w:hAnsi="Arial Narrow"/>
          <w:iCs/>
          <w:snapToGrid w:val="0"/>
          <w:sz w:val="18"/>
          <w:szCs w:val="22"/>
          <w:lang w:eastAsia="en-US"/>
        </w:rPr>
      </w:pPr>
      <w:r w:rsidRPr="00980F07">
        <w:rPr>
          <w:rFonts w:ascii="Arial Narrow" w:hAnsi="Arial Narrow"/>
          <w:iCs/>
          <w:snapToGrid w:val="0"/>
          <w:sz w:val="18"/>
          <w:szCs w:val="22"/>
          <w:lang w:eastAsia="en-US"/>
        </w:rPr>
        <w:t>Source: Table 2.6.13, p52 of the submission</w:t>
      </w:r>
    </w:p>
    <w:p w14:paraId="0E35CF4D" w14:textId="346A092F" w:rsidR="0061175D" w:rsidRPr="00980F07" w:rsidRDefault="0061175D" w:rsidP="00EA5F27">
      <w:pPr>
        <w:keepNext/>
        <w:rPr>
          <w:rFonts w:ascii="Arial Narrow" w:hAnsi="Arial Narrow"/>
          <w:iCs/>
          <w:snapToGrid w:val="0"/>
          <w:sz w:val="18"/>
          <w:szCs w:val="22"/>
          <w:lang w:eastAsia="en-US"/>
        </w:rPr>
      </w:pPr>
      <w:r>
        <w:rPr>
          <w:rFonts w:ascii="Arial Narrow" w:hAnsi="Arial Narrow"/>
          <w:iCs/>
          <w:snapToGrid w:val="0"/>
          <w:sz w:val="18"/>
          <w:szCs w:val="22"/>
          <w:lang w:eastAsia="en-US"/>
        </w:rPr>
        <w:t xml:space="preserve">ABRO = </w:t>
      </w:r>
      <w:proofErr w:type="spellStart"/>
      <w:r>
        <w:rPr>
          <w:rFonts w:ascii="Arial Narrow" w:hAnsi="Arial Narrow"/>
          <w:iCs/>
          <w:snapToGrid w:val="0"/>
          <w:sz w:val="18"/>
          <w:szCs w:val="22"/>
          <w:lang w:eastAsia="en-US"/>
        </w:rPr>
        <w:t>abrocitinib</w:t>
      </w:r>
      <w:proofErr w:type="spellEnd"/>
      <w:r w:rsidRPr="00980F07">
        <w:rPr>
          <w:rFonts w:ascii="Arial Narrow" w:hAnsi="Arial Narrow"/>
          <w:iCs/>
          <w:snapToGrid w:val="0"/>
          <w:sz w:val="18"/>
          <w:szCs w:val="22"/>
          <w:lang w:eastAsia="en-US"/>
        </w:rPr>
        <w:t xml:space="preserve">; AE = Adverse Event; DUPI = </w:t>
      </w:r>
      <w:r>
        <w:rPr>
          <w:rFonts w:ascii="Arial Narrow" w:hAnsi="Arial Narrow"/>
          <w:iCs/>
          <w:snapToGrid w:val="0"/>
          <w:sz w:val="18"/>
          <w:szCs w:val="22"/>
          <w:lang w:eastAsia="en-US"/>
        </w:rPr>
        <w:t>DUPI</w:t>
      </w:r>
      <w:r w:rsidRPr="00980F07">
        <w:rPr>
          <w:rFonts w:ascii="Arial Narrow" w:hAnsi="Arial Narrow"/>
          <w:iCs/>
          <w:snapToGrid w:val="0"/>
          <w:sz w:val="18"/>
          <w:szCs w:val="22"/>
          <w:lang w:eastAsia="en-US"/>
        </w:rPr>
        <w:t>; PBO = Placebo; Q2W = Once every 2 weeks; QD = Once Daily; SAS = Safety Analysis Set</w:t>
      </w:r>
      <w:r>
        <w:rPr>
          <w:rFonts w:ascii="Arial Narrow" w:hAnsi="Arial Narrow"/>
          <w:iCs/>
          <w:snapToGrid w:val="0"/>
          <w:sz w:val="18"/>
          <w:szCs w:val="22"/>
          <w:lang w:eastAsia="en-US"/>
        </w:rPr>
        <w:t>; TEAE = Treatment-emergent adverse events.</w:t>
      </w:r>
    </w:p>
    <w:p w14:paraId="415E85BA" w14:textId="77777777" w:rsidR="0061175D" w:rsidRPr="00980F07" w:rsidRDefault="0061175D" w:rsidP="00EA5F27">
      <w:pPr>
        <w:keepNext/>
        <w:rPr>
          <w:rFonts w:ascii="Arial Narrow" w:hAnsi="Arial Narrow"/>
          <w:iCs/>
          <w:snapToGrid w:val="0"/>
          <w:sz w:val="18"/>
          <w:szCs w:val="22"/>
          <w:lang w:eastAsia="en-US"/>
        </w:rPr>
      </w:pPr>
      <w:r w:rsidRPr="00980F07">
        <w:rPr>
          <w:rFonts w:ascii="Arial Narrow" w:hAnsi="Arial Narrow"/>
          <w:iCs/>
          <w:snapToGrid w:val="0"/>
          <w:sz w:val="18"/>
          <w:szCs w:val="22"/>
          <w:lang w:eastAsia="en-US"/>
        </w:rPr>
        <w:t>Notes: Included data up to 28 days after last dose of study.</w:t>
      </w:r>
    </w:p>
    <w:p w14:paraId="623D18B8" w14:textId="77777777" w:rsidR="0061175D" w:rsidRPr="00980F07" w:rsidRDefault="0061175D" w:rsidP="00EA5F27">
      <w:pPr>
        <w:keepNext/>
        <w:rPr>
          <w:rFonts w:ascii="Arial Narrow" w:hAnsi="Arial Narrow"/>
          <w:iCs/>
          <w:snapToGrid w:val="0"/>
          <w:sz w:val="18"/>
          <w:szCs w:val="22"/>
          <w:lang w:eastAsia="en-US"/>
        </w:rPr>
      </w:pPr>
      <w:r w:rsidRPr="00980F07">
        <w:rPr>
          <w:rFonts w:ascii="Arial Narrow" w:hAnsi="Arial Narrow"/>
          <w:iCs/>
          <w:snapToGrid w:val="0"/>
          <w:sz w:val="18"/>
          <w:szCs w:val="22"/>
          <w:lang w:eastAsia="en-US"/>
        </w:rPr>
        <w:t>Except for the number of adverse events subjects were counted only once per treatment in each row.</w:t>
      </w:r>
    </w:p>
    <w:p w14:paraId="5CEA371D" w14:textId="77777777" w:rsidR="0061175D" w:rsidRPr="00980F07" w:rsidRDefault="0061175D" w:rsidP="00EA5F27">
      <w:pPr>
        <w:keepNext/>
        <w:rPr>
          <w:rFonts w:ascii="Arial Narrow" w:hAnsi="Arial Narrow"/>
          <w:iCs/>
          <w:snapToGrid w:val="0"/>
          <w:sz w:val="18"/>
          <w:szCs w:val="22"/>
          <w:lang w:eastAsia="en-US"/>
        </w:rPr>
      </w:pPr>
      <w:r w:rsidRPr="00980F07">
        <w:rPr>
          <w:rFonts w:ascii="Arial Narrow" w:hAnsi="Arial Narrow"/>
          <w:iCs/>
          <w:snapToGrid w:val="0"/>
          <w:sz w:val="18"/>
          <w:szCs w:val="22"/>
          <w:lang w:eastAsia="en-US"/>
        </w:rPr>
        <w:t>MedDRA v22.1 (JADE COMPARE) and MedDRA v24.0 (JADE DARE) coding dictionary applied.</w:t>
      </w:r>
    </w:p>
    <w:p w14:paraId="20513F6F" w14:textId="77777777" w:rsidR="0061175D" w:rsidRPr="00980F07" w:rsidRDefault="0061175D" w:rsidP="00EA5F27">
      <w:pPr>
        <w:keepNext/>
        <w:rPr>
          <w:rFonts w:ascii="Arial Narrow" w:hAnsi="Arial Narrow"/>
          <w:iCs/>
          <w:snapToGrid w:val="0"/>
          <w:sz w:val="18"/>
          <w:szCs w:val="22"/>
          <w:lang w:eastAsia="en-US"/>
        </w:rPr>
      </w:pPr>
      <w:r w:rsidRPr="00980F07">
        <w:rPr>
          <w:rFonts w:ascii="Arial Narrow" w:hAnsi="Arial Narrow"/>
          <w:iCs/>
          <w:snapToGrid w:val="0"/>
          <w:sz w:val="18"/>
          <w:szCs w:val="22"/>
          <w:vertAlign w:val="superscript"/>
          <w:lang w:eastAsia="en-US"/>
        </w:rPr>
        <w:t xml:space="preserve">a </w:t>
      </w:r>
      <w:r w:rsidRPr="00980F07">
        <w:rPr>
          <w:rFonts w:ascii="Arial Narrow" w:hAnsi="Arial Narrow"/>
          <w:iCs/>
          <w:snapToGrid w:val="0"/>
          <w:sz w:val="18"/>
          <w:szCs w:val="22"/>
          <w:lang w:eastAsia="en-US"/>
        </w:rPr>
        <w:t>Subjects who had an AE record that indicated that the AE caused the subject to be discontinued from the study. Three subjects (13089008, 13469002, 12479010) had an AE that started before Week 16 and discontinued due to that AE after Week 16. Those AEs were also included in this table.</w:t>
      </w:r>
    </w:p>
    <w:p w14:paraId="2EFABCE6" w14:textId="0A3E6DB3" w:rsidR="0061175D" w:rsidRPr="009A5A91" w:rsidRDefault="0061175D" w:rsidP="0091041C">
      <w:pPr>
        <w:keepNext/>
        <w:spacing w:after="120"/>
        <w:rPr>
          <w:snapToGrid w:val="0"/>
          <w:lang w:eastAsia="en-US"/>
        </w:rPr>
      </w:pPr>
      <w:r w:rsidRPr="00980F07">
        <w:rPr>
          <w:rFonts w:ascii="Arial Narrow" w:hAnsi="Arial Narrow"/>
          <w:iCs/>
          <w:snapToGrid w:val="0"/>
          <w:sz w:val="18"/>
          <w:szCs w:val="22"/>
          <w:vertAlign w:val="superscript"/>
          <w:lang w:eastAsia="en-US"/>
        </w:rPr>
        <w:t xml:space="preserve">b </w:t>
      </w:r>
      <w:r w:rsidRPr="00980F07">
        <w:rPr>
          <w:rFonts w:ascii="Arial Narrow" w:hAnsi="Arial Narrow"/>
          <w:iCs/>
          <w:snapToGrid w:val="0"/>
          <w:sz w:val="18"/>
          <w:szCs w:val="22"/>
          <w:lang w:eastAsia="en-US"/>
        </w:rPr>
        <w:t>Subjects who had an AE record that indicated that action taken with study treatment was drug withdrawn but AE did not cause the subject to be discontinued from study</w:t>
      </w:r>
    </w:p>
    <w:p w14:paraId="642D9F57" w14:textId="77777777" w:rsidR="0061175D" w:rsidRPr="009A5A91" w:rsidRDefault="0061175D" w:rsidP="0091041C">
      <w:pPr>
        <w:numPr>
          <w:ilvl w:val="1"/>
          <w:numId w:val="6"/>
        </w:numPr>
        <w:spacing w:after="120"/>
        <w:rPr>
          <w:rFonts w:eastAsiaTheme="minorHAnsi" w:cstheme="minorBidi"/>
          <w:szCs w:val="22"/>
        </w:rPr>
      </w:pPr>
      <w:r w:rsidRPr="009A5A91">
        <w:rPr>
          <w:rFonts w:eastAsiaTheme="minorHAnsi" w:cstheme="minorBidi"/>
          <w:szCs w:val="22"/>
        </w:rPr>
        <w:t>The number of TEAEs and the number of participants with TEAEs were higher in the ABRO 20</w:t>
      </w:r>
      <w:r>
        <w:rPr>
          <w:rFonts w:eastAsiaTheme="minorHAnsi" w:cstheme="minorBidi"/>
          <w:szCs w:val="22"/>
        </w:rPr>
        <w:t>0 mg</w:t>
      </w:r>
      <w:r w:rsidRPr="009A5A91">
        <w:rPr>
          <w:rFonts w:eastAsiaTheme="minorHAnsi" w:cstheme="minorBidi"/>
          <w:szCs w:val="22"/>
        </w:rPr>
        <w:t xml:space="preserve"> arm compared with the DUPI </w:t>
      </w:r>
      <w:r>
        <w:rPr>
          <w:rFonts w:eastAsiaTheme="minorHAnsi" w:cstheme="minorBidi"/>
          <w:szCs w:val="22"/>
        </w:rPr>
        <w:t xml:space="preserve">300 mg </w:t>
      </w:r>
      <w:r w:rsidRPr="009A5A91">
        <w:rPr>
          <w:rFonts w:eastAsiaTheme="minorHAnsi" w:cstheme="minorBidi"/>
          <w:szCs w:val="22"/>
        </w:rPr>
        <w:t xml:space="preserve">arm in both studies although most TEAEs were </w:t>
      </w:r>
      <w:r>
        <w:rPr>
          <w:rFonts w:eastAsiaTheme="minorHAnsi" w:cstheme="minorBidi"/>
          <w:szCs w:val="22"/>
        </w:rPr>
        <w:t xml:space="preserve">reported as </w:t>
      </w:r>
      <w:r w:rsidRPr="009A5A91">
        <w:rPr>
          <w:rFonts w:eastAsiaTheme="minorHAnsi" w:cstheme="minorBidi"/>
          <w:szCs w:val="22"/>
        </w:rPr>
        <w:t xml:space="preserve">mild or moderate in severity. The proportion of participants with </w:t>
      </w:r>
      <w:r>
        <w:rPr>
          <w:rFonts w:eastAsiaTheme="minorHAnsi" w:cstheme="minorBidi"/>
          <w:szCs w:val="22"/>
        </w:rPr>
        <w:t>serious adverse events (</w:t>
      </w:r>
      <w:r w:rsidRPr="009A5A91">
        <w:rPr>
          <w:rFonts w:eastAsiaTheme="minorHAnsi" w:cstheme="minorBidi"/>
          <w:szCs w:val="22"/>
        </w:rPr>
        <w:t>SAEs</w:t>
      </w:r>
      <w:r>
        <w:rPr>
          <w:rFonts w:eastAsiaTheme="minorHAnsi" w:cstheme="minorBidi"/>
          <w:szCs w:val="22"/>
        </w:rPr>
        <w:t>)</w:t>
      </w:r>
      <w:r w:rsidRPr="009A5A91">
        <w:rPr>
          <w:rFonts w:eastAsiaTheme="minorHAnsi" w:cstheme="minorBidi"/>
          <w:szCs w:val="22"/>
        </w:rPr>
        <w:t xml:space="preserve">, severe TEAEs, and TEAEs leading to study discontinuation or treatment discontinuation </w:t>
      </w:r>
      <w:r w:rsidRPr="00980F07">
        <w:rPr>
          <w:rFonts w:eastAsiaTheme="minorHAnsi" w:cstheme="minorBidi"/>
          <w:szCs w:val="22"/>
        </w:rPr>
        <w:t>was low and similar</w:t>
      </w:r>
      <w:r w:rsidRPr="009A5A91">
        <w:rPr>
          <w:rFonts w:eastAsiaTheme="minorHAnsi" w:cstheme="minorBidi"/>
          <w:szCs w:val="22"/>
        </w:rPr>
        <w:t xml:space="preserve"> across study arms. </w:t>
      </w:r>
    </w:p>
    <w:p w14:paraId="67EDA506" w14:textId="4954E7C9" w:rsidR="004F2A70" w:rsidRPr="00D2039C" w:rsidRDefault="0061175D" w:rsidP="00D2039C">
      <w:pPr>
        <w:numPr>
          <w:ilvl w:val="1"/>
          <w:numId w:val="6"/>
        </w:numPr>
        <w:spacing w:after="120"/>
        <w:rPr>
          <w:rFonts w:eastAsiaTheme="minorHAnsi" w:cstheme="minorBidi"/>
          <w:szCs w:val="22"/>
        </w:rPr>
      </w:pPr>
      <w:r w:rsidRPr="009A5A91">
        <w:rPr>
          <w:rFonts w:eastAsiaTheme="minorHAnsi" w:cstheme="minorBidi"/>
          <w:szCs w:val="22"/>
        </w:rPr>
        <w:t>No deaths were reported in JADE COMPARE</w:t>
      </w:r>
      <w:r>
        <w:rPr>
          <w:rFonts w:eastAsiaTheme="minorHAnsi" w:cstheme="minorBidi"/>
          <w:szCs w:val="22"/>
        </w:rPr>
        <w:t xml:space="preserve"> during the study period</w:t>
      </w:r>
      <w:r w:rsidRPr="009A5A91">
        <w:rPr>
          <w:rFonts w:eastAsiaTheme="minorHAnsi" w:cstheme="minorBidi"/>
          <w:szCs w:val="22"/>
        </w:rPr>
        <w:t>. Two (0.6%) deaths occurred in the ABRO 20</w:t>
      </w:r>
      <w:r>
        <w:rPr>
          <w:rFonts w:eastAsiaTheme="minorHAnsi" w:cstheme="minorBidi"/>
          <w:szCs w:val="22"/>
        </w:rPr>
        <w:t>0 mg</w:t>
      </w:r>
      <w:r w:rsidRPr="009A5A91">
        <w:rPr>
          <w:rFonts w:eastAsiaTheme="minorHAnsi" w:cstheme="minorBidi"/>
          <w:szCs w:val="22"/>
        </w:rPr>
        <w:t xml:space="preserve"> </w:t>
      </w:r>
      <w:r>
        <w:rPr>
          <w:rFonts w:eastAsiaTheme="minorHAnsi" w:cstheme="minorBidi"/>
          <w:szCs w:val="22"/>
        </w:rPr>
        <w:t xml:space="preserve">QD </w:t>
      </w:r>
      <w:r w:rsidRPr="009A5A91">
        <w:rPr>
          <w:rFonts w:eastAsiaTheme="minorHAnsi" w:cstheme="minorBidi"/>
          <w:szCs w:val="22"/>
        </w:rPr>
        <w:t xml:space="preserve">arm of JADE DARE (COVID-19 infection; </w:t>
      </w:r>
      <w:r w:rsidRPr="009A5A91">
        <w:rPr>
          <w:rFonts w:eastAsiaTheme="minorHAnsi" w:cstheme="minorBidi"/>
          <w:szCs w:val="22"/>
        </w:rPr>
        <w:lastRenderedPageBreak/>
        <w:t>cardio-respiratory arrest and intracranial haemorrhage)</w:t>
      </w:r>
      <w:r>
        <w:rPr>
          <w:rFonts w:eastAsiaTheme="minorHAnsi" w:cstheme="minorBidi"/>
          <w:szCs w:val="22"/>
        </w:rPr>
        <w:t>;</w:t>
      </w:r>
      <w:r w:rsidRPr="009A5A91">
        <w:rPr>
          <w:rFonts w:eastAsiaTheme="minorHAnsi" w:cstheme="minorBidi"/>
          <w:szCs w:val="22"/>
        </w:rPr>
        <w:t xml:space="preserve"> but neither death was considered treatment-related.</w:t>
      </w:r>
      <w:r w:rsidR="00F03520" w:rsidRPr="00D2039C">
        <w:rPr>
          <w:rFonts w:eastAsiaTheme="minorHAnsi" w:cstheme="minorHAnsi"/>
          <w:b/>
          <w:bCs/>
          <w:sz w:val="20"/>
          <w:szCs w:val="18"/>
        </w:rPr>
        <w:fldChar w:fldCharType="begin" w:fldLock="1"/>
      </w:r>
      <w:r w:rsidR="00F03520" w:rsidRPr="00D2039C">
        <w:rPr>
          <w:rFonts w:eastAsiaTheme="minorHAnsi" w:cstheme="minorHAnsi"/>
        </w:rPr>
        <w:instrText xml:space="preserve"> REF _Ref177404602 \h </w:instrText>
      </w:r>
      <w:r w:rsidR="00005A76" w:rsidRPr="00D2039C">
        <w:rPr>
          <w:rFonts w:eastAsiaTheme="minorHAnsi" w:cstheme="minorHAnsi"/>
        </w:rPr>
        <w:instrText xml:space="preserve"> \* MERGEFORMAT </w:instrText>
      </w:r>
      <w:r w:rsidR="00F03520" w:rsidRPr="00513E34">
        <w:rPr>
          <w:rFonts w:eastAsiaTheme="minorHAnsi"/>
        </w:rPr>
      </w:r>
      <w:r w:rsidR="00F03520" w:rsidRPr="00D2039C">
        <w:rPr>
          <w:rFonts w:eastAsiaTheme="minorHAnsi" w:cstheme="minorHAnsi"/>
          <w:b/>
          <w:bCs/>
          <w:sz w:val="20"/>
          <w:szCs w:val="18"/>
        </w:rPr>
        <w:fldChar w:fldCharType="separate"/>
      </w:r>
    </w:p>
    <w:p w14:paraId="5B9540FB" w14:textId="7440DD3C" w:rsidR="00F03520" w:rsidRPr="00EA5F27" w:rsidRDefault="00A77763" w:rsidP="0091041C">
      <w:pPr>
        <w:numPr>
          <w:ilvl w:val="1"/>
          <w:numId w:val="6"/>
        </w:numPr>
        <w:spacing w:after="120"/>
        <w:rPr>
          <w:rFonts w:eastAsiaTheme="minorHAnsi" w:cstheme="minorBidi"/>
          <w:szCs w:val="22"/>
          <w:lang w:eastAsia="en-US"/>
        </w:rPr>
      </w:pPr>
      <w:r w:rsidRPr="00513E34">
        <w:rPr>
          <w:rFonts w:cstheme="minorHAnsi"/>
        </w:rPr>
        <w:t xml:space="preserve">A summary of treatment-related TEAEs in both studies by System Organ Class and Preferred Term are presented in </w:t>
      </w:r>
      <w:r w:rsidR="004F2A70" w:rsidRPr="00513E34">
        <w:rPr>
          <w:rFonts w:cstheme="minorHAnsi"/>
        </w:rPr>
        <w:t xml:space="preserve">Table </w:t>
      </w:r>
      <w:r w:rsidR="004F2A70" w:rsidRPr="00513E34">
        <w:rPr>
          <w:rFonts w:cstheme="minorHAnsi"/>
          <w:noProof/>
        </w:rPr>
        <w:t>7</w:t>
      </w:r>
      <w:r w:rsidR="00F03520" w:rsidRPr="00513E34">
        <w:rPr>
          <w:rFonts w:eastAsiaTheme="minorHAnsi" w:cstheme="minorHAnsi"/>
        </w:rPr>
        <w:fldChar w:fldCharType="end"/>
      </w:r>
      <w:r w:rsidR="00F03520" w:rsidRPr="00513E34">
        <w:rPr>
          <w:rFonts w:eastAsiaTheme="minorHAnsi" w:cstheme="minorHAnsi"/>
        </w:rPr>
        <w:t xml:space="preserve"> and </w:t>
      </w:r>
      <w:r w:rsidR="00F03520" w:rsidRPr="00513E34">
        <w:rPr>
          <w:rFonts w:eastAsiaTheme="minorHAnsi" w:cstheme="minorHAnsi"/>
        </w:rPr>
        <w:fldChar w:fldCharType="begin" w:fldLock="1"/>
      </w:r>
      <w:r w:rsidR="00F03520" w:rsidRPr="00513E34">
        <w:rPr>
          <w:rFonts w:eastAsiaTheme="minorHAnsi" w:cstheme="minorHAnsi"/>
        </w:rPr>
        <w:instrText xml:space="preserve"> REF _Ref177404607 \h </w:instrText>
      </w:r>
      <w:r w:rsidR="00F03520" w:rsidRPr="00513E34">
        <w:rPr>
          <w:rFonts w:eastAsiaTheme="minorHAnsi" w:cstheme="minorHAnsi"/>
        </w:rPr>
      </w:r>
      <w:r w:rsidR="00F03520" w:rsidRPr="00513E34">
        <w:rPr>
          <w:rFonts w:eastAsiaTheme="minorHAnsi" w:cstheme="minorHAnsi"/>
        </w:rPr>
        <w:fldChar w:fldCharType="separate"/>
      </w:r>
      <w:r w:rsidR="004F2A70" w:rsidRPr="00513E34">
        <w:rPr>
          <w:rFonts w:cstheme="minorHAnsi"/>
        </w:rPr>
        <w:t xml:space="preserve">Table </w:t>
      </w:r>
      <w:r w:rsidR="004F2A70" w:rsidRPr="00513E34">
        <w:rPr>
          <w:rFonts w:cstheme="minorHAnsi"/>
          <w:noProof/>
        </w:rPr>
        <w:t>8</w:t>
      </w:r>
      <w:r w:rsidR="00F03520" w:rsidRPr="00513E34">
        <w:rPr>
          <w:rFonts w:eastAsiaTheme="minorHAnsi" w:cstheme="minorHAnsi"/>
        </w:rPr>
        <w:fldChar w:fldCharType="end"/>
      </w:r>
      <w:r w:rsidR="0061175D" w:rsidRPr="00005A76">
        <w:rPr>
          <w:rFonts w:eastAsiaTheme="minorHAnsi" w:cstheme="minorHAnsi"/>
          <w:szCs w:val="22"/>
          <w:lang w:eastAsia="en-US"/>
        </w:rPr>
        <w:t>. The</w:t>
      </w:r>
      <w:r w:rsidR="0061175D" w:rsidRPr="00CA6728">
        <w:rPr>
          <w:rFonts w:eastAsiaTheme="minorHAnsi" w:cstheme="minorBidi"/>
          <w:szCs w:val="22"/>
          <w:lang w:eastAsia="en-US"/>
        </w:rPr>
        <w:t xml:space="preserve"> incidence of treatment-related TEAEs was higher in the ABRO 20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arm (29.6%) than in the ABRO 10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arm (19.7%) and the DUPI 30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arm (16.9%) in JADE COMPARE; the same trend was observed for ABRO 20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w:t>
      </w:r>
      <w:r w:rsidR="0061175D" w:rsidRPr="0052714A">
        <w:rPr>
          <w:rFonts w:eastAsiaTheme="minorHAnsi" w:cstheme="minorBidi"/>
          <w:szCs w:val="22"/>
          <w:lang w:eastAsia="en-US"/>
        </w:rPr>
        <w:t>versus</w:t>
      </w:r>
      <w:r w:rsidR="0061175D" w:rsidRPr="005E5631">
        <w:rPr>
          <w:rFonts w:eastAsiaTheme="minorHAnsi" w:cstheme="minorBidi"/>
          <w:szCs w:val="22"/>
          <w:lang w:eastAsia="en-US"/>
        </w:rPr>
        <w:t xml:space="preserve"> </w:t>
      </w:r>
      <w:r w:rsidR="0061175D" w:rsidRPr="00CA6728">
        <w:rPr>
          <w:rFonts w:eastAsiaTheme="minorHAnsi" w:cstheme="minorBidi"/>
          <w:szCs w:val="22"/>
          <w:lang w:eastAsia="en-US"/>
        </w:rPr>
        <w:t>DUPI 30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in JADE DARE (34.5% vs. 15.6%). The incidence of conjunctivitis was higher in the DUPI 30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arm</w:t>
      </w:r>
      <w:r w:rsidR="0061175D">
        <w:rPr>
          <w:rFonts w:eastAsiaTheme="minorHAnsi" w:cstheme="minorBidi"/>
          <w:szCs w:val="22"/>
          <w:lang w:eastAsia="en-US"/>
        </w:rPr>
        <w:t>;</w:t>
      </w:r>
      <w:r w:rsidR="0061175D" w:rsidRPr="00CA6728">
        <w:rPr>
          <w:rFonts w:eastAsiaTheme="minorHAnsi" w:cstheme="minorBidi"/>
          <w:szCs w:val="22"/>
          <w:lang w:eastAsia="en-US"/>
        </w:rPr>
        <w:t xml:space="preserve"> and the incidence of nausea, acne, herpes simplex, herpes zoster and folliculitis were higher in the ABRO 20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arm. Overall, fewer treatment-related </w:t>
      </w:r>
      <w:r w:rsidR="0061175D">
        <w:rPr>
          <w:rFonts w:eastAsiaTheme="minorHAnsi" w:cstheme="minorBidi"/>
          <w:szCs w:val="22"/>
          <w:lang w:eastAsia="en-US"/>
        </w:rPr>
        <w:t>TE</w:t>
      </w:r>
      <w:r w:rsidR="0061175D" w:rsidRPr="00CA6728">
        <w:rPr>
          <w:rFonts w:eastAsiaTheme="minorHAnsi" w:cstheme="minorBidi"/>
          <w:szCs w:val="22"/>
          <w:lang w:eastAsia="en-US"/>
        </w:rPr>
        <w:t>AEs were observed in the ABRO 10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QD </w:t>
      </w:r>
      <w:r w:rsidR="0061175D" w:rsidRPr="0052714A">
        <w:rPr>
          <w:rFonts w:eastAsiaTheme="minorHAnsi" w:cstheme="minorBidi"/>
          <w:szCs w:val="22"/>
          <w:lang w:eastAsia="en-US"/>
        </w:rPr>
        <w:t>versus</w:t>
      </w:r>
      <w:r w:rsidR="0061175D" w:rsidRPr="00CA6728">
        <w:rPr>
          <w:rFonts w:eastAsiaTheme="minorHAnsi" w:cstheme="minorBidi"/>
          <w:szCs w:val="22"/>
          <w:lang w:eastAsia="en-US"/>
        </w:rPr>
        <w:t xml:space="preserve"> ABRO 20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QD arms of JADE COMPARE, except for nasopharyngitis (3.8% vs 1.8%). The incidence of treatment-related TEAEs was similar for ABRO 10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versus DUPI 30</w:t>
      </w:r>
      <w:r w:rsidR="0061175D">
        <w:rPr>
          <w:rFonts w:eastAsiaTheme="minorHAnsi" w:cstheme="minorBidi"/>
          <w:szCs w:val="22"/>
          <w:lang w:eastAsia="en-US"/>
        </w:rPr>
        <w:t>0 mg</w:t>
      </w:r>
      <w:r w:rsidR="0061175D" w:rsidRPr="00CA6728">
        <w:rPr>
          <w:rFonts w:eastAsiaTheme="minorHAnsi" w:cstheme="minorBidi"/>
          <w:szCs w:val="22"/>
          <w:lang w:eastAsia="en-US"/>
        </w:rPr>
        <w:t xml:space="preserve"> except for conjunctivitis</w:t>
      </w:r>
      <w:r w:rsidR="005E5631">
        <w:rPr>
          <w:rFonts w:eastAsiaTheme="minorHAnsi" w:cstheme="minorBidi"/>
          <w:szCs w:val="22"/>
          <w:lang w:eastAsia="en-US"/>
        </w:rPr>
        <w:t>,</w:t>
      </w:r>
      <w:r w:rsidR="0061175D" w:rsidRPr="00CA6728">
        <w:rPr>
          <w:rFonts w:eastAsiaTheme="minorHAnsi" w:cstheme="minorBidi"/>
          <w:szCs w:val="22"/>
          <w:lang w:eastAsia="en-US"/>
        </w:rPr>
        <w:t xml:space="preserve"> which is </w:t>
      </w:r>
      <w:r w:rsidR="0061175D">
        <w:rPr>
          <w:rFonts w:eastAsiaTheme="minorHAnsi" w:cstheme="minorBidi"/>
          <w:szCs w:val="22"/>
          <w:lang w:eastAsia="en-US"/>
        </w:rPr>
        <w:t xml:space="preserve">known to be </w:t>
      </w:r>
      <w:r w:rsidR="0061175D" w:rsidRPr="00CA6728">
        <w:rPr>
          <w:rFonts w:eastAsiaTheme="minorHAnsi" w:cstheme="minorBidi"/>
          <w:szCs w:val="22"/>
          <w:lang w:eastAsia="en-US"/>
        </w:rPr>
        <w:t>associated with DUPI treatment.</w:t>
      </w:r>
    </w:p>
    <w:p w14:paraId="6FDD3F61" w14:textId="774506F3" w:rsidR="00853AB0" w:rsidRDefault="00853AB0" w:rsidP="00D2039C">
      <w:pPr>
        <w:pStyle w:val="Caption"/>
      </w:pPr>
      <w:bookmarkStart w:id="56" w:name="_Ref177404602"/>
      <w:bookmarkStart w:id="57" w:name="_Hlk176741336"/>
      <w:r>
        <w:lastRenderedPageBreak/>
        <w:t xml:space="preserve">Table </w:t>
      </w:r>
      <w:r>
        <w:fldChar w:fldCharType="begin" w:fldLock="1"/>
      </w:r>
      <w:r>
        <w:instrText xml:space="preserve"> SEQ Table \* ARABIC </w:instrText>
      </w:r>
      <w:r>
        <w:fldChar w:fldCharType="separate"/>
      </w:r>
      <w:r w:rsidR="004F2A70">
        <w:rPr>
          <w:noProof/>
        </w:rPr>
        <w:t>7</w:t>
      </w:r>
      <w:r>
        <w:rPr>
          <w:noProof/>
        </w:rPr>
        <w:fldChar w:fldCharType="end"/>
      </w:r>
      <w:bookmarkEnd w:id="56"/>
      <w:r>
        <w:t xml:space="preserve">: </w:t>
      </w:r>
      <w:r w:rsidRPr="00BA4BEB">
        <w:t>Summary of treatment-related TEAEs (≥2%) from JADE COMPARE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1"/>
        <w:gridCol w:w="849"/>
        <w:gridCol w:w="853"/>
        <w:gridCol w:w="849"/>
        <w:gridCol w:w="851"/>
        <w:gridCol w:w="1702"/>
        <w:gridCol w:w="1791"/>
      </w:tblGrid>
      <w:tr w:rsidR="00853AB0" w:rsidRPr="00BA4BEB" w14:paraId="5AB68276" w14:textId="77777777" w:rsidTr="00D2039C">
        <w:trPr>
          <w:trHeight w:hRule="exact" w:val="227"/>
        </w:trPr>
        <w:tc>
          <w:tcPr>
            <w:tcW w:w="1176" w:type="pct"/>
            <w:vMerge w:val="restart"/>
            <w:shd w:val="clear" w:color="auto" w:fill="auto"/>
          </w:tcPr>
          <w:p w14:paraId="15D57104" w14:textId="77777777" w:rsidR="00853AB0" w:rsidRPr="00BA4BEB" w:rsidRDefault="00853AB0" w:rsidP="00D2039C">
            <w:pPr>
              <w:pStyle w:val="Tabletext"/>
              <w:keepNext/>
              <w:keepLines/>
              <w:rPr>
                <w:lang w:val="en-US"/>
              </w:rPr>
            </w:pPr>
          </w:p>
        </w:tc>
        <w:tc>
          <w:tcPr>
            <w:tcW w:w="1887" w:type="pct"/>
            <w:gridSpan w:val="4"/>
            <w:shd w:val="clear" w:color="auto" w:fill="auto"/>
            <w:vAlign w:val="center"/>
          </w:tcPr>
          <w:p w14:paraId="385D54D6" w14:textId="77777777" w:rsidR="00853AB0" w:rsidRPr="00BA4BEB" w:rsidRDefault="00853AB0" w:rsidP="00D2039C">
            <w:pPr>
              <w:pStyle w:val="Tabletext"/>
              <w:keepNext/>
              <w:keepLines/>
              <w:jc w:val="center"/>
              <w:rPr>
                <w:b/>
                <w:bCs/>
                <w:lang w:val="en-US"/>
              </w:rPr>
            </w:pPr>
            <w:r w:rsidRPr="00BA4BEB">
              <w:rPr>
                <w:b/>
                <w:bCs/>
                <w:lang w:val="en-US"/>
              </w:rPr>
              <w:t>JADE COMPARE</w:t>
            </w:r>
          </w:p>
        </w:tc>
        <w:tc>
          <w:tcPr>
            <w:tcW w:w="1937" w:type="pct"/>
            <w:gridSpan w:val="2"/>
            <w:vMerge w:val="restart"/>
            <w:shd w:val="clear" w:color="auto" w:fill="auto"/>
            <w:vAlign w:val="center"/>
          </w:tcPr>
          <w:p w14:paraId="6F8C59ED" w14:textId="77777777" w:rsidR="00853AB0" w:rsidRDefault="00853AB0" w:rsidP="00D2039C">
            <w:pPr>
              <w:pStyle w:val="Tabletext"/>
              <w:keepNext/>
              <w:keepLines/>
              <w:jc w:val="center"/>
              <w:rPr>
                <w:b/>
                <w:bCs/>
                <w:lang w:val="en-US"/>
              </w:rPr>
            </w:pPr>
            <w:r w:rsidRPr="00BA4BEB">
              <w:rPr>
                <w:b/>
                <w:bCs/>
                <w:lang w:val="en-US"/>
              </w:rPr>
              <w:t>R</w:t>
            </w:r>
            <w:r>
              <w:rPr>
                <w:b/>
                <w:bCs/>
                <w:lang w:val="en-US"/>
              </w:rPr>
              <w:t>R</w:t>
            </w:r>
          </w:p>
          <w:p w14:paraId="7662BE2C" w14:textId="77777777" w:rsidR="00853AB0" w:rsidRDefault="00853AB0" w:rsidP="00D2039C">
            <w:pPr>
              <w:pStyle w:val="Tabletext"/>
              <w:keepNext/>
              <w:keepLines/>
              <w:jc w:val="center"/>
              <w:rPr>
                <w:b/>
                <w:bCs/>
                <w:lang w:val="en-US"/>
              </w:rPr>
            </w:pPr>
            <w:r>
              <w:rPr>
                <w:b/>
                <w:bCs/>
                <w:lang w:val="en-US"/>
              </w:rPr>
              <w:t xml:space="preserve">ABRO </w:t>
            </w:r>
            <w:r w:rsidRPr="00BA4BEB">
              <w:rPr>
                <w:b/>
                <w:bCs/>
                <w:lang w:val="en-US"/>
              </w:rPr>
              <w:t>vs DUPI</w:t>
            </w:r>
          </w:p>
          <w:p w14:paraId="75C326DA" w14:textId="1E233211" w:rsidR="00853AB0" w:rsidRPr="00BA4BEB" w:rsidRDefault="00853AB0" w:rsidP="00D2039C">
            <w:pPr>
              <w:pStyle w:val="Tabletext"/>
              <w:keepNext/>
              <w:keepLines/>
              <w:jc w:val="center"/>
              <w:rPr>
                <w:b/>
                <w:bCs/>
                <w:lang w:val="en-US"/>
              </w:rPr>
            </w:pPr>
            <w:r>
              <w:rPr>
                <w:b/>
                <w:bCs/>
                <w:lang w:val="en-US"/>
              </w:rPr>
              <w:t>(95% CI)</w:t>
            </w:r>
          </w:p>
        </w:tc>
      </w:tr>
      <w:tr w:rsidR="00D546CB" w:rsidRPr="00BA4BEB" w14:paraId="362D203B" w14:textId="77777777" w:rsidTr="00347481">
        <w:trPr>
          <w:trHeight w:hRule="exact" w:val="1003"/>
        </w:trPr>
        <w:tc>
          <w:tcPr>
            <w:tcW w:w="1176" w:type="pct"/>
            <w:vMerge/>
            <w:shd w:val="clear" w:color="auto" w:fill="auto"/>
          </w:tcPr>
          <w:p w14:paraId="26B7E014" w14:textId="77777777" w:rsidR="00853AB0" w:rsidRPr="00BA4BEB" w:rsidRDefault="00853AB0" w:rsidP="00D2039C">
            <w:pPr>
              <w:pStyle w:val="Tabletext"/>
              <w:keepNext/>
              <w:keepLines/>
              <w:rPr>
                <w:lang w:val="en-US"/>
              </w:rPr>
            </w:pPr>
          </w:p>
        </w:tc>
        <w:tc>
          <w:tcPr>
            <w:tcW w:w="471" w:type="pct"/>
            <w:shd w:val="clear" w:color="auto" w:fill="auto"/>
            <w:vAlign w:val="center"/>
          </w:tcPr>
          <w:p w14:paraId="771C38BA" w14:textId="77777777" w:rsidR="00853AB0" w:rsidRPr="00BA4BEB" w:rsidRDefault="00853AB0" w:rsidP="00D2039C">
            <w:pPr>
              <w:pStyle w:val="Tabletext"/>
              <w:keepNext/>
              <w:keepLines/>
              <w:jc w:val="center"/>
              <w:rPr>
                <w:b/>
                <w:bCs/>
                <w:lang w:val="en-US"/>
              </w:rPr>
            </w:pPr>
            <w:r w:rsidRPr="00BA4BEB">
              <w:rPr>
                <w:b/>
                <w:bCs/>
                <w:lang w:val="en-US"/>
              </w:rPr>
              <w:t>PBO</w:t>
            </w:r>
          </w:p>
          <w:p w14:paraId="10B93321" w14:textId="77777777" w:rsidR="00853AB0" w:rsidRPr="00BA4BEB" w:rsidRDefault="00853AB0" w:rsidP="00D2039C">
            <w:pPr>
              <w:pStyle w:val="Tabletext"/>
              <w:keepNext/>
              <w:keepLines/>
              <w:jc w:val="center"/>
              <w:rPr>
                <w:b/>
                <w:bCs/>
                <w:lang w:val="en-US"/>
              </w:rPr>
            </w:pPr>
            <w:r w:rsidRPr="00BA4BEB">
              <w:rPr>
                <w:b/>
                <w:bCs/>
                <w:lang w:val="en-US"/>
              </w:rPr>
              <w:t>(N=131)</w:t>
            </w:r>
          </w:p>
        </w:tc>
        <w:tc>
          <w:tcPr>
            <w:tcW w:w="473" w:type="pct"/>
            <w:shd w:val="clear" w:color="auto" w:fill="auto"/>
            <w:vAlign w:val="center"/>
          </w:tcPr>
          <w:p w14:paraId="2BEB40B2" w14:textId="77777777" w:rsidR="00853AB0" w:rsidRPr="00BA4BEB" w:rsidRDefault="00853AB0" w:rsidP="00D2039C">
            <w:pPr>
              <w:pStyle w:val="Tabletext"/>
              <w:keepNext/>
              <w:keepLines/>
              <w:jc w:val="center"/>
              <w:rPr>
                <w:b/>
                <w:bCs/>
                <w:lang w:val="en-US"/>
              </w:rPr>
            </w:pPr>
            <w:r w:rsidRPr="00BA4BEB">
              <w:rPr>
                <w:b/>
                <w:bCs/>
                <w:lang w:val="en-US"/>
              </w:rPr>
              <w:t>ABRO</w:t>
            </w:r>
          </w:p>
          <w:p w14:paraId="7B1DBFFB" w14:textId="77777777" w:rsidR="00853AB0" w:rsidRPr="00BA4BEB" w:rsidRDefault="00853AB0" w:rsidP="00D2039C">
            <w:pPr>
              <w:pStyle w:val="Tabletext"/>
              <w:keepNext/>
              <w:keepLines/>
              <w:jc w:val="center"/>
              <w:rPr>
                <w:b/>
                <w:bCs/>
                <w:lang w:val="en-US"/>
              </w:rPr>
            </w:pPr>
            <w:r w:rsidRPr="00BA4BEB">
              <w:rPr>
                <w:b/>
                <w:bCs/>
                <w:lang w:val="en-US"/>
              </w:rPr>
              <w:t>100 mg QD</w:t>
            </w:r>
          </w:p>
          <w:p w14:paraId="3F5AFFC9" w14:textId="77777777" w:rsidR="00853AB0" w:rsidRPr="00BA4BEB" w:rsidRDefault="00853AB0" w:rsidP="00D2039C">
            <w:pPr>
              <w:pStyle w:val="Tabletext"/>
              <w:keepNext/>
              <w:keepLines/>
              <w:jc w:val="center"/>
              <w:rPr>
                <w:b/>
                <w:bCs/>
                <w:lang w:val="en-US"/>
              </w:rPr>
            </w:pPr>
            <w:r w:rsidRPr="00BA4BEB">
              <w:rPr>
                <w:b/>
                <w:bCs/>
                <w:lang w:val="en-US"/>
              </w:rPr>
              <w:t>(N=238)</w:t>
            </w:r>
          </w:p>
        </w:tc>
        <w:tc>
          <w:tcPr>
            <w:tcW w:w="471" w:type="pct"/>
            <w:shd w:val="clear" w:color="auto" w:fill="auto"/>
            <w:vAlign w:val="center"/>
          </w:tcPr>
          <w:p w14:paraId="2113A8C0" w14:textId="77777777" w:rsidR="00853AB0" w:rsidRPr="00BA4BEB" w:rsidRDefault="00853AB0" w:rsidP="00D2039C">
            <w:pPr>
              <w:pStyle w:val="Tabletext"/>
              <w:keepNext/>
              <w:keepLines/>
              <w:jc w:val="center"/>
              <w:rPr>
                <w:b/>
                <w:bCs/>
                <w:lang w:val="en-US"/>
              </w:rPr>
            </w:pPr>
            <w:r w:rsidRPr="00BA4BEB">
              <w:rPr>
                <w:b/>
                <w:bCs/>
                <w:lang w:val="en-US"/>
              </w:rPr>
              <w:t>ABRO</w:t>
            </w:r>
          </w:p>
          <w:p w14:paraId="0A3D825A" w14:textId="77777777" w:rsidR="00853AB0" w:rsidRPr="00BA4BEB" w:rsidRDefault="00853AB0" w:rsidP="00D2039C">
            <w:pPr>
              <w:pStyle w:val="Tabletext"/>
              <w:keepNext/>
              <w:keepLines/>
              <w:jc w:val="center"/>
              <w:rPr>
                <w:b/>
                <w:bCs/>
                <w:lang w:val="en-US"/>
              </w:rPr>
            </w:pPr>
            <w:r w:rsidRPr="00BA4BEB">
              <w:rPr>
                <w:b/>
                <w:bCs/>
                <w:lang w:val="en-US"/>
              </w:rPr>
              <w:t>200 mg QD</w:t>
            </w:r>
          </w:p>
          <w:p w14:paraId="74BE7DCD" w14:textId="77777777" w:rsidR="00853AB0" w:rsidRPr="00BA4BEB" w:rsidRDefault="00853AB0" w:rsidP="00D2039C">
            <w:pPr>
              <w:pStyle w:val="Tabletext"/>
              <w:keepNext/>
              <w:keepLines/>
              <w:jc w:val="center"/>
              <w:rPr>
                <w:b/>
                <w:bCs/>
                <w:lang w:val="en-US"/>
              </w:rPr>
            </w:pPr>
            <w:r w:rsidRPr="00BA4BEB">
              <w:rPr>
                <w:b/>
                <w:bCs/>
                <w:lang w:val="en-US"/>
              </w:rPr>
              <w:t>(N=226)</w:t>
            </w:r>
          </w:p>
        </w:tc>
        <w:tc>
          <w:tcPr>
            <w:tcW w:w="472" w:type="pct"/>
            <w:shd w:val="clear" w:color="auto" w:fill="auto"/>
            <w:vAlign w:val="center"/>
          </w:tcPr>
          <w:p w14:paraId="4AED09C6" w14:textId="77777777" w:rsidR="00853AB0" w:rsidRPr="00BA4BEB" w:rsidRDefault="00853AB0" w:rsidP="00D2039C">
            <w:pPr>
              <w:pStyle w:val="Tabletext"/>
              <w:keepNext/>
              <w:keepLines/>
              <w:jc w:val="center"/>
              <w:rPr>
                <w:b/>
                <w:bCs/>
                <w:lang w:val="en-US"/>
              </w:rPr>
            </w:pPr>
            <w:r w:rsidRPr="00BA4BEB">
              <w:rPr>
                <w:b/>
                <w:bCs/>
                <w:lang w:val="en-US"/>
              </w:rPr>
              <w:t>DUPI</w:t>
            </w:r>
          </w:p>
          <w:p w14:paraId="029CC4C7" w14:textId="77777777" w:rsidR="00853AB0" w:rsidRPr="00BA4BEB" w:rsidRDefault="00853AB0" w:rsidP="00D2039C">
            <w:pPr>
              <w:pStyle w:val="Tabletext"/>
              <w:keepNext/>
              <w:keepLines/>
              <w:jc w:val="center"/>
              <w:rPr>
                <w:b/>
                <w:bCs/>
                <w:lang w:val="en-US"/>
              </w:rPr>
            </w:pPr>
            <w:r w:rsidRPr="00BA4BEB">
              <w:rPr>
                <w:b/>
                <w:bCs/>
                <w:lang w:val="en-US"/>
              </w:rPr>
              <w:t>300 mg Q2W</w:t>
            </w:r>
          </w:p>
          <w:p w14:paraId="5335C395" w14:textId="77777777" w:rsidR="00853AB0" w:rsidRPr="00BA4BEB" w:rsidRDefault="00853AB0" w:rsidP="00D2039C">
            <w:pPr>
              <w:pStyle w:val="Tabletext"/>
              <w:keepNext/>
              <w:keepLines/>
              <w:jc w:val="center"/>
              <w:rPr>
                <w:b/>
                <w:bCs/>
                <w:lang w:val="en-US"/>
              </w:rPr>
            </w:pPr>
            <w:r w:rsidRPr="00BA4BEB">
              <w:rPr>
                <w:b/>
                <w:bCs/>
                <w:lang w:val="en-US"/>
              </w:rPr>
              <w:t>(N=242)</w:t>
            </w:r>
          </w:p>
        </w:tc>
        <w:tc>
          <w:tcPr>
            <w:tcW w:w="1937" w:type="pct"/>
            <w:gridSpan w:val="2"/>
            <w:vMerge/>
            <w:shd w:val="clear" w:color="auto" w:fill="auto"/>
            <w:vAlign w:val="center"/>
          </w:tcPr>
          <w:p w14:paraId="509D1B4C" w14:textId="77777777" w:rsidR="00853AB0" w:rsidRPr="00BA4BEB" w:rsidRDefault="00853AB0" w:rsidP="00D2039C">
            <w:pPr>
              <w:pStyle w:val="Tabletext"/>
              <w:keepNext/>
              <w:keepLines/>
              <w:jc w:val="center"/>
              <w:rPr>
                <w:b/>
                <w:bCs/>
                <w:lang w:val="en-US"/>
              </w:rPr>
            </w:pPr>
          </w:p>
        </w:tc>
      </w:tr>
      <w:tr w:rsidR="00D546CB" w:rsidRPr="00BA4BEB" w14:paraId="51724E7D" w14:textId="77777777" w:rsidTr="00347481">
        <w:trPr>
          <w:trHeight w:hRule="exact" w:val="281"/>
        </w:trPr>
        <w:tc>
          <w:tcPr>
            <w:tcW w:w="1176" w:type="pct"/>
            <w:vMerge/>
            <w:shd w:val="clear" w:color="auto" w:fill="auto"/>
          </w:tcPr>
          <w:p w14:paraId="7C3A474E" w14:textId="77777777" w:rsidR="00853AB0" w:rsidRPr="00BA4BEB" w:rsidRDefault="00853AB0" w:rsidP="00D2039C">
            <w:pPr>
              <w:pStyle w:val="Tabletext"/>
              <w:keepNext/>
              <w:keepLines/>
              <w:rPr>
                <w:lang w:val="en-US"/>
              </w:rPr>
            </w:pPr>
          </w:p>
        </w:tc>
        <w:tc>
          <w:tcPr>
            <w:tcW w:w="471" w:type="pct"/>
            <w:shd w:val="clear" w:color="auto" w:fill="auto"/>
            <w:vAlign w:val="center"/>
          </w:tcPr>
          <w:p w14:paraId="62CE6D4D" w14:textId="77777777" w:rsidR="00853AB0" w:rsidRPr="00BA4BEB" w:rsidRDefault="00853AB0" w:rsidP="00D2039C">
            <w:pPr>
              <w:pStyle w:val="Tabletext"/>
              <w:keepNext/>
              <w:keepLines/>
              <w:jc w:val="center"/>
              <w:rPr>
                <w:b/>
                <w:bCs/>
                <w:lang w:val="en-US"/>
              </w:rPr>
            </w:pPr>
            <w:r w:rsidRPr="00BA4BEB">
              <w:rPr>
                <w:b/>
                <w:bCs/>
                <w:lang w:val="en-US"/>
              </w:rPr>
              <w:t>n (%)</w:t>
            </w:r>
          </w:p>
        </w:tc>
        <w:tc>
          <w:tcPr>
            <w:tcW w:w="473" w:type="pct"/>
            <w:shd w:val="clear" w:color="auto" w:fill="auto"/>
            <w:vAlign w:val="center"/>
          </w:tcPr>
          <w:p w14:paraId="24440774" w14:textId="77777777" w:rsidR="00853AB0" w:rsidRPr="00BA4BEB" w:rsidRDefault="00853AB0" w:rsidP="00D2039C">
            <w:pPr>
              <w:pStyle w:val="Tabletext"/>
              <w:keepNext/>
              <w:keepLines/>
              <w:jc w:val="center"/>
              <w:rPr>
                <w:b/>
                <w:bCs/>
                <w:lang w:val="en-US"/>
              </w:rPr>
            </w:pPr>
            <w:r w:rsidRPr="00BA4BEB">
              <w:rPr>
                <w:b/>
                <w:bCs/>
                <w:lang w:val="en-US"/>
              </w:rPr>
              <w:t>n (%)</w:t>
            </w:r>
          </w:p>
        </w:tc>
        <w:tc>
          <w:tcPr>
            <w:tcW w:w="471" w:type="pct"/>
            <w:shd w:val="clear" w:color="auto" w:fill="auto"/>
            <w:vAlign w:val="center"/>
          </w:tcPr>
          <w:p w14:paraId="60DEB6DE" w14:textId="77777777" w:rsidR="00853AB0" w:rsidRPr="00BA4BEB" w:rsidRDefault="00853AB0" w:rsidP="00D2039C">
            <w:pPr>
              <w:pStyle w:val="Tabletext"/>
              <w:keepNext/>
              <w:keepLines/>
              <w:jc w:val="center"/>
              <w:rPr>
                <w:b/>
                <w:bCs/>
                <w:lang w:val="en-US"/>
              </w:rPr>
            </w:pPr>
            <w:r w:rsidRPr="00BA4BEB">
              <w:rPr>
                <w:b/>
                <w:bCs/>
                <w:lang w:val="en-US"/>
              </w:rPr>
              <w:t>n (%)</w:t>
            </w:r>
          </w:p>
        </w:tc>
        <w:tc>
          <w:tcPr>
            <w:tcW w:w="472" w:type="pct"/>
            <w:shd w:val="clear" w:color="auto" w:fill="auto"/>
            <w:vAlign w:val="center"/>
          </w:tcPr>
          <w:p w14:paraId="5B1A58A9" w14:textId="77777777" w:rsidR="00853AB0" w:rsidRPr="00BA4BEB" w:rsidRDefault="00853AB0" w:rsidP="00D2039C">
            <w:pPr>
              <w:pStyle w:val="Tabletext"/>
              <w:keepNext/>
              <w:keepLines/>
              <w:jc w:val="center"/>
              <w:rPr>
                <w:b/>
                <w:bCs/>
                <w:lang w:val="en-US"/>
              </w:rPr>
            </w:pPr>
            <w:r w:rsidRPr="00BA4BEB">
              <w:rPr>
                <w:b/>
                <w:bCs/>
                <w:lang w:val="en-US"/>
              </w:rPr>
              <w:t>n (%)</w:t>
            </w:r>
          </w:p>
        </w:tc>
        <w:tc>
          <w:tcPr>
            <w:tcW w:w="944" w:type="pct"/>
            <w:shd w:val="clear" w:color="auto" w:fill="auto"/>
            <w:vAlign w:val="center"/>
          </w:tcPr>
          <w:p w14:paraId="45C4DAE8" w14:textId="34F4F280" w:rsidR="00853AB0" w:rsidRPr="00BA4BEB" w:rsidRDefault="00853AB0" w:rsidP="00D2039C">
            <w:pPr>
              <w:pStyle w:val="Tabletext"/>
              <w:keepNext/>
              <w:keepLines/>
              <w:jc w:val="center"/>
              <w:rPr>
                <w:b/>
                <w:bCs/>
                <w:lang w:val="en-US"/>
              </w:rPr>
            </w:pPr>
            <w:r w:rsidRPr="00BA4BEB">
              <w:rPr>
                <w:b/>
                <w:bCs/>
                <w:lang w:val="en-US"/>
              </w:rPr>
              <w:t>ABRO</w:t>
            </w:r>
            <w:r w:rsidR="00347481">
              <w:rPr>
                <w:b/>
                <w:bCs/>
                <w:lang w:val="en-US"/>
              </w:rPr>
              <w:t xml:space="preserve"> </w:t>
            </w:r>
            <w:r w:rsidRPr="00BA4BEB">
              <w:rPr>
                <w:b/>
                <w:bCs/>
                <w:lang w:val="en-US"/>
              </w:rPr>
              <w:t>100 mg</w:t>
            </w:r>
          </w:p>
        </w:tc>
        <w:tc>
          <w:tcPr>
            <w:tcW w:w="993" w:type="pct"/>
            <w:shd w:val="clear" w:color="auto" w:fill="auto"/>
            <w:vAlign w:val="center"/>
          </w:tcPr>
          <w:p w14:paraId="2C0EDE49" w14:textId="77777777" w:rsidR="00853AB0" w:rsidRPr="00BA4BEB" w:rsidRDefault="00853AB0" w:rsidP="00D2039C">
            <w:pPr>
              <w:pStyle w:val="Tabletext"/>
              <w:keepNext/>
              <w:keepLines/>
              <w:jc w:val="center"/>
              <w:rPr>
                <w:b/>
                <w:bCs/>
                <w:lang w:val="en-US"/>
              </w:rPr>
            </w:pPr>
            <w:r w:rsidRPr="00BA4BEB">
              <w:rPr>
                <w:b/>
                <w:bCs/>
                <w:lang w:val="en-US"/>
              </w:rPr>
              <w:t>ABRO 200 mg</w:t>
            </w:r>
          </w:p>
        </w:tc>
      </w:tr>
      <w:tr w:rsidR="00D546CB" w:rsidRPr="00BA4BEB" w14:paraId="5FDE3A97" w14:textId="77777777" w:rsidTr="00D546CB">
        <w:trPr>
          <w:trHeight w:val="20"/>
        </w:trPr>
        <w:tc>
          <w:tcPr>
            <w:tcW w:w="1176" w:type="pct"/>
            <w:vAlign w:val="center"/>
          </w:tcPr>
          <w:p w14:paraId="293A058D" w14:textId="77777777" w:rsidR="00853AB0" w:rsidRPr="00BA4BEB" w:rsidRDefault="00853AB0" w:rsidP="00D2039C">
            <w:pPr>
              <w:pStyle w:val="Tabletext"/>
              <w:keepNext/>
              <w:keepLines/>
            </w:pPr>
            <w:r w:rsidRPr="00BA4BEB">
              <w:t>With any adverse event</w:t>
            </w:r>
          </w:p>
        </w:tc>
        <w:tc>
          <w:tcPr>
            <w:tcW w:w="471" w:type="pct"/>
            <w:vAlign w:val="center"/>
          </w:tcPr>
          <w:p w14:paraId="31F3BA88" w14:textId="77777777" w:rsidR="00853AB0" w:rsidRPr="00BA4BEB" w:rsidRDefault="00853AB0" w:rsidP="00D2039C">
            <w:pPr>
              <w:pStyle w:val="Tabletext"/>
              <w:keepNext/>
              <w:keepLines/>
              <w:jc w:val="center"/>
            </w:pPr>
            <w:r w:rsidRPr="00BA4BEB">
              <w:t>22 (16.8)</w:t>
            </w:r>
          </w:p>
        </w:tc>
        <w:tc>
          <w:tcPr>
            <w:tcW w:w="473" w:type="pct"/>
            <w:vAlign w:val="center"/>
          </w:tcPr>
          <w:p w14:paraId="6E47B1BE" w14:textId="77777777" w:rsidR="00853AB0" w:rsidRPr="00BA4BEB" w:rsidRDefault="00853AB0" w:rsidP="00D2039C">
            <w:pPr>
              <w:pStyle w:val="Tabletext"/>
              <w:keepNext/>
              <w:keepLines/>
              <w:jc w:val="center"/>
            </w:pPr>
            <w:r w:rsidRPr="00BA4BEB">
              <w:t>47</w:t>
            </w:r>
            <w:r>
              <w:t xml:space="preserve"> </w:t>
            </w:r>
            <w:r w:rsidRPr="00BA4BEB">
              <w:t>(19.7)</w:t>
            </w:r>
          </w:p>
        </w:tc>
        <w:tc>
          <w:tcPr>
            <w:tcW w:w="471" w:type="pct"/>
            <w:vAlign w:val="center"/>
          </w:tcPr>
          <w:p w14:paraId="4F7ACB05" w14:textId="77777777" w:rsidR="00853AB0" w:rsidRPr="00BA4BEB" w:rsidRDefault="00853AB0" w:rsidP="00D2039C">
            <w:pPr>
              <w:pStyle w:val="Tabletext"/>
              <w:keepNext/>
              <w:keepLines/>
              <w:jc w:val="center"/>
            </w:pPr>
            <w:r w:rsidRPr="00BA4BEB">
              <w:t>67</w:t>
            </w:r>
            <w:r>
              <w:t xml:space="preserve"> </w:t>
            </w:r>
            <w:r w:rsidRPr="00BA4BEB">
              <w:t>(29.6)</w:t>
            </w:r>
          </w:p>
        </w:tc>
        <w:tc>
          <w:tcPr>
            <w:tcW w:w="472" w:type="pct"/>
            <w:vAlign w:val="center"/>
          </w:tcPr>
          <w:p w14:paraId="34CB688B" w14:textId="77777777" w:rsidR="00853AB0" w:rsidRPr="00BA4BEB" w:rsidRDefault="00853AB0" w:rsidP="00D2039C">
            <w:pPr>
              <w:pStyle w:val="Tabletext"/>
              <w:keepNext/>
              <w:keepLines/>
              <w:jc w:val="center"/>
            </w:pPr>
            <w:r w:rsidRPr="00BA4BEB">
              <w:t>41</w:t>
            </w:r>
            <w:r>
              <w:t xml:space="preserve"> </w:t>
            </w:r>
            <w:r w:rsidRPr="00BA4BEB">
              <w:t>(16.9)</w:t>
            </w:r>
          </w:p>
        </w:tc>
        <w:tc>
          <w:tcPr>
            <w:tcW w:w="944" w:type="pct"/>
            <w:vAlign w:val="center"/>
          </w:tcPr>
          <w:p w14:paraId="2998E19A" w14:textId="035E21C7" w:rsidR="00853AB0" w:rsidRPr="00BA4BEB" w:rsidRDefault="00853AB0" w:rsidP="00D2039C">
            <w:pPr>
              <w:pStyle w:val="Tabletext"/>
              <w:keepNext/>
              <w:keepLines/>
              <w:jc w:val="center"/>
            </w:pPr>
            <w:r w:rsidRPr="00BA4BEB">
              <w:t>1.17 (0.8, 1.7)</w:t>
            </w:r>
          </w:p>
        </w:tc>
        <w:tc>
          <w:tcPr>
            <w:tcW w:w="993" w:type="pct"/>
            <w:vAlign w:val="center"/>
          </w:tcPr>
          <w:p w14:paraId="313881F4" w14:textId="57EA0BBB" w:rsidR="00853AB0" w:rsidRPr="00BA4BEB" w:rsidRDefault="00853AB0" w:rsidP="00D2039C">
            <w:pPr>
              <w:pStyle w:val="Tabletext"/>
              <w:keepNext/>
              <w:keepLines/>
              <w:jc w:val="center"/>
            </w:pPr>
            <w:r w:rsidRPr="00BA4BEB">
              <w:t>1.66</w:t>
            </w:r>
            <w:r w:rsidR="00D546CB">
              <w:t xml:space="preserve"> </w:t>
            </w:r>
            <w:r w:rsidRPr="00BA4BEB">
              <w:t>(1.18, 2.35)</w:t>
            </w:r>
          </w:p>
        </w:tc>
      </w:tr>
      <w:tr w:rsidR="00D546CB" w:rsidRPr="00BA4BEB" w14:paraId="05D8DDA3" w14:textId="77777777" w:rsidTr="00D546CB">
        <w:trPr>
          <w:trHeight w:val="20"/>
        </w:trPr>
        <w:tc>
          <w:tcPr>
            <w:tcW w:w="1176" w:type="pct"/>
            <w:vAlign w:val="center"/>
          </w:tcPr>
          <w:p w14:paraId="6B7AA199" w14:textId="77777777" w:rsidR="00853AB0" w:rsidRPr="00BA4BEB" w:rsidRDefault="00853AB0" w:rsidP="00D2039C">
            <w:pPr>
              <w:pStyle w:val="Tabletext"/>
              <w:keepNext/>
              <w:keepLines/>
            </w:pPr>
            <w:r w:rsidRPr="00BA4BEB">
              <w:t>Gastrointestinal disorders</w:t>
            </w:r>
          </w:p>
        </w:tc>
        <w:tc>
          <w:tcPr>
            <w:tcW w:w="471" w:type="pct"/>
            <w:vAlign w:val="center"/>
          </w:tcPr>
          <w:p w14:paraId="5A965641" w14:textId="77777777" w:rsidR="00853AB0" w:rsidRPr="00BA4BEB" w:rsidRDefault="00853AB0" w:rsidP="00D2039C">
            <w:pPr>
              <w:pStyle w:val="Tabletext"/>
              <w:keepNext/>
              <w:keepLines/>
              <w:jc w:val="center"/>
            </w:pPr>
            <w:r w:rsidRPr="00BA4BEB">
              <w:t>5 (3.8)</w:t>
            </w:r>
          </w:p>
        </w:tc>
        <w:tc>
          <w:tcPr>
            <w:tcW w:w="473" w:type="pct"/>
            <w:vAlign w:val="center"/>
          </w:tcPr>
          <w:p w14:paraId="5477D633" w14:textId="77777777" w:rsidR="00853AB0" w:rsidRPr="00BA4BEB" w:rsidRDefault="00853AB0" w:rsidP="00D2039C">
            <w:pPr>
              <w:pStyle w:val="Tabletext"/>
              <w:keepNext/>
              <w:keepLines/>
              <w:jc w:val="center"/>
            </w:pPr>
            <w:r w:rsidRPr="00BA4BEB">
              <w:t>8</w:t>
            </w:r>
            <w:r>
              <w:t xml:space="preserve"> </w:t>
            </w:r>
            <w:r w:rsidRPr="00BA4BEB">
              <w:t>(3.4)</w:t>
            </w:r>
          </w:p>
        </w:tc>
        <w:tc>
          <w:tcPr>
            <w:tcW w:w="471" w:type="pct"/>
            <w:vAlign w:val="center"/>
          </w:tcPr>
          <w:p w14:paraId="14615386" w14:textId="77777777" w:rsidR="00853AB0" w:rsidRPr="00BA4BEB" w:rsidRDefault="00853AB0" w:rsidP="00D2039C">
            <w:pPr>
              <w:pStyle w:val="Tabletext"/>
              <w:keepNext/>
              <w:keepLines/>
              <w:jc w:val="center"/>
            </w:pPr>
            <w:r w:rsidRPr="00BA4BEB">
              <w:t>28</w:t>
            </w:r>
            <w:r>
              <w:t xml:space="preserve"> </w:t>
            </w:r>
            <w:r w:rsidRPr="00BA4BEB">
              <w:t>(12.4)</w:t>
            </w:r>
          </w:p>
        </w:tc>
        <w:tc>
          <w:tcPr>
            <w:tcW w:w="472" w:type="pct"/>
            <w:vAlign w:val="center"/>
          </w:tcPr>
          <w:p w14:paraId="74CDEBDB" w14:textId="77777777" w:rsidR="00853AB0" w:rsidRPr="00BA4BEB" w:rsidRDefault="00853AB0" w:rsidP="00D2039C">
            <w:pPr>
              <w:pStyle w:val="Tabletext"/>
              <w:keepNext/>
              <w:keepLines/>
              <w:jc w:val="center"/>
            </w:pPr>
            <w:r w:rsidRPr="00BA4BEB">
              <w:t>9</w:t>
            </w:r>
            <w:r>
              <w:t xml:space="preserve"> </w:t>
            </w:r>
            <w:r w:rsidRPr="00BA4BEB">
              <w:t>(3.7)</w:t>
            </w:r>
          </w:p>
        </w:tc>
        <w:tc>
          <w:tcPr>
            <w:tcW w:w="944" w:type="pct"/>
            <w:vAlign w:val="center"/>
          </w:tcPr>
          <w:p w14:paraId="57D3A83D" w14:textId="60D2CF8C" w:rsidR="00853AB0" w:rsidRPr="00BA4BEB" w:rsidRDefault="00853AB0" w:rsidP="00D2039C">
            <w:pPr>
              <w:pStyle w:val="Tabletext"/>
              <w:keepNext/>
              <w:keepLines/>
              <w:jc w:val="center"/>
            </w:pPr>
            <w:r w:rsidRPr="00BA4BEB">
              <w:t>0.9</w:t>
            </w:r>
            <w:r w:rsidR="00D546CB">
              <w:t xml:space="preserve"> </w:t>
            </w:r>
            <w:r>
              <w:t>(</w:t>
            </w:r>
            <w:r w:rsidRPr="00BA4BEB">
              <w:t>0.35, 2.3)</w:t>
            </w:r>
          </w:p>
        </w:tc>
        <w:tc>
          <w:tcPr>
            <w:tcW w:w="993" w:type="pct"/>
            <w:vAlign w:val="center"/>
          </w:tcPr>
          <w:p w14:paraId="499575E6" w14:textId="17964A95" w:rsidR="00853AB0" w:rsidRPr="00BA4BEB" w:rsidRDefault="00853AB0" w:rsidP="00D2039C">
            <w:pPr>
              <w:pStyle w:val="Tabletext"/>
              <w:keepNext/>
              <w:keepLines/>
              <w:jc w:val="center"/>
            </w:pPr>
            <w:r w:rsidRPr="00BA4BEB">
              <w:t>3.16</w:t>
            </w:r>
            <w:r w:rsidR="00D546CB">
              <w:t xml:space="preserve"> </w:t>
            </w:r>
            <w:r w:rsidRPr="00BA4BEB">
              <w:t>(1.53, 6.56)</w:t>
            </w:r>
          </w:p>
        </w:tc>
      </w:tr>
      <w:tr w:rsidR="00D546CB" w:rsidRPr="00BA4BEB" w14:paraId="73EDAF60" w14:textId="77777777" w:rsidTr="00D546CB">
        <w:trPr>
          <w:trHeight w:val="20"/>
        </w:trPr>
        <w:tc>
          <w:tcPr>
            <w:tcW w:w="1176" w:type="pct"/>
            <w:vAlign w:val="center"/>
          </w:tcPr>
          <w:p w14:paraId="6BBB6AF6" w14:textId="77777777" w:rsidR="00853AB0" w:rsidRPr="00BA4BEB" w:rsidRDefault="00853AB0" w:rsidP="00D2039C">
            <w:pPr>
              <w:pStyle w:val="Tabletext"/>
              <w:keepNext/>
              <w:keepLines/>
            </w:pPr>
            <w:r w:rsidRPr="00BA4BEB">
              <w:t xml:space="preserve">    Nausea</w:t>
            </w:r>
          </w:p>
        </w:tc>
        <w:tc>
          <w:tcPr>
            <w:tcW w:w="471" w:type="pct"/>
            <w:vAlign w:val="center"/>
          </w:tcPr>
          <w:p w14:paraId="10035AC7" w14:textId="77777777" w:rsidR="00853AB0" w:rsidRPr="00BA4BEB" w:rsidRDefault="00853AB0" w:rsidP="00D2039C">
            <w:pPr>
              <w:pStyle w:val="Tabletext"/>
              <w:keepNext/>
              <w:keepLines/>
              <w:jc w:val="center"/>
            </w:pPr>
            <w:r w:rsidRPr="00BA4BEB">
              <w:t>2 (1.5)</w:t>
            </w:r>
          </w:p>
        </w:tc>
        <w:tc>
          <w:tcPr>
            <w:tcW w:w="473" w:type="pct"/>
            <w:vAlign w:val="center"/>
          </w:tcPr>
          <w:p w14:paraId="6BBE3E0F" w14:textId="77777777" w:rsidR="00853AB0" w:rsidRPr="00BA4BEB" w:rsidRDefault="00853AB0" w:rsidP="00D2039C">
            <w:pPr>
              <w:pStyle w:val="Tabletext"/>
              <w:keepNext/>
              <w:keepLines/>
              <w:jc w:val="center"/>
            </w:pPr>
            <w:r w:rsidRPr="00BA4BEB">
              <w:t>5</w:t>
            </w:r>
            <w:r>
              <w:t xml:space="preserve"> </w:t>
            </w:r>
            <w:r w:rsidRPr="00BA4BEB">
              <w:t>(2.1)</w:t>
            </w:r>
          </w:p>
        </w:tc>
        <w:tc>
          <w:tcPr>
            <w:tcW w:w="471" w:type="pct"/>
            <w:vAlign w:val="center"/>
          </w:tcPr>
          <w:p w14:paraId="7C5FC75F" w14:textId="77777777" w:rsidR="00853AB0" w:rsidRPr="00BA4BEB" w:rsidRDefault="00853AB0" w:rsidP="00D2039C">
            <w:pPr>
              <w:pStyle w:val="Tabletext"/>
              <w:keepNext/>
              <w:keepLines/>
              <w:jc w:val="center"/>
            </w:pPr>
            <w:r w:rsidRPr="00BA4BEB">
              <w:t>23 (10.2)</w:t>
            </w:r>
          </w:p>
        </w:tc>
        <w:tc>
          <w:tcPr>
            <w:tcW w:w="472" w:type="pct"/>
            <w:vAlign w:val="center"/>
          </w:tcPr>
          <w:p w14:paraId="01708685" w14:textId="77777777" w:rsidR="00853AB0" w:rsidRPr="00BA4BEB" w:rsidRDefault="00853AB0" w:rsidP="00D2039C">
            <w:pPr>
              <w:pStyle w:val="Tabletext"/>
              <w:keepNext/>
              <w:keepLines/>
              <w:jc w:val="center"/>
            </w:pPr>
            <w:r w:rsidRPr="00BA4BEB">
              <w:t>5</w:t>
            </w:r>
            <w:r>
              <w:t xml:space="preserve"> </w:t>
            </w:r>
            <w:r w:rsidRPr="00BA4BEB">
              <w:t>(2.1)</w:t>
            </w:r>
          </w:p>
        </w:tc>
        <w:tc>
          <w:tcPr>
            <w:tcW w:w="944" w:type="pct"/>
            <w:vAlign w:val="center"/>
          </w:tcPr>
          <w:p w14:paraId="7B86782D" w14:textId="4D0450A4" w:rsidR="00853AB0" w:rsidRPr="00BA4BEB" w:rsidRDefault="00853AB0" w:rsidP="00D2039C">
            <w:pPr>
              <w:pStyle w:val="Tabletext"/>
              <w:keepNext/>
              <w:keepLines/>
              <w:jc w:val="center"/>
            </w:pPr>
            <w:r w:rsidRPr="00BA4BEB">
              <w:t>1.02</w:t>
            </w:r>
            <w:r w:rsidR="00D546CB">
              <w:t xml:space="preserve"> </w:t>
            </w:r>
            <w:r>
              <w:t>(</w:t>
            </w:r>
            <w:r w:rsidRPr="00BA4BEB">
              <w:t>0.3, 3.47)</w:t>
            </w:r>
          </w:p>
        </w:tc>
        <w:tc>
          <w:tcPr>
            <w:tcW w:w="993" w:type="pct"/>
            <w:vAlign w:val="center"/>
          </w:tcPr>
          <w:p w14:paraId="292462C4" w14:textId="7FFE6C0C" w:rsidR="00853AB0" w:rsidRPr="00BA4BEB" w:rsidRDefault="00853AB0" w:rsidP="00D2039C">
            <w:pPr>
              <w:pStyle w:val="Tabletext"/>
              <w:keepNext/>
              <w:keepLines/>
              <w:jc w:val="center"/>
            </w:pPr>
            <w:r w:rsidRPr="00BA4BEB">
              <w:t>4.68</w:t>
            </w:r>
            <w:r w:rsidR="00D546CB">
              <w:t xml:space="preserve"> </w:t>
            </w:r>
            <w:r w:rsidRPr="00BA4BEB">
              <w:t>(1.81, 12.1)</w:t>
            </w:r>
          </w:p>
        </w:tc>
      </w:tr>
      <w:tr w:rsidR="00D546CB" w:rsidRPr="00BA4BEB" w14:paraId="04048B27" w14:textId="77777777" w:rsidTr="00D546CB">
        <w:trPr>
          <w:trHeight w:val="20"/>
        </w:trPr>
        <w:tc>
          <w:tcPr>
            <w:tcW w:w="1176" w:type="pct"/>
            <w:vAlign w:val="center"/>
          </w:tcPr>
          <w:p w14:paraId="006DDC3B" w14:textId="77777777" w:rsidR="00853AB0" w:rsidRPr="00BA4BEB" w:rsidRDefault="00853AB0" w:rsidP="00D2039C">
            <w:pPr>
              <w:pStyle w:val="Tabletext"/>
              <w:keepNext/>
              <w:keepLines/>
            </w:pPr>
            <w:r w:rsidRPr="00BA4BEB">
              <w:t>General disorders and administration site conditions</w:t>
            </w:r>
          </w:p>
        </w:tc>
        <w:tc>
          <w:tcPr>
            <w:tcW w:w="471" w:type="pct"/>
            <w:vAlign w:val="center"/>
          </w:tcPr>
          <w:p w14:paraId="11A67BB5" w14:textId="77777777" w:rsidR="00853AB0" w:rsidRPr="00BA4BEB" w:rsidRDefault="00853AB0" w:rsidP="00D2039C">
            <w:pPr>
              <w:pStyle w:val="Tabletext"/>
              <w:keepNext/>
              <w:keepLines/>
              <w:jc w:val="center"/>
            </w:pPr>
            <w:r w:rsidRPr="00BA4BEB">
              <w:t>1 (0.8)</w:t>
            </w:r>
          </w:p>
        </w:tc>
        <w:tc>
          <w:tcPr>
            <w:tcW w:w="473" w:type="pct"/>
            <w:vAlign w:val="center"/>
          </w:tcPr>
          <w:p w14:paraId="3AE4920B" w14:textId="77777777" w:rsidR="00853AB0" w:rsidRPr="00BA4BEB" w:rsidRDefault="00853AB0" w:rsidP="00D2039C">
            <w:pPr>
              <w:pStyle w:val="Tabletext"/>
              <w:keepNext/>
              <w:keepLines/>
              <w:jc w:val="center"/>
            </w:pPr>
            <w:r w:rsidRPr="00BA4BEB">
              <w:t>8</w:t>
            </w:r>
            <w:r>
              <w:t xml:space="preserve"> </w:t>
            </w:r>
            <w:r w:rsidRPr="00BA4BEB">
              <w:t>(3.4)</w:t>
            </w:r>
          </w:p>
        </w:tc>
        <w:tc>
          <w:tcPr>
            <w:tcW w:w="471" w:type="pct"/>
            <w:vAlign w:val="center"/>
          </w:tcPr>
          <w:p w14:paraId="6DC37351" w14:textId="77777777" w:rsidR="00853AB0" w:rsidRPr="00BA4BEB" w:rsidRDefault="00853AB0" w:rsidP="00D2039C">
            <w:pPr>
              <w:pStyle w:val="Tabletext"/>
              <w:keepNext/>
              <w:keepLines/>
              <w:jc w:val="center"/>
            </w:pPr>
            <w:r w:rsidRPr="00BA4BEB">
              <w:t>8</w:t>
            </w:r>
            <w:r>
              <w:t xml:space="preserve"> </w:t>
            </w:r>
            <w:r w:rsidRPr="00BA4BEB">
              <w:t>(3.5)</w:t>
            </w:r>
          </w:p>
        </w:tc>
        <w:tc>
          <w:tcPr>
            <w:tcW w:w="472" w:type="pct"/>
            <w:vAlign w:val="center"/>
          </w:tcPr>
          <w:p w14:paraId="7E2BDF4F" w14:textId="77777777" w:rsidR="00853AB0" w:rsidRPr="00BA4BEB" w:rsidRDefault="00853AB0" w:rsidP="00D2039C">
            <w:pPr>
              <w:pStyle w:val="Tabletext"/>
              <w:keepNext/>
              <w:keepLines/>
              <w:jc w:val="center"/>
            </w:pPr>
            <w:r w:rsidRPr="00BA4BEB">
              <w:t>6</w:t>
            </w:r>
            <w:r>
              <w:t xml:space="preserve"> </w:t>
            </w:r>
            <w:r w:rsidRPr="00BA4BEB">
              <w:t>(2.5)</w:t>
            </w:r>
          </w:p>
        </w:tc>
        <w:tc>
          <w:tcPr>
            <w:tcW w:w="944" w:type="pct"/>
            <w:vAlign w:val="center"/>
          </w:tcPr>
          <w:p w14:paraId="7A1F2CDE" w14:textId="5B421F1B" w:rsidR="00853AB0" w:rsidRPr="00BA4BEB" w:rsidRDefault="00853AB0" w:rsidP="00D2039C">
            <w:pPr>
              <w:pStyle w:val="Tabletext"/>
              <w:keepNext/>
              <w:keepLines/>
              <w:jc w:val="center"/>
            </w:pPr>
            <w:r w:rsidRPr="00BA4BEB">
              <w:t xml:space="preserve">1.36 </w:t>
            </w:r>
            <w:r>
              <w:t>(</w:t>
            </w:r>
            <w:r w:rsidRPr="00BA4BEB">
              <w:t>0.48, 3.85)</w:t>
            </w:r>
          </w:p>
        </w:tc>
        <w:tc>
          <w:tcPr>
            <w:tcW w:w="993" w:type="pct"/>
            <w:vAlign w:val="center"/>
          </w:tcPr>
          <w:p w14:paraId="0F9FE443" w14:textId="7149E387" w:rsidR="00853AB0" w:rsidRPr="00BA4BEB" w:rsidRDefault="00853AB0" w:rsidP="00D2039C">
            <w:pPr>
              <w:pStyle w:val="Tabletext"/>
              <w:keepNext/>
              <w:keepLines/>
              <w:jc w:val="center"/>
            </w:pPr>
            <w:r w:rsidRPr="00BA4BEB">
              <w:t>1.36</w:t>
            </w:r>
            <w:r w:rsidR="00D546CB">
              <w:t xml:space="preserve"> </w:t>
            </w:r>
            <w:r w:rsidRPr="00BA4BEB">
              <w:t>(0.48, 3.85)</w:t>
            </w:r>
          </w:p>
        </w:tc>
      </w:tr>
      <w:tr w:rsidR="00D546CB" w:rsidRPr="00BA4BEB" w14:paraId="332A8B04" w14:textId="77777777" w:rsidTr="00D546CB">
        <w:trPr>
          <w:trHeight w:val="20"/>
        </w:trPr>
        <w:tc>
          <w:tcPr>
            <w:tcW w:w="1176" w:type="pct"/>
            <w:vAlign w:val="center"/>
          </w:tcPr>
          <w:p w14:paraId="3D5AFC1C" w14:textId="77777777" w:rsidR="00853AB0" w:rsidRPr="00BA4BEB" w:rsidRDefault="00853AB0" w:rsidP="00D2039C">
            <w:pPr>
              <w:pStyle w:val="Tabletext"/>
              <w:keepNext/>
              <w:keepLines/>
            </w:pPr>
            <w:r w:rsidRPr="00BA4BEB">
              <w:t>Infections and infestations</w:t>
            </w:r>
          </w:p>
        </w:tc>
        <w:tc>
          <w:tcPr>
            <w:tcW w:w="471" w:type="pct"/>
            <w:vAlign w:val="center"/>
          </w:tcPr>
          <w:p w14:paraId="668686B3" w14:textId="77777777" w:rsidR="00853AB0" w:rsidRPr="00BA4BEB" w:rsidRDefault="00853AB0" w:rsidP="00D2039C">
            <w:pPr>
              <w:pStyle w:val="Tabletext"/>
              <w:keepNext/>
              <w:keepLines/>
              <w:jc w:val="center"/>
            </w:pPr>
            <w:r w:rsidRPr="00BA4BEB">
              <w:t>12 (9.2)</w:t>
            </w:r>
          </w:p>
        </w:tc>
        <w:tc>
          <w:tcPr>
            <w:tcW w:w="473" w:type="pct"/>
            <w:vAlign w:val="center"/>
          </w:tcPr>
          <w:p w14:paraId="51EA7AA3" w14:textId="77777777" w:rsidR="00853AB0" w:rsidRPr="00BA4BEB" w:rsidRDefault="00853AB0" w:rsidP="00D2039C">
            <w:pPr>
              <w:pStyle w:val="Tabletext"/>
              <w:keepNext/>
              <w:keepLines/>
              <w:jc w:val="center"/>
            </w:pPr>
            <w:r w:rsidRPr="00BA4BEB">
              <w:t>24</w:t>
            </w:r>
            <w:r>
              <w:t xml:space="preserve"> </w:t>
            </w:r>
            <w:r w:rsidRPr="00BA4BEB">
              <w:t>(10.1)</w:t>
            </w:r>
          </w:p>
        </w:tc>
        <w:tc>
          <w:tcPr>
            <w:tcW w:w="471" w:type="pct"/>
            <w:vAlign w:val="center"/>
          </w:tcPr>
          <w:p w14:paraId="2B6F917D" w14:textId="77777777" w:rsidR="00853AB0" w:rsidRPr="00BA4BEB" w:rsidRDefault="00853AB0" w:rsidP="00D2039C">
            <w:pPr>
              <w:pStyle w:val="Tabletext"/>
              <w:keepNext/>
              <w:keepLines/>
              <w:jc w:val="center"/>
            </w:pPr>
            <w:r w:rsidRPr="00BA4BEB">
              <w:t>20</w:t>
            </w:r>
            <w:r>
              <w:t xml:space="preserve"> </w:t>
            </w:r>
            <w:r w:rsidRPr="00BA4BEB">
              <w:t>(8.8)</w:t>
            </w:r>
          </w:p>
        </w:tc>
        <w:tc>
          <w:tcPr>
            <w:tcW w:w="472" w:type="pct"/>
            <w:vAlign w:val="center"/>
          </w:tcPr>
          <w:p w14:paraId="722D2CD1" w14:textId="77777777" w:rsidR="00853AB0" w:rsidRPr="00BA4BEB" w:rsidRDefault="00853AB0" w:rsidP="00D2039C">
            <w:pPr>
              <w:pStyle w:val="Tabletext"/>
              <w:keepNext/>
              <w:keepLines/>
              <w:jc w:val="center"/>
            </w:pPr>
            <w:r w:rsidRPr="00BA4BEB">
              <w:t>19</w:t>
            </w:r>
            <w:r>
              <w:t xml:space="preserve"> </w:t>
            </w:r>
            <w:r w:rsidRPr="00BA4BEB">
              <w:t>(7.9)</w:t>
            </w:r>
          </w:p>
        </w:tc>
        <w:tc>
          <w:tcPr>
            <w:tcW w:w="944" w:type="pct"/>
            <w:vAlign w:val="center"/>
          </w:tcPr>
          <w:p w14:paraId="605C8464" w14:textId="5C6C64A0" w:rsidR="00853AB0" w:rsidRPr="00BA4BEB" w:rsidRDefault="00853AB0" w:rsidP="00D2039C">
            <w:pPr>
              <w:pStyle w:val="Tabletext"/>
              <w:keepNext/>
              <w:keepLines/>
              <w:jc w:val="center"/>
            </w:pPr>
            <w:r w:rsidRPr="00BA4BEB">
              <w:t>1.28</w:t>
            </w:r>
            <w:r w:rsidR="00D546CB">
              <w:t xml:space="preserve"> </w:t>
            </w:r>
            <w:r>
              <w:t>(</w:t>
            </w:r>
            <w:r w:rsidRPr="00BA4BEB">
              <w:t>0.72, 2.28)</w:t>
            </w:r>
          </w:p>
        </w:tc>
        <w:tc>
          <w:tcPr>
            <w:tcW w:w="993" w:type="pct"/>
            <w:vAlign w:val="center"/>
          </w:tcPr>
          <w:p w14:paraId="0D3E896B" w14:textId="5A55D496" w:rsidR="00853AB0" w:rsidRPr="00BA4BEB" w:rsidRDefault="00853AB0" w:rsidP="00D2039C">
            <w:pPr>
              <w:pStyle w:val="Tabletext"/>
              <w:keepNext/>
              <w:keepLines/>
              <w:jc w:val="center"/>
            </w:pPr>
            <w:r w:rsidRPr="00BA4BEB">
              <w:t>1.07</w:t>
            </w:r>
            <w:r w:rsidR="00D546CB">
              <w:t xml:space="preserve"> </w:t>
            </w:r>
            <w:r w:rsidRPr="00BA4BEB">
              <w:t>(0.59, 1.95)</w:t>
            </w:r>
          </w:p>
        </w:tc>
      </w:tr>
      <w:tr w:rsidR="00D546CB" w:rsidRPr="00BA4BEB" w14:paraId="4772FFF0" w14:textId="77777777" w:rsidTr="00D546CB">
        <w:trPr>
          <w:trHeight w:val="20"/>
        </w:trPr>
        <w:tc>
          <w:tcPr>
            <w:tcW w:w="1176" w:type="pct"/>
            <w:vAlign w:val="center"/>
          </w:tcPr>
          <w:p w14:paraId="0223D453" w14:textId="77777777" w:rsidR="00853AB0" w:rsidRPr="00BA4BEB" w:rsidRDefault="00853AB0" w:rsidP="00D2039C">
            <w:pPr>
              <w:pStyle w:val="Tabletext"/>
              <w:keepNext/>
              <w:keepLines/>
            </w:pPr>
            <w:r w:rsidRPr="00BA4BEB">
              <w:t xml:space="preserve">    Conjunctivitis</w:t>
            </w:r>
          </w:p>
        </w:tc>
        <w:tc>
          <w:tcPr>
            <w:tcW w:w="471" w:type="pct"/>
            <w:vAlign w:val="center"/>
          </w:tcPr>
          <w:p w14:paraId="33952CA6" w14:textId="77777777" w:rsidR="00853AB0" w:rsidRPr="00BA4BEB" w:rsidRDefault="00853AB0" w:rsidP="00D2039C">
            <w:pPr>
              <w:pStyle w:val="Tabletext"/>
              <w:keepNext/>
              <w:keepLines/>
              <w:jc w:val="center"/>
            </w:pPr>
            <w:r w:rsidRPr="00BA4BEB">
              <w:t>1 (0.8)</w:t>
            </w:r>
          </w:p>
        </w:tc>
        <w:tc>
          <w:tcPr>
            <w:tcW w:w="473" w:type="pct"/>
            <w:vAlign w:val="center"/>
          </w:tcPr>
          <w:p w14:paraId="7CDEB47F" w14:textId="77777777" w:rsidR="00853AB0" w:rsidRPr="00BA4BEB" w:rsidRDefault="00853AB0" w:rsidP="00D2039C">
            <w:pPr>
              <w:pStyle w:val="Tabletext"/>
              <w:keepNext/>
              <w:keepLines/>
              <w:jc w:val="center"/>
            </w:pPr>
            <w:r w:rsidRPr="00BA4BEB">
              <w:t>1</w:t>
            </w:r>
            <w:r>
              <w:t xml:space="preserve"> </w:t>
            </w:r>
            <w:r w:rsidRPr="00BA4BEB">
              <w:t>(0.4)</w:t>
            </w:r>
          </w:p>
        </w:tc>
        <w:tc>
          <w:tcPr>
            <w:tcW w:w="471" w:type="pct"/>
            <w:vAlign w:val="center"/>
          </w:tcPr>
          <w:p w14:paraId="06BF54F7" w14:textId="77777777" w:rsidR="00853AB0" w:rsidRPr="00BA4BEB" w:rsidRDefault="00853AB0" w:rsidP="00D2039C">
            <w:pPr>
              <w:pStyle w:val="Tabletext"/>
              <w:keepNext/>
              <w:keepLines/>
              <w:jc w:val="center"/>
            </w:pPr>
            <w:r w:rsidRPr="00BA4BEB">
              <w:t>1</w:t>
            </w:r>
            <w:r>
              <w:t xml:space="preserve"> </w:t>
            </w:r>
            <w:r w:rsidRPr="00BA4BEB">
              <w:t>(0.4)</w:t>
            </w:r>
          </w:p>
        </w:tc>
        <w:tc>
          <w:tcPr>
            <w:tcW w:w="472" w:type="pct"/>
            <w:vAlign w:val="center"/>
          </w:tcPr>
          <w:p w14:paraId="752B3FB3" w14:textId="77777777" w:rsidR="00853AB0" w:rsidRPr="00BA4BEB" w:rsidRDefault="00853AB0" w:rsidP="00D2039C">
            <w:pPr>
              <w:pStyle w:val="Tabletext"/>
              <w:keepNext/>
              <w:keepLines/>
              <w:jc w:val="center"/>
            </w:pPr>
            <w:r w:rsidRPr="00BA4BEB">
              <w:t>6</w:t>
            </w:r>
            <w:r>
              <w:t xml:space="preserve"> </w:t>
            </w:r>
            <w:r w:rsidRPr="00BA4BEB">
              <w:t>(2.5)</w:t>
            </w:r>
          </w:p>
        </w:tc>
        <w:tc>
          <w:tcPr>
            <w:tcW w:w="944" w:type="pct"/>
            <w:vAlign w:val="center"/>
          </w:tcPr>
          <w:p w14:paraId="4D87FC14" w14:textId="0BAF7556" w:rsidR="00853AB0" w:rsidRPr="00BA4BEB" w:rsidRDefault="00853AB0" w:rsidP="00D2039C">
            <w:pPr>
              <w:pStyle w:val="Tabletext"/>
              <w:keepNext/>
              <w:keepLines/>
              <w:jc w:val="center"/>
            </w:pPr>
            <w:r w:rsidRPr="00BA4BEB">
              <w:t xml:space="preserve">0.17 </w:t>
            </w:r>
            <w:r>
              <w:t>(</w:t>
            </w:r>
            <w:r w:rsidRPr="00BA4BEB">
              <w:t>0.02, 1.4)</w:t>
            </w:r>
          </w:p>
        </w:tc>
        <w:tc>
          <w:tcPr>
            <w:tcW w:w="993" w:type="pct"/>
            <w:vAlign w:val="center"/>
          </w:tcPr>
          <w:p w14:paraId="10D145E4" w14:textId="3FBB96DD" w:rsidR="00853AB0" w:rsidRPr="00BA4BEB" w:rsidRDefault="00853AB0" w:rsidP="00D2039C">
            <w:pPr>
              <w:pStyle w:val="Tabletext"/>
              <w:keepNext/>
              <w:keepLines/>
              <w:jc w:val="center"/>
            </w:pPr>
            <w:r w:rsidRPr="00BA4BEB">
              <w:t>0.17</w:t>
            </w:r>
            <w:r w:rsidR="00D546CB">
              <w:t xml:space="preserve"> </w:t>
            </w:r>
            <w:r w:rsidRPr="00BA4BEB">
              <w:t>(0.02, 1.4)</w:t>
            </w:r>
          </w:p>
        </w:tc>
      </w:tr>
      <w:tr w:rsidR="00D546CB" w:rsidRPr="00BA4BEB" w14:paraId="19955531" w14:textId="77777777" w:rsidTr="00D546CB">
        <w:trPr>
          <w:trHeight w:val="20"/>
        </w:trPr>
        <w:tc>
          <w:tcPr>
            <w:tcW w:w="1176" w:type="pct"/>
            <w:vAlign w:val="center"/>
          </w:tcPr>
          <w:p w14:paraId="21D1784D" w14:textId="77777777" w:rsidR="00853AB0" w:rsidRPr="00BA4BEB" w:rsidRDefault="00853AB0" w:rsidP="00D2039C">
            <w:pPr>
              <w:pStyle w:val="Tabletext"/>
              <w:keepNext/>
              <w:keepLines/>
            </w:pPr>
            <w:r w:rsidRPr="00BA4BEB">
              <w:t xml:space="preserve">    Folliculitis</w:t>
            </w:r>
          </w:p>
        </w:tc>
        <w:tc>
          <w:tcPr>
            <w:tcW w:w="471" w:type="pct"/>
            <w:vAlign w:val="center"/>
          </w:tcPr>
          <w:p w14:paraId="7C00DAD7" w14:textId="77777777" w:rsidR="00853AB0" w:rsidRPr="00BA4BEB" w:rsidRDefault="00853AB0" w:rsidP="00D2039C">
            <w:pPr>
              <w:pStyle w:val="Tabletext"/>
              <w:keepNext/>
              <w:keepLines/>
              <w:jc w:val="center"/>
            </w:pPr>
            <w:r w:rsidRPr="00BA4BEB">
              <w:t>3 (2.3)</w:t>
            </w:r>
          </w:p>
        </w:tc>
        <w:tc>
          <w:tcPr>
            <w:tcW w:w="473" w:type="pct"/>
            <w:vAlign w:val="center"/>
          </w:tcPr>
          <w:p w14:paraId="47D86523" w14:textId="77777777" w:rsidR="00853AB0" w:rsidRPr="00BA4BEB" w:rsidRDefault="00853AB0" w:rsidP="00D2039C">
            <w:pPr>
              <w:pStyle w:val="Tabletext"/>
              <w:keepNext/>
              <w:keepLines/>
              <w:jc w:val="center"/>
            </w:pPr>
            <w:r w:rsidRPr="00BA4BEB">
              <w:t>0</w:t>
            </w:r>
          </w:p>
        </w:tc>
        <w:tc>
          <w:tcPr>
            <w:tcW w:w="471" w:type="pct"/>
            <w:vAlign w:val="center"/>
          </w:tcPr>
          <w:p w14:paraId="53ACD372" w14:textId="77777777" w:rsidR="00853AB0" w:rsidRPr="00BA4BEB" w:rsidRDefault="00853AB0" w:rsidP="00D2039C">
            <w:pPr>
              <w:pStyle w:val="Tabletext"/>
              <w:keepNext/>
              <w:keepLines/>
              <w:jc w:val="center"/>
            </w:pPr>
            <w:r w:rsidRPr="00BA4BEB">
              <w:t>1</w:t>
            </w:r>
            <w:r>
              <w:t xml:space="preserve"> </w:t>
            </w:r>
            <w:r w:rsidRPr="00BA4BEB">
              <w:t>(0.4)</w:t>
            </w:r>
          </w:p>
        </w:tc>
        <w:tc>
          <w:tcPr>
            <w:tcW w:w="472" w:type="pct"/>
            <w:vAlign w:val="center"/>
          </w:tcPr>
          <w:p w14:paraId="28388D30" w14:textId="77777777" w:rsidR="00853AB0" w:rsidRPr="00BA4BEB" w:rsidRDefault="00853AB0" w:rsidP="00D2039C">
            <w:pPr>
              <w:pStyle w:val="Tabletext"/>
              <w:keepNext/>
              <w:keepLines/>
              <w:jc w:val="center"/>
            </w:pPr>
            <w:r w:rsidRPr="00BA4BEB">
              <w:t>1</w:t>
            </w:r>
            <w:r>
              <w:t xml:space="preserve"> </w:t>
            </w:r>
            <w:r w:rsidRPr="00BA4BEB">
              <w:t>(0.4)</w:t>
            </w:r>
          </w:p>
        </w:tc>
        <w:tc>
          <w:tcPr>
            <w:tcW w:w="944" w:type="pct"/>
            <w:vAlign w:val="center"/>
          </w:tcPr>
          <w:p w14:paraId="1C8D3CF0" w14:textId="77777777" w:rsidR="00853AB0" w:rsidRPr="00BA4BEB" w:rsidRDefault="00853AB0" w:rsidP="00D2039C">
            <w:pPr>
              <w:pStyle w:val="Tabletext"/>
              <w:keepNext/>
              <w:keepLines/>
              <w:jc w:val="center"/>
            </w:pPr>
            <w:r w:rsidRPr="00BA4BEB">
              <w:t>NE</w:t>
            </w:r>
          </w:p>
        </w:tc>
        <w:tc>
          <w:tcPr>
            <w:tcW w:w="993" w:type="pct"/>
            <w:vAlign w:val="center"/>
          </w:tcPr>
          <w:p w14:paraId="292C0A56" w14:textId="113B32D5" w:rsidR="00853AB0" w:rsidRPr="00BA4BEB" w:rsidRDefault="00853AB0" w:rsidP="00D2039C">
            <w:pPr>
              <w:pStyle w:val="Tabletext"/>
              <w:keepNext/>
              <w:keepLines/>
              <w:jc w:val="center"/>
            </w:pPr>
            <w:r w:rsidRPr="00BA4BEB">
              <w:t>1.02</w:t>
            </w:r>
            <w:r w:rsidR="00D546CB">
              <w:t xml:space="preserve"> </w:t>
            </w:r>
            <w:r w:rsidRPr="00BA4BEB">
              <w:t>(0.06, 16.16)</w:t>
            </w:r>
          </w:p>
        </w:tc>
      </w:tr>
      <w:tr w:rsidR="00D546CB" w:rsidRPr="00BA4BEB" w14:paraId="169BCB52" w14:textId="77777777" w:rsidTr="00D546CB">
        <w:trPr>
          <w:trHeight w:val="20"/>
        </w:trPr>
        <w:tc>
          <w:tcPr>
            <w:tcW w:w="1176" w:type="pct"/>
            <w:vAlign w:val="center"/>
          </w:tcPr>
          <w:p w14:paraId="10F20B60" w14:textId="77777777" w:rsidR="00853AB0" w:rsidRPr="00BA4BEB" w:rsidRDefault="00853AB0" w:rsidP="00D2039C">
            <w:pPr>
              <w:pStyle w:val="Tabletext"/>
              <w:keepNext/>
              <w:keepLines/>
            </w:pPr>
            <w:r w:rsidRPr="00BA4BEB">
              <w:t xml:space="preserve">    Herpes simplex</w:t>
            </w:r>
          </w:p>
        </w:tc>
        <w:tc>
          <w:tcPr>
            <w:tcW w:w="471" w:type="pct"/>
            <w:vAlign w:val="center"/>
          </w:tcPr>
          <w:p w14:paraId="30AB1BCC" w14:textId="77777777" w:rsidR="00853AB0" w:rsidRPr="00BA4BEB" w:rsidRDefault="00853AB0" w:rsidP="00D2039C">
            <w:pPr>
              <w:pStyle w:val="Tabletext"/>
              <w:keepNext/>
              <w:keepLines/>
              <w:jc w:val="center"/>
            </w:pPr>
            <w:r w:rsidRPr="00BA4BEB">
              <w:t>0</w:t>
            </w:r>
          </w:p>
        </w:tc>
        <w:tc>
          <w:tcPr>
            <w:tcW w:w="473" w:type="pct"/>
            <w:vAlign w:val="center"/>
          </w:tcPr>
          <w:p w14:paraId="2F56243F" w14:textId="77777777" w:rsidR="00853AB0" w:rsidRPr="00BA4BEB" w:rsidRDefault="00853AB0" w:rsidP="00D2039C">
            <w:pPr>
              <w:pStyle w:val="Tabletext"/>
              <w:keepNext/>
              <w:keepLines/>
              <w:jc w:val="center"/>
            </w:pPr>
            <w:r w:rsidRPr="00BA4BEB">
              <w:t>2</w:t>
            </w:r>
            <w:r>
              <w:t xml:space="preserve"> </w:t>
            </w:r>
            <w:r w:rsidRPr="00BA4BEB">
              <w:t>(0.8)</w:t>
            </w:r>
          </w:p>
        </w:tc>
        <w:tc>
          <w:tcPr>
            <w:tcW w:w="471" w:type="pct"/>
            <w:vAlign w:val="center"/>
          </w:tcPr>
          <w:p w14:paraId="16B95523" w14:textId="77777777" w:rsidR="00853AB0" w:rsidRPr="00BA4BEB" w:rsidRDefault="00853AB0" w:rsidP="00D2039C">
            <w:pPr>
              <w:pStyle w:val="Tabletext"/>
              <w:keepNext/>
              <w:keepLines/>
              <w:jc w:val="center"/>
            </w:pPr>
            <w:r w:rsidRPr="00BA4BEB">
              <w:t>5</w:t>
            </w:r>
            <w:r>
              <w:t xml:space="preserve"> </w:t>
            </w:r>
            <w:r w:rsidRPr="00BA4BEB">
              <w:t>(2.2)</w:t>
            </w:r>
          </w:p>
        </w:tc>
        <w:tc>
          <w:tcPr>
            <w:tcW w:w="472" w:type="pct"/>
            <w:vAlign w:val="center"/>
          </w:tcPr>
          <w:p w14:paraId="5F03E7CB" w14:textId="77777777" w:rsidR="00853AB0" w:rsidRPr="00BA4BEB" w:rsidRDefault="00853AB0" w:rsidP="00D2039C">
            <w:pPr>
              <w:pStyle w:val="Tabletext"/>
              <w:keepNext/>
              <w:keepLines/>
              <w:jc w:val="center"/>
            </w:pPr>
            <w:r w:rsidRPr="00BA4BEB">
              <w:t>0</w:t>
            </w:r>
          </w:p>
        </w:tc>
        <w:tc>
          <w:tcPr>
            <w:tcW w:w="944" w:type="pct"/>
            <w:vAlign w:val="center"/>
          </w:tcPr>
          <w:p w14:paraId="33E04CE9" w14:textId="77777777" w:rsidR="00853AB0" w:rsidRPr="00BA4BEB" w:rsidRDefault="00853AB0" w:rsidP="00D2039C">
            <w:pPr>
              <w:pStyle w:val="Tabletext"/>
              <w:keepNext/>
              <w:keepLines/>
              <w:jc w:val="center"/>
            </w:pPr>
            <w:r w:rsidRPr="00BA4BEB">
              <w:t>NE</w:t>
            </w:r>
          </w:p>
        </w:tc>
        <w:tc>
          <w:tcPr>
            <w:tcW w:w="993" w:type="pct"/>
            <w:vAlign w:val="center"/>
          </w:tcPr>
          <w:p w14:paraId="3EF34B47" w14:textId="77777777" w:rsidR="00853AB0" w:rsidRPr="00BA4BEB" w:rsidRDefault="00853AB0" w:rsidP="00D2039C">
            <w:pPr>
              <w:pStyle w:val="Tabletext"/>
              <w:keepNext/>
              <w:keepLines/>
              <w:jc w:val="center"/>
            </w:pPr>
            <w:r w:rsidRPr="00BA4BEB">
              <w:t>NE</w:t>
            </w:r>
          </w:p>
        </w:tc>
      </w:tr>
      <w:tr w:rsidR="00D546CB" w:rsidRPr="00BA4BEB" w14:paraId="2EFD4997" w14:textId="77777777" w:rsidTr="00D546CB">
        <w:trPr>
          <w:trHeight w:val="20"/>
        </w:trPr>
        <w:tc>
          <w:tcPr>
            <w:tcW w:w="1176" w:type="pct"/>
            <w:vAlign w:val="center"/>
          </w:tcPr>
          <w:p w14:paraId="71D3CB2C" w14:textId="77777777" w:rsidR="00853AB0" w:rsidRPr="00BA4BEB" w:rsidRDefault="00853AB0" w:rsidP="00D2039C">
            <w:pPr>
              <w:pStyle w:val="Tabletext"/>
              <w:keepNext/>
              <w:keepLines/>
            </w:pPr>
            <w:r w:rsidRPr="00BA4BEB">
              <w:t xml:space="preserve">    Herpes zoster</w:t>
            </w:r>
          </w:p>
        </w:tc>
        <w:tc>
          <w:tcPr>
            <w:tcW w:w="471" w:type="pct"/>
            <w:vAlign w:val="center"/>
          </w:tcPr>
          <w:p w14:paraId="652654A3" w14:textId="77777777" w:rsidR="00853AB0" w:rsidRPr="00BA4BEB" w:rsidRDefault="00853AB0" w:rsidP="00D2039C">
            <w:pPr>
              <w:pStyle w:val="Tabletext"/>
              <w:keepNext/>
              <w:keepLines/>
              <w:jc w:val="center"/>
            </w:pPr>
            <w:r w:rsidRPr="00BA4BEB">
              <w:t>NR</w:t>
            </w:r>
          </w:p>
        </w:tc>
        <w:tc>
          <w:tcPr>
            <w:tcW w:w="473" w:type="pct"/>
            <w:vAlign w:val="center"/>
          </w:tcPr>
          <w:p w14:paraId="0A89E296" w14:textId="77777777" w:rsidR="00853AB0" w:rsidRPr="00BA4BEB" w:rsidRDefault="00853AB0" w:rsidP="00D2039C">
            <w:pPr>
              <w:pStyle w:val="Tabletext"/>
              <w:keepNext/>
              <w:keepLines/>
              <w:jc w:val="center"/>
            </w:pPr>
            <w:r w:rsidRPr="00BA4BEB">
              <w:t>NR</w:t>
            </w:r>
          </w:p>
        </w:tc>
        <w:tc>
          <w:tcPr>
            <w:tcW w:w="471" w:type="pct"/>
            <w:vAlign w:val="center"/>
          </w:tcPr>
          <w:p w14:paraId="66C64126" w14:textId="77777777" w:rsidR="00853AB0" w:rsidRPr="00BA4BEB" w:rsidRDefault="00853AB0" w:rsidP="00D2039C">
            <w:pPr>
              <w:pStyle w:val="Tabletext"/>
              <w:keepNext/>
              <w:keepLines/>
              <w:jc w:val="center"/>
            </w:pPr>
            <w:r w:rsidRPr="00BA4BEB">
              <w:t>NR</w:t>
            </w:r>
          </w:p>
        </w:tc>
        <w:tc>
          <w:tcPr>
            <w:tcW w:w="472" w:type="pct"/>
            <w:vAlign w:val="center"/>
          </w:tcPr>
          <w:p w14:paraId="5EBE3288" w14:textId="77777777" w:rsidR="00853AB0" w:rsidRPr="00BA4BEB" w:rsidRDefault="00853AB0" w:rsidP="00D2039C">
            <w:pPr>
              <w:pStyle w:val="Tabletext"/>
              <w:keepNext/>
              <w:keepLines/>
              <w:jc w:val="center"/>
            </w:pPr>
            <w:r w:rsidRPr="00BA4BEB">
              <w:t>NR</w:t>
            </w:r>
          </w:p>
        </w:tc>
        <w:tc>
          <w:tcPr>
            <w:tcW w:w="944" w:type="pct"/>
            <w:vAlign w:val="center"/>
          </w:tcPr>
          <w:p w14:paraId="41A5828B" w14:textId="77777777" w:rsidR="00853AB0" w:rsidRPr="00BA4BEB" w:rsidRDefault="00853AB0" w:rsidP="00D2039C">
            <w:pPr>
              <w:pStyle w:val="Tabletext"/>
              <w:keepNext/>
              <w:keepLines/>
              <w:jc w:val="center"/>
            </w:pPr>
            <w:r>
              <w:t>—</w:t>
            </w:r>
          </w:p>
        </w:tc>
        <w:tc>
          <w:tcPr>
            <w:tcW w:w="993" w:type="pct"/>
            <w:vAlign w:val="center"/>
          </w:tcPr>
          <w:p w14:paraId="058DE0FF" w14:textId="77777777" w:rsidR="00853AB0" w:rsidRPr="00BA4BEB" w:rsidRDefault="00853AB0" w:rsidP="00D2039C">
            <w:pPr>
              <w:pStyle w:val="Tabletext"/>
              <w:keepNext/>
              <w:keepLines/>
              <w:jc w:val="center"/>
            </w:pPr>
            <w:r>
              <w:t>—</w:t>
            </w:r>
          </w:p>
        </w:tc>
      </w:tr>
      <w:tr w:rsidR="00D546CB" w:rsidRPr="00BA4BEB" w14:paraId="39B0C8B0" w14:textId="77777777" w:rsidTr="00D546CB">
        <w:trPr>
          <w:trHeight w:val="20"/>
        </w:trPr>
        <w:tc>
          <w:tcPr>
            <w:tcW w:w="1176" w:type="pct"/>
            <w:vAlign w:val="center"/>
          </w:tcPr>
          <w:p w14:paraId="45FCED1D" w14:textId="77777777" w:rsidR="00853AB0" w:rsidRPr="00BA4BEB" w:rsidRDefault="00853AB0" w:rsidP="00D2039C">
            <w:pPr>
              <w:pStyle w:val="Tabletext"/>
              <w:keepNext/>
              <w:keepLines/>
            </w:pPr>
            <w:r w:rsidRPr="00BA4BEB">
              <w:t xml:space="preserve">    Nasopharyngitis</w:t>
            </w:r>
          </w:p>
        </w:tc>
        <w:tc>
          <w:tcPr>
            <w:tcW w:w="471" w:type="pct"/>
            <w:vAlign w:val="center"/>
          </w:tcPr>
          <w:p w14:paraId="13214169" w14:textId="77777777" w:rsidR="00853AB0" w:rsidRPr="00BA4BEB" w:rsidRDefault="00853AB0" w:rsidP="00D2039C">
            <w:pPr>
              <w:pStyle w:val="Tabletext"/>
              <w:keepNext/>
              <w:keepLines/>
              <w:jc w:val="center"/>
            </w:pPr>
            <w:r w:rsidRPr="00BA4BEB">
              <w:t>3 (2.3)</w:t>
            </w:r>
          </w:p>
        </w:tc>
        <w:tc>
          <w:tcPr>
            <w:tcW w:w="473" w:type="pct"/>
            <w:vAlign w:val="center"/>
          </w:tcPr>
          <w:p w14:paraId="7DD724BE" w14:textId="77777777" w:rsidR="00853AB0" w:rsidRPr="00BA4BEB" w:rsidRDefault="00853AB0" w:rsidP="00D2039C">
            <w:pPr>
              <w:pStyle w:val="Tabletext"/>
              <w:keepNext/>
              <w:keepLines/>
              <w:jc w:val="center"/>
            </w:pPr>
            <w:r w:rsidRPr="00BA4BEB">
              <w:t>9</w:t>
            </w:r>
            <w:r>
              <w:t xml:space="preserve"> </w:t>
            </w:r>
            <w:r w:rsidRPr="00BA4BEB">
              <w:t>(3.8)</w:t>
            </w:r>
          </w:p>
        </w:tc>
        <w:tc>
          <w:tcPr>
            <w:tcW w:w="471" w:type="pct"/>
            <w:vAlign w:val="center"/>
          </w:tcPr>
          <w:p w14:paraId="41A997CA" w14:textId="77777777" w:rsidR="00853AB0" w:rsidRPr="00BA4BEB" w:rsidRDefault="00853AB0" w:rsidP="00D2039C">
            <w:pPr>
              <w:pStyle w:val="Tabletext"/>
              <w:keepNext/>
              <w:keepLines/>
              <w:jc w:val="center"/>
            </w:pPr>
            <w:r w:rsidRPr="00BA4BEB">
              <w:t>4</w:t>
            </w:r>
            <w:r>
              <w:t xml:space="preserve"> </w:t>
            </w:r>
            <w:r w:rsidRPr="00BA4BEB">
              <w:t>(1.8)</w:t>
            </w:r>
          </w:p>
        </w:tc>
        <w:tc>
          <w:tcPr>
            <w:tcW w:w="472" w:type="pct"/>
            <w:vAlign w:val="center"/>
          </w:tcPr>
          <w:p w14:paraId="22310982" w14:textId="77777777" w:rsidR="00853AB0" w:rsidRPr="00BA4BEB" w:rsidRDefault="00853AB0" w:rsidP="00D2039C">
            <w:pPr>
              <w:pStyle w:val="Tabletext"/>
              <w:keepNext/>
              <w:keepLines/>
              <w:jc w:val="center"/>
            </w:pPr>
            <w:r w:rsidRPr="00BA4BEB">
              <w:t>5</w:t>
            </w:r>
            <w:r>
              <w:t xml:space="preserve"> </w:t>
            </w:r>
            <w:r w:rsidRPr="00BA4BEB">
              <w:t>(2.1)</w:t>
            </w:r>
          </w:p>
        </w:tc>
        <w:tc>
          <w:tcPr>
            <w:tcW w:w="944" w:type="pct"/>
            <w:vAlign w:val="center"/>
          </w:tcPr>
          <w:p w14:paraId="04A87A54" w14:textId="045720C6" w:rsidR="00853AB0" w:rsidRPr="00BA4BEB" w:rsidRDefault="00853AB0" w:rsidP="00D2039C">
            <w:pPr>
              <w:pStyle w:val="Tabletext"/>
              <w:keepNext/>
              <w:keepLines/>
              <w:jc w:val="center"/>
            </w:pPr>
            <w:r w:rsidRPr="00BA4BEB">
              <w:t xml:space="preserve">1.83 </w:t>
            </w:r>
            <w:r>
              <w:t>(</w:t>
            </w:r>
            <w:r w:rsidRPr="00BA4BEB">
              <w:t>0.62, 5.38)</w:t>
            </w:r>
          </w:p>
        </w:tc>
        <w:tc>
          <w:tcPr>
            <w:tcW w:w="993" w:type="pct"/>
            <w:vAlign w:val="center"/>
          </w:tcPr>
          <w:p w14:paraId="42C92582" w14:textId="5CA2DB15" w:rsidR="00853AB0" w:rsidRPr="00BA4BEB" w:rsidRDefault="00853AB0" w:rsidP="00D2039C">
            <w:pPr>
              <w:pStyle w:val="Tabletext"/>
              <w:keepNext/>
              <w:keepLines/>
              <w:jc w:val="center"/>
            </w:pPr>
            <w:r w:rsidRPr="00BA4BEB">
              <w:t>0.81</w:t>
            </w:r>
            <w:r w:rsidR="00D546CB">
              <w:t xml:space="preserve"> </w:t>
            </w:r>
            <w:r w:rsidRPr="00BA4BEB">
              <w:t>(0.22, 2.99)</w:t>
            </w:r>
          </w:p>
        </w:tc>
      </w:tr>
      <w:tr w:rsidR="00D546CB" w:rsidRPr="00BA4BEB" w14:paraId="6F43D606" w14:textId="77777777" w:rsidTr="00D546CB">
        <w:trPr>
          <w:trHeight w:val="20"/>
        </w:trPr>
        <w:tc>
          <w:tcPr>
            <w:tcW w:w="1176" w:type="pct"/>
            <w:vAlign w:val="center"/>
          </w:tcPr>
          <w:p w14:paraId="4E0FE752" w14:textId="77777777" w:rsidR="00853AB0" w:rsidRPr="00BA4BEB" w:rsidRDefault="00853AB0" w:rsidP="00D2039C">
            <w:pPr>
              <w:pStyle w:val="Tabletext"/>
              <w:keepNext/>
              <w:keepLines/>
            </w:pPr>
            <w:r w:rsidRPr="00BA4BEB">
              <w:t>Investigations</w:t>
            </w:r>
          </w:p>
        </w:tc>
        <w:tc>
          <w:tcPr>
            <w:tcW w:w="471" w:type="pct"/>
            <w:vAlign w:val="center"/>
          </w:tcPr>
          <w:p w14:paraId="532A1765" w14:textId="77777777" w:rsidR="00853AB0" w:rsidRPr="00BA4BEB" w:rsidRDefault="00853AB0" w:rsidP="00D2039C">
            <w:pPr>
              <w:pStyle w:val="Tabletext"/>
              <w:keepNext/>
              <w:keepLines/>
              <w:jc w:val="center"/>
            </w:pPr>
            <w:r w:rsidRPr="00BA4BEB">
              <w:t>4 (3.1)</w:t>
            </w:r>
          </w:p>
        </w:tc>
        <w:tc>
          <w:tcPr>
            <w:tcW w:w="473" w:type="pct"/>
            <w:vAlign w:val="center"/>
          </w:tcPr>
          <w:p w14:paraId="10D05908" w14:textId="77777777" w:rsidR="00853AB0" w:rsidRPr="00BA4BEB" w:rsidRDefault="00853AB0" w:rsidP="00D2039C">
            <w:pPr>
              <w:pStyle w:val="Tabletext"/>
              <w:keepNext/>
              <w:keepLines/>
              <w:jc w:val="center"/>
            </w:pPr>
            <w:r w:rsidRPr="00BA4BEB">
              <w:t>5</w:t>
            </w:r>
            <w:r>
              <w:t xml:space="preserve"> </w:t>
            </w:r>
            <w:r w:rsidRPr="00BA4BEB">
              <w:t>(2.1)</w:t>
            </w:r>
          </w:p>
        </w:tc>
        <w:tc>
          <w:tcPr>
            <w:tcW w:w="471" w:type="pct"/>
            <w:vAlign w:val="center"/>
          </w:tcPr>
          <w:p w14:paraId="23F44B7E" w14:textId="77777777" w:rsidR="00853AB0" w:rsidRPr="00BA4BEB" w:rsidRDefault="00853AB0" w:rsidP="00D2039C">
            <w:pPr>
              <w:pStyle w:val="Tabletext"/>
              <w:keepNext/>
              <w:keepLines/>
              <w:jc w:val="center"/>
            </w:pPr>
            <w:r w:rsidRPr="00BA4BEB">
              <w:t>10</w:t>
            </w:r>
            <w:r>
              <w:t xml:space="preserve"> </w:t>
            </w:r>
            <w:r w:rsidRPr="00BA4BEB">
              <w:t>(4.4)</w:t>
            </w:r>
          </w:p>
        </w:tc>
        <w:tc>
          <w:tcPr>
            <w:tcW w:w="472" w:type="pct"/>
            <w:vAlign w:val="center"/>
          </w:tcPr>
          <w:p w14:paraId="6E00F477" w14:textId="77777777" w:rsidR="00853AB0" w:rsidRPr="00BA4BEB" w:rsidRDefault="00853AB0" w:rsidP="00D2039C">
            <w:pPr>
              <w:pStyle w:val="Tabletext"/>
              <w:keepNext/>
              <w:keepLines/>
              <w:jc w:val="center"/>
            </w:pPr>
            <w:r w:rsidRPr="00BA4BEB">
              <w:t>4</w:t>
            </w:r>
            <w:r>
              <w:t xml:space="preserve"> </w:t>
            </w:r>
            <w:r w:rsidRPr="00BA4BEB">
              <w:t>(1.7)</w:t>
            </w:r>
          </w:p>
        </w:tc>
        <w:tc>
          <w:tcPr>
            <w:tcW w:w="944" w:type="pct"/>
            <w:vAlign w:val="center"/>
          </w:tcPr>
          <w:p w14:paraId="2734501C" w14:textId="51ED14E1" w:rsidR="00853AB0" w:rsidRPr="00BA4BEB" w:rsidRDefault="00853AB0" w:rsidP="00D2039C">
            <w:pPr>
              <w:pStyle w:val="Tabletext"/>
              <w:keepNext/>
              <w:keepLines/>
              <w:jc w:val="center"/>
            </w:pPr>
            <w:r w:rsidRPr="00BA4BEB">
              <w:t xml:space="preserve">1.27 </w:t>
            </w:r>
            <w:r>
              <w:t>(</w:t>
            </w:r>
            <w:r w:rsidRPr="00BA4BEB">
              <w:t>0.35, 4.68)</w:t>
            </w:r>
          </w:p>
        </w:tc>
        <w:tc>
          <w:tcPr>
            <w:tcW w:w="993" w:type="pct"/>
            <w:vAlign w:val="center"/>
          </w:tcPr>
          <w:p w14:paraId="0E91179F" w14:textId="252C6D08" w:rsidR="00853AB0" w:rsidRPr="00BA4BEB" w:rsidRDefault="00853AB0" w:rsidP="00D2039C">
            <w:pPr>
              <w:pStyle w:val="Tabletext"/>
              <w:keepNext/>
              <w:keepLines/>
              <w:jc w:val="center"/>
            </w:pPr>
            <w:r w:rsidRPr="00BA4BEB">
              <w:t>2.54</w:t>
            </w:r>
            <w:r w:rsidR="00D546CB">
              <w:t xml:space="preserve"> </w:t>
            </w:r>
            <w:r w:rsidRPr="00BA4BEB">
              <w:t>(0.81, 7.99)</w:t>
            </w:r>
          </w:p>
        </w:tc>
      </w:tr>
      <w:tr w:rsidR="00D546CB" w:rsidRPr="00BA4BEB" w14:paraId="30C2F40C" w14:textId="77777777" w:rsidTr="00D546CB">
        <w:trPr>
          <w:trHeight w:val="20"/>
        </w:trPr>
        <w:tc>
          <w:tcPr>
            <w:tcW w:w="1176" w:type="pct"/>
            <w:vAlign w:val="bottom"/>
          </w:tcPr>
          <w:p w14:paraId="187684EA" w14:textId="77777777" w:rsidR="00853AB0" w:rsidRPr="00BA4BEB" w:rsidRDefault="00853AB0" w:rsidP="00D2039C">
            <w:pPr>
              <w:pStyle w:val="Tabletext"/>
              <w:keepNext/>
              <w:keepLines/>
            </w:pPr>
            <w:r w:rsidRPr="00BA4BEB">
              <w:t xml:space="preserve">    Natural killer cell count</w:t>
            </w:r>
            <w:r>
              <w:t xml:space="preserve"> </w:t>
            </w:r>
            <w:r w:rsidRPr="00BA4BEB">
              <w:t>decreased</w:t>
            </w:r>
          </w:p>
        </w:tc>
        <w:tc>
          <w:tcPr>
            <w:tcW w:w="471" w:type="pct"/>
            <w:vAlign w:val="center"/>
          </w:tcPr>
          <w:p w14:paraId="15D5CBAB" w14:textId="77777777" w:rsidR="00853AB0" w:rsidRPr="00BA4BEB" w:rsidRDefault="00853AB0" w:rsidP="00D2039C">
            <w:pPr>
              <w:pStyle w:val="Tabletext"/>
              <w:keepNext/>
              <w:keepLines/>
              <w:jc w:val="center"/>
            </w:pPr>
            <w:r w:rsidRPr="00BA4BEB">
              <w:t>NR</w:t>
            </w:r>
          </w:p>
        </w:tc>
        <w:tc>
          <w:tcPr>
            <w:tcW w:w="473" w:type="pct"/>
            <w:vAlign w:val="center"/>
          </w:tcPr>
          <w:p w14:paraId="45F31D9C" w14:textId="77777777" w:rsidR="00853AB0" w:rsidRPr="00BA4BEB" w:rsidRDefault="00853AB0" w:rsidP="00D2039C">
            <w:pPr>
              <w:pStyle w:val="Tabletext"/>
              <w:keepNext/>
              <w:keepLines/>
              <w:jc w:val="center"/>
            </w:pPr>
            <w:r w:rsidRPr="00BA4BEB">
              <w:t>NR</w:t>
            </w:r>
          </w:p>
        </w:tc>
        <w:tc>
          <w:tcPr>
            <w:tcW w:w="471" w:type="pct"/>
            <w:vAlign w:val="center"/>
          </w:tcPr>
          <w:p w14:paraId="1AC3D63F" w14:textId="77777777" w:rsidR="00853AB0" w:rsidRPr="00BA4BEB" w:rsidRDefault="00853AB0" w:rsidP="00D2039C">
            <w:pPr>
              <w:pStyle w:val="Tabletext"/>
              <w:keepNext/>
              <w:keepLines/>
              <w:jc w:val="center"/>
            </w:pPr>
            <w:r w:rsidRPr="00BA4BEB">
              <w:t>NR</w:t>
            </w:r>
          </w:p>
        </w:tc>
        <w:tc>
          <w:tcPr>
            <w:tcW w:w="472" w:type="pct"/>
            <w:vAlign w:val="center"/>
          </w:tcPr>
          <w:p w14:paraId="65FEE9EE" w14:textId="77777777" w:rsidR="00853AB0" w:rsidRPr="00BA4BEB" w:rsidRDefault="00853AB0" w:rsidP="00D2039C">
            <w:pPr>
              <w:pStyle w:val="Tabletext"/>
              <w:keepNext/>
              <w:keepLines/>
              <w:jc w:val="center"/>
            </w:pPr>
            <w:r w:rsidRPr="00BA4BEB">
              <w:t>NR</w:t>
            </w:r>
          </w:p>
        </w:tc>
        <w:tc>
          <w:tcPr>
            <w:tcW w:w="944" w:type="pct"/>
            <w:vAlign w:val="center"/>
          </w:tcPr>
          <w:p w14:paraId="7F612E64" w14:textId="77777777" w:rsidR="00853AB0" w:rsidRPr="00BA4BEB" w:rsidRDefault="00853AB0" w:rsidP="00D2039C">
            <w:pPr>
              <w:pStyle w:val="Tabletext"/>
              <w:keepNext/>
              <w:keepLines/>
              <w:jc w:val="center"/>
            </w:pPr>
            <w:r>
              <w:t>—</w:t>
            </w:r>
          </w:p>
        </w:tc>
        <w:tc>
          <w:tcPr>
            <w:tcW w:w="993" w:type="pct"/>
            <w:vAlign w:val="center"/>
          </w:tcPr>
          <w:p w14:paraId="4E3DB7DA" w14:textId="77777777" w:rsidR="00853AB0" w:rsidRPr="00BA4BEB" w:rsidRDefault="00853AB0" w:rsidP="00D2039C">
            <w:pPr>
              <w:pStyle w:val="Tabletext"/>
              <w:keepNext/>
              <w:keepLines/>
              <w:jc w:val="center"/>
            </w:pPr>
            <w:r>
              <w:t>—</w:t>
            </w:r>
          </w:p>
        </w:tc>
      </w:tr>
      <w:tr w:rsidR="00D546CB" w:rsidRPr="00BA4BEB" w14:paraId="69E7388B" w14:textId="77777777" w:rsidTr="00D546CB">
        <w:trPr>
          <w:trHeight w:val="20"/>
        </w:trPr>
        <w:tc>
          <w:tcPr>
            <w:tcW w:w="1176" w:type="pct"/>
            <w:vAlign w:val="center"/>
          </w:tcPr>
          <w:p w14:paraId="42193FA2" w14:textId="77777777" w:rsidR="00853AB0" w:rsidRPr="00BA4BEB" w:rsidRDefault="00853AB0" w:rsidP="00D2039C">
            <w:pPr>
              <w:pStyle w:val="Tabletext"/>
              <w:keepNext/>
              <w:keepLines/>
            </w:pPr>
            <w:r w:rsidRPr="00BA4BEB">
              <w:t>Nervous system disorders</w:t>
            </w:r>
          </w:p>
        </w:tc>
        <w:tc>
          <w:tcPr>
            <w:tcW w:w="471" w:type="pct"/>
            <w:vAlign w:val="center"/>
          </w:tcPr>
          <w:p w14:paraId="5DAB0A6F" w14:textId="77777777" w:rsidR="00853AB0" w:rsidRPr="00BA4BEB" w:rsidRDefault="00853AB0" w:rsidP="00D2039C">
            <w:pPr>
              <w:pStyle w:val="Tabletext"/>
              <w:keepNext/>
              <w:keepLines/>
              <w:jc w:val="center"/>
            </w:pPr>
            <w:r w:rsidRPr="00BA4BEB">
              <w:t>0</w:t>
            </w:r>
          </w:p>
        </w:tc>
        <w:tc>
          <w:tcPr>
            <w:tcW w:w="473" w:type="pct"/>
            <w:vAlign w:val="center"/>
          </w:tcPr>
          <w:p w14:paraId="05BC2356" w14:textId="77777777" w:rsidR="00853AB0" w:rsidRPr="00BA4BEB" w:rsidRDefault="00853AB0" w:rsidP="00D2039C">
            <w:pPr>
              <w:pStyle w:val="Tabletext"/>
              <w:keepNext/>
              <w:keepLines/>
              <w:jc w:val="center"/>
            </w:pPr>
            <w:r w:rsidRPr="00BA4BEB">
              <w:t>4</w:t>
            </w:r>
            <w:r>
              <w:t xml:space="preserve"> </w:t>
            </w:r>
            <w:r w:rsidRPr="00BA4BEB">
              <w:t>(1.7)</w:t>
            </w:r>
          </w:p>
        </w:tc>
        <w:tc>
          <w:tcPr>
            <w:tcW w:w="471" w:type="pct"/>
            <w:vAlign w:val="center"/>
          </w:tcPr>
          <w:p w14:paraId="1DA45A02" w14:textId="77777777" w:rsidR="00853AB0" w:rsidRPr="00BA4BEB" w:rsidRDefault="00853AB0" w:rsidP="00D2039C">
            <w:pPr>
              <w:pStyle w:val="Tabletext"/>
              <w:keepNext/>
              <w:keepLines/>
              <w:jc w:val="center"/>
            </w:pPr>
            <w:r w:rsidRPr="00BA4BEB">
              <w:t>14</w:t>
            </w:r>
            <w:r>
              <w:t xml:space="preserve"> </w:t>
            </w:r>
            <w:r w:rsidRPr="00BA4BEB">
              <w:t>(6.2)</w:t>
            </w:r>
          </w:p>
        </w:tc>
        <w:tc>
          <w:tcPr>
            <w:tcW w:w="472" w:type="pct"/>
            <w:vAlign w:val="center"/>
          </w:tcPr>
          <w:p w14:paraId="451DC84E" w14:textId="77777777" w:rsidR="00853AB0" w:rsidRPr="00BA4BEB" w:rsidRDefault="00853AB0" w:rsidP="00D2039C">
            <w:pPr>
              <w:pStyle w:val="Tabletext"/>
              <w:keepNext/>
              <w:keepLines/>
              <w:jc w:val="center"/>
            </w:pPr>
            <w:r w:rsidRPr="00BA4BEB">
              <w:t>4</w:t>
            </w:r>
            <w:r>
              <w:t xml:space="preserve"> </w:t>
            </w:r>
            <w:r w:rsidRPr="00BA4BEB">
              <w:t>(1.7)</w:t>
            </w:r>
          </w:p>
        </w:tc>
        <w:tc>
          <w:tcPr>
            <w:tcW w:w="944" w:type="pct"/>
            <w:vAlign w:val="center"/>
          </w:tcPr>
          <w:p w14:paraId="12A5E173" w14:textId="5702D45D" w:rsidR="00853AB0" w:rsidRPr="00BA4BEB" w:rsidRDefault="00853AB0" w:rsidP="00D2039C">
            <w:pPr>
              <w:pStyle w:val="Tabletext"/>
              <w:keepNext/>
              <w:keepLines/>
              <w:jc w:val="center"/>
            </w:pPr>
            <w:r w:rsidRPr="00BA4BEB">
              <w:t xml:space="preserve">1.02 </w:t>
            </w:r>
            <w:r>
              <w:t>(</w:t>
            </w:r>
            <w:r w:rsidRPr="00BA4BEB">
              <w:t>0.26, 4.02)</w:t>
            </w:r>
          </w:p>
        </w:tc>
        <w:tc>
          <w:tcPr>
            <w:tcW w:w="993" w:type="pct"/>
            <w:vAlign w:val="center"/>
          </w:tcPr>
          <w:p w14:paraId="00C6C270" w14:textId="77777777" w:rsidR="00853AB0" w:rsidRDefault="00853AB0" w:rsidP="00D2039C">
            <w:pPr>
              <w:pStyle w:val="Tabletext"/>
              <w:keepNext/>
              <w:keepLines/>
              <w:jc w:val="center"/>
            </w:pPr>
            <w:r w:rsidRPr="00BA4BEB">
              <w:t>3.56</w:t>
            </w:r>
          </w:p>
          <w:p w14:paraId="641DE501" w14:textId="77777777" w:rsidR="00853AB0" w:rsidRPr="00BA4BEB" w:rsidRDefault="00853AB0" w:rsidP="00D2039C">
            <w:pPr>
              <w:pStyle w:val="Tabletext"/>
              <w:keepNext/>
              <w:keepLines/>
              <w:jc w:val="center"/>
            </w:pPr>
            <w:r w:rsidRPr="00BA4BEB">
              <w:t>(1.19, 10.66)</w:t>
            </w:r>
          </w:p>
        </w:tc>
      </w:tr>
      <w:tr w:rsidR="00D546CB" w:rsidRPr="00BA4BEB" w14:paraId="30F6FE8E" w14:textId="77777777" w:rsidTr="00D546CB">
        <w:trPr>
          <w:trHeight w:val="20"/>
        </w:trPr>
        <w:tc>
          <w:tcPr>
            <w:tcW w:w="1176" w:type="pct"/>
            <w:vAlign w:val="center"/>
          </w:tcPr>
          <w:p w14:paraId="6671285A" w14:textId="77777777" w:rsidR="00853AB0" w:rsidRPr="00BA4BEB" w:rsidRDefault="00853AB0" w:rsidP="00D2039C">
            <w:pPr>
              <w:pStyle w:val="Tabletext"/>
              <w:keepNext/>
              <w:keepLines/>
            </w:pPr>
            <w:r w:rsidRPr="00BA4BEB">
              <w:t xml:space="preserve">    Dizziness</w:t>
            </w:r>
          </w:p>
        </w:tc>
        <w:tc>
          <w:tcPr>
            <w:tcW w:w="471" w:type="pct"/>
            <w:vAlign w:val="center"/>
          </w:tcPr>
          <w:p w14:paraId="1E25E834" w14:textId="77777777" w:rsidR="00853AB0" w:rsidRPr="00BA4BEB" w:rsidRDefault="00853AB0" w:rsidP="00D2039C">
            <w:pPr>
              <w:pStyle w:val="Tabletext"/>
              <w:keepNext/>
              <w:keepLines/>
              <w:jc w:val="center"/>
            </w:pPr>
            <w:r w:rsidRPr="00BA4BEB">
              <w:t>0</w:t>
            </w:r>
          </w:p>
        </w:tc>
        <w:tc>
          <w:tcPr>
            <w:tcW w:w="473" w:type="pct"/>
            <w:vAlign w:val="center"/>
          </w:tcPr>
          <w:p w14:paraId="2F49CEC2" w14:textId="77777777" w:rsidR="00853AB0" w:rsidRPr="00BA4BEB" w:rsidRDefault="00853AB0" w:rsidP="00D2039C">
            <w:pPr>
              <w:pStyle w:val="Tabletext"/>
              <w:keepNext/>
              <w:keepLines/>
              <w:jc w:val="center"/>
            </w:pPr>
            <w:r w:rsidRPr="00BA4BEB">
              <w:t>1</w:t>
            </w:r>
            <w:r>
              <w:t xml:space="preserve"> </w:t>
            </w:r>
            <w:r w:rsidRPr="00BA4BEB">
              <w:t>(0.4)</w:t>
            </w:r>
          </w:p>
        </w:tc>
        <w:tc>
          <w:tcPr>
            <w:tcW w:w="471" w:type="pct"/>
            <w:vAlign w:val="center"/>
          </w:tcPr>
          <w:p w14:paraId="3D8DC756" w14:textId="77777777" w:rsidR="00853AB0" w:rsidRPr="00BA4BEB" w:rsidRDefault="00853AB0" w:rsidP="00D2039C">
            <w:pPr>
              <w:pStyle w:val="Tabletext"/>
              <w:keepNext/>
              <w:keepLines/>
              <w:jc w:val="center"/>
            </w:pPr>
            <w:r w:rsidRPr="00BA4BEB">
              <w:t>5</w:t>
            </w:r>
            <w:r>
              <w:t xml:space="preserve"> </w:t>
            </w:r>
            <w:r w:rsidRPr="00BA4BEB">
              <w:t>(2.2)</w:t>
            </w:r>
          </w:p>
        </w:tc>
        <w:tc>
          <w:tcPr>
            <w:tcW w:w="472" w:type="pct"/>
            <w:vAlign w:val="center"/>
          </w:tcPr>
          <w:p w14:paraId="03250670" w14:textId="77777777" w:rsidR="00853AB0" w:rsidRPr="00BA4BEB" w:rsidRDefault="00853AB0" w:rsidP="00D2039C">
            <w:pPr>
              <w:pStyle w:val="Tabletext"/>
              <w:keepNext/>
              <w:keepLines/>
              <w:jc w:val="center"/>
            </w:pPr>
            <w:r w:rsidRPr="00BA4BEB">
              <w:t>0</w:t>
            </w:r>
          </w:p>
        </w:tc>
        <w:tc>
          <w:tcPr>
            <w:tcW w:w="944" w:type="pct"/>
            <w:vAlign w:val="center"/>
          </w:tcPr>
          <w:p w14:paraId="3E74A225" w14:textId="77777777" w:rsidR="00853AB0" w:rsidRPr="00BA4BEB" w:rsidRDefault="00853AB0" w:rsidP="00D2039C">
            <w:pPr>
              <w:pStyle w:val="Tabletext"/>
              <w:keepNext/>
              <w:keepLines/>
              <w:jc w:val="center"/>
            </w:pPr>
            <w:r w:rsidRPr="00BA4BEB">
              <w:t>NE</w:t>
            </w:r>
          </w:p>
        </w:tc>
        <w:tc>
          <w:tcPr>
            <w:tcW w:w="993" w:type="pct"/>
            <w:vAlign w:val="center"/>
          </w:tcPr>
          <w:p w14:paraId="1B7D4CC6" w14:textId="77777777" w:rsidR="00853AB0" w:rsidRPr="00BA4BEB" w:rsidRDefault="00853AB0" w:rsidP="00D2039C">
            <w:pPr>
              <w:pStyle w:val="Tabletext"/>
              <w:keepNext/>
              <w:keepLines/>
              <w:jc w:val="center"/>
            </w:pPr>
            <w:r w:rsidRPr="00BA4BEB">
              <w:t>NE</w:t>
            </w:r>
          </w:p>
        </w:tc>
      </w:tr>
      <w:tr w:rsidR="00D546CB" w:rsidRPr="00BA4BEB" w14:paraId="6EC0BAC0" w14:textId="77777777" w:rsidTr="00D546CB">
        <w:trPr>
          <w:trHeight w:val="20"/>
        </w:trPr>
        <w:tc>
          <w:tcPr>
            <w:tcW w:w="1176" w:type="pct"/>
            <w:vAlign w:val="center"/>
          </w:tcPr>
          <w:p w14:paraId="0E905106" w14:textId="77777777" w:rsidR="00853AB0" w:rsidRPr="00BA4BEB" w:rsidRDefault="00853AB0" w:rsidP="00D2039C">
            <w:pPr>
              <w:pStyle w:val="Tabletext"/>
              <w:keepNext/>
              <w:keepLines/>
            </w:pPr>
            <w:r w:rsidRPr="00BA4BEB">
              <w:t xml:space="preserve">    Headache</w:t>
            </w:r>
          </w:p>
        </w:tc>
        <w:tc>
          <w:tcPr>
            <w:tcW w:w="471" w:type="pct"/>
            <w:vAlign w:val="center"/>
          </w:tcPr>
          <w:p w14:paraId="518118F0" w14:textId="77777777" w:rsidR="00853AB0" w:rsidRPr="00BA4BEB" w:rsidRDefault="00853AB0" w:rsidP="00D2039C">
            <w:pPr>
              <w:pStyle w:val="Tabletext"/>
              <w:keepNext/>
              <w:keepLines/>
              <w:jc w:val="center"/>
            </w:pPr>
            <w:r w:rsidRPr="00BA4BEB">
              <w:t>0</w:t>
            </w:r>
          </w:p>
        </w:tc>
        <w:tc>
          <w:tcPr>
            <w:tcW w:w="473" w:type="pct"/>
            <w:vAlign w:val="center"/>
          </w:tcPr>
          <w:p w14:paraId="60A68D25" w14:textId="77777777" w:rsidR="00853AB0" w:rsidRPr="00BA4BEB" w:rsidRDefault="00853AB0" w:rsidP="00D2039C">
            <w:pPr>
              <w:pStyle w:val="Tabletext"/>
              <w:keepNext/>
              <w:keepLines/>
              <w:jc w:val="center"/>
            </w:pPr>
            <w:r w:rsidRPr="00BA4BEB">
              <w:t>2</w:t>
            </w:r>
            <w:r>
              <w:t xml:space="preserve"> </w:t>
            </w:r>
            <w:r w:rsidRPr="00BA4BEB">
              <w:t>(0.8)</w:t>
            </w:r>
          </w:p>
        </w:tc>
        <w:tc>
          <w:tcPr>
            <w:tcW w:w="471" w:type="pct"/>
            <w:vAlign w:val="center"/>
          </w:tcPr>
          <w:p w14:paraId="7081BC19" w14:textId="77777777" w:rsidR="00853AB0" w:rsidRPr="00BA4BEB" w:rsidRDefault="00853AB0" w:rsidP="00D2039C">
            <w:pPr>
              <w:pStyle w:val="Tabletext"/>
              <w:keepNext/>
              <w:keepLines/>
              <w:jc w:val="center"/>
            </w:pPr>
            <w:r w:rsidRPr="00BA4BEB">
              <w:t>8</w:t>
            </w:r>
            <w:r>
              <w:t xml:space="preserve"> </w:t>
            </w:r>
            <w:r w:rsidRPr="00BA4BEB">
              <w:t>(3.5)</w:t>
            </w:r>
          </w:p>
        </w:tc>
        <w:tc>
          <w:tcPr>
            <w:tcW w:w="472" w:type="pct"/>
            <w:vAlign w:val="center"/>
          </w:tcPr>
          <w:p w14:paraId="3C1A0E5B" w14:textId="77777777" w:rsidR="00853AB0" w:rsidRPr="00BA4BEB" w:rsidRDefault="00853AB0" w:rsidP="00D2039C">
            <w:pPr>
              <w:pStyle w:val="Tabletext"/>
              <w:keepNext/>
              <w:keepLines/>
              <w:jc w:val="center"/>
            </w:pPr>
            <w:r w:rsidRPr="00BA4BEB">
              <w:t>4</w:t>
            </w:r>
            <w:r>
              <w:t xml:space="preserve"> </w:t>
            </w:r>
            <w:r w:rsidRPr="00BA4BEB">
              <w:t>(1.7)</w:t>
            </w:r>
          </w:p>
        </w:tc>
        <w:tc>
          <w:tcPr>
            <w:tcW w:w="944" w:type="pct"/>
            <w:vAlign w:val="center"/>
          </w:tcPr>
          <w:p w14:paraId="425A43B5" w14:textId="09725A9E" w:rsidR="00853AB0" w:rsidRPr="00BA4BEB" w:rsidRDefault="00853AB0" w:rsidP="00D2039C">
            <w:pPr>
              <w:pStyle w:val="Tabletext"/>
              <w:keepNext/>
              <w:keepLines/>
              <w:jc w:val="center"/>
            </w:pPr>
            <w:r w:rsidRPr="00BA4BEB">
              <w:t xml:space="preserve">0.51 </w:t>
            </w:r>
            <w:r>
              <w:t>(</w:t>
            </w:r>
            <w:r w:rsidRPr="00BA4BEB">
              <w:t>0.09, 2.75)</w:t>
            </w:r>
          </w:p>
        </w:tc>
        <w:tc>
          <w:tcPr>
            <w:tcW w:w="993" w:type="pct"/>
            <w:vAlign w:val="center"/>
          </w:tcPr>
          <w:p w14:paraId="2184626D" w14:textId="72F56619" w:rsidR="00853AB0" w:rsidRPr="00BA4BEB" w:rsidRDefault="00853AB0" w:rsidP="00D2039C">
            <w:pPr>
              <w:pStyle w:val="Tabletext"/>
              <w:keepNext/>
              <w:keepLines/>
              <w:jc w:val="center"/>
            </w:pPr>
            <w:r w:rsidRPr="00BA4BEB">
              <w:t>2.03</w:t>
            </w:r>
            <w:r w:rsidR="00D546CB">
              <w:t xml:space="preserve"> </w:t>
            </w:r>
            <w:r w:rsidRPr="00BA4BEB">
              <w:t>(0.62, 6.66)</w:t>
            </w:r>
          </w:p>
        </w:tc>
      </w:tr>
      <w:tr w:rsidR="00D546CB" w:rsidRPr="00BA4BEB" w14:paraId="6BE48D29" w14:textId="77777777" w:rsidTr="00D546CB">
        <w:trPr>
          <w:trHeight w:val="20"/>
        </w:trPr>
        <w:tc>
          <w:tcPr>
            <w:tcW w:w="1176" w:type="pct"/>
            <w:vAlign w:val="center"/>
          </w:tcPr>
          <w:p w14:paraId="72C938B4" w14:textId="77777777" w:rsidR="00853AB0" w:rsidRPr="00BA4BEB" w:rsidRDefault="00853AB0" w:rsidP="00D2039C">
            <w:pPr>
              <w:pStyle w:val="Tabletext"/>
              <w:keepNext/>
              <w:keepLines/>
            </w:pPr>
            <w:r w:rsidRPr="00BA4BEB">
              <w:t>Psychiatric disorders</w:t>
            </w:r>
          </w:p>
        </w:tc>
        <w:tc>
          <w:tcPr>
            <w:tcW w:w="471" w:type="pct"/>
            <w:vAlign w:val="center"/>
          </w:tcPr>
          <w:p w14:paraId="2C915365" w14:textId="77777777" w:rsidR="00853AB0" w:rsidRPr="00BA4BEB" w:rsidRDefault="00853AB0" w:rsidP="00D2039C">
            <w:pPr>
              <w:pStyle w:val="Tabletext"/>
              <w:keepNext/>
              <w:keepLines/>
              <w:jc w:val="center"/>
            </w:pPr>
            <w:r w:rsidRPr="00BA4BEB">
              <w:t>0</w:t>
            </w:r>
          </w:p>
        </w:tc>
        <w:tc>
          <w:tcPr>
            <w:tcW w:w="473" w:type="pct"/>
            <w:vAlign w:val="center"/>
          </w:tcPr>
          <w:p w14:paraId="5E3902DC" w14:textId="77777777" w:rsidR="00853AB0" w:rsidRPr="00BA4BEB" w:rsidRDefault="00853AB0" w:rsidP="00D2039C">
            <w:pPr>
              <w:pStyle w:val="Tabletext"/>
              <w:keepNext/>
              <w:keepLines/>
              <w:jc w:val="center"/>
            </w:pPr>
            <w:r w:rsidRPr="00BA4BEB">
              <w:t>1</w:t>
            </w:r>
            <w:r>
              <w:t xml:space="preserve"> </w:t>
            </w:r>
            <w:r w:rsidRPr="00BA4BEB">
              <w:t>(0.4)</w:t>
            </w:r>
          </w:p>
        </w:tc>
        <w:tc>
          <w:tcPr>
            <w:tcW w:w="471" w:type="pct"/>
            <w:vAlign w:val="center"/>
          </w:tcPr>
          <w:p w14:paraId="4C2FA277" w14:textId="77777777" w:rsidR="00853AB0" w:rsidRPr="00BA4BEB" w:rsidRDefault="00853AB0" w:rsidP="00D2039C">
            <w:pPr>
              <w:pStyle w:val="Tabletext"/>
              <w:keepNext/>
              <w:keepLines/>
              <w:jc w:val="center"/>
            </w:pPr>
            <w:r w:rsidRPr="00BA4BEB">
              <w:t>5</w:t>
            </w:r>
            <w:r>
              <w:t xml:space="preserve"> </w:t>
            </w:r>
            <w:r w:rsidRPr="00BA4BEB">
              <w:t>(2.2)</w:t>
            </w:r>
          </w:p>
        </w:tc>
        <w:tc>
          <w:tcPr>
            <w:tcW w:w="472" w:type="pct"/>
            <w:vAlign w:val="center"/>
          </w:tcPr>
          <w:p w14:paraId="5A788253" w14:textId="77777777" w:rsidR="00853AB0" w:rsidRPr="00BA4BEB" w:rsidRDefault="00853AB0" w:rsidP="00D2039C">
            <w:pPr>
              <w:pStyle w:val="Tabletext"/>
              <w:keepNext/>
              <w:keepLines/>
              <w:jc w:val="center"/>
            </w:pPr>
            <w:r w:rsidRPr="00BA4BEB">
              <w:t>1</w:t>
            </w:r>
            <w:r>
              <w:t xml:space="preserve"> </w:t>
            </w:r>
            <w:r w:rsidRPr="00BA4BEB">
              <w:t>(0.4)</w:t>
            </w:r>
          </w:p>
        </w:tc>
        <w:tc>
          <w:tcPr>
            <w:tcW w:w="944" w:type="pct"/>
            <w:vAlign w:val="center"/>
          </w:tcPr>
          <w:p w14:paraId="35573BD9" w14:textId="6687297C" w:rsidR="00853AB0" w:rsidRPr="00BA4BEB" w:rsidRDefault="00853AB0" w:rsidP="00D2039C">
            <w:pPr>
              <w:pStyle w:val="Tabletext"/>
              <w:keepNext/>
              <w:keepLines/>
              <w:jc w:val="center"/>
            </w:pPr>
            <w:r w:rsidRPr="00BA4BEB">
              <w:t xml:space="preserve">1.02 </w:t>
            </w:r>
            <w:r>
              <w:t>(</w:t>
            </w:r>
            <w:r w:rsidRPr="00BA4BEB">
              <w:t>0.06, 16.16)</w:t>
            </w:r>
          </w:p>
        </w:tc>
        <w:tc>
          <w:tcPr>
            <w:tcW w:w="993" w:type="pct"/>
            <w:vAlign w:val="center"/>
          </w:tcPr>
          <w:p w14:paraId="0296BD30" w14:textId="3168B065" w:rsidR="00853AB0" w:rsidRPr="00BA4BEB" w:rsidRDefault="00853AB0" w:rsidP="00D2039C">
            <w:pPr>
              <w:pStyle w:val="Tabletext"/>
              <w:keepNext/>
              <w:keepLines/>
              <w:jc w:val="center"/>
            </w:pPr>
            <w:r w:rsidRPr="00BA4BEB">
              <w:t>5.08</w:t>
            </w:r>
            <w:r w:rsidR="00D546CB">
              <w:t xml:space="preserve"> </w:t>
            </w:r>
            <w:r w:rsidRPr="00BA4BEB">
              <w:t>(0.6, 43.19)</w:t>
            </w:r>
          </w:p>
        </w:tc>
      </w:tr>
      <w:tr w:rsidR="00D546CB" w:rsidRPr="00BA4BEB" w14:paraId="56F31DF1" w14:textId="77777777" w:rsidTr="00D546CB">
        <w:trPr>
          <w:trHeight w:val="20"/>
        </w:trPr>
        <w:tc>
          <w:tcPr>
            <w:tcW w:w="1176" w:type="pct"/>
            <w:vAlign w:val="center"/>
          </w:tcPr>
          <w:p w14:paraId="3A085CFA" w14:textId="77777777" w:rsidR="00853AB0" w:rsidRPr="00BA4BEB" w:rsidRDefault="00853AB0" w:rsidP="00D2039C">
            <w:pPr>
              <w:pStyle w:val="Tabletext"/>
              <w:keepNext/>
              <w:keepLines/>
            </w:pPr>
            <w:r w:rsidRPr="00BA4BEB">
              <w:t>Respiratory, thoracic and mediastinal disorders</w:t>
            </w:r>
          </w:p>
        </w:tc>
        <w:tc>
          <w:tcPr>
            <w:tcW w:w="471" w:type="pct"/>
            <w:vAlign w:val="center"/>
          </w:tcPr>
          <w:p w14:paraId="6DE3AFC5" w14:textId="77777777" w:rsidR="00853AB0" w:rsidRPr="00BA4BEB" w:rsidRDefault="00853AB0" w:rsidP="00D2039C">
            <w:pPr>
              <w:pStyle w:val="Tabletext"/>
              <w:keepNext/>
              <w:keepLines/>
              <w:jc w:val="center"/>
            </w:pPr>
            <w:r w:rsidRPr="00BA4BEB">
              <w:t>4 (3.1)</w:t>
            </w:r>
          </w:p>
        </w:tc>
        <w:tc>
          <w:tcPr>
            <w:tcW w:w="473" w:type="pct"/>
            <w:vAlign w:val="center"/>
          </w:tcPr>
          <w:p w14:paraId="52DB074F" w14:textId="77777777" w:rsidR="00853AB0" w:rsidRPr="00BA4BEB" w:rsidRDefault="00853AB0" w:rsidP="00D2039C">
            <w:pPr>
              <w:pStyle w:val="Tabletext"/>
              <w:keepNext/>
              <w:keepLines/>
              <w:jc w:val="center"/>
            </w:pPr>
            <w:r w:rsidRPr="00BA4BEB">
              <w:t>1</w:t>
            </w:r>
            <w:r>
              <w:t xml:space="preserve"> </w:t>
            </w:r>
            <w:r w:rsidRPr="00BA4BEB">
              <w:t>(0.4)</w:t>
            </w:r>
          </w:p>
        </w:tc>
        <w:tc>
          <w:tcPr>
            <w:tcW w:w="471" w:type="pct"/>
            <w:vAlign w:val="center"/>
          </w:tcPr>
          <w:p w14:paraId="37B44D86" w14:textId="77777777" w:rsidR="00853AB0" w:rsidRPr="00BA4BEB" w:rsidRDefault="00853AB0" w:rsidP="00D2039C">
            <w:pPr>
              <w:pStyle w:val="Tabletext"/>
              <w:keepNext/>
              <w:keepLines/>
              <w:jc w:val="center"/>
            </w:pPr>
            <w:r w:rsidRPr="00BA4BEB">
              <w:t>2</w:t>
            </w:r>
            <w:r>
              <w:t xml:space="preserve"> </w:t>
            </w:r>
            <w:r w:rsidRPr="00BA4BEB">
              <w:t>(0.9)</w:t>
            </w:r>
          </w:p>
        </w:tc>
        <w:tc>
          <w:tcPr>
            <w:tcW w:w="472" w:type="pct"/>
            <w:vAlign w:val="center"/>
          </w:tcPr>
          <w:p w14:paraId="1B0ECFC5" w14:textId="77777777" w:rsidR="00853AB0" w:rsidRPr="00BA4BEB" w:rsidRDefault="00853AB0" w:rsidP="00D2039C">
            <w:pPr>
              <w:pStyle w:val="Tabletext"/>
              <w:keepNext/>
              <w:keepLines/>
              <w:jc w:val="center"/>
            </w:pPr>
            <w:r w:rsidRPr="00BA4BEB">
              <w:t>1</w:t>
            </w:r>
            <w:r>
              <w:t xml:space="preserve"> </w:t>
            </w:r>
            <w:r w:rsidRPr="00BA4BEB">
              <w:t>(0.4)</w:t>
            </w:r>
          </w:p>
        </w:tc>
        <w:tc>
          <w:tcPr>
            <w:tcW w:w="944" w:type="pct"/>
            <w:vAlign w:val="center"/>
          </w:tcPr>
          <w:p w14:paraId="5D7F65F5" w14:textId="76967A14" w:rsidR="00853AB0" w:rsidRPr="00BA4BEB" w:rsidRDefault="00853AB0" w:rsidP="00D2039C">
            <w:pPr>
              <w:pStyle w:val="Tabletext"/>
              <w:keepNext/>
              <w:keepLines/>
              <w:jc w:val="center"/>
            </w:pPr>
            <w:r w:rsidRPr="00BA4BEB">
              <w:t xml:space="preserve">1.02 </w:t>
            </w:r>
            <w:r>
              <w:t>(</w:t>
            </w:r>
            <w:r w:rsidRPr="00BA4BEB">
              <w:t>0.06, 16.16)</w:t>
            </w:r>
          </w:p>
        </w:tc>
        <w:tc>
          <w:tcPr>
            <w:tcW w:w="993" w:type="pct"/>
            <w:vAlign w:val="center"/>
          </w:tcPr>
          <w:p w14:paraId="2C9B254F" w14:textId="4B5B632F" w:rsidR="00853AB0" w:rsidRPr="00BA4BEB" w:rsidRDefault="00853AB0" w:rsidP="00D2039C">
            <w:pPr>
              <w:pStyle w:val="Tabletext"/>
              <w:keepNext/>
              <w:keepLines/>
              <w:jc w:val="center"/>
            </w:pPr>
            <w:r w:rsidRPr="00BA4BEB">
              <w:t>2.03</w:t>
            </w:r>
            <w:r w:rsidR="00D546CB">
              <w:t xml:space="preserve"> </w:t>
            </w:r>
            <w:r w:rsidRPr="00BA4BEB">
              <w:t>(0.19, 22.28)</w:t>
            </w:r>
          </w:p>
        </w:tc>
      </w:tr>
      <w:tr w:rsidR="00D546CB" w:rsidRPr="00BA4BEB" w14:paraId="4DE79D0D" w14:textId="77777777" w:rsidTr="00D546CB">
        <w:trPr>
          <w:trHeight w:val="20"/>
        </w:trPr>
        <w:tc>
          <w:tcPr>
            <w:tcW w:w="1176" w:type="pct"/>
            <w:vAlign w:val="center"/>
          </w:tcPr>
          <w:p w14:paraId="47D08303" w14:textId="77777777" w:rsidR="00853AB0" w:rsidRPr="00BA4BEB" w:rsidRDefault="00853AB0" w:rsidP="00D2039C">
            <w:pPr>
              <w:pStyle w:val="Tabletext"/>
              <w:keepNext/>
              <w:keepLines/>
            </w:pPr>
            <w:r w:rsidRPr="00BA4BEB">
              <w:t>Skin and subcutaneous tissue disorders</w:t>
            </w:r>
          </w:p>
        </w:tc>
        <w:tc>
          <w:tcPr>
            <w:tcW w:w="471" w:type="pct"/>
            <w:vAlign w:val="center"/>
          </w:tcPr>
          <w:p w14:paraId="253EE97A" w14:textId="77777777" w:rsidR="00853AB0" w:rsidRPr="00BA4BEB" w:rsidRDefault="00853AB0" w:rsidP="00D2039C">
            <w:pPr>
              <w:pStyle w:val="Tabletext"/>
              <w:keepNext/>
              <w:keepLines/>
              <w:jc w:val="center"/>
            </w:pPr>
            <w:r w:rsidRPr="00BA4BEB">
              <w:t>3 (2.3)</w:t>
            </w:r>
          </w:p>
        </w:tc>
        <w:tc>
          <w:tcPr>
            <w:tcW w:w="473" w:type="pct"/>
            <w:vAlign w:val="center"/>
          </w:tcPr>
          <w:p w14:paraId="798FA98F" w14:textId="77777777" w:rsidR="00853AB0" w:rsidRPr="00BA4BEB" w:rsidRDefault="00853AB0" w:rsidP="00D2039C">
            <w:pPr>
              <w:pStyle w:val="Tabletext"/>
              <w:keepNext/>
              <w:keepLines/>
              <w:jc w:val="center"/>
            </w:pPr>
            <w:r w:rsidRPr="00BA4BEB">
              <w:t>9</w:t>
            </w:r>
            <w:r>
              <w:t xml:space="preserve"> </w:t>
            </w:r>
            <w:r w:rsidRPr="00BA4BEB">
              <w:t>(3.8)</w:t>
            </w:r>
          </w:p>
        </w:tc>
        <w:tc>
          <w:tcPr>
            <w:tcW w:w="471" w:type="pct"/>
            <w:vAlign w:val="center"/>
          </w:tcPr>
          <w:p w14:paraId="1768D4A7" w14:textId="77777777" w:rsidR="00853AB0" w:rsidRPr="00BA4BEB" w:rsidRDefault="00853AB0" w:rsidP="00D2039C">
            <w:pPr>
              <w:pStyle w:val="Tabletext"/>
              <w:keepNext/>
              <w:keepLines/>
              <w:jc w:val="center"/>
            </w:pPr>
            <w:r w:rsidRPr="00BA4BEB">
              <w:t>9</w:t>
            </w:r>
            <w:r>
              <w:t xml:space="preserve"> </w:t>
            </w:r>
            <w:r w:rsidRPr="00BA4BEB">
              <w:t>(4.0)</w:t>
            </w:r>
          </w:p>
        </w:tc>
        <w:tc>
          <w:tcPr>
            <w:tcW w:w="472" w:type="pct"/>
            <w:vAlign w:val="center"/>
          </w:tcPr>
          <w:p w14:paraId="2BB2CE54" w14:textId="77777777" w:rsidR="00853AB0" w:rsidRPr="00BA4BEB" w:rsidRDefault="00853AB0" w:rsidP="00D2039C">
            <w:pPr>
              <w:pStyle w:val="Tabletext"/>
              <w:keepNext/>
              <w:keepLines/>
              <w:jc w:val="center"/>
            </w:pPr>
            <w:r w:rsidRPr="00BA4BEB">
              <w:t>7</w:t>
            </w:r>
            <w:r>
              <w:t xml:space="preserve"> </w:t>
            </w:r>
            <w:r w:rsidRPr="00BA4BEB">
              <w:t>(2.9)</w:t>
            </w:r>
          </w:p>
        </w:tc>
        <w:tc>
          <w:tcPr>
            <w:tcW w:w="944" w:type="pct"/>
            <w:vAlign w:val="center"/>
          </w:tcPr>
          <w:p w14:paraId="3D91814F" w14:textId="0F0F21B7" w:rsidR="00853AB0" w:rsidRPr="00BA4BEB" w:rsidRDefault="00853AB0" w:rsidP="00D2039C">
            <w:pPr>
              <w:pStyle w:val="Tabletext"/>
              <w:keepNext/>
              <w:keepLines/>
              <w:jc w:val="center"/>
            </w:pPr>
            <w:r w:rsidRPr="00BA4BEB">
              <w:t xml:space="preserve">1.31 </w:t>
            </w:r>
            <w:r>
              <w:t>(</w:t>
            </w:r>
            <w:r w:rsidRPr="00BA4BEB">
              <w:t>0.49, 3.45)</w:t>
            </w:r>
          </w:p>
        </w:tc>
        <w:tc>
          <w:tcPr>
            <w:tcW w:w="993" w:type="pct"/>
            <w:vAlign w:val="center"/>
          </w:tcPr>
          <w:p w14:paraId="1E98259C" w14:textId="101F646C" w:rsidR="00853AB0" w:rsidRPr="00BA4BEB" w:rsidRDefault="00853AB0" w:rsidP="00D2039C">
            <w:pPr>
              <w:pStyle w:val="Tabletext"/>
              <w:keepNext/>
              <w:keepLines/>
              <w:jc w:val="center"/>
            </w:pPr>
            <w:r w:rsidRPr="00BA4BEB">
              <w:t>1.31</w:t>
            </w:r>
            <w:r w:rsidR="00D546CB">
              <w:t xml:space="preserve"> </w:t>
            </w:r>
            <w:r w:rsidRPr="00BA4BEB">
              <w:t>(0.49, 3.45)</w:t>
            </w:r>
          </w:p>
        </w:tc>
      </w:tr>
      <w:tr w:rsidR="00D546CB" w:rsidRPr="00BA4BEB" w14:paraId="2DDE5147" w14:textId="77777777" w:rsidTr="00D546CB">
        <w:trPr>
          <w:trHeight w:val="20"/>
        </w:trPr>
        <w:tc>
          <w:tcPr>
            <w:tcW w:w="1176" w:type="pct"/>
            <w:vAlign w:val="center"/>
          </w:tcPr>
          <w:p w14:paraId="4980CB39" w14:textId="77777777" w:rsidR="00853AB0" w:rsidRPr="00BA4BEB" w:rsidRDefault="00853AB0" w:rsidP="00D2039C">
            <w:pPr>
              <w:pStyle w:val="Tabletext"/>
              <w:keepNext/>
              <w:keepLines/>
            </w:pPr>
            <w:r w:rsidRPr="00BA4BEB">
              <w:t xml:space="preserve">    Acne</w:t>
            </w:r>
          </w:p>
        </w:tc>
        <w:tc>
          <w:tcPr>
            <w:tcW w:w="471" w:type="pct"/>
            <w:vAlign w:val="center"/>
          </w:tcPr>
          <w:p w14:paraId="6D0118D4" w14:textId="77777777" w:rsidR="00853AB0" w:rsidRPr="00BA4BEB" w:rsidRDefault="00853AB0" w:rsidP="00D2039C">
            <w:pPr>
              <w:pStyle w:val="Tabletext"/>
              <w:keepNext/>
              <w:keepLines/>
              <w:jc w:val="center"/>
            </w:pPr>
            <w:r w:rsidRPr="00BA4BEB">
              <w:t>0</w:t>
            </w:r>
          </w:p>
        </w:tc>
        <w:tc>
          <w:tcPr>
            <w:tcW w:w="473" w:type="pct"/>
            <w:vAlign w:val="center"/>
          </w:tcPr>
          <w:p w14:paraId="5E227606" w14:textId="77777777" w:rsidR="00853AB0" w:rsidRPr="00BA4BEB" w:rsidRDefault="00853AB0" w:rsidP="00D2039C">
            <w:pPr>
              <w:pStyle w:val="Tabletext"/>
              <w:keepNext/>
              <w:keepLines/>
              <w:jc w:val="center"/>
            </w:pPr>
            <w:r w:rsidRPr="00BA4BEB">
              <w:t>4</w:t>
            </w:r>
            <w:r>
              <w:t xml:space="preserve"> </w:t>
            </w:r>
            <w:r w:rsidRPr="00BA4BEB">
              <w:t>(1.7)</w:t>
            </w:r>
          </w:p>
        </w:tc>
        <w:tc>
          <w:tcPr>
            <w:tcW w:w="471" w:type="pct"/>
            <w:vAlign w:val="center"/>
          </w:tcPr>
          <w:p w14:paraId="6B16AB81" w14:textId="77777777" w:rsidR="00853AB0" w:rsidRPr="00BA4BEB" w:rsidRDefault="00853AB0" w:rsidP="00D2039C">
            <w:pPr>
              <w:pStyle w:val="Tabletext"/>
              <w:keepNext/>
              <w:keepLines/>
              <w:jc w:val="center"/>
            </w:pPr>
            <w:r w:rsidRPr="00BA4BEB">
              <w:t>8</w:t>
            </w:r>
            <w:r>
              <w:t xml:space="preserve"> </w:t>
            </w:r>
            <w:r w:rsidRPr="00BA4BEB">
              <w:t>(3.5)</w:t>
            </w:r>
          </w:p>
        </w:tc>
        <w:tc>
          <w:tcPr>
            <w:tcW w:w="472" w:type="pct"/>
            <w:vAlign w:val="center"/>
          </w:tcPr>
          <w:p w14:paraId="5FBE6035" w14:textId="77777777" w:rsidR="00853AB0" w:rsidRPr="00BA4BEB" w:rsidRDefault="00853AB0" w:rsidP="00D2039C">
            <w:pPr>
              <w:pStyle w:val="Tabletext"/>
              <w:keepNext/>
              <w:keepLines/>
              <w:jc w:val="center"/>
            </w:pPr>
            <w:r w:rsidRPr="00BA4BEB">
              <w:t>2</w:t>
            </w:r>
            <w:r>
              <w:t xml:space="preserve"> </w:t>
            </w:r>
            <w:r w:rsidRPr="00BA4BEB">
              <w:t>(0.8)</w:t>
            </w:r>
          </w:p>
        </w:tc>
        <w:tc>
          <w:tcPr>
            <w:tcW w:w="944" w:type="pct"/>
            <w:vAlign w:val="center"/>
          </w:tcPr>
          <w:p w14:paraId="64DF5DEF" w14:textId="75DF87C2" w:rsidR="00853AB0" w:rsidRPr="00BA4BEB" w:rsidRDefault="00853AB0" w:rsidP="00D2039C">
            <w:pPr>
              <w:pStyle w:val="Tabletext"/>
              <w:keepNext/>
              <w:keepLines/>
              <w:jc w:val="center"/>
            </w:pPr>
            <w:r w:rsidRPr="00BA4BEB">
              <w:t xml:space="preserve">2.03 </w:t>
            </w:r>
            <w:r>
              <w:t>(</w:t>
            </w:r>
            <w:r w:rsidRPr="00BA4BEB">
              <w:t>0.38, 11)</w:t>
            </w:r>
          </w:p>
        </w:tc>
        <w:tc>
          <w:tcPr>
            <w:tcW w:w="993" w:type="pct"/>
            <w:vAlign w:val="center"/>
          </w:tcPr>
          <w:p w14:paraId="383D9733" w14:textId="6CDAA82E" w:rsidR="00853AB0" w:rsidRPr="00BA4BEB" w:rsidRDefault="00853AB0" w:rsidP="00D2039C">
            <w:pPr>
              <w:pStyle w:val="Tabletext"/>
              <w:keepNext/>
              <w:keepLines/>
              <w:jc w:val="center"/>
            </w:pPr>
            <w:r w:rsidRPr="00BA4BEB">
              <w:t>4.07</w:t>
            </w:r>
            <w:r w:rsidR="00D546CB">
              <w:t xml:space="preserve"> </w:t>
            </w:r>
            <w:r w:rsidRPr="00BA4BEB">
              <w:t>(0.87, 18.96)</w:t>
            </w:r>
          </w:p>
        </w:tc>
      </w:tr>
    </w:tbl>
    <w:p w14:paraId="44E0CACA" w14:textId="77777777" w:rsidR="00853AB0" w:rsidRPr="00137908" w:rsidRDefault="00853AB0" w:rsidP="00D2039C">
      <w:pPr>
        <w:pStyle w:val="TableFigureFooter"/>
        <w:keepNext/>
      </w:pPr>
      <w:bookmarkStart w:id="58" w:name="_Hlk177403918"/>
      <w:r w:rsidRPr="00137908">
        <w:t>Source: Table 2.6.15, p57 of the submission</w:t>
      </w:r>
    </w:p>
    <w:p w14:paraId="7ED0717C" w14:textId="77777777" w:rsidR="00853AB0" w:rsidRPr="00137908" w:rsidRDefault="00853AB0" w:rsidP="00D2039C">
      <w:pPr>
        <w:pStyle w:val="TableFigureFooter"/>
        <w:keepNext/>
      </w:pPr>
      <w:r w:rsidRPr="00137908">
        <w:t xml:space="preserve">ABRO = </w:t>
      </w:r>
      <w:proofErr w:type="spellStart"/>
      <w:r w:rsidRPr="00137908">
        <w:t>abrocitinib</w:t>
      </w:r>
      <w:proofErr w:type="spellEnd"/>
      <w:r w:rsidRPr="00137908">
        <w:t xml:space="preserve">; DUPI = dupilumab; </w:t>
      </w:r>
      <w:r>
        <w:t xml:space="preserve">NE = Not evaluable; </w:t>
      </w:r>
      <w:r w:rsidRPr="00137908">
        <w:t>NR = Not reported; PBO = Placebo; Q2W = Once every 2 weeks; QD = Once Daily; TEAE = treatment-related adverse event.</w:t>
      </w:r>
    </w:p>
    <w:p w14:paraId="1D9E948A" w14:textId="77777777" w:rsidR="00853AB0" w:rsidRDefault="00853AB0" w:rsidP="00D2039C">
      <w:pPr>
        <w:pStyle w:val="TableFigureFooter"/>
      </w:pPr>
      <w:r w:rsidRPr="00137908">
        <w:t>Included data up to 28 days after last dose of study. Incidence of ≥2% referred to ≥2% in any study arm. Subjects were counted only once per treatment per event. MedDRA v22. (JADE COMPARE) coding dictionar</w:t>
      </w:r>
      <w:r>
        <w:t>y</w:t>
      </w:r>
      <w:r w:rsidRPr="00137908">
        <w:t xml:space="preserve"> applied.</w:t>
      </w:r>
    </w:p>
    <w:p w14:paraId="67B53A96" w14:textId="246447A6" w:rsidR="00853AB0" w:rsidRDefault="00853AB0" w:rsidP="0091041C">
      <w:pPr>
        <w:pStyle w:val="Caption"/>
      </w:pPr>
      <w:bookmarkStart w:id="59" w:name="_Ref177404607"/>
      <w:bookmarkEnd w:id="58"/>
      <w:r>
        <w:lastRenderedPageBreak/>
        <w:t xml:space="preserve">Table </w:t>
      </w:r>
      <w:r>
        <w:fldChar w:fldCharType="begin" w:fldLock="1"/>
      </w:r>
      <w:r>
        <w:instrText xml:space="preserve"> SEQ Table \* ARABIC </w:instrText>
      </w:r>
      <w:r>
        <w:fldChar w:fldCharType="separate"/>
      </w:r>
      <w:r w:rsidR="004F2A70">
        <w:rPr>
          <w:noProof/>
        </w:rPr>
        <w:t>8</w:t>
      </w:r>
      <w:r>
        <w:rPr>
          <w:noProof/>
        </w:rPr>
        <w:fldChar w:fldCharType="end"/>
      </w:r>
      <w:bookmarkEnd w:id="59"/>
      <w:r>
        <w:t xml:space="preserve">: </w:t>
      </w:r>
      <w:r w:rsidRPr="00137908">
        <w:t xml:space="preserve">Summary of treatment-related TEAEs (≥2%) from JADE </w:t>
      </w:r>
      <w:r>
        <w:t>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83"/>
        <w:gridCol w:w="1551"/>
        <w:gridCol w:w="1551"/>
        <w:gridCol w:w="1931"/>
      </w:tblGrid>
      <w:tr w:rsidR="00853AB0" w:rsidRPr="00137908" w14:paraId="73D09FBA" w14:textId="77777777" w:rsidTr="00347481">
        <w:trPr>
          <w:trHeight w:hRule="exact" w:val="302"/>
        </w:trPr>
        <w:tc>
          <w:tcPr>
            <w:tcW w:w="2209" w:type="pct"/>
            <w:vMerge w:val="restart"/>
            <w:shd w:val="clear" w:color="auto" w:fill="auto"/>
          </w:tcPr>
          <w:p w14:paraId="2E957F22" w14:textId="77777777" w:rsidR="00853AB0" w:rsidRPr="00137908" w:rsidRDefault="00853AB0" w:rsidP="0091041C">
            <w:pPr>
              <w:pStyle w:val="Tabletext"/>
              <w:keepNext/>
              <w:keepLines/>
              <w:rPr>
                <w:lang w:val="en-US"/>
              </w:rPr>
            </w:pPr>
          </w:p>
        </w:tc>
        <w:tc>
          <w:tcPr>
            <w:tcW w:w="1720" w:type="pct"/>
            <w:gridSpan w:val="2"/>
            <w:shd w:val="clear" w:color="auto" w:fill="auto"/>
            <w:vAlign w:val="center"/>
          </w:tcPr>
          <w:p w14:paraId="383B11BF" w14:textId="77777777" w:rsidR="00853AB0" w:rsidRPr="00137908" w:rsidRDefault="00853AB0" w:rsidP="0091041C">
            <w:pPr>
              <w:pStyle w:val="Tabletext"/>
              <w:keepNext/>
              <w:keepLines/>
              <w:jc w:val="center"/>
              <w:rPr>
                <w:b/>
                <w:bCs/>
                <w:lang w:val="en-US"/>
              </w:rPr>
            </w:pPr>
            <w:r w:rsidRPr="00137908">
              <w:rPr>
                <w:b/>
                <w:bCs/>
                <w:lang w:val="en-US"/>
              </w:rPr>
              <w:t>JADE DARE</w:t>
            </w:r>
          </w:p>
        </w:tc>
        <w:tc>
          <w:tcPr>
            <w:tcW w:w="1071" w:type="pct"/>
            <w:vMerge w:val="restart"/>
            <w:vAlign w:val="center"/>
          </w:tcPr>
          <w:p w14:paraId="4D24906C" w14:textId="77777777" w:rsidR="00853AB0" w:rsidRPr="00137908" w:rsidRDefault="00853AB0" w:rsidP="0091041C">
            <w:pPr>
              <w:pStyle w:val="Tabletext"/>
              <w:keepNext/>
              <w:keepLines/>
              <w:jc w:val="center"/>
              <w:rPr>
                <w:b/>
                <w:bCs/>
                <w:lang w:val="en-US"/>
              </w:rPr>
            </w:pPr>
            <w:r w:rsidRPr="00137908">
              <w:rPr>
                <w:b/>
                <w:bCs/>
                <w:lang w:val="en-US"/>
              </w:rPr>
              <w:t>Relative Risk</w:t>
            </w:r>
          </w:p>
          <w:p w14:paraId="0EC55661" w14:textId="77777777" w:rsidR="00853AB0" w:rsidRPr="00137908" w:rsidRDefault="00853AB0" w:rsidP="0091041C">
            <w:pPr>
              <w:pStyle w:val="Tabletext"/>
              <w:keepNext/>
              <w:keepLines/>
              <w:jc w:val="center"/>
              <w:rPr>
                <w:b/>
                <w:bCs/>
                <w:lang w:val="en-US"/>
              </w:rPr>
            </w:pPr>
            <w:r w:rsidRPr="00137908">
              <w:rPr>
                <w:b/>
                <w:bCs/>
                <w:lang w:val="en-US"/>
              </w:rPr>
              <w:t>ABRO vs DUPI</w:t>
            </w:r>
          </w:p>
          <w:p w14:paraId="438F843B" w14:textId="77777777" w:rsidR="00853AB0" w:rsidRPr="00137908" w:rsidRDefault="00853AB0" w:rsidP="0091041C">
            <w:pPr>
              <w:pStyle w:val="Tabletext"/>
              <w:keepNext/>
              <w:keepLines/>
              <w:jc w:val="center"/>
              <w:rPr>
                <w:b/>
                <w:bCs/>
                <w:lang w:val="en-US"/>
              </w:rPr>
            </w:pPr>
            <w:r w:rsidRPr="00137908">
              <w:rPr>
                <w:b/>
                <w:bCs/>
                <w:lang w:val="en-US"/>
              </w:rPr>
              <w:t>(95% CI)</w:t>
            </w:r>
          </w:p>
        </w:tc>
      </w:tr>
      <w:tr w:rsidR="00853AB0" w:rsidRPr="00137908" w14:paraId="0FB28EC9" w14:textId="77777777" w:rsidTr="00347481">
        <w:trPr>
          <w:trHeight w:hRule="exact" w:val="704"/>
        </w:trPr>
        <w:tc>
          <w:tcPr>
            <w:tcW w:w="2209" w:type="pct"/>
            <w:vMerge/>
            <w:shd w:val="clear" w:color="auto" w:fill="auto"/>
          </w:tcPr>
          <w:p w14:paraId="258C89AC" w14:textId="77777777" w:rsidR="00853AB0" w:rsidRPr="00137908" w:rsidRDefault="00853AB0" w:rsidP="0091041C">
            <w:pPr>
              <w:pStyle w:val="Tabletext"/>
              <w:keepNext/>
              <w:keepLines/>
              <w:rPr>
                <w:lang w:val="en-US"/>
              </w:rPr>
            </w:pPr>
          </w:p>
        </w:tc>
        <w:tc>
          <w:tcPr>
            <w:tcW w:w="860" w:type="pct"/>
            <w:shd w:val="clear" w:color="auto" w:fill="auto"/>
            <w:vAlign w:val="center"/>
          </w:tcPr>
          <w:p w14:paraId="1B8A62EE" w14:textId="77777777" w:rsidR="00853AB0" w:rsidRPr="00137908" w:rsidRDefault="00853AB0" w:rsidP="0091041C">
            <w:pPr>
              <w:pStyle w:val="Tabletext"/>
              <w:keepNext/>
              <w:keepLines/>
              <w:jc w:val="center"/>
              <w:rPr>
                <w:b/>
                <w:bCs/>
                <w:lang w:val="en-US"/>
              </w:rPr>
            </w:pPr>
            <w:r w:rsidRPr="00137908">
              <w:rPr>
                <w:b/>
                <w:bCs/>
                <w:lang w:val="en-US"/>
              </w:rPr>
              <w:t>ABRO</w:t>
            </w:r>
          </w:p>
          <w:p w14:paraId="2701F6F7" w14:textId="77777777" w:rsidR="00853AB0" w:rsidRPr="00137908" w:rsidRDefault="00853AB0" w:rsidP="0091041C">
            <w:pPr>
              <w:pStyle w:val="Tabletext"/>
              <w:keepNext/>
              <w:keepLines/>
              <w:jc w:val="center"/>
              <w:rPr>
                <w:b/>
                <w:bCs/>
                <w:lang w:val="en-US"/>
              </w:rPr>
            </w:pPr>
            <w:r w:rsidRPr="00137908">
              <w:rPr>
                <w:b/>
                <w:bCs/>
                <w:lang w:val="en-US"/>
              </w:rPr>
              <w:t>200 mg QD</w:t>
            </w:r>
          </w:p>
          <w:p w14:paraId="116C258B" w14:textId="77777777" w:rsidR="00853AB0" w:rsidRPr="00137908" w:rsidRDefault="00853AB0" w:rsidP="0091041C">
            <w:pPr>
              <w:pStyle w:val="Tabletext"/>
              <w:keepNext/>
              <w:keepLines/>
              <w:jc w:val="center"/>
              <w:rPr>
                <w:b/>
                <w:bCs/>
                <w:lang w:val="en-US"/>
              </w:rPr>
            </w:pPr>
            <w:r w:rsidRPr="00137908">
              <w:rPr>
                <w:b/>
                <w:bCs/>
                <w:lang w:val="en-US"/>
              </w:rPr>
              <w:t>(N=362)</w:t>
            </w:r>
          </w:p>
        </w:tc>
        <w:tc>
          <w:tcPr>
            <w:tcW w:w="860" w:type="pct"/>
            <w:shd w:val="clear" w:color="auto" w:fill="auto"/>
            <w:vAlign w:val="center"/>
          </w:tcPr>
          <w:p w14:paraId="7CE907BB" w14:textId="77777777" w:rsidR="00853AB0" w:rsidRPr="00137908" w:rsidRDefault="00853AB0" w:rsidP="0091041C">
            <w:pPr>
              <w:pStyle w:val="Tabletext"/>
              <w:keepNext/>
              <w:keepLines/>
              <w:jc w:val="center"/>
              <w:rPr>
                <w:b/>
                <w:bCs/>
                <w:lang w:val="en-US"/>
              </w:rPr>
            </w:pPr>
            <w:r w:rsidRPr="00137908">
              <w:rPr>
                <w:b/>
                <w:bCs/>
                <w:lang w:val="en-US"/>
              </w:rPr>
              <w:t>DUPI</w:t>
            </w:r>
          </w:p>
          <w:p w14:paraId="12DA80A8" w14:textId="77777777" w:rsidR="00853AB0" w:rsidRPr="00137908" w:rsidRDefault="00853AB0" w:rsidP="0091041C">
            <w:pPr>
              <w:pStyle w:val="Tabletext"/>
              <w:keepNext/>
              <w:keepLines/>
              <w:jc w:val="center"/>
              <w:rPr>
                <w:b/>
                <w:bCs/>
                <w:lang w:val="en-US"/>
              </w:rPr>
            </w:pPr>
            <w:r w:rsidRPr="00137908">
              <w:rPr>
                <w:b/>
                <w:bCs/>
                <w:lang w:val="en-US"/>
              </w:rPr>
              <w:t>300 mg Q2W</w:t>
            </w:r>
          </w:p>
          <w:p w14:paraId="638659E9" w14:textId="77777777" w:rsidR="00853AB0" w:rsidRPr="00137908" w:rsidRDefault="00853AB0" w:rsidP="0091041C">
            <w:pPr>
              <w:pStyle w:val="Tabletext"/>
              <w:keepNext/>
              <w:keepLines/>
              <w:jc w:val="center"/>
              <w:rPr>
                <w:b/>
                <w:bCs/>
                <w:lang w:val="en-US"/>
              </w:rPr>
            </w:pPr>
            <w:r w:rsidRPr="00137908">
              <w:rPr>
                <w:b/>
                <w:bCs/>
                <w:lang w:val="en-US"/>
              </w:rPr>
              <w:t>(N=365)</w:t>
            </w:r>
          </w:p>
        </w:tc>
        <w:tc>
          <w:tcPr>
            <w:tcW w:w="1071" w:type="pct"/>
            <w:vMerge/>
            <w:vAlign w:val="center"/>
          </w:tcPr>
          <w:p w14:paraId="34343848" w14:textId="77777777" w:rsidR="00853AB0" w:rsidRPr="00137908" w:rsidRDefault="00853AB0" w:rsidP="0091041C">
            <w:pPr>
              <w:pStyle w:val="Tabletext"/>
              <w:keepNext/>
              <w:keepLines/>
              <w:jc w:val="center"/>
              <w:rPr>
                <w:b/>
                <w:bCs/>
                <w:lang w:val="en-US"/>
              </w:rPr>
            </w:pPr>
          </w:p>
        </w:tc>
      </w:tr>
      <w:tr w:rsidR="00853AB0" w:rsidRPr="00137908" w14:paraId="17E2A3F6" w14:textId="77777777" w:rsidTr="00347481">
        <w:trPr>
          <w:trHeight w:hRule="exact" w:val="289"/>
        </w:trPr>
        <w:tc>
          <w:tcPr>
            <w:tcW w:w="2209" w:type="pct"/>
            <w:vMerge/>
            <w:shd w:val="clear" w:color="auto" w:fill="auto"/>
          </w:tcPr>
          <w:p w14:paraId="441D1C4C" w14:textId="77777777" w:rsidR="00853AB0" w:rsidRPr="00137908" w:rsidRDefault="00853AB0" w:rsidP="0091041C">
            <w:pPr>
              <w:pStyle w:val="Tabletext"/>
              <w:keepNext/>
              <w:keepLines/>
              <w:rPr>
                <w:lang w:val="en-US"/>
              </w:rPr>
            </w:pPr>
          </w:p>
        </w:tc>
        <w:tc>
          <w:tcPr>
            <w:tcW w:w="860" w:type="pct"/>
            <w:shd w:val="clear" w:color="auto" w:fill="auto"/>
            <w:vAlign w:val="center"/>
          </w:tcPr>
          <w:p w14:paraId="2BD35E5C" w14:textId="77777777" w:rsidR="00853AB0" w:rsidRPr="00137908" w:rsidRDefault="00853AB0" w:rsidP="0091041C">
            <w:pPr>
              <w:pStyle w:val="Tabletext"/>
              <w:keepNext/>
              <w:keepLines/>
              <w:jc w:val="center"/>
              <w:rPr>
                <w:b/>
                <w:bCs/>
                <w:lang w:val="en-US"/>
              </w:rPr>
            </w:pPr>
            <w:r w:rsidRPr="00137908">
              <w:rPr>
                <w:b/>
                <w:bCs/>
                <w:lang w:val="en-US"/>
              </w:rPr>
              <w:t>n (%)</w:t>
            </w:r>
          </w:p>
        </w:tc>
        <w:tc>
          <w:tcPr>
            <w:tcW w:w="860" w:type="pct"/>
            <w:shd w:val="clear" w:color="auto" w:fill="auto"/>
            <w:vAlign w:val="center"/>
          </w:tcPr>
          <w:p w14:paraId="66D7C596" w14:textId="77777777" w:rsidR="00853AB0" w:rsidRPr="00137908" w:rsidRDefault="00853AB0" w:rsidP="0091041C">
            <w:pPr>
              <w:pStyle w:val="Tabletext"/>
              <w:keepNext/>
              <w:keepLines/>
              <w:jc w:val="center"/>
              <w:rPr>
                <w:b/>
                <w:bCs/>
                <w:lang w:val="en-US"/>
              </w:rPr>
            </w:pPr>
            <w:r w:rsidRPr="00137908">
              <w:rPr>
                <w:b/>
                <w:bCs/>
                <w:lang w:val="en-US"/>
              </w:rPr>
              <w:t>n (%)</w:t>
            </w:r>
          </w:p>
        </w:tc>
        <w:tc>
          <w:tcPr>
            <w:tcW w:w="1071" w:type="pct"/>
            <w:vAlign w:val="center"/>
          </w:tcPr>
          <w:p w14:paraId="7EC40758" w14:textId="77777777" w:rsidR="00853AB0" w:rsidRPr="00137908" w:rsidRDefault="00853AB0" w:rsidP="0091041C">
            <w:pPr>
              <w:pStyle w:val="Tabletext"/>
              <w:keepNext/>
              <w:keepLines/>
              <w:jc w:val="center"/>
              <w:rPr>
                <w:b/>
                <w:bCs/>
                <w:lang w:val="en-US"/>
              </w:rPr>
            </w:pPr>
          </w:p>
        </w:tc>
      </w:tr>
      <w:tr w:rsidR="00853AB0" w:rsidRPr="00137908" w14:paraId="22B4C562" w14:textId="77777777" w:rsidTr="00832D52">
        <w:trPr>
          <w:trHeight w:val="20"/>
        </w:trPr>
        <w:tc>
          <w:tcPr>
            <w:tcW w:w="2209" w:type="pct"/>
            <w:vAlign w:val="center"/>
          </w:tcPr>
          <w:p w14:paraId="523E27F9" w14:textId="77777777" w:rsidR="00853AB0" w:rsidRPr="00137908" w:rsidRDefault="00853AB0" w:rsidP="0091041C">
            <w:pPr>
              <w:pStyle w:val="Tabletext"/>
              <w:keepNext/>
              <w:keepLines/>
            </w:pPr>
            <w:r w:rsidRPr="00137908">
              <w:t>With any adverse event</w:t>
            </w:r>
          </w:p>
        </w:tc>
        <w:tc>
          <w:tcPr>
            <w:tcW w:w="860" w:type="pct"/>
            <w:vAlign w:val="center"/>
          </w:tcPr>
          <w:p w14:paraId="35905A51" w14:textId="77777777" w:rsidR="00853AB0" w:rsidRPr="00137908" w:rsidRDefault="00853AB0" w:rsidP="0091041C">
            <w:pPr>
              <w:pStyle w:val="Tabletext"/>
              <w:keepNext/>
              <w:keepLines/>
              <w:jc w:val="center"/>
            </w:pPr>
            <w:r w:rsidRPr="00137908">
              <w:t>125 (34.5)</w:t>
            </w:r>
          </w:p>
        </w:tc>
        <w:tc>
          <w:tcPr>
            <w:tcW w:w="860" w:type="pct"/>
            <w:vAlign w:val="center"/>
          </w:tcPr>
          <w:p w14:paraId="7DE5AD9D" w14:textId="77777777" w:rsidR="00853AB0" w:rsidRPr="00137908" w:rsidRDefault="00853AB0" w:rsidP="0091041C">
            <w:pPr>
              <w:pStyle w:val="Tabletext"/>
              <w:keepNext/>
              <w:keepLines/>
              <w:jc w:val="center"/>
            </w:pPr>
            <w:r w:rsidRPr="00137908">
              <w:t>57 (15.6)</w:t>
            </w:r>
          </w:p>
        </w:tc>
        <w:tc>
          <w:tcPr>
            <w:tcW w:w="1071" w:type="pct"/>
            <w:vAlign w:val="center"/>
          </w:tcPr>
          <w:p w14:paraId="6F425838" w14:textId="77777777" w:rsidR="00853AB0" w:rsidRPr="00137908" w:rsidRDefault="00853AB0" w:rsidP="0091041C">
            <w:pPr>
              <w:pStyle w:val="Tabletext"/>
              <w:keepNext/>
              <w:keepLines/>
              <w:jc w:val="center"/>
            </w:pPr>
            <w:r w:rsidRPr="00137908">
              <w:t>2.21 (1.68, 2.92)</w:t>
            </w:r>
          </w:p>
        </w:tc>
      </w:tr>
      <w:tr w:rsidR="00853AB0" w:rsidRPr="00137908" w14:paraId="7678934D" w14:textId="77777777" w:rsidTr="00832D52">
        <w:trPr>
          <w:trHeight w:val="20"/>
        </w:trPr>
        <w:tc>
          <w:tcPr>
            <w:tcW w:w="2209" w:type="pct"/>
            <w:vAlign w:val="center"/>
          </w:tcPr>
          <w:p w14:paraId="1913E38C" w14:textId="77777777" w:rsidR="00853AB0" w:rsidRPr="00137908" w:rsidRDefault="00853AB0" w:rsidP="0091041C">
            <w:pPr>
              <w:pStyle w:val="Tabletext"/>
              <w:keepNext/>
              <w:keepLines/>
            </w:pPr>
            <w:r w:rsidRPr="00137908">
              <w:t>Gastrointestinal disorders</w:t>
            </w:r>
          </w:p>
        </w:tc>
        <w:tc>
          <w:tcPr>
            <w:tcW w:w="860" w:type="pct"/>
            <w:vAlign w:val="center"/>
          </w:tcPr>
          <w:p w14:paraId="2B0D1EF8" w14:textId="77777777" w:rsidR="00853AB0" w:rsidRPr="00137908" w:rsidRDefault="00853AB0" w:rsidP="0091041C">
            <w:pPr>
              <w:pStyle w:val="Tabletext"/>
              <w:keepNext/>
              <w:keepLines/>
              <w:jc w:val="center"/>
            </w:pPr>
            <w:r w:rsidRPr="00137908">
              <w:t>61 (16.9)</w:t>
            </w:r>
          </w:p>
        </w:tc>
        <w:tc>
          <w:tcPr>
            <w:tcW w:w="860" w:type="pct"/>
            <w:vAlign w:val="center"/>
          </w:tcPr>
          <w:p w14:paraId="3169D0E8" w14:textId="77777777" w:rsidR="00853AB0" w:rsidRPr="00137908" w:rsidRDefault="00853AB0" w:rsidP="0091041C">
            <w:pPr>
              <w:pStyle w:val="Tabletext"/>
              <w:keepNext/>
              <w:keepLines/>
              <w:jc w:val="center"/>
            </w:pPr>
            <w:r w:rsidRPr="00137908">
              <w:t>6 (1.6)</w:t>
            </w:r>
          </w:p>
        </w:tc>
        <w:tc>
          <w:tcPr>
            <w:tcW w:w="1071" w:type="pct"/>
            <w:vAlign w:val="center"/>
          </w:tcPr>
          <w:p w14:paraId="438032B1" w14:textId="77777777" w:rsidR="00853AB0" w:rsidRPr="00137908" w:rsidRDefault="00853AB0" w:rsidP="0091041C">
            <w:pPr>
              <w:pStyle w:val="Tabletext"/>
              <w:keepNext/>
              <w:keepLines/>
              <w:jc w:val="center"/>
            </w:pPr>
            <w:r w:rsidRPr="00137908">
              <w:t>10.25 (4.49, 23.41)</w:t>
            </w:r>
          </w:p>
        </w:tc>
      </w:tr>
      <w:tr w:rsidR="00853AB0" w:rsidRPr="00137908" w14:paraId="52F1DBE5" w14:textId="77777777" w:rsidTr="00832D52">
        <w:trPr>
          <w:trHeight w:val="20"/>
        </w:trPr>
        <w:tc>
          <w:tcPr>
            <w:tcW w:w="2209" w:type="pct"/>
            <w:vAlign w:val="center"/>
          </w:tcPr>
          <w:p w14:paraId="426DE18B" w14:textId="77777777" w:rsidR="00853AB0" w:rsidRPr="00137908" w:rsidRDefault="00853AB0" w:rsidP="0091041C">
            <w:pPr>
              <w:pStyle w:val="Tabletext"/>
              <w:keepNext/>
              <w:keepLines/>
            </w:pPr>
            <w:r w:rsidRPr="00137908">
              <w:t xml:space="preserve">    Nausea</w:t>
            </w:r>
          </w:p>
        </w:tc>
        <w:tc>
          <w:tcPr>
            <w:tcW w:w="860" w:type="pct"/>
            <w:vAlign w:val="center"/>
          </w:tcPr>
          <w:p w14:paraId="0C727694" w14:textId="77777777" w:rsidR="00853AB0" w:rsidRPr="00137908" w:rsidRDefault="00853AB0" w:rsidP="0091041C">
            <w:pPr>
              <w:pStyle w:val="Tabletext"/>
              <w:keepNext/>
              <w:keepLines/>
              <w:jc w:val="center"/>
            </w:pPr>
            <w:r w:rsidRPr="00137908">
              <w:t>61 (16.9)</w:t>
            </w:r>
          </w:p>
        </w:tc>
        <w:tc>
          <w:tcPr>
            <w:tcW w:w="860" w:type="pct"/>
            <w:vAlign w:val="center"/>
          </w:tcPr>
          <w:p w14:paraId="1E3BC084" w14:textId="77777777" w:rsidR="00853AB0" w:rsidRPr="00137908" w:rsidRDefault="00853AB0" w:rsidP="0091041C">
            <w:pPr>
              <w:pStyle w:val="Tabletext"/>
              <w:keepNext/>
              <w:keepLines/>
              <w:jc w:val="center"/>
            </w:pPr>
            <w:r w:rsidRPr="00137908">
              <w:t>6 (1.6)</w:t>
            </w:r>
          </w:p>
        </w:tc>
        <w:tc>
          <w:tcPr>
            <w:tcW w:w="1071" w:type="pct"/>
            <w:vAlign w:val="center"/>
          </w:tcPr>
          <w:p w14:paraId="75555CFE" w14:textId="77777777" w:rsidR="00853AB0" w:rsidRPr="00137908" w:rsidRDefault="00853AB0" w:rsidP="0091041C">
            <w:pPr>
              <w:pStyle w:val="Tabletext"/>
              <w:keepNext/>
              <w:keepLines/>
              <w:jc w:val="center"/>
            </w:pPr>
            <w:r w:rsidRPr="00137908">
              <w:t>10.25 (4.49, 23.41)</w:t>
            </w:r>
          </w:p>
        </w:tc>
      </w:tr>
      <w:tr w:rsidR="00853AB0" w:rsidRPr="00137908" w14:paraId="641B7C68" w14:textId="77777777" w:rsidTr="00832D52">
        <w:trPr>
          <w:trHeight w:val="20"/>
        </w:trPr>
        <w:tc>
          <w:tcPr>
            <w:tcW w:w="2209" w:type="pct"/>
            <w:vAlign w:val="center"/>
          </w:tcPr>
          <w:p w14:paraId="5AEBBB68" w14:textId="77777777" w:rsidR="00853AB0" w:rsidRPr="00137908" w:rsidRDefault="00853AB0" w:rsidP="0091041C">
            <w:pPr>
              <w:pStyle w:val="Tabletext"/>
              <w:keepNext/>
              <w:keepLines/>
            </w:pPr>
            <w:r w:rsidRPr="00137908">
              <w:t>General disorders and administration site conditions</w:t>
            </w:r>
          </w:p>
        </w:tc>
        <w:tc>
          <w:tcPr>
            <w:tcW w:w="860" w:type="pct"/>
            <w:vAlign w:val="center"/>
          </w:tcPr>
          <w:p w14:paraId="20816F55" w14:textId="77777777" w:rsidR="00853AB0" w:rsidRPr="00137908" w:rsidRDefault="00853AB0" w:rsidP="0091041C">
            <w:pPr>
              <w:pStyle w:val="Tabletext"/>
              <w:keepNext/>
              <w:keepLines/>
              <w:jc w:val="center"/>
            </w:pPr>
            <w:r w:rsidRPr="00137908">
              <w:t>NR</w:t>
            </w:r>
          </w:p>
        </w:tc>
        <w:tc>
          <w:tcPr>
            <w:tcW w:w="860" w:type="pct"/>
            <w:vAlign w:val="center"/>
          </w:tcPr>
          <w:p w14:paraId="2098CE99" w14:textId="77777777" w:rsidR="00853AB0" w:rsidRPr="00137908" w:rsidRDefault="00853AB0" w:rsidP="0091041C">
            <w:pPr>
              <w:pStyle w:val="Tabletext"/>
              <w:keepNext/>
              <w:keepLines/>
              <w:jc w:val="center"/>
            </w:pPr>
            <w:r w:rsidRPr="00137908">
              <w:t>NR</w:t>
            </w:r>
          </w:p>
        </w:tc>
        <w:tc>
          <w:tcPr>
            <w:tcW w:w="1071" w:type="pct"/>
            <w:vAlign w:val="center"/>
          </w:tcPr>
          <w:p w14:paraId="213A7855" w14:textId="77777777" w:rsidR="00853AB0" w:rsidRPr="00137908" w:rsidRDefault="00853AB0" w:rsidP="0091041C">
            <w:pPr>
              <w:pStyle w:val="Tabletext"/>
              <w:keepNext/>
              <w:keepLines/>
              <w:jc w:val="center"/>
            </w:pPr>
            <w:r w:rsidRPr="00137908">
              <w:t>-</w:t>
            </w:r>
          </w:p>
        </w:tc>
      </w:tr>
      <w:tr w:rsidR="00853AB0" w:rsidRPr="00137908" w14:paraId="4E02A32C" w14:textId="77777777" w:rsidTr="00832D52">
        <w:trPr>
          <w:trHeight w:val="20"/>
        </w:trPr>
        <w:tc>
          <w:tcPr>
            <w:tcW w:w="2209" w:type="pct"/>
            <w:vAlign w:val="center"/>
          </w:tcPr>
          <w:p w14:paraId="088022CC" w14:textId="77777777" w:rsidR="00853AB0" w:rsidRPr="00137908" w:rsidRDefault="00853AB0" w:rsidP="0091041C">
            <w:pPr>
              <w:pStyle w:val="Tabletext"/>
              <w:keepNext/>
              <w:keepLines/>
            </w:pPr>
            <w:r w:rsidRPr="00137908">
              <w:t>Infections and infestations</w:t>
            </w:r>
          </w:p>
        </w:tc>
        <w:tc>
          <w:tcPr>
            <w:tcW w:w="860" w:type="pct"/>
            <w:vAlign w:val="center"/>
          </w:tcPr>
          <w:p w14:paraId="36C39A57" w14:textId="77777777" w:rsidR="00853AB0" w:rsidRPr="00137908" w:rsidRDefault="00853AB0" w:rsidP="0091041C">
            <w:pPr>
              <w:pStyle w:val="Tabletext"/>
              <w:keepNext/>
              <w:keepLines/>
              <w:jc w:val="center"/>
            </w:pPr>
            <w:r w:rsidRPr="00137908">
              <w:t>31 (8.6)</w:t>
            </w:r>
          </w:p>
        </w:tc>
        <w:tc>
          <w:tcPr>
            <w:tcW w:w="860" w:type="pct"/>
            <w:vAlign w:val="center"/>
          </w:tcPr>
          <w:p w14:paraId="0904D838" w14:textId="77777777" w:rsidR="00853AB0" w:rsidRPr="00137908" w:rsidRDefault="00853AB0" w:rsidP="0091041C">
            <w:pPr>
              <w:pStyle w:val="Tabletext"/>
              <w:keepNext/>
              <w:keepLines/>
              <w:jc w:val="center"/>
            </w:pPr>
            <w:r w:rsidRPr="00137908">
              <w:t>38 (10.4)</w:t>
            </w:r>
          </w:p>
        </w:tc>
        <w:tc>
          <w:tcPr>
            <w:tcW w:w="1071" w:type="pct"/>
            <w:vAlign w:val="center"/>
          </w:tcPr>
          <w:p w14:paraId="19E7A34E" w14:textId="77777777" w:rsidR="00853AB0" w:rsidRPr="00137908" w:rsidRDefault="00853AB0" w:rsidP="0091041C">
            <w:pPr>
              <w:pStyle w:val="Tabletext"/>
              <w:keepNext/>
              <w:keepLines/>
              <w:jc w:val="center"/>
            </w:pPr>
            <w:r w:rsidRPr="00137908">
              <w:t>0.82 (0.52, 1.29)</w:t>
            </w:r>
          </w:p>
        </w:tc>
      </w:tr>
      <w:tr w:rsidR="00853AB0" w:rsidRPr="00137908" w14:paraId="143ADF94" w14:textId="77777777" w:rsidTr="00832D52">
        <w:trPr>
          <w:trHeight w:val="20"/>
        </w:trPr>
        <w:tc>
          <w:tcPr>
            <w:tcW w:w="2209" w:type="pct"/>
            <w:vAlign w:val="center"/>
          </w:tcPr>
          <w:p w14:paraId="09040E55" w14:textId="77777777" w:rsidR="00853AB0" w:rsidRPr="00137908" w:rsidRDefault="00853AB0" w:rsidP="0091041C">
            <w:pPr>
              <w:pStyle w:val="Tabletext"/>
              <w:keepNext/>
              <w:keepLines/>
            </w:pPr>
            <w:r w:rsidRPr="00137908">
              <w:t xml:space="preserve">    Conjunctivitis</w:t>
            </w:r>
          </w:p>
        </w:tc>
        <w:tc>
          <w:tcPr>
            <w:tcW w:w="860" w:type="pct"/>
            <w:vAlign w:val="center"/>
          </w:tcPr>
          <w:p w14:paraId="7BA68F6B" w14:textId="77777777" w:rsidR="00853AB0" w:rsidRPr="00137908" w:rsidRDefault="00853AB0" w:rsidP="0091041C">
            <w:pPr>
              <w:pStyle w:val="Tabletext"/>
              <w:keepNext/>
              <w:keepLines/>
              <w:jc w:val="center"/>
            </w:pPr>
            <w:r w:rsidRPr="00137908">
              <w:t>5 (1.4)</w:t>
            </w:r>
          </w:p>
        </w:tc>
        <w:tc>
          <w:tcPr>
            <w:tcW w:w="860" w:type="pct"/>
            <w:vAlign w:val="center"/>
          </w:tcPr>
          <w:p w14:paraId="3FD8F315" w14:textId="77777777" w:rsidR="00853AB0" w:rsidRPr="00137908" w:rsidRDefault="00853AB0" w:rsidP="0091041C">
            <w:pPr>
              <w:pStyle w:val="Tabletext"/>
              <w:keepNext/>
              <w:keepLines/>
              <w:jc w:val="center"/>
            </w:pPr>
            <w:r w:rsidRPr="00137908">
              <w:t>28 (7.7)</w:t>
            </w:r>
          </w:p>
        </w:tc>
        <w:tc>
          <w:tcPr>
            <w:tcW w:w="1071" w:type="pct"/>
            <w:vAlign w:val="center"/>
          </w:tcPr>
          <w:p w14:paraId="00F2462C" w14:textId="77777777" w:rsidR="00853AB0" w:rsidRPr="00137908" w:rsidRDefault="00853AB0" w:rsidP="0091041C">
            <w:pPr>
              <w:pStyle w:val="Tabletext"/>
              <w:keepNext/>
              <w:keepLines/>
              <w:jc w:val="center"/>
            </w:pPr>
            <w:r w:rsidRPr="00137908">
              <w:t>0.18 (0.07, 0.46)</w:t>
            </w:r>
          </w:p>
        </w:tc>
      </w:tr>
      <w:tr w:rsidR="00853AB0" w:rsidRPr="00137908" w14:paraId="6E442A34" w14:textId="77777777" w:rsidTr="00832D52">
        <w:trPr>
          <w:trHeight w:val="20"/>
        </w:trPr>
        <w:tc>
          <w:tcPr>
            <w:tcW w:w="2209" w:type="pct"/>
            <w:vAlign w:val="center"/>
          </w:tcPr>
          <w:p w14:paraId="2482D188" w14:textId="77777777" w:rsidR="00853AB0" w:rsidRPr="00137908" w:rsidRDefault="00853AB0" w:rsidP="0091041C">
            <w:pPr>
              <w:pStyle w:val="Tabletext"/>
              <w:keepNext/>
              <w:keepLines/>
            </w:pPr>
            <w:r w:rsidRPr="00137908">
              <w:t xml:space="preserve">    Folliculitis</w:t>
            </w:r>
          </w:p>
        </w:tc>
        <w:tc>
          <w:tcPr>
            <w:tcW w:w="860" w:type="pct"/>
            <w:vAlign w:val="center"/>
          </w:tcPr>
          <w:p w14:paraId="49AD2699" w14:textId="77777777" w:rsidR="00853AB0" w:rsidRPr="00137908" w:rsidRDefault="00853AB0" w:rsidP="0091041C">
            <w:pPr>
              <w:pStyle w:val="Tabletext"/>
              <w:keepNext/>
              <w:keepLines/>
              <w:jc w:val="center"/>
            </w:pPr>
            <w:r w:rsidRPr="00137908">
              <w:t>8 (2.2)</w:t>
            </w:r>
          </w:p>
        </w:tc>
        <w:tc>
          <w:tcPr>
            <w:tcW w:w="860" w:type="pct"/>
            <w:vAlign w:val="center"/>
          </w:tcPr>
          <w:p w14:paraId="12AE8D68" w14:textId="77777777" w:rsidR="00853AB0" w:rsidRPr="00137908" w:rsidRDefault="00853AB0" w:rsidP="0091041C">
            <w:pPr>
              <w:pStyle w:val="Tabletext"/>
              <w:keepNext/>
              <w:keepLines/>
              <w:jc w:val="center"/>
            </w:pPr>
            <w:r w:rsidRPr="00137908">
              <w:t>1 (0.3)</w:t>
            </w:r>
          </w:p>
        </w:tc>
        <w:tc>
          <w:tcPr>
            <w:tcW w:w="1071" w:type="pct"/>
            <w:vAlign w:val="center"/>
          </w:tcPr>
          <w:p w14:paraId="4D738FBE" w14:textId="77777777" w:rsidR="00853AB0" w:rsidRPr="00137908" w:rsidRDefault="00853AB0" w:rsidP="0091041C">
            <w:pPr>
              <w:pStyle w:val="Tabletext"/>
              <w:keepNext/>
              <w:keepLines/>
              <w:jc w:val="center"/>
            </w:pPr>
            <w:r w:rsidRPr="00137908">
              <w:t>8.07 (1.01, 64.17)</w:t>
            </w:r>
          </w:p>
        </w:tc>
      </w:tr>
      <w:tr w:rsidR="00853AB0" w:rsidRPr="00137908" w14:paraId="5F1BD59B" w14:textId="77777777" w:rsidTr="00832D52">
        <w:trPr>
          <w:trHeight w:val="20"/>
        </w:trPr>
        <w:tc>
          <w:tcPr>
            <w:tcW w:w="2209" w:type="pct"/>
            <w:vAlign w:val="center"/>
          </w:tcPr>
          <w:p w14:paraId="6F710103" w14:textId="77777777" w:rsidR="00853AB0" w:rsidRPr="00137908" w:rsidRDefault="00853AB0" w:rsidP="0091041C">
            <w:pPr>
              <w:pStyle w:val="Tabletext"/>
              <w:keepNext/>
              <w:keepLines/>
            </w:pPr>
            <w:r w:rsidRPr="00137908">
              <w:t xml:space="preserve">    Herpes simplex</w:t>
            </w:r>
          </w:p>
        </w:tc>
        <w:tc>
          <w:tcPr>
            <w:tcW w:w="860" w:type="pct"/>
            <w:vAlign w:val="center"/>
          </w:tcPr>
          <w:p w14:paraId="5D40BB63" w14:textId="77777777" w:rsidR="00853AB0" w:rsidRPr="00137908" w:rsidRDefault="00853AB0" w:rsidP="0091041C">
            <w:pPr>
              <w:pStyle w:val="Tabletext"/>
              <w:keepNext/>
              <w:keepLines/>
              <w:jc w:val="center"/>
            </w:pPr>
            <w:r w:rsidRPr="00137908">
              <w:t>8 (2.2)</w:t>
            </w:r>
          </w:p>
        </w:tc>
        <w:tc>
          <w:tcPr>
            <w:tcW w:w="860" w:type="pct"/>
            <w:vAlign w:val="center"/>
          </w:tcPr>
          <w:p w14:paraId="1761A301" w14:textId="77777777" w:rsidR="00853AB0" w:rsidRPr="00137908" w:rsidRDefault="00853AB0" w:rsidP="0091041C">
            <w:pPr>
              <w:pStyle w:val="Tabletext"/>
              <w:keepNext/>
              <w:keepLines/>
              <w:jc w:val="center"/>
            </w:pPr>
            <w:r w:rsidRPr="00137908">
              <w:t>2 (0.5)</w:t>
            </w:r>
          </w:p>
        </w:tc>
        <w:tc>
          <w:tcPr>
            <w:tcW w:w="1071" w:type="pct"/>
            <w:vAlign w:val="center"/>
          </w:tcPr>
          <w:p w14:paraId="17B70F45" w14:textId="77777777" w:rsidR="00853AB0" w:rsidRPr="00137908" w:rsidRDefault="00853AB0" w:rsidP="0091041C">
            <w:pPr>
              <w:pStyle w:val="Tabletext"/>
              <w:keepNext/>
              <w:keepLines/>
              <w:jc w:val="center"/>
            </w:pPr>
            <w:r w:rsidRPr="00137908">
              <w:t>4.03 (0.86, 18.86)</w:t>
            </w:r>
          </w:p>
        </w:tc>
      </w:tr>
      <w:tr w:rsidR="00853AB0" w:rsidRPr="00137908" w14:paraId="4BDD97B8" w14:textId="77777777" w:rsidTr="00832D52">
        <w:trPr>
          <w:trHeight w:val="20"/>
        </w:trPr>
        <w:tc>
          <w:tcPr>
            <w:tcW w:w="2209" w:type="pct"/>
            <w:vAlign w:val="center"/>
          </w:tcPr>
          <w:p w14:paraId="53A1D0FA" w14:textId="77777777" w:rsidR="00853AB0" w:rsidRPr="00137908" w:rsidRDefault="00853AB0" w:rsidP="0091041C">
            <w:pPr>
              <w:pStyle w:val="Tabletext"/>
              <w:keepNext/>
              <w:keepLines/>
            </w:pPr>
            <w:r w:rsidRPr="00137908">
              <w:t xml:space="preserve">    Herpes zoster</w:t>
            </w:r>
          </w:p>
        </w:tc>
        <w:tc>
          <w:tcPr>
            <w:tcW w:w="860" w:type="pct"/>
            <w:vAlign w:val="center"/>
          </w:tcPr>
          <w:p w14:paraId="01DAF38C" w14:textId="77777777" w:rsidR="00853AB0" w:rsidRPr="00137908" w:rsidRDefault="00853AB0" w:rsidP="0091041C">
            <w:pPr>
              <w:pStyle w:val="Tabletext"/>
              <w:keepNext/>
              <w:keepLines/>
              <w:jc w:val="center"/>
            </w:pPr>
            <w:r w:rsidRPr="00137908">
              <w:t>9 (2.5)</w:t>
            </w:r>
          </w:p>
        </w:tc>
        <w:tc>
          <w:tcPr>
            <w:tcW w:w="860" w:type="pct"/>
            <w:vAlign w:val="center"/>
          </w:tcPr>
          <w:p w14:paraId="47BDE47A" w14:textId="77777777" w:rsidR="00853AB0" w:rsidRPr="00137908" w:rsidRDefault="00853AB0" w:rsidP="0091041C">
            <w:pPr>
              <w:pStyle w:val="Tabletext"/>
              <w:keepNext/>
              <w:keepLines/>
              <w:jc w:val="center"/>
            </w:pPr>
            <w:r w:rsidRPr="00137908">
              <w:t>2 (0.5)</w:t>
            </w:r>
          </w:p>
        </w:tc>
        <w:tc>
          <w:tcPr>
            <w:tcW w:w="1071" w:type="pct"/>
            <w:vAlign w:val="center"/>
          </w:tcPr>
          <w:p w14:paraId="5AF2F303" w14:textId="77777777" w:rsidR="00853AB0" w:rsidRPr="00137908" w:rsidRDefault="00853AB0" w:rsidP="0091041C">
            <w:pPr>
              <w:pStyle w:val="Tabletext"/>
              <w:keepNext/>
              <w:keepLines/>
              <w:jc w:val="center"/>
            </w:pPr>
            <w:r w:rsidRPr="00137908">
              <w:t>4.54 (0.99, 20.85)</w:t>
            </w:r>
          </w:p>
        </w:tc>
      </w:tr>
      <w:tr w:rsidR="00853AB0" w:rsidRPr="00137908" w14:paraId="5F640CB6" w14:textId="77777777" w:rsidTr="00832D52">
        <w:trPr>
          <w:trHeight w:val="20"/>
        </w:trPr>
        <w:tc>
          <w:tcPr>
            <w:tcW w:w="2209" w:type="pct"/>
            <w:vAlign w:val="center"/>
          </w:tcPr>
          <w:p w14:paraId="7FD030F3" w14:textId="77777777" w:rsidR="00853AB0" w:rsidRPr="00137908" w:rsidRDefault="00853AB0" w:rsidP="0091041C">
            <w:pPr>
              <w:pStyle w:val="Tabletext"/>
              <w:keepNext/>
              <w:keepLines/>
            </w:pPr>
            <w:r w:rsidRPr="00137908">
              <w:t xml:space="preserve">    Nasopharyngitis</w:t>
            </w:r>
          </w:p>
        </w:tc>
        <w:tc>
          <w:tcPr>
            <w:tcW w:w="860" w:type="pct"/>
            <w:vAlign w:val="center"/>
          </w:tcPr>
          <w:p w14:paraId="70F2E651" w14:textId="77777777" w:rsidR="00853AB0" w:rsidRPr="00137908" w:rsidRDefault="00853AB0" w:rsidP="0091041C">
            <w:pPr>
              <w:pStyle w:val="Tabletext"/>
              <w:keepNext/>
              <w:keepLines/>
              <w:jc w:val="center"/>
            </w:pPr>
            <w:r w:rsidRPr="00137908">
              <w:t>NR</w:t>
            </w:r>
          </w:p>
        </w:tc>
        <w:tc>
          <w:tcPr>
            <w:tcW w:w="860" w:type="pct"/>
            <w:vAlign w:val="center"/>
          </w:tcPr>
          <w:p w14:paraId="317A9E00" w14:textId="77777777" w:rsidR="00853AB0" w:rsidRPr="00137908" w:rsidRDefault="00853AB0" w:rsidP="0091041C">
            <w:pPr>
              <w:pStyle w:val="Tabletext"/>
              <w:keepNext/>
              <w:keepLines/>
              <w:jc w:val="center"/>
            </w:pPr>
            <w:r w:rsidRPr="00137908">
              <w:t>NR</w:t>
            </w:r>
          </w:p>
        </w:tc>
        <w:tc>
          <w:tcPr>
            <w:tcW w:w="1071" w:type="pct"/>
            <w:vAlign w:val="center"/>
          </w:tcPr>
          <w:p w14:paraId="480C211E" w14:textId="77777777" w:rsidR="00853AB0" w:rsidRPr="00137908" w:rsidRDefault="00853AB0" w:rsidP="0091041C">
            <w:pPr>
              <w:pStyle w:val="Tabletext"/>
              <w:keepNext/>
              <w:keepLines/>
              <w:jc w:val="center"/>
            </w:pPr>
            <w:r w:rsidRPr="00137908">
              <w:t>—</w:t>
            </w:r>
          </w:p>
        </w:tc>
      </w:tr>
      <w:tr w:rsidR="00853AB0" w:rsidRPr="00137908" w14:paraId="56C511B7" w14:textId="77777777" w:rsidTr="00832D52">
        <w:trPr>
          <w:trHeight w:val="20"/>
        </w:trPr>
        <w:tc>
          <w:tcPr>
            <w:tcW w:w="2209" w:type="pct"/>
            <w:vAlign w:val="center"/>
          </w:tcPr>
          <w:p w14:paraId="2A37D083" w14:textId="77777777" w:rsidR="00853AB0" w:rsidRPr="00137908" w:rsidRDefault="00853AB0" w:rsidP="0091041C">
            <w:pPr>
              <w:pStyle w:val="Tabletext"/>
              <w:keepNext/>
              <w:keepLines/>
            </w:pPr>
            <w:r w:rsidRPr="00137908">
              <w:t>Investigations</w:t>
            </w:r>
          </w:p>
        </w:tc>
        <w:tc>
          <w:tcPr>
            <w:tcW w:w="860" w:type="pct"/>
            <w:vAlign w:val="center"/>
          </w:tcPr>
          <w:p w14:paraId="3A46FFAA" w14:textId="77777777" w:rsidR="00853AB0" w:rsidRPr="00137908" w:rsidRDefault="00853AB0" w:rsidP="0091041C">
            <w:pPr>
              <w:pStyle w:val="Tabletext"/>
              <w:keepNext/>
              <w:keepLines/>
              <w:jc w:val="center"/>
            </w:pPr>
            <w:r w:rsidRPr="00137908">
              <w:t>9 (2.5)</w:t>
            </w:r>
          </w:p>
        </w:tc>
        <w:tc>
          <w:tcPr>
            <w:tcW w:w="860" w:type="pct"/>
            <w:vAlign w:val="center"/>
          </w:tcPr>
          <w:p w14:paraId="50CB00F0" w14:textId="77777777" w:rsidR="00853AB0" w:rsidRPr="00137908" w:rsidRDefault="00853AB0" w:rsidP="0091041C">
            <w:pPr>
              <w:pStyle w:val="Tabletext"/>
              <w:keepNext/>
              <w:keepLines/>
              <w:jc w:val="center"/>
            </w:pPr>
            <w:r w:rsidRPr="00137908">
              <w:t>0</w:t>
            </w:r>
          </w:p>
        </w:tc>
        <w:tc>
          <w:tcPr>
            <w:tcW w:w="1071" w:type="pct"/>
            <w:vAlign w:val="center"/>
          </w:tcPr>
          <w:p w14:paraId="16EFCB69" w14:textId="77777777" w:rsidR="00853AB0" w:rsidRPr="00137908" w:rsidRDefault="00853AB0" w:rsidP="0091041C">
            <w:pPr>
              <w:pStyle w:val="Tabletext"/>
              <w:keepNext/>
              <w:keepLines/>
              <w:jc w:val="center"/>
            </w:pPr>
            <w:r w:rsidRPr="00137908">
              <w:t>NE</w:t>
            </w:r>
          </w:p>
        </w:tc>
      </w:tr>
      <w:tr w:rsidR="00853AB0" w:rsidRPr="00137908" w14:paraId="5510C824" w14:textId="77777777" w:rsidTr="00832D52">
        <w:trPr>
          <w:trHeight w:val="20"/>
        </w:trPr>
        <w:tc>
          <w:tcPr>
            <w:tcW w:w="2209" w:type="pct"/>
            <w:vAlign w:val="bottom"/>
          </w:tcPr>
          <w:p w14:paraId="2E09D092" w14:textId="77777777" w:rsidR="00853AB0" w:rsidRPr="00137908" w:rsidRDefault="00853AB0" w:rsidP="0091041C">
            <w:pPr>
              <w:pStyle w:val="Tabletext"/>
              <w:keepNext/>
              <w:keepLines/>
            </w:pPr>
            <w:r w:rsidRPr="00137908">
              <w:t xml:space="preserve">    Natural killer cell count decreased</w:t>
            </w:r>
          </w:p>
        </w:tc>
        <w:tc>
          <w:tcPr>
            <w:tcW w:w="860" w:type="pct"/>
            <w:vAlign w:val="center"/>
          </w:tcPr>
          <w:p w14:paraId="49934987" w14:textId="77777777" w:rsidR="00853AB0" w:rsidRPr="00137908" w:rsidRDefault="00853AB0" w:rsidP="0091041C">
            <w:pPr>
              <w:pStyle w:val="Tabletext"/>
              <w:keepNext/>
              <w:keepLines/>
              <w:jc w:val="center"/>
            </w:pPr>
            <w:r w:rsidRPr="00137908">
              <w:t>9 (2.5)</w:t>
            </w:r>
          </w:p>
        </w:tc>
        <w:tc>
          <w:tcPr>
            <w:tcW w:w="860" w:type="pct"/>
            <w:vAlign w:val="center"/>
          </w:tcPr>
          <w:p w14:paraId="3278ADBD" w14:textId="77777777" w:rsidR="00853AB0" w:rsidRPr="00137908" w:rsidRDefault="00853AB0" w:rsidP="0091041C">
            <w:pPr>
              <w:pStyle w:val="Tabletext"/>
              <w:keepNext/>
              <w:keepLines/>
              <w:jc w:val="center"/>
            </w:pPr>
            <w:r w:rsidRPr="00137908">
              <w:t>0</w:t>
            </w:r>
          </w:p>
        </w:tc>
        <w:tc>
          <w:tcPr>
            <w:tcW w:w="1071" w:type="pct"/>
            <w:vAlign w:val="center"/>
          </w:tcPr>
          <w:p w14:paraId="5AAE0280" w14:textId="77777777" w:rsidR="00853AB0" w:rsidRPr="00137908" w:rsidRDefault="00853AB0" w:rsidP="0091041C">
            <w:pPr>
              <w:pStyle w:val="Tabletext"/>
              <w:keepNext/>
              <w:keepLines/>
              <w:jc w:val="center"/>
            </w:pPr>
            <w:r w:rsidRPr="00137908">
              <w:t>NE</w:t>
            </w:r>
          </w:p>
        </w:tc>
      </w:tr>
      <w:tr w:rsidR="00853AB0" w:rsidRPr="00137908" w14:paraId="0636B70E" w14:textId="77777777" w:rsidTr="00832D52">
        <w:trPr>
          <w:trHeight w:val="20"/>
        </w:trPr>
        <w:tc>
          <w:tcPr>
            <w:tcW w:w="2209" w:type="pct"/>
            <w:vAlign w:val="center"/>
          </w:tcPr>
          <w:p w14:paraId="6205D2BF" w14:textId="77777777" w:rsidR="00853AB0" w:rsidRPr="00137908" w:rsidRDefault="00853AB0" w:rsidP="0091041C">
            <w:pPr>
              <w:pStyle w:val="Tabletext"/>
              <w:keepNext/>
              <w:keepLines/>
            </w:pPr>
            <w:r w:rsidRPr="00137908">
              <w:t>Nervous system disorders</w:t>
            </w:r>
          </w:p>
        </w:tc>
        <w:tc>
          <w:tcPr>
            <w:tcW w:w="860" w:type="pct"/>
            <w:vAlign w:val="center"/>
          </w:tcPr>
          <w:p w14:paraId="1472CEFE" w14:textId="77777777" w:rsidR="00853AB0" w:rsidRPr="00137908" w:rsidRDefault="00853AB0" w:rsidP="0091041C">
            <w:pPr>
              <w:pStyle w:val="Tabletext"/>
              <w:keepNext/>
              <w:keepLines/>
              <w:jc w:val="center"/>
            </w:pPr>
            <w:r w:rsidRPr="00137908">
              <w:t>26 (7.2)</w:t>
            </w:r>
          </w:p>
        </w:tc>
        <w:tc>
          <w:tcPr>
            <w:tcW w:w="860" w:type="pct"/>
            <w:vAlign w:val="center"/>
          </w:tcPr>
          <w:p w14:paraId="137BA571" w14:textId="77777777" w:rsidR="00853AB0" w:rsidRPr="00137908" w:rsidRDefault="00853AB0" w:rsidP="0091041C">
            <w:pPr>
              <w:pStyle w:val="Tabletext"/>
              <w:keepNext/>
              <w:keepLines/>
              <w:jc w:val="center"/>
            </w:pPr>
            <w:r w:rsidRPr="00137908">
              <w:t>9 (2.5)</w:t>
            </w:r>
          </w:p>
        </w:tc>
        <w:tc>
          <w:tcPr>
            <w:tcW w:w="1071" w:type="pct"/>
            <w:vAlign w:val="center"/>
          </w:tcPr>
          <w:p w14:paraId="09869840" w14:textId="77777777" w:rsidR="00853AB0" w:rsidRPr="00137908" w:rsidRDefault="00853AB0" w:rsidP="0091041C">
            <w:pPr>
              <w:pStyle w:val="Tabletext"/>
              <w:keepNext/>
              <w:keepLines/>
              <w:jc w:val="center"/>
            </w:pPr>
            <w:r w:rsidRPr="00137908">
              <w:t>2.91 (1.38, 6.13)</w:t>
            </w:r>
          </w:p>
        </w:tc>
      </w:tr>
      <w:tr w:rsidR="00853AB0" w:rsidRPr="00137908" w14:paraId="54CE7326" w14:textId="77777777" w:rsidTr="00832D52">
        <w:trPr>
          <w:trHeight w:val="20"/>
        </w:trPr>
        <w:tc>
          <w:tcPr>
            <w:tcW w:w="2209" w:type="pct"/>
            <w:vAlign w:val="center"/>
          </w:tcPr>
          <w:p w14:paraId="03761BFC" w14:textId="77777777" w:rsidR="00853AB0" w:rsidRPr="00137908" w:rsidRDefault="00853AB0" w:rsidP="0091041C">
            <w:pPr>
              <w:pStyle w:val="Tabletext"/>
              <w:keepNext/>
              <w:keepLines/>
            </w:pPr>
            <w:r w:rsidRPr="00137908">
              <w:t xml:space="preserve">    Dizziness</w:t>
            </w:r>
          </w:p>
        </w:tc>
        <w:tc>
          <w:tcPr>
            <w:tcW w:w="860" w:type="pct"/>
            <w:vAlign w:val="center"/>
          </w:tcPr>
          <w:p w14:paraId="651C5202" w14:textId="77777777" w:rsidR="00853AB0" w:rsidRPr="00137908" w:rsidRDefault="00853AB0" w:rsidP="0091041C">
            <w:pPr>
              <w:pStyle w:val="Tabletext"/>
              <w:keepNext/>
              <w:keepLines/>
              <w:jc w:val="center"/>
            </w:pPr>
            <w:r w:rsidRPr="00137908">
              <w:t>NR</w:t>
            </w:r>
          </w:p>
        </w:tc>
        <w:tc>
          <w:tcPr>
            <w:tcW w:w="860" w:type="pct"/>
            <w:vAlign w:val="center"/>
          </w:tcPr>
          <w:p w14:paraId="0A83112A" w14:textId="77777777" w:rsidR="00853AB0" w:rsidRPr="00137908" w:rsidRDefault="00853AB0" w:rsidP="0091041C">
            <w:pPr>
              <w:pStyle w:val="Tabletext"/>
              <w:keepNext/>
              <w:keepLines/>
              <w:jc w:val="center"/>
            </w:pPr>
            <w:r w:rsidRPr="00137908">
              <w:t>NR</w:t>
            </w:r>
          </w:p>
        </w:tc>
        <w:tc>
          <w:tcPr>
            <w:tcW w:w="1071" w:type="pct"/>
            <w:vAlign w:val="center"/>
          </w:tcPr>
          <w:p w14:paraId="61362417" w14:textId="77777777" w:rsidR="00853AB0" w:rsidRPr="00137908" w:rsidRDefault="00853AB0" w:rsidP="0091041C">
            <w:pPr>
              <w:pStyle w:val="Tabletext"/>
              <w:keepNext/>
              <w:keepLines/>
              <w:jc w:val="center"/>
            </w:pPr>
            <w:r w:rsidRPr="00137908">
              <w:t>-</w:t>
            </w:r>
          </w:p>
        </w:tc>
      </w:tr>
      <w:tr w:rsidR="00853AB0" w:rsidRPr="00137908" w14:paraId="1C7C098F" w14:textId="77777777" w:rsidTr="00832D52">
        <w:trPr>
          <w:trHeight w:val="20"/>
        </w:trPr>
        <w:tc>
          <w:tcPr>
            <w:tcW w:w="2209" w:type="pct"/>
            <w:vAlign w:val="center"/>
          </w:tcPr>
          <w:p w14:paraId="04DC7EA4" w14:textId="77777777" w:rsidR="00853AB0" w:rsidRPr="00137908" w:rsidRDefault="00853AB0" w:rsidP="0091041C">
            <w:pPr>
              <w:pStyle w:val="Tabletext"/>
              <w:keepNext/>
              <w:keepLines/>
            </w:pPr>
            <w:r w:rsidRPr="00137908">
              <w:t xml:space="preserve">    Headache</w:t>
            </w:r>
          </w:p>
        </w:tc>
        <w:tc>
          <w:tcPr>
            <w:tcW w:w="860" w:type="pct"/>
            <w:vAlign w:val="center"/>
          </w:tcPr>
          <w:p w14:paraId="19F301AB" w14:textId="77777777" w:rsidR="00853AB0" w:rsidRPr="00137908" w:rsidRDefault="00853AB0" w:rsidP="0091041C">
            <w:pPr>
              <w:pStyle w:val="Tabletext"/>
              <w:keepNext/>
              <w:keepLines/>
              <w:jc w:val="center"/>
            </w:pPr>
            <w:r w:rsidRPr="00137908">
              <w:t>26 (7.2)</w:t>
            </w:r>
          </w:p>
        </w:tc>
        <w:tc>
          <w:tcPr>
            <w:tcW w:w="860" w:type="pct"/>
            <w:vAlign w:val="center"/>
          </w:tcPr>
          <w:p w14:paraId="1A93B76B" w14:textId="77777777" w:rsidR="00853AB0" w:rsidRPr="00137908" w:rsidRDefault="00853AB0" w:rsidP="0091041C">
            <w:pPr>
              <w:pStyle w:val="Tabletext"/>
              <w:keepNext/>
              <w:keepLines/>
              <w:jc w:val="center"/>
            </w:pPr>
            <w:r w:rsidRPr="00137908">
              <w:t>9 (2.5)</w:t>
            </w:r>
          </w:p>
        </w:tc>
        <w:tc>
          <w:tcPr>
            <w:tcW w:w="1071" w:type="pct"/>
            <w:vAlign w:val="center"/>
          </w:tcPr>
          <w:p w14:paraId="2FF0437D" w14:textId="77777777" w:rsidR="00853AB0" w:rsidRPr="00137908" w:rsidRDefault="00853AB0" w:rsidP="0091041C">
            <w:pPr>
              <w:pStyle w:val="Tabletext"/>
              <w:keepNext/>
              <w:keepLines/>
              <w:jc w:val="center"/>
            </w:pPr>
            <w:r w:rsidRPr="00137908">
              <w:t>2.91 (1.38, 6.13)</w:t>
            </w:r>
          </w:p>
        </w:tc>
      </w:tr>
      <w:tr w:rsidR="00853AB0" w:rsidRPr="00137908" w14:paraId="22E315F6" w14:textId="77777777" w:rsidTr="00832D52">
        <w:trPr>
          <w:trHeight w:val="20"/>
        </w:trPr>
        <w:tc>
          <w:tcPr>
            <w:tcW w:w="2209" w:type="pct"/>
            <w:vAlign w:val="center"/>
          </w:tcPr>
          <w:p w14:paraId="2342B90B" w14:textId="77777777" w:rsidR="00853AB0" w:rsidRPr="00137908" w:rsidRDefault="00853AB0" w:rsidP="0091041C">
            <w:pPr>
              <w:pStyle w:val="Tabletext"/>
              <w:keepNext/>
              <w:keepLines/>
            </w:pPr>
            <w:r w:rsidRPr="00137908">
              <w:t>Psychiatric disorders</w:t>
            </w:r>
          </w:p>
        </w:tc>
        <w:tc>
          <w:tcPr>
            <w:tcW w:w="860" w:type="pct"/>
            <w:vAlign w:val="center"/>
          </w:tcPr>
          <w:p w14:paraId="51C19930" w14:textId="77777777" w:rsidR="00853AB0" w:rsidRPr="00137908" w:rsidRDefault="00853AB0" w:rsidP="0091041C">
            <w:pPr>
              <w:pStyle w:val="Tabletext"/>
              <w:keepNext/>
              <w:keepLines/>
              <w:jc w:val="center"/>
            </w:pPr>
            <w:r w:rsidRPr="00137908">
              <w:t>NR</w:t>
            </w:r>
          </w:p>
        </w:tc>
        <w:tc>
          <w:tcPr>
            <w:tcW w:w="860" w:type="pct"/>
            <w:vAlign w:val="center"/>
          </w:tcPr>
          <w:p w14:paraId="0B1E9724" w14:textId="77777777" w:rsidR="00853AB0" w:rsidRPr="00137908" w:rsidRDefault="00853AB0" w:rsidP="0091041C">
            <w:pPr>
              <w:pStyle w:val="Tabletext"/>
              <w:keepNext/>
              <w:keepLines/>
              <w:jc w:val="center"/>
            </w:pPr>
            <w:r w:rsidRPr="00137908">
              <w:t>NR</w:t>
            </w:r>
          </w:p>
        </w:tc>
        <w:tc>
          <w:tcPr>
            <w:tcW w:w="1071" w:type="pct"/>
            <w:vAlign w:val="center"/>
          </w:tcPr>
          <w:p w14:paraId="2F98E53E" w14:textId="77777777" w:rsidR="00853AB0" w:rsidRPr="00137908" w:rsidRDefault="00853AB0" w:rsidP="0091041C">
            <w:pPr>
              <w:pStyle w:val="Tabletext"/>
              <w:keepNext/>
              <w:keepLines/>
              <w:jc w:val="center"/>
            </w:pPr>
            <w:r w:rsidRPr="00137908">
              <w:t>—</w:t>
            </w:r>
          </w:p>
        </w:tc>
      </w:tr>
      <w:tr w:rsidR="00853AB0" w:rsidRPr="00137908" w14:paraId="79A077E9" w14:textId="77777777" w:rsidTr="00832D52">
        <w:trPr>
          <w:trHeight w:val="20"/>
        </w:trPr>
        <w:tc>
          <w:tcPr>
            <w:tcW w:w="2209" w:type="pct"/>
            <w:vAlign w:val="center"/>
          </w:tcPr>
          <w:p w14:paraId="57249C40" w14:textId="77777777" w:rsidR="00853AB0" w:rsidRPr="00137908" w:rsidRDefault="00853AB0" w:rsidP="0091041C">
            <w:pPr>
              <w:pStyle w:val="Tabletext"/>
              <w:keepNext/>
              <w:keepLines/>
            </w:pPr>
            <w:r w:rsidRPr="00137908">
              <w:t>Respiratory, thoracic and mediastinal disorders</w:t>
            </w:r>
          </w:p>
        </w:tc>
        <w:tc>
          <w:tcPr>
            <w:tcW w:w="860" w:type="pct"/>
            <w:vAlign w:val="center"/>
          </w:tcPr>
          <w:p w14:paraId="328B16A5" w14:textId="77777777" w:rsidR="00853AB0" w:rsidRPr="00137908" w:rsidRDefault="00853AB0" w:rsidP="0091041C">
            <w:pPr>
              <w:pStyle w:val="Tabletext"/>
              <w:keepNext/>
              <w:keepLines/>
              <w:jc w:val="center"/>
            </w:pPr>
            <w:r w:rsidRPr="00137908">
              <w:t>NR</w:t>
            </w:r>
          </w:p>
        </w:tc>
        <w:tc>
          <w:tcPr>
            <w:tcW w:w="860" w:type="pct"/>
            <w:vAlign w:val="center"/>
          </w:tcPr>
          <w:p w14:paraId="1CF09827" w14:textId="77777777" w:rsidR="00853AB0" w:rsidRPr="00137908" w:rsidRDefault="00853AB0" w:rsidP="0091041C">
            <w:pPr>
              <w:pStyle w:val="Tabletext"/>
              <w:keepNext/>
              <w:keepLines/>
              <w:jc w:val="center"/>
            </w:pPr>
            <w:r w:rsidRPr="00137908">
              <w:t>NR</w:t>
            </w:r>
          </w:p>
        </w:tc>
        <w:tc>
          <w:tcPr>
            <w:tcW w:w="1071" w:type="pct"/>
            <w:vAlign w:val="center"/>
          </w:tcPr>
          <w:p w14:paraId="5509CC56" w14:textId="77777777" w:rsidR="00853AB0" w:rsidRPr="00137908" w:rsidRDefault="00853AB0" w:rsidP="0091041C">
            <w:pPr>
              <w:pStyle w:val="Tabletext"/>
              <w:keepNext/>
              <w:keepLines/>
              <w:jc w:val="center"/>
            </w:pPr>
            <w:r w:rsidRPr="00137908">
              <w:t>—</w:t>
            </w:r>
          </w:p>
        </w:tc>
      </w:tr>
      <w:tr w:rsidR="00853AB0" w:rsidRPr="00137908" w14:paraId="46C19E0F" w14:textId="77777777" w:rsidTr="00832D52">
        <w:trPr>
          <w:trHeight w:val="20"/>
        </w:trPr>
        <w:tc>
          <w:tcPr>
            <w:tcW w:w="2209" w:type="pct"/>
            <w:vAlign w:val="center"/>
          </w:tcPr>
          <w:p w14:paraId="78F2F5BD" w14:textId="77777777" w:rsidR="00853AB0" w:rsidRPr="00137908" w:rsidRDefault="00853AB0" w:rsidP="0091041C">
            <w:pPr>
              <w:pStyle w:val="Tabletext"/>
              <w:keepNext/>
              <w:keepLines/>
            </w:pPr>
            <w:r w:rsidRPr="00137908">
              <w:t>Skin and subcutaneous tissue disorders</w:t>
            </w:r>
          </w:p>
        </w:tc>
        <w:tc>
          <w:tcPr>
            <w:tcW w:w="860" w:type="pct"/>
            <w:vAlign w:val="center"/>
          </w:tcPr>
          <w:p w14:paraId="1BCA4D6C" w14:textId="77777777" w:rsidR="00853AB0" w:rsidRPr="00137908" w:rsidRDefault="00853AB0" w:rsidP="0091041C">
            <w:pPr>
              <w:pStyle w:val="Tabletext"/>
              <w:keepNext/>
              <w:keepLines/>
              <w:jc w:val="center"/>
            </w:pPr>
            <w:r w:rsidRPr="00137908">
              <w:t>39 (10.8)</w:t>
            </w:r>
          </w:p>
        </w:tc>
        <w:tc>
          <w:tcPr>
            <w:tcW w:w="860" w:type="pct"/>
            <w:vAlign w:val="center"/>
          </w:tcPr>
          <w:p w14:paraId="3B08E228" w14:textId="77777777" w:rsidR="00853AB0" w:rsidRPr="00137908" w:rsidRDefault="00853AB0" w:rsidP="0091041C">
            <w:pPr>
              <w:pStyle w:val="Tabletext"/>
              <w:keepNext/>
              <w:keepLines/>
              <w:jc w:val="center"/>
            </w:pPr>
            <w:r w:rsidRPr="00137908">
              <w:t>9 (2.5)</w:t>
            </w:r>
          </w:p>
        </w:tc>
        <w:tc>
          <w:tcPr>
            <w:tcW w:w="1071" w:type="pct"/>
            <w:vAlign w:val="center"/>
          </w:tcPr>
          <w:p w14:paraId="5ED8DBAA" w14:textId="77777777" w:rsidR="00853AB0" w:rsidRPr="00137908" w:rsidRDefault="00853AB0" w:rsidP="0091041C">
            <w:pPr>
              <w:pStyle w:val="Tabletext"/>
              <w:keepNext/>
              <w:keepLines/>
              <w:jc w:val="center"/>
            </w:pPr>
            <w:r w:rsidRPr="00137908">
              <w:t>4.37 (2.15, 8.89)</w:t>
            </w:r>
          </w:p>
        </w:tc>
      </w:tr>
      <w:tr w:rsidR="00B821A4" w:rsidRPr="00137908" w14:paraId="5C150FB9" w14:textId="77777777" w:rsidTr="00832D52">
        <w:trPr>
          <w:trHeight w:val="20"/>
        </w:trPr>
        <w:tc>
          <w:tcPr>
            <w:tcW w:w="2209" w:type="pct"/>
            <w:vAlign w:val="center"/>
          </w:tcPr>
          <w:p w14:paraId="23A4A798" w14:textId="77777777" w:rsidR="00853AB0" w:rsidRPr="00137908" w:rsidRDefault="00853AB0" w:rsidP="0091041C">
            <w:pPr>
              <w:pStyle w:val="Tabletext"/>
              <w:keepNext/>
              <w:keepLines/>
            </w:pPr>
            <w:r w:rsidRPr="00137908">
              <w:t xml:space="preserve">    Acne</w:t>
            </w:r>
          </w:p>
        </w:tc>
        <w:tc>
          <w:tcPr>
            <w:tcW w:w="860" w:type="pct"/>
            <w:vAlign w:val="center"/>
          </w:tcPr>
          <w:p w14:paraId="7EBE4204" w14:textId="77777777" w:rsidR="00853AB0" w:rsidRPr="00137908" w:rsidRDefault="00853AB0" w:rsidP="0091041C">
            <w:pPr>
              <w:pStyle w:val="Tabletext"/>
              <w:keepNext/>
              <w:keepLines/>
              <w:jc w:val="center"/>
            </w:pPr>
            <w:r w:rsidRPr="00137908">
              <w:t>39 (10.8)</w:t>
            </w:r>
          </w:p>
        </w:tc>
        <w:tc>
          <w:tcPr>
            <w:tcW w:w="860" w:type="pct"/>
            <w:vAlign w:val="center"/>
          </w:tcPr>
          <w:p w14:paraId="63F77E73" w14:textId="77777777" w:rsidR="00853AB0" w:rsidRPr="00137908" w:rsidRDefault="00853AB0" w:rsidP="0091041C">
            <w:pPr>
              <w:pStyle w:val="Tabletext"/>
              <w:keepNext/>
              <w:keepLines/>
              <w:jc w:val="center"/>
            </w:pPr>
            <w:r w:rsidRPr="00137908">
              <w:t>9 (2.5)</w:t>
            </w:r>
          </w:p>
        </w:tc>
        <w:tc>
          <w:tcPr>
            <w:tcW w:w="1071" w:type="pct"/>
            <w:vAlign w:val="center"/>
          </w:tcPr>
          <w:p w14:paraId="28BAEA4E" w14:textId="77777777" w:rsidR="00853AB0" w:rsidRPr="00137908" w:rsidRDefault="00853AB0" w:rsidP="0091041C">
            <w:pPr>
              <w:pStyle w:val="Tabletext"/>
              <w:keepNext/>
              <w:keepLines/>
              <w:jc w:val="center"/>
            </w:pPr>
            <w:r w:rsidRPr="00137908">
              <w:t>4.37 (2.15, 8.89)</w:t>
            </w:r>
          </w:p>
        </w:tc>
      </w:tr>
    </w:tbl>
    <w:p w14:paraId="2379B480" w14:textId="77777777" w:rsidR="00853AB0" w:rsidRPr="00137908" w:rsidRDefault="00853AB0" w:rsidP="0091041C">
      <w:pPr>
        <w:pStyle w:val="TableFigureFooter"/>
        <w:keepNext/>
      </w:pPr>
      <w:r w:rsidRPr="00137908">
        <w:t>Source: Table 2.6.15, p57 of the submission</w:t>
      </w:r>
    </w:p>
    <w:p w14:paraId="0F0E5D6E" w14:textId="77777777" w:rsidR="00853AB0" w:rsidRPr="00137908" w:rsidRDefault="00853AB0" w:rsidP="0091041C">
      <w:pPr>
        <w:pStyle w:val="TableFigureFooter"/>
        <w:keepNext/>
      </w:pPr>
      <w:r w:rsidRPr="00137908">
        <w:t xml:space="preserve">ABRO = </w:t>
      </w:r>
      <w:proofErr w:type="spellStart"/>
      <w:r w:rsidRPr="00137908">
        <w:t>abrocitinib</w:t>
      </w:r>
      <w:proofErr w:type="spellEnd"/>
      <w:r w:rsidRPr="00137908">
        <w:t xml:space="preserve">; DUPI = dupilumab; </w:t>
      </w:r>
      <w:r>
        <w:t xml:space="preserve">NE = Not evaluable; </w:t>
      </w:r>
      <w:r w:rsidRPr="00137908">
        <w:t>NR = Not reported; PBO = Placebo; Q2W = Once every 2 weeks; QD = Once Daily; TEAE = treatment-related adverse event.</w:t>
      </w:r>
    </w:p>
    <w:p w14:paraId="00BD77B4" w14:textId="353C27FB" w:rsidR="0049306A" w:rsidRPr="0049306A" w:rsidRDefault="00853AB0" w:rsidP="00F03520">
      <w:pPr>
        <w:pStyle w:val="TableFigureFooter"/>
        <w:rPr>
          <w:rFonts w:eastAsiaTheme="minorHAnsi"/>
        </w:rPr>
      </w:pPr>
      <w:r w:rsidRPr="00137908">
        <w:t>Included data up to 28 days after last dose of study. Incidence of ≥2% referred to ≥2% in any study arm. Subjects were counted only once per treatment per event. MedDRA v24.0 (JADE DARE) coding dictionar</w:t>
      </w:r>
      <w:r>
        <w:t>y</w:t>
      </w:r>
      <w:r w:rsidRPr="00137908">
        <w:t xml:space="preserve"> applied.</w:t>
      </w:r>
    </w:p>
    <w:p w14:paraId="668BF2B6" w14:textId="679CF872" w:rsidR="00BC3B0C" w:rsidRPr="0052714A" w:rsidRDefault="00F03CED" w:rsidP="0091041C">
      <w:pPr>
        <w:numPr>
          <w:ilvl w:val="1"/>
          <w:numId w:val="6"/>
        </w:numPr>
        <w:spacing w:after="120"/>
        <w:rPr>
          <w:rFonts w:eastAsiaTheme="minorHAnsi" w:cstheme="minorBidi"/>
          <w:szCs w:val="22"/>
          <w:lang w:eastAsia="en-US"/>
        </w:rPr>
      </w:pPr>
      <w:r w:rsidRPr="00E574CC">
        <w:rPr>
          <w:rFonts w:eastAsiaTheme="minorHAnsi" w:cstheme="minorBidi"/>
          <w:iCs/>
          <w:szCs w:val="22"/>
          <w:lang w:eastAsia="en-US"/>
        </w:rPr>
        <w:t>T</w:t>
      </w:r>
      <w:r w:rsidR="00BC3B0C" w:rsidRPr="00E574CC">
        <w:rPr>
          <w:rFonts w:eastAsiaTheme="minorHAnsi" w:cstheme="minorBidi"/>
          <w:iCs/>
          <w:szCs w:val="22"/>
          <w:lang w:eastAsia="en-US"/>
        </w:rPr>
        <w:t xml:space="preserve">he evaluation, the PSCR and the ESC agreed that </w:t>
      </w:r>
      <w:r w:rsidR="0061175D" w:rsidRPr="00E574CC">
        <w:rPr>
          <w:rFonts w:eastAsiaTheme="minorHAnsi" w:cstheme="minorBidi"/>
          <w:iCs/>
          <w:szCs w:val="22"/>
          <w:lang w:eastAsia="en-US"/>
        </w:rPr>
        <w:t>ABRO and DUPI have different safety profiles.</w:t>
      </w:r>
      <w:r w:rsidR="0061175D" w:rsidRPr="00070C35">
        <w:rPr>
          <w:rFonts w:eastAsiaTheme="minorHAnsi" w:cstheme="minorBidi"/>
          <w:szCs w:val="22"/>
          <w:lang w:eastAsia="en-US"/>
        </w:rPr>
        <w:t xml:space="preserve"> </w:t>
      </w:r>
      <w:r w:rsidR="003F0FAE" w:rsidRPr="00E574CC">
        <w:rPr>
          <w:rFonts w:eastAsiaTheme="minorHAnsi" w:cstheme="minorBidi"/>
          <w:iCs/>
          <w:szCs w:val="22"/>
          <w:lang w:eastAsia="en-US"/>
        </w:rPr>
        <w:t>The</w:t>
      </w:r>
      <w:r w:rsidR="00BC3B0C" w:rsidRPr="00E574CC">
        <w:rPr>
          <w:rFonts w:eastAsiaTheme="minorHAnsi" w:cstheme="minorBidi"/>
          <w:iCs/>
          <w:szCs w:val="22"/>
          <w:lang w:eastAsia="en-US"/>
        </w:rPr>
        <w:t xml:space="preserve"> PSCR stated that the higher rates of adverse events in the ABRO 200 mg arm compared to the ABRO 100 mg arm and the DUPI arm in JADE COMPARE and JADE DARE were influenced by the large number of nausea related events, and that these can be minimised by taking ABRO with food. The ESC disagreed with the assertion in the PSCR, noting that other adverse events were also higher for patients in the ABRO 200 mg arm.</w:t>
      </w:r>
    </w:p>
    <w:p w14:paraId="01B1F679" w14:textId="0BF42168" w:rsidR="00581C27" w:rsidRPr="00CC642F" w:rsidRDefault="003F0FAE" w:rsidP="0091041C">
      <w:pPr>
        <w:numPr>
          <w:ilvl w:val="1"/>
          <w:numId w:val="6"/>
        </w:numPr>
        <w:spacing w:after="120"/>
        <w:rPr>
          <w:rFonts w:eastAsiaTheme="minorHAnsi" w:cstheme="minorBidi"/>
          <w:szCs w:val="22"/>
          <w:lang w:eastAsia="en-US"/>
        </w:rPr>
      </w:pPr>
      <w:r w:rsidRPr="00E574CC">
        <w:rPr>
          <w:rFonts w:eastAsiaTheme="minorHAnsi" w:cstheme="minorBidi"/>
          <w:iCs/>
          <w:szCs w:val="22"/>
          <w:lang w:eastAsia="en-US"/>
        </w:rPr>
        <w:t>The</w:t>
      </w:r>
      <w:r w:rsidR="00581C27" w:rsidRPr="00E574CC">
        <w:rPr>
          <w:rFonts w:eastAsiaTheme="minorHAnsi" w:cstheme="minorBidi"/>
          <w:iCs/>
          <w:szCs w:val="22"/>
          <w:lang w:eastAsia="en-US"/>
        </w:rPr>
        <w:t xml:space="preserve"> PSCR also stated that the Product Information recommends that patients with a higher risk of VTE, MACE and malignancy take the 100 mg dose of ABRO, and that the 200 mg dose may be appropriate for patients with high disease burden who are not at risk for these events. The ESC considered this inherently acknowledges that ABRO 200 mg has less favourable safety compared to ABRO</w:t>
      </w:r>
      <w:r w:rsidR="00CC642F" w:rsidRPr="00E574CC">
        <w:rPr>
          <w:rFonts w:eastAsiaTheme="minorHAnsi" w:cstheme="minorBidi"/>
          <w:iCs/>
          <w:szCs w:val="22"/>
          <w:lang w:eastAsia="en-US"/>
        </w:rPr>
        <w:t xml:space="preserve"> </w:t>
      </w:r>
      <w:r w:rsidR="00581C27" w:rsidRPr="00E574CC">
        <w:rPr>
          <w:rFonts w:eastAsiaTheme="minorHAnsi" w:cstheme="minorBidi"/>
          <w:iCs/>
          <w:szCs w:val="22"/>
          <w:lang w:eastAsia="en-US"/>
        </w:rPr>
        <w:t>100 mg.</w:t>
      </w:r>
    </w:p>
    <w:p w14:paraId="5B5630A3" w14:textId="44B2889C" w:rsidR="0061175D" w:rsidRPr="00070C35" w:rsidRDefault="0061175D" w:rsidP="0091041C">
      <w:pPr>
        <w:numPr>
          <w:ilvl w:val="1"/>
          <w:numId w:val="6"/>
        </w:numPr>
        <w:spacing w:after="120"/>
        <w:rPr>
          <w:rFonts w:eastAsiaTheme="minorHAnsi" w:cstheme="minorBidi"/>
          <w:szCs w:val="22"/>
          <w:lang w:eastAsia="en-US"/>
        </w:rPr>
      </w:pPr>
      <w:r w:rsidRPr="00070C35">
        <w:rPr>
          <w:rFonts w:eastAsiaTheme="minorHAnsi" w:cstheme="minorBidi"/>
          <w:szCs w:val="22"/>
          <w:lang w:eastAsia="en-US"/>
        </w:rPr>
        <w:t>Treatment duration was short in the key head-to-head trials</w:t>
      </w:r>
      <w:r w:rsidR="005E5631">
        <w:rPr>
          <w:rFonts w:eastAsiaTheme="minorHAnsi" w:cstheme="minorBidi"/>
          <w:szCs w:val="22"/>
          <w:lang w:eastAsia="en-US"/>
        </w:rPr>
        <w:t>,</w:t>
      </w:r>
      <w:r w:rsidRPr="00070C35">
        <w:rPr>
          <w:rFonts w:eastAsiaTheme="minorHAnsi" w:cstheme="minorBidi"/>
          <w:szCs w:val="22"/>
          <w:lang w:eastAsia="en-US"/>
        </w:rPr>
        <w:t xml:space="preserve"> which does not reflect the proposed long-term use of AD treatments. In addition, </w:t>
      </w:r>
      <w:r w:rsidRPr="006239C1">
        <w:rPr>
          <w:rFonts w:eastAsiaTheme="minorHAnsi" w:cstheme="minorHAnsi"/>
          <w:szCs w:val="22"/>
          <w:lang w:eastAsia="en-US"/>
        </w:rPr>
        <w:t>t</w:t>
      </w:r>
      <w:r w:rsidRPr="00513E34">
        <w:rPr>
          <w:rFonts w:cstheme="minorHAnsi"/>
        </w:rPr>
        <w:t xml:space="preserve">he study populations were too small to capture rare adverse events (AEs) associated with use of JAK inhibitors. </w:t>
      </w:r>
      <w:r w:rsidRPr="006239C1">
        <w:rPr>
          <w:rFonts w:eastAsiaTheme="minorHAnsi" w:cstheme="minorHAnsi"/>
          <w:szCs w:val="22"/>
          <w:lang w:eastAsia="en-US"/>
        </w:rPr>
        <w:t xml:space="preserve">Post market surveillance data for ABRO was not provided in the submission. </w:t>
      </w:r>
    </w:p>
    <w:p w14:paraId="1494C72B" w14:textId="77777777" w:rsidR="0061175D" w:rsidRPr="00070C35" w:rsidRDefault="0061175D" w:rsidP="0091041C">
      <w:pPr>
        <w:numPr>
          <w:ilvl w:val="1"/>
          <w:numId w:val="6"/>
        </w:numPr>
        <w:spacing w:after="120"/>
        <w:rPr>
          <w:rFonts w:eastAsiaTheme="minorHAnsi" w:cstheme="minorBidi"/>
          <w:szCs w:val="22"/>
          <w:lang w:eastAsia="en-US"/>
        </w:rPr>
      </w:pPr>
      <w:r w:rsidRPr="00070C35">
        <w:rPr>
          <w:rFonts w:eastAsiaTheme="minorHAnsi" w:cstheme="minorBidi"/>
          <w:szCs w:val="22"/>
          <w:lang w:eastAsia="en-US"/>
        </w:rPr>
        <w:lastRenderedPageBreak/>
        <w:t>ABRO is included in the black triangle scheme. The ABRO product information (PI) includes warnings based on data from a post-market safety study of tofacitinib, another JAK inhibitor. AEs of interest associated with use of JAK inhibitors in the ABRO PI include but are not limited to serious infections (herpes simplex, herpes zoster, and pneumonia), VTEs including pulmonary embolism, and malignancy. The PI states that that ABRO should only be used if no suitable treatment alternatives are available in patients with risk factors for these events. Laboratory monitoring (complete blood count including platelet count, absolute lymphocyte count, absolute neutrophil count and haemoglobin; lipid parameters to monitor for hyperlipidaemia) is required 4 weeks prior to and after treatment initiation with ongoing monitoring based on assessment of patient risk factors. Recommendations are for use of the lowest effective dose of ABRO for maintenance treatment after establishing disease control.</w:t>
      </w:r>
    </w:p>
    <w:p w14:paraId="2AA969F4" w14:textId="102FA1EA" w:rsidR="0061175D" w:rsidRDefault="0061175D">
      <w:pPr>
        <w:pStyle w:val="3-BodyText"/>
        <w:rPr>
          <w:lang w:eastAsia="en-US"/>
        </w:rPr>
      </w:pPr>
      <w:r w:rsidRPr="00070C35">
        <w:rPr>
          <w:lang w:eastAsia="en-US"/>
        </w:rPr>
        <w:t>Regulatory approval of ABRO by the TGA in April 2024 followed consideration by the Advisory Committee on Medicines (ACM) dating back to December 2021 and includ</w:t>
      </w:r>
      <w:r w:rsidR="005E5631">
        <w:rPr>
          <w:lang w:eastAsia="en-US"/>
        </w:rPr>
        <w:t>ed</w:t>
      </w:r>
      <w:r w:rsidRPr="00070C35">
        <w:rPr>
          <w:lang w:eastAsia="en-US"/>
        </w:rPr>
        <w:t xml:space="preserve"> a Section 60 review and an application to the Administrative Appeals Tribunal (AAT) (Act 1975) for a review of the Delegate’s decision. The main concerns were around the negative benefit-risk profile of ABRO including uncertainty over safety associated with use of JAK inhibitors and lack of adequate supporting data. ABRO was approved for the current indication after these concerns were adequately addressed by the applicant through the provision of additional data, and amendments to the Product Information for ABRO.</w:t>
      </w:r>
    </w:p>
    <w:p w14:paraId="37E1C5A1" w14:textId="2FB24D27" w:rsidR="0073107D" w:rsidRPr="000B7DD8" w:rsidRDefault="00F03CED">
      <w:pPr>
        <w:pStyle w:val="3-BodyText"/>
        <w:rPr>
          <w:i/>
        </w:rPr>
      </w:pPr>
      <w:r w:rsidRPr="00E574CC">
        <w:rPr>
          <w:lang w:eastAsia="en-US"/>
        </w:rPr>
        <w:t>With respect to longer term safety information, the PSCR included a comparison of ex</w:t>
      </w:r>
      <w:r w:rsidR="00394B62" w:rsidRPr="00E574CC">
        <w:rPr>
          <w:lang w:eastAsia="en-US"/>
        </w:rPr>
        <w:t xml:space="preserve">tension data from JADE EXTEND with </w:t>
      </w:r>
      <w:r w:rsidR="003F0FAE" w:rsidRPr="00E574CC">
        <w:rPr>
          <w:lang w:eastAsia="en-US"/>
        </w:rPr>
        <w:t xml:space="preserve">population-based AD </w:t>
      </w:r>
      <w:r w:rsidR="00394B62" w:rsidRPr="00E574CC">
        <w:rPr>
          <w:lang w:eastAsia="en-US"/>
        </w:rPr>
        <w:t xml:space="preserve">cohort </w:t>
      </w:r>
      <w:r w:rsidR="003F0FAE" w:rsidRPr="00E574CC">
        <w:rPr>
          <w:lang w:eastAsia="en-US"/>
        </w:rPr>
        <w:t>studies</w:t>
      </w:r>
      <w:r w:rsidR="00394B62" w:rsidRPr="00E574CC">
        <w:rPr>
          <w:lang w:eastAsia="en-US"/>
        </w:rPr>
        <w:t xml:space="preserve">. </w:t>
      </w:r>
      <w:r w:rsidR="0073107D" w:rsidRPr="0073107D">
        <w:t>The PSCR suggested that this data indicates that the incidence rate for MACE, VTE and malignancies (excluding NMSC) reflect</w:t>
      </w:r>
      <w:r w:rsidR="0073107D">
        <w:t>s</w:t>
      </w:r>
      <w:r w:rsidR="0073107D" w:rsidRPr="0073107D">
        <w:t xml:space="preserve"> the rates of these events in patients with AD. The ESC </w:t>
      </w:r>
      <w:r w:rsidR="0073107D">
        <w:t>considered</w:t>
      </w:r>
      <w:r w:rsidR="0073107D" w:rsidRPr="0073107D">
        <w:t xml:space="preserve"> that the value of the presented comparisons between long term safety data cohort and the population cohort data was limited and </w:t>
      </w:r>
      <w:r w:rsidR="0073107D">
        <w:t xml:space="preserve">that it was </w:t>
      </w:r>
      <w:r w:rsidR="0073107D" w:rsidRPr="0073107D">
        <w:t>difficult to draw conclusions due to a lack of matching.</w:t>
      </w:r>
    </w:p>
    <w:p w14:paraId="40528B5C" w14:textId="77777777" w:rsidR="0061175D" w:rsidRPr="009A5A91" w:rsidRDefault="0061175D" w:rsidP="0061175D">
      <w:pPr>
        <w:pStyle w:val="4-SubsectionHeading"/>
      </w:pPr>
      <w:bookmarkStart w:id="60" w:name="_Toc177558650"/>
      <w:bookmarkEnd w:id="57"/>
      <w:r w:rsidRPr="009A5A91">
        <w:t>Benefits/harms</w:t>
      </w:r>
      <w:bookmarkEnd w:id="60"/>
    </w:p>
    <w:p w14:paraId="39B91A78" w14:textId="77777777" w:rsidR="0061175D" w:rsidRPr="00070C35" w:rsidRDefault="0061175D" w:rsidP="0091041C">
      <w:pPr>
        <w:numPr>
          <w:ilvl w:val="1"/>
          <w:numId w:val="6"/>
        </w:numPr>
        <w:spacing w:after="120"/>
        <w:rPr>
          <w:rFonts w:eastAsiaTheme="minorHAnsi" w:cstheme="minorBidi"/>
          <w:szCs w:val="22"/>
        </w:rPr>
      </w:pPr>
      <w:r w:rsidRPr="00070C35">
        <w:rPr>
          <w:rFonts w:eastAsiaTheme="minorHAnsi" w:cstheme="minorBidi"/>
          <w:szCs w:val="22"/>
        </w:rPr>
        <w:t>A benefits and harms table is not presented as the submission made a claim of non-inferior efficacy and non-inferior safety for ABRO 200 mg versus DUPI 300 mg and an inferior efficacy and non-inferior safety claim for ABRO 100 mg versus DUPI 300 mg.</w:t>
      </w:r>
    </w:p>
    <w:p w14:paraId="0D394377" w14:textId="77777777" w:rsidR="0061175D" w:rsidRPr="009A5A91" w:rsidRDefault="0061175D" w:rsidP="0061175D">
      <w:pPr>
        <w:pStyle w:val="4-SubsectionHeading"/>
      </w:pPr>
      <w:bookmarkStart w:id="61" w:name="_Toc177558651"/>
      <w:r w:rsidRPr="009A5A91">
        <w:t>Clinical claim</w:t>
      </w:r>
      <w:bookmarkEnd w:id="61"/>
    </w:p>
    <w:p w14:paraId="68DDE5D9" w14:textId="12BF8D9B" w:rsidR="0061175D" w:rsidRPr="00F27B8A" w:rsidRDefault="00F27B8A">
      <w:pPr>
        <w:pStyle w:val="3-BodyText"/>
        <w:spacing w:line="120" w:lineRule="atLeast"/>
      </w:pPr>
      <w:r w:rsidRPr="00F27B8A">
        <w:rPr>
          <w:rFonts w:eastAsia="Calibri"/>
        </w:rPr>
        <w:t xml:space="preserve">The efficacy clinical claims were based on </w:t>
      </w:r>
      <w:r w:rsidRPr="0052714A">
        <w:rPr>
          <w:rFonts w:eastAsia="Calibri"/>
          <w:i/>
          <w:iCs/>
        </w:rPr>
        <w:t>post hoc</w:t>
      </w:r>
      <w:r w:rsidRPr="00F27B8A">
        <w:rPr>
          <w:rFonts w:eastAsia="Calibri"/>
        </w:rPr>
        <w:t xml:space="preserve"> analyses of subgroups with severe AD (defined as IGA=4), with or without prior systemic treatment for AD, for a composite endpoint EASI50+DLQI≥4. </w:t>
      </w:r>
      <w:r w:rsidR="0061175D" w:rsidRPr="00F27B8A">
        <w:t>The clinical claim in the submission was that:</w:t>
      </w:r>
    </w:p>
    <w:p w14:paraId="23C7A9D3" w14:textId="77777777" w:rsidR="0061175D" w:rsidRPr="009A5A91" w:rsidRDefault="0061175D" w:rsidP="0091041C">
      <w:pPr>
        <w:numPr>
          <w:ilvl w:val="0"/>
          <w:numId w:val="2"/>
        </w:numPr>
        <w:spacing w:after="120" w:line="120" w:lineRule="atLeast"/>
        <w:ind w:left="1080"/>
        <w:contextualSpacing/>
        <w:rPr>
          <w:snapToGrid w:val="0"/>
        </w:rPr>
      </w:pPr>
      <w:bookmarkStart w:id="62" w:name="_Hlk176646152"/>
      <w:r w:rsidRPr="009A5A91">
        <w:rPr>
          <w:snapToGrid w:val="0"/>
        </w:rPr>
        <w:t>ABRO 20</w:t>
      </w:r>
      <w:r>
        <w:rPr>
          <w:snapToGrid w:val="0"/>
        </w:rPr>
        <w:t>0 mg</w:t>
      </w:r>
      <w:r w:rsidRPr="009A5A91">
        <w:rPr>
          <w:snapToGrid w:val="0"/>
        </w:rPr>
        <w:t xml:space="preserve"> </w:t>
      </w:r>
      <w:r>
        <w:rPr>
          <w:snapToGrid w:val="0"/>
        </w:rPr>
        <w:t>is</w:t>
      </w:r>
      <w:r w:rsidRPr="009A5A91">
        <w:rPr>
          <w:snapToGrid w:val="0"/>
        </w:rPr>
        <w:t xml:space="preserve"> non-inferior </w:t>
      </w:r>
      <w:r>
        <w:rPr>
          <w:snapToGrid w:val="0"/>
        </w:rPr>
        <w:t xml:space="preserve">in terms of </w:t>
      </w:r>
      <w:r w:rsidRPr="009A5A91">
        <w:rPr>
          <w:snapToGrid w:val="0"/>
        </w:rPr>
        <w:t xml:space="preserve">efficacy and non-inferior </w:t>
      </w:r>
      <w:r>
        <w:rPr>
          <w:snapToGrid w:val="0"/>
        </w:rPr>
        <w:t xml:space="preserve">in terms of </w:t>
      </w:r>
      <w:r w:rsidRPr="009A5A91">
        <w:rPr>
          <w:snapToGrid w:val="0"/>
        </w:rPr>
        <w:t>safety compared to DUPI 30</w:t>
      </w:r>
      <w:r>
        <w:rPr>
          <w:snapToGrid w:val="0"/>
        </w:rPr>
        <w:t>0 mg</w:t>
      </w:r>
      <w:r w:rsidRPr="009A5A91">
        <w:rPr>
          <w:snapToGrid w:val="0"/>
        </w:rPr>
        <w:t xml:space="preserve">. </w:t>
      </w:r>
    </w:p>
    <w:p w14:paraId="3DCABE06" w14:textId="2673F5B2" w:rsidR="0061175D" w:rsidRPr="00070C35" w:rsidRDefault="0061175D" w:rsidP="0091041C">
      <w:pPr>
        <w:numPr>
          <w:ilvl w:val="0"/>
          <w:numId w:val="2"/>
        </w:numPr>
        <w:spacing w:after="120" w:line="120" w:lineRule="atLeast"/>
        <w:ind w:left="1080"/>
        <w:contextualSpacing/>
        <w:rPr>
          <w:snapToGrid w:val="0"/>
        </w:rPr>
      </w:pPr>
      <w:r w:rsidRPr="009A5A91">
        <w:rPr>
          <w:snapToGrid w:val="0"/>
        </w:rPr>
        <w:t>ABRO 10</w:t>
      </w:r>
      <w:r>
        <w:rPr>
          <w:snapToGrid w:val="0"/>
        </w:rPr>
        <w:t>0 mg</w:t>
      </w:r>
      <w:r w:rsidRPr="009A5A91">
        <w:rPr>
          <w:snapToGrid w:val="0"/>
        </w:rPr>
        <w:t xml:space="preserve"> </w:t>
      </w:r>
      <w:r>
        <w:rPr>
          <w:snapToGrid w:val="0"/>
        </w:rPr>
        <w:t>is “not non-</w:t>
      </w:r>
      <w:r w:rsidRPr="009A5A91">
        <w:rPr>
          <w:snapToGrid w:val="0"/>
        </w:rPr>
        <w:t>inferior</w:t>
      </w:r>
      <w:r>
        <w:rPr>
          <w:snapToGrid w:val="0"/>
        </w:rPr>
        <w:t>”</w:t>
      </w:r>
      <w:r w:rsidRPr="009A5A91">
        <w:rPr>
          <w:snapToGrid w:val="0"/>
        </w:rPr>
        <w:t xml:space="preserve"> </w:t>
      </w:r>
      <w:r>
        <w:rPr>
          <w:snapToGrid w:val="0"/>
        </w:rPr>
        <w:t xml:space="preserve">in terms of </w:t>
      </w:r>
      <w:r w:rsidRPr="009A5A91">
        <w:rPr>
          <w:snapToGrid w:val="0"/>
        </w:rPr>
        <w:t xml:space="preserve">efficacy and non-inferior </w:t>
      </w:r>
      <w:r>
        <w:rPr>
          <w:snapToGrid w:val="0"/>
        </w:rPr>
        <w:t xml:space="preserve">in terms of </w:t>
      </w:r>
      <w:r w:rsidRPr="009A5A91">
        <w:rPr>
          <w:snapToGrid w:val="0"/>
        </w:rPr>
        <w:t>safety compared to DUPI 30</w:t>
      </w:r>
      <w:r>
        <w:rPr>
          <w:snapToGrid w:val="0"/>
        </w:rPr>
        <w:t>0 mg</w:t>
      </w:r>
      <w:r w:rsidRPr="009A5A91">
        <w:rPr>
          <w:snapToGrid w:val="0"/>
        </w:rPr>
        <w:t>.</w:t>
      </w:r>
      <w:r>
        <w:rPr>
          <w:snapToGrid w:val="0"/>
        </w:rPr>
        <w:t xml:space="preserve"> </w:t>
      </w:r>
      <w:r w:rsidRPr="00070C35">
        <w:rPr>
          <w:snapToGrid w:val="0"/>
        </w:rPr>
        <w:t xml:space="preserve">The clinical claim for ABRO 100 mg would best </w:t>
      </w:r>
      <w:r w:rsidRPr="00070C35">
        <w:rPr>
          <w:snapToGrid w:val="0"/>
        </w:rPr>
        <w:lastRenderedPageBreak/>
        <w:t xml:space="preserve">be expressed as ABRO 100 mg </w:t>
      </w:r>
      <w:r w:rsidR="009917EA">
        <w:rPr>
          <w:snapToGrid w:val="0"/>
        </w:rPr>
        <w:t>is</w:t>
      </w:r>
      <w:r w:rsidRPr="00070C35">
        <w:rPr>
          <w:snapToGrid w:val="0"/>
        </w:rPr>
        <w:t xml:space="preserve"> inferior in terms of efficacy compared to DUPI 300 mg.</w:t>
      </w:r>
    </w:p>
    <w:p w14:paraId="4FA487FB" w14:textId="60D4D78C" w:rsidR="008B433F" w:rsidRPr="00E574CC" w:rsidRDefault="008B433F">
      <w:pPr>
        <w:pStyle w:val="3-BodyText"/>
        <w:rPr>
          <w:rFonts w:eastAsia="Calibri"/>
          <w:iCs/>
        </w:rPr>
      </w:pPr>
      <w:bookmarkStart w:id="63" w:name="_Hlk179445257"/>
      <w:bookmarkEnd w:id="62"/>
      <w:r w:rsidRPr="00E574CC">
        <w:rPr>
          <w:rFonts w:eastAsia="Calibri"/>
          <w:iCs/>
        </w:rPr>
        <w:t>Overall, the ESC considered the claim that ABRO 200 mg is non-inferior in efficacy to DUPI 300 mg was supported</w:t>
      </w:r>
      <w:r w:rsidR="00F27B8A" w:rsidRPr="00E574CC">
        <w:rPr>
          <w:rFonts w:eastAsia="Calibri"/>
          <w:iCs/>
        </w:rPr>
        <w:t xml:space="preserve"> by the evidence presented</w:t>
      </w:r>
      <w:r w:rsidRPr="00E574CC">
        <w:rPr>
          <w:rFonts w:eastAsia="Calibri"/>
          <w:iCs/>
        </w:rPr>
        <w:t>. The ESC further considered that the claim that ABRO 100 mg is “not non-inferior” (inferior) in efficacy to DUPI 300 mg was supported</w:t>
      </w:r>
      <w:r w:rsidR="00F27B8A" w:rsidRPr="00E574CC">
        <w:rPr>
          <w:rFonts w:eastAsia="Calibri"/>
          <w:iCs/>
        </w:rPr>
        <w:t xml:space="preserve"> by the evidence presented</w:t>
      </w:r>
      <w:r w:rsidRPr="00E574CC">
        <w:rPr>
          <w:rFonts w:eastAsia="Calibri"/>
          <w:iCs/>
        </w:rPr>
        <w:t xml:space="preserve">, noting however, that the </w:t>
      </w:r>
      <w:r w:rsidR="00F27B8A" w:rsidRPr="00E574CC">
        <w:rPr>
          <w:rFonts w:eastAsia="Calibri"/>
          <w:iCs/>
        </w:rPr>
        <w:t>magnitude of difference between treatments is</w:t>
      </w:r>
      <w:r w:rsidRPr="00E574CC">
        <w:rPr>
          <w:rFonts w:eastAsia="Calibri"/>
          <w:iCs/>
        </w:rPr>
        <w:t xml:space="preserve"> uncertain.</w:t>
      </w:r>
    </w:p>
    <w:p w14:paraId="2B1AD583" w14:textId="35C9F623" w:rsidR="002039B7" w:rsidRPr="00E574CC" w:rsidRDefault="002039B7">
      <w:pPr>
        <w:pStyle w:val="3-BodyText"/>
        <w:rPr>
          <w:rFonts w:eastAsia="Calibri"/>
          <w:iCs/>
        </w:rPr>
      </w:pPr>
      <w:r w:rsidRPr="00E574CC">
        <w:rPr>
          <w:iCs/>
          <w:lang w:eastAsia="en-US"/>
        </w:rPr>
        <w:t>The ESC noted that the incidence of treatment-related TEAEs was higher in the ABRO 200 mg arm (29.6%) than in the ABRO 100 mg arm (19.7%) and the DUPI 300 mg arm (16.9%) in JADE COMPARE; the same trend was observed for ABRO 200 mg versus DUPI 300 mg in JADE DARE (34.5% vs. 15.6%).</w:t>
      </w:r>
      <w:r w:rsidRPr="00CA6728">
        <w:rPr>
          <w:lang w:eastAsia="en-US"/>
        </w:rPr>
        <w:t xml:space="preserve"> </w:t>
      </w:r>
      <w:r w:rsidR="0061175D" w:rsidRPr="00E574CC">
        <w:rPr>
          <w:rFonts w:eastAsia="Calibri"/>
          <w:iCs/>
        </w:rPr>
        <w:t xml:space="preserve">The </w:t>
      </w:r>
      <w:r w:rsidR="005E5631" w:rsidRPr="00E574CC">
        <w:rPr>
          <w:rFonts w:eastAsia="Calibri"/>
          <w:iCs/>
        </w:rPr>
        <w:t xml:space="preserve">ESC considered that the claim of </w:t>
      </w:r>
      <w:r w:rsidR="0061175D" w:rsidRPr="00E574CC">
        <w:rPr>
          <w:rFonts w:eastAsia="Calibri"/>
          <w:iCs/>
        </w:rPr>
        <w:t xml:space="preserve">non-inferior safety of ABRO 100 mg compared with DUPI 300 mg </w:t>
      </w:r>
      <w:r w:rsidR="00F27B8A" w:rsidRPr="00E574CC">
        <w:rPr>
          <w:rFonts w:eastAsia="Calibri"/>
          <w:iCs/>
        </w:rPr>
        <w:t xml:space="preserve">may be </w:t>
      </w:r>
      <w:r w:rsidR="0061175D" w:rsidRPr="00E574CC">
        <w:rPr>
          <w:rFonts w:eastAsia="Calibri"/>
          <w:iCs/>
        </w:rPr>
        <w:t xml:space="preserve">supported by the evidence presented in the submission, </w:t>
      </w:r>
      <w:bookmarkEnd w:id="63"/>
      <w:r w:rsidRPr="00E574CC">
        <w:rPr>
          <w:rFonts w:eastAsia="Calibri"/>
          <w:iCs/>
        </w:rPr>
        <w:t>but</w:t>
      </w:r>
      <w:r w:rsidR="005E5631" w:rsidRPr="00E574CC">
        <w:rPr>
          <w:rFonts w:eastAsia="Calibri"/>
          <w:iCs/>
        </w:rPr>
        <w:t xml:space="preserve"> the claim of non-inferior safety of ABRO 200 mg compared with DUPI 300 mg was not </w:t>
      </w:r>
      <w:r w:rsidRPr="00E574CC">
        <w:rPr>
          <w:rFonts w:eastAsia="Calibri"/>
          <w:iCs/>
        </w:rPr>
        <w:t xml:space="preserve">adequately </w:t>
      </w:r>
      <w:r w:rsidR="005E5631" w:rsidRPr="00E574CC">
        <w:rPr>
          <w:rFonts w:eastAsia="Calibri"/>
          <w:iCs/>
        </w:rPr>
        <w:t>supported by the evidence presented in the submission</w:t>
      </w:r>
      <w:r w:rsidR="0090163E" w:rsidRPr="00E574CC">
        <w:rPr>
          <w:rFonts w:eastAsia="Calibri"/>
          <w:iCs/>
        </w:rPr>
        <w:t xml:space="preserve">. </w:t>
      </w:r>
    </w:p>
    <w:p w14:paraId="26929FD1" w14:textId="33008B2C" w:rsidR="005E5631" w:rsidRDefault="002039B7">
      <w:pPr>
        <w:pStyle w:val="3-BodyText"/>
        <w:rPr>
          <w:rFonts w:eastAsia="Calibri"/>
          <w:iCs/>
        </w:rPr>
      </w:pPr>
      <w:r w:rsidRPr="00E574CC">
        <w:rPr>
          <w:rFonts w:eastAsia="Calibri"/>
          <w:iCs/>
        </w:rPr>
        <w:t xml:space="preserve">The ESC noted that safety comparisons were limited by patient numbers that were too small to capture rare AEs and the short treatment in the trials. </w:t>
      </w:r>
      <w:r w:rsidR="0090163E" w:rsidRPr="00E574CC">
        <w:rPr>
          <w:rFonts w:eastAsia="Calibri"/>
          <w:iCs/>
        </w:rPr>
        <w:t xml:space="preserve">The ESC noted that the adverse event profiles differed, with DUPI having higher rates of conjunctivitis and that numerically there were more adverse events with ABRO 200 </w:t>
      </w:r>
      <w:r w:rsidR="009917EA" w:rsidRPr="00E574CC">
        <w:rPr>
          <w:rFonts w:eastAsia="Calibri"/>
          <w:iCs/>
        </w:rPr>
        <w:t>mg:</w:t>
      </w:r>
      <w:r w:rsidR="0090163E" w:rsidRPr="00E574CC">
        <w:rPr>
          <w:rFonts w:eastAsia="Calibri"/>
          <w:iCs/>
        </w:rPr>
        <w:t xml:space="preserve"> in particular, h</w:t>
      </w:r>
      <w:r w:rsidR="005E5631" w:rsidRPr="00E574CC">
        <w:rPr>
          <w:rFonts w:eastAsia="Calibri"/>
          <w:iCs/>
        </w:rPr>
        <w:t xml:space="preserve">igher rates of </w:t>
      </w:r>
      <w:r w:rsidR="00FB4646" w:rsidRPr="00E574CC">
        <w:rPr>
          <w:rFonts w:eastAsia="Calibri"/>
          <w:iCs/>
        </w:rPr>
        <w:t>herpes simplex, herpes zoster, folliculitis, nausea, acne and laboratory abnormalities.</w:t>
      </w:r>
    </w:p>
    <w:p w14:paraId="4CBAC96A" w14:textId="337EF5CC" w:rsidR="00490D81" w:rsidRPr="00CE42B4" w:rsidRDefault="00490D81" w:rsidP="0091041C">
      <w:pPr>
        <w:widowControl w:val="0"/>
        <w:numPr>
          <w:ilvl w:val="1"/>
          <w:numId w:val="1"/>
        </w:numPr>
        <w:spacing w:after="120"/>
        <w:rPr>
          <w:snapToGrid w:val="0"/>
          <w:szCs w:val="20"/>
        </w:rPr>
      </w:pPr>
      <w:bookmarkStart w:id="64" w:name="_Hlk76376200"/>
      <w:r w:rsidRPr="00CE42B4">
        <w:rPr>
          <w:iCs/>
          <w:snapToGrid w:val="0"/>
        </w:rPr>
        <w:t>The</w:t>
      </w:r>
      <w:r w:rsidRPr="00CE42B4">
        <w:rPr>
          <w:snapToGrid w:val="0"/>
          <w:szCs w:val="20"/>
        </w:rPr>
        <w:t xml:space="preserve"> PBAC considered that the claim of inferior</w:t>
      </w:r>
      <w:r w:rsidR="00D90BB2">
        <w:rPr>
          <w:snapToGrid w:val="0"/>
          <w:szCs w:val="20"/>
        </w:rPr>
        <w:t xml:space="preserve"> </w:t>
      </w:r>
      <w:r w:rsidRPr="00CE42B4">
        <w:rPr>
          <w:snapToGrid w:val="0"/>
          <w:szCs w:val="20"/>
        </w:rPr>
        <w:t xml:space="preserve">comparative effectiveness </w:t>
      </w:r>
      <w:r w:rsidR="00D90BB2">
        <w:rPr>
          <w:snapToGrid w:val="0"/>
          <w:szCs w:val="20"/>
        </w:rPr>
        <w:t xml:space="preserve">for </w:t>
      </w:r>
      <w:proofErr w:type="spellStart"/>
      <w:r w:rsidR="00D90BB2">
        <w:rPr>
          <w:snapToGrid w:val="0"/>
          <w:szCs w:val="20"/>
        </w:rPr>
        <w:t>abrocitinib</w:t>
      </w:r>
      <w:proofErr w:type="spellEnd"/>
      <w:r w:rsidR="00D90BB2">
        <w:rPr>
          <w:snapToGrid w:val="0"/>
          <w:szCs w:val="20"/>
        </w:rPr>
        <w:t xml:space="preserve"> 100 mg and non-inferior comparative effectiveness for </w:t>
      </w:r>
      <w:proofErr w:type="spellStart"/>
      <w:r w:rsidR="00D90BB2">
        <w:rPr>
          <w:snapToGrid w:val="0"/>
          <w:szCs w:val="20"/>
        </w:rPr>
        <w:t>abrocitinib</w:t>
      </w:r>
      <w:proofErr w:type="spellEnd"/>
      <w:r w:rsidR="00D90BB2">
        <w:rPr>
          <w:snapToGrid w:val="0"/>
          <w:szCs w:val="20"/>
        </w:rPr>
        <w:t xml:space="preserve"> 200 mg was reasonable</w:t>
      </w:r>
      <w:r w:rsidRPr="00CE42B4">
        <w:rPr>
          <w:snapToGrid w:val="0"/>
          <w:szCs w:val="20"/>
        </w:rPr>
        <w:t>.</w:t>
      </w:r>
      <w:r w:rsidR="00D90BB2">
        <w:rPr>
          <w:snapToGrid w:val="0"/>
          <w:szCs w:val="20"/>
        </w:rPr>
        <w:t xml:space="preserve"> The PBAC noted the submission did not specifically make a claim in relation to </w:t>
      </w:r>
      <w:proofErr w:type="spellStart"/>
      <w:r w:rsidR="00D90BB2">
        <w:rPr>
          <w:snapToGrid w:val="0"/>
          <w:szCs w:val="20"/>
        </w:rPr>
        <w:t>abrocitinib</w:t>
      </w:r>
      <w:proofErr w:type="spellEnd"/>
      <w:r w:rsidR="00D90BB2">
        <w:rPr>
          <w:snapToGrid w:val="0"/>
          <w:szCs w:val="20"/>
        </w:rPr>
        <w:t xml:space="preserve"> 50 mg.</w:t>
      </w:r>
    </w:p>
    <w:p w14:paraId="34CDD5A7" w14:textId="1D1E1BC1" w:rsidR="00490D81" w:rsidRPr="00CE42B4" w:rsidRDefault="00490D81" w:rsidP="0091041C">
      <w:pPr>
        <w:widowControl w:val="0"/>
        <w:numPr>
          <w:ilvl w:val="1"/>
          <w:numId w:val="1"/>
        </w:numPr>
        <w:spacing w:after="120"/>
        <w:rPr>
          <w:snapToGrid w:val="0"/>
          <w:szCs w:val="20"/>
        </w:rPr>
      </w:pPr>
      <w:r w:rsidRPr="00CE42B4">
        <w:rPr>
          <w:snapToGrid w:val="0"/>
          <w:szCs w:val="20"/>
        </w:rPr>
        <w:t>The PBAC considered that the claim of non-inferior comparative safety was reasonable</w:t>
      </w:r>
      <w:r w:rsidR="00D90BB2">
        <w:rPr>
          <w:snapToGrid w:val="0"/>
          <w:szCs w:val="20"/>
        </w:rPr>
        <w:t xml:space="preserve"> for </w:t>
      </w:r>
      <w:proofErr w:type="spellStart"/>
      <w:r w:rsidR="00D90BB2">
        <w:rPr>
          <w:snapToGrid w:val="0"/>
          <w:szCs w:val="20"/>
        </w:rPr>
        <w:t>abrocitinib</w:t>
      </w:r>
      <w:proofErr w:type="spellEnd"/>
      <w:r w:rsidR="00D90BB2">
        <w:rPr>
          <w:snapToGrid w:val="0"/>
          <w:szCs w:val="20"/>
        </w:rPr>
        <w:t xml:space="preserve"> 100 mg, but that the claim was </w:t>
      </w:r>
      <w:r w:rsidRPr="00CE42B4">
        <w:rPr>
          <w:snapToGrid w:val="0"/>
          <w:szCs w:val="20"/>
        </w:rPr>
        <w:t>not adequately supported by the data</w:t>
      </w:r>
      <w:r w:rsidR="00D90BB2">
        <w:rPr>
          <w:snapToGrid w:val="0"/>
          <w:szCs w:val="20"/>
        </w:rPr>
        <w:t xml:space="preserve"> for </w:t>
      </w:r>
      <w:proofErr w:type="spellStart"/>
      <w:r w:rsidR="00D90BB2">
        <w:rPr>
          <w:snapToGrid w:val="0"/>
          <w:szCs w:val="20"/>
        </w:rPr>
        <w:t>abrocitinib</w:t>
      </w:r>
      <w:proofErr w:type="spellEnd"/>
      <w:r w:rsidR="00D90BB2">
        <w:rPr>
          <w:snapToGrid w:val="0"/>
          <w:szCs w:val="20"/>
        </w:rPr>
        <w:t xml:space="preserve"> 200 mg</w:t>
      </w:r>
      <w:r w:rsidRPr="00CE42B4">
        <w:rPr>
          <w:snapToGrid w:val="0"/>
          <w:szCs w:val="20"/>
        </w:rPr>
        <w:t>.</w:t>
      </w:r>
      <w:r w:rsidR="00D90BB2">
        <w:rPr>
          <w:snapToGrid w:val="0"/>
          <w:szCs w:val="20"/>
        </w:rPr>
        <w:t xml:space="preserve"> The PBAC note the submission did not specifically make a claim in relation to </w:t>
      </w:r>
      <w:proofErr w:type="spellStart"/>
      <w:r w:rsidR="00D90BB2">
        <w:rPr>
          <w:snapToGrid w:val="0"/>
          <w:szCs w:val="20"/>
        </w:rPr>
        <w:t>abrocitinib</w:t>
      </w:r>
      <w:proofErr w:type="spellEnd"/>
      <w:r w:rsidR="00D90BB2">
        <w:rPr>
          <w:snapToGrid w:val="0"/>
          <w:szCs w:val="20"/>
        </w:rPr>
        <w:t xml:space="preserve"> 50 mg.</w:t>
      </w:r>
    </w:p>
    <w:p w14:paraId="00DF2B6A" w14:textId="77777777" w:rsidR="009A5A91" w:rsidRPr="009A5A91" w:rsidRDefault="009A5A91" w:rsidP="00347481">
      <w:pPr>
        <w:pStyle w:val="4-SubsectionHeading"/>
        <w:spacing w:before="60" w:after="60"/>
      </w:pPr>
      <w:bookmarkStart w:id="65" w:name="_Toc177558652"/>
      <w:bookmarkEnd w:id="2"/>
      <w:bookmarkEnd w:id="64"/>
      <w:r w:rsidRPr="009A5A91">
        <w:t>Economic analysis</w:t>
      </w:r>
      <w:bookmarkEnd w:id="3"/>
      <w:bookmarkEnd w:id="65"/>
      <w:r w:rsidRPr="009A5A91">
        <w:t xml:space="preserve"> </w:t>
      </w:r>
    </w:p>
    <w:p w14:paraId="2C35949C" w14:textId="2943BCA2" w:rsidR="00222DC6" w:rsidRPr="0052714A" w:rsidRDefault="009917EA" w:rsidP="00347481">
      <w:pPr>
        <w:pStyle w:val="3-BodyText"/>
        <w:rPr>
          <w:b/>
          <w:bCs/>
          <w:color w:val="0066FF"/>
        </w:rPr>
      </w:pPr>
      <w:r>
        <w:t>Based on</w:t>
      </w:r>
      <w:r w:rsidR="00CE22A2">
        <w:t xml:space="preserve"> the clinical claim of non</w:t>
      </w:r>
      <w:r w:rsidR="00C93BD0">
        <w:t>-</w:t>
      </w:r>
      <w:r w:rsidR="00CE22A2">
        <w:t xml:space="preserve">inferiority of </w:t>
      </w:r>
      <w:r w:rsidR="007F685D">
        <w:t>ABRO</w:t>
      </w:r>
      <w:r w:rsidR="00CE22A2">
        <w:t xml:space="preserve"> </w:t>
      </w:r>
      <w:r w:rsidR="00CF5502">
        <w:t>20</w:t>
      </w:r>
      <w:r w:rsidR="00E57A8B">
        <w:t>0 mg</w:t>
      </w:r>
      <w:r w:rsidR="00CE22A2">
        <w:t xml:space="preserve"> </w:t>
      </w:r>
      <w:r w:rsidR="00CB0451">
        <w:t xml:space="preserve">QD </w:t>
      </w:r>
      <w:r w:rsidR="00CE22A2">
        <w:t xml:space="preserve">vs </w:t>
      </w:r>
      <w:r w:rsidR="00E93878">
        <w:t>DUPI</w:t>
      </w:r>
      <w:r w:rsidR="00CE22A2">
        <w:t xml:space="preserve"> 30</w:t>
      </w:r>
      <w:r w:rsidR="00E57A8B">
        <w:t>0 mg</w:t>
      </w:r>
      <w:r w:rsidR="00CE22A2">
        <w:t xml:space="preserve"> </w:t>
      </w:r>
      <w:r w:rsidR="008B7583">
        <w:t>Q2W</w:t>
      </w:r>
      <w:r w:rsidR="00CE22A2">
        <w:t>, the submission presented a cost-minimisation approach</w:t>
      </w:r>
      <w:r w:rsidR="0006034C">
        <w:t xml:space="preserve"> (CMA)</w:t>
      </w:r>
      <w:r w:rsidR="00CE22A2">
        <w:t>. In addition, the submission made a claim of inferior</w:t>
      </w:r>
      <w:r w:rsidR="000838B0">
        <w:t xml:space="preserve"> eff</w:t>
      </w:r>
      <w:r w:rsidR="00CC7879">
        <w:t xml:space="preserve">icacy and non-inferior safety </w:t>
      </w:r>
      <w:r w:rsidR="00CE22A2">
        <w:t xml:space="preserve">of </w:t>
      </w:r>
      <w:r w:rsidR="007F685D">
        <w:t>ABRO</w:t>
      </w:r>
      <w:r w:rsidR="00CE22A2">
        <w:t xml:space="preserve"> 10</w:t>
      </w:r>
      <w:r w:rsidR="00E57A8B">
        <w:t>0 mg</w:t>
      </w:r>
      <w:r w:rsidR="00CE22A2">
        <w:t xml:space="preserve"> vs </w:t>
      </w:r>
      <w:r w:rsidR="00E93878">
        <w:t>DUPI</w:t>
      </w:r>
      <w:r w:rsidR="00CE22A2">
        <w:t xml:space="preserve"> 30</w:t>
      </w:r>
      <w:r w:rsidR="00E57A8B">
        <w:t>0 mg</w:t>
      </w:r>
      <w:r w:rsidR="00CE22A2">
        <w:t xml:space="preserve"> </w:t>
      </w:r>
      <w:r w:rsidR="008B7583">
        <w:t>Q2W</w:t>
      </w:r>
      <w:r w:rsidR="00CE22A2">
        <w:t xml:space="preserve"> and presented a stepped cost-utility analysis</w:t>
      </w:r>
      <w:r w:rsidR="0006034C">
        <w:t xml:space="preserve"> (CUA)</w:t>
      </w:r>
      <w:r w:rsidR="00CE22A2">
        <w:t xml:space="preserve"> in which the model reported on a cost saving per responder missed, and per </w:t>
      </w:r>
      <w:r w:rsidR="0006034C">
        <w:t>quality adjusted life year (</w:t>
      </w:r>
      <w:r w:rsidR="00CE22A2">
        <w:t>QALY</w:t>
      </w:r>
      <w:r w:rsidR="0006034C">
        <w:t>)</w:t>
      </w:r>
      <w:r w:rsidR="00CE22A2">
        <w:t xml:space="preserve"> forgone. </w:t>
      </w:r>
      <w:r w:rsidR="00222DC6" w:rsidRPr="00E574CC">
        <w:rPr>
          <w:iCs/>
        </w:rPr>
        <w:t xml:space="preserve">The PSCR commented that the approach “was developed with reference to previous assessments [of cost-effectiveness] for the same patient population presented to PBAC for DUPI and for UPA, which… provided a consistent framework for PBAC to evaluate the cost-effectiveness of ABRO”. </w:t>
      </w:r>
    </w:p>
    <w:p w14:paraId="2AC6F4FD" w14:textId="226AC17F" w:rsidR="00CE22A2" w:rsidRPr="0052714A" w:rsidRDefault="00222DC6" w:rsidP="00347481">
      <w:pPr>
        <w:pStyle w:val="3-BodyText"/>
        <w:rPr>
          <w:b/>
          <w:bCs/>
          <w:color w:val="0066FF"/>
        </w:rPr>
      </w:pPr>
      <w:r w:rsidRPr="00E574CC">
        <w:rPr>
          <w:iCs/>
        </w:rPr>
        <w:lastRenderedPageBreak/>
        <w:t>The ESC considered the approach taken was consistent with the clinical claims for ABRO</w:t>
      </w:r>
      <w:r w:rsidR="00584CA6" w:rsidRPr="00E574CC">
        <w:rPr>
          <w:iCs/>
        </w:rPr>
        <w:t>. However</w:t>
      </w:r>
      <w:r w:rsidR="00924054">
        <w:rPr>
          <w:iCs/>
        </w:rPr>
        <w:t>,</w:t>
      </w:r>
      <w:r w:rsidR="00584CA6" w:rsidRPr="00E574CC">
        <w:rPr>
          <w:iCs/>
        </w:rPr>
        <w:t xml:space="preserve"> the ESC considered that </w:t>
      </w:r>
      <w:r w:rsidRPr="00E574CC">
        <w:rPr>
          <w:iCs/>
        </w:rPr>
        <w:t>an alternative approach</w:t>
      </w:r>
      <w:r w:rsidR="00584CA6" w:rsidRPr="00E574CC">
        <w:rPr>
          <w:iCs/>
        </w:rPr>
        <w:t xml:space="preserve"> would be to present a combined model for the 100 mg, 200 mg and 50 mg doses, and transitions between them. The PSCR </w:t>
      </w:r>
      <w:r w:rsidR="00347481">
        <w:rPr>
          <w:iCs/>
        </w:rPr>
        <w:t xml:space="preserve">and pre-PBAC response </w:t>
      </w:r>
      <w:r w:rsidR="00584CA6" w:rsidRPr="00E574CC">
        <w:rPr>
          <w:iCs/>
        </w:rPr>
        <w:t xml:space="preserve">argued that attempting to model all possible clinical scenarios would increase the complexity of the model and introduce considerable uncertainty where scenarios were misaligned with the clinical trial program for the medicines and therefore no reliable evidence would be available to inform the inputs. The PSCR </w:t>
      </w:r>
      <w:r w:rsidR="00347481">
        <w:rPr>
          <w:iCs/>
        </w:rPr>
        <w:t xml:space="preserve">and pre-PBAC response </w:t>
      </w:r>
      <w:r w:rsidR="00584CA6" w:rsidRPr="00E574CC">
        <w:rPr>
          <w:iCs/>
        </w:rPr>
        <w:t xml:space="preserve">also noted that UPA also has a low dose (15 mg) and a high dose (30 mg) and the PI recommends a similar approach to titration to the lowest effective dose. </w:t>
      </w:r>
    </w:p>
    <w:p w14:paraId="3B8EE3C3" w14:textId="2A231688" w:rsidR="007B6B7B" w:rsidRPr="00444088" w:rsidRDefault="007B6B7B" w:rsidP="00347481">
      <w:pPr>
        <w:pStyle w:val="3-BodyText"/>
        <w:rPr>
          <w:b/>
          <w:bCs/>
          <w:color w:val="0066FF"/>
        </w:rPr>
      </w:pPr>
      <w:r w:rsidRPr="00E574CC">
        <w:rPr>
          <w:iCs/>
          <w:snapToGrid w:val="0"/>
        </w:rPr>
        <w:t xml:space="preserve">The ESC noted that the proposed DPMQ for the 100 mg dose of ABRO based on the CUA is </w:t>
      </w:r>
      <w:r w:rsidR="008B4079" w:rsidRPr="008A7F53">
        <w:rPr>
          <w:iCs/>
          <w:snapToGrid w:val="0"/>
          <w:color w:val="777777"/>
          <w:w w:val="15"/>
          <w:shd w:val="solid" w:color="000000" w:fill="000000"/>
          <w:fitText w:val="-20" w:id="-760590073"/>
          <w14:textFill>
            <w14:solidFill>
              <w14:srgbClr w14:val="777777">
                <w14:alpha w14:val="100000"/>
              </w14:srgbClr>
            </w14:solidFill>
          </w14:textFill>
        </w:rPr>
        <w:t xml:space="preserve">|  </w:t>
      </w:r>
      <w:r w:rsidR="008B4079" w:rsidRPr="008A7F53">
        <w:rPr>
          <w:iCs/>
          <w:snapToGrid w:val="0"/>
          <w:color w:val="777777"/>
          <w:spacing w:val="-69"/>
          <w:w w:val="15"/>
          <w:shd w:val="solid" w:color="000000" w:fill="000000"/>
          <w:fitText w:val="-20" w:id="-760590073"/>
          <w14:textFill>
            <w14:solidFill>
              <w14:srgbClr w14:val="777777">
                <w14:alpha w14:val="100000"/>
              </w14:srgbClr>
            </w14:solidFill>
          </w14:textFill>
        </w:rPr>
        <w:t>|</w:t>
      </w:r>
      <w:r w:rsidRPr="00E574CC">
        <w:rPr>
          <w:iCs/>
          <w:snapToGrid w:val="0"/>
        </w:rPr>
        <w:t xml:space="preserve">% of the DPMQ for the 200 mg dose. </w:t>
      </w:r>
      <w:r w:rsidR="0080090A" w:rsidRPr="00E574CC">
        <w:rPr>
          <w:iCs/>
          <w:snapToGrid w:val="0"/>
        </w:rPr>
        <w:t xml:space="preserve">In addition, the requested price for the 50 mg dose was equal to the requested price for the 100 mg dose. The ESC noted that the submission did not provide justification for the price of the 50 mg dose and considered that efficacy for the 50 mg dose is unlikely to be equivalent to the 100 mg dose given the clear dose response between the 100 mg and 200 mg doses. </w:t>
      </w:r>
      <w:r w:rsidR="009C31E8" w:rsidRPr="00E574CC">
        <w:rPr>
          <w:iCs/>
          <w:snapToGrid w:val="0"/>
        </w:rPr>
        <w:t>The ESC also noted that there is potential for patients to use multiple tablets (</w:t>
      </w:r>
      <w:r w:rsidR="00584CA6" w:rsidRPr="00E574CC">
        <w:rPr>
          <w:iCs/>
          <w:snapToGrid w:val="0"/>
        </w:rPr>
        <w:t>temporarily</w:t>
      </w:r>
      <w:r w:rsidR="009C31E8" w:rsidRPr="00E574CC">
        <w:rPr>
          <w:iCs/>
          <w:snapToGrid w:val="0"/>
        </w:rPr>
        <w:t xml:space="preserve">) where a dose increase is needed, which would result in a substantially increased cost compared with the cost for 200 mg tablets. </w:t>
      </w:r>
      <w:r w:rsidRPr="00E574CC">
        <w:rPr>
          <w:iCs/>
          <w:snapToGrid w:val="0"/>
        </w:rPr>
        <w:t xml:space="preserve">The ESC advised that the PBAC may wish to consider whether pricing for the 50 mg, 100 mg and 200 mg doses of ABRO based on a constant cost per mg may be more appropriate. </w:t>
      </w:r>
      <w:r w:rsidR="00F4041D">
        <w:rPr>
          <w:iCs/>
          <w:snapToGrid w:val="0"/>
        </w:rPr>
        <w:t xml:space="preserve">The pre-PBAC Response stated that </w:t>
      </w:r>
      <w:r w:rsidR="00F4041D" w:rsidRPr="00F4041D">
        <w:rPr>
          <w:szCs w:val="24"/>
        </w:rPr>
        <w:t>“the 50 mg dose is recommended for patients taking strong inhibitors of CYP2C19 and those patients with moderate to severe renal impairment.</w:t>
      </w:r>
      <w:r w:rsidR="00F4041D" w:rsidRPr="00F4041D">
        <w:rPr>
          <w:i/>
          <w:iCs/>
          <w:szCs w:val="24"/>
        </w:rPr>
        <w:t xml:space="preserve"> </w:t>
      </w:r>
      <w:r w:rsidR="00F4041D" w:rsidRPr="00F4041D">
        <w:rPr>
          <w:szCs w:val="24"/>
        </w:rPr>
        <w:t>In patients with these pharmacokinetic issues, the effect of the 50</w:t>
      </w:r>
      <w:r w:rsidR="00347481">
        <w:rPr>
          <w:szCs w:val="24"/>
        </w:rPr>
        <w:t xml:space="preserve"> </w:t>
      </w:r>
      <w:r w:rsidR="00F4041D" w:rsidRPr="00F4041D">
        <w:rPr>
          <w:szCs w:val="24"/>
        </w:rPr>
        <w:t>mg dose on a patient’s AD is likely to be higher than a 50</w:t>
      </w:r>
      <w:r w:rsidR="008103B7">
        <w:rPr>
          <w:szCs w:val="24"/>
        </w:rPr>
        <w:t xml:space="preserve"> </w:t>
      </w:r>
      <w:r w:rsidR="00F4041D" w:rsidRPr="00F4041D">
        <w:rPr>
          <w:szCs w:val="24"/>
        </w:rPr>
        <w:t>mg dose in a patient without these pharmacokinetic interactions. The assertion that the 50 mg dose should be priced at half the 100</w:t>
      </w:r>
      <w:r w:rsidR="008103B7">
        <w:rPr>
          <w:szCs w:val="24"/>
        </w:rPr>
        <w:t xml:space="preserve"> </w:t>
      </w:r>
      <w:r w:rsidR="00F4041D" w:rsidRPr="00F4041D">
        <w:rPr>
          <w:szCs w:val="24"/>
        </w:rPr>
        <w:t>mg dose is inappropriate and is not reflective of the effects (outcome) of this dose on the population it is intended for”.</w:t>
      </w:r>
      <w:r w:rsidR="00347481">
        <w:rPr>
          <w:szCs w:val="24"/>
        </w:rPr>
        <w:t xml:space="preserve"> No clinical data were provided for use of the 50 mg dose and the proposed restrictions did not limit treatment with the 50 mg dose to </w:t>
      </w:r>
      <w:r w:rsidR="00347481" w:rsidRPr="00F4041D">
        <w:rPr>
          <w:szCs w:val="24"/>
        </w:rPr>
        <w:t xml:space="preserve">patients taking strong inhibitors of CYP2C19 </w:t>
      </w:r>
      <w:r w:rsidR="00347481">
        <w:rPr>
          <w:szCs w:val="24"/>
        </w:rPr>
        <w:t>or</w:t>
      </w:r>
      <w:r w:rsidR="00347481" w:rsidRPr="00F4041D">
        <w:rPr>
          <w:szCs w:val="24"/>
        </w:rPr>
        <w:t xml:space="preserve"> patients with moderate to severe renal impairment</w:t>
      </w:r>
      <w:r w:rsidR="00347481">
        <w:rPr>
          <w:szCs w:val="24"/>
        </w:rPr>
        <w:t>.</w:t>
      </w:r>
      <w:r w:rsidR="00BB27B6">
        <w:rPr>
          <w:szCs w:val="24"/>
        </w:rPr>
        <w:t xml:space="preserve"> The 50 mg ABRO dose accounted for 9-13% of total scripts in the financial estimates.</w:t>
      </w:r>
    </w:p>
    <w:p w14:paraId="10123E36" w14:textId="1B050B1C" w:rsidR="00265585" w:rsidRPr="00D546CB" w:rsidRDefault="00265585" w:rsidP="00347481">
      <w:pPr>
        <w:pStyle w:val="5-SubsectionSubheading"/>
        <w:spacing w:before="60" w:after="60"/>
        <w:rPr>
          <w:u w:val="single"/>
        </w:rPr>
      </w:pPr>
      <w:bookmarkStart w:id="66" w:name="_Toc177558653"/>
      <w:r w:rsidRPr="00D546CB">
        <w:rPr>
          <w:u w:val="single"/>
        </w:rPr>
        <w:t>Cost-minimisation approach</w:t>
      </w:r>
      <w:bookmarkEnd w:id="66"/>
    </w:p>
    <w:p w14:paraId="2DB164AE" w14:textId="62E3631F" w:rsidR="00CE22A2" w:rsidRPr="00070C35" w:rsidRDefault="00CE22A2" w:rsidP="00347481">
      <w:pPr>
        <w:pStyle w:val="3-BodyText"/>
        <w:rPr>
          <w:b/>
          <w:bCs/>
          <w:color w:val="0066FF"/>
        </w:rPr>
      </w:pPr>
      <w:r>
        <w:t xml:space="preserve">The </w:t>
      </w:r>
      <w:r w:rsidR="0058109F">
        <w:t>CMA</w:t>
      </w:r>
      <w:r>
        <w:t xml:space="preserve"> was supported by the </w:t>
      </w:r>
      <w:r w:rsidR="001F34AC">
        <w:t>16-week</w:t>
      </w:r>
      <w:r>
        <w:t xml:space="preserve"> responder</w:t>
      </w:r>
      <w:r w:rsidR="001F34AC">
        <w:t xml:space="preserve"> results</w:t>
      </w:r>
      <w:r>
        <w:t xml:space="preserve"> (based on a post hoc analysis of PBS responder definition of EASI 50 + DLQI≥4) of the </w:t>
      </w:r>
      <w:r w:rsidR="007F685D">
        <w:t>ABRO</w:t>
      </w:r>
      <w:r>
        <w:t xml:space="preserve"> </w:t>
      </w:r>
      <w:r w:rsidR="00CF5502">
        <w:t>20</w:t>
      </w:r>
      <w:r w:rsidR="00E57A8B">
        <w:t>0 mg</w:t>
      </w:r>
      <w:r>
        <w:t xml:space="preserve"> arm vs the </w:t>
      </w:r>
      <w:r w:rsidR="00E93878">
        <w:t>DUPI</w:t>
      </w:r>
      <w:r>
        <w:t xml:space="preserve"> 30</w:t>
      </w:r>
      <w:r w:rsidR="00E57A8B">
        <w:t>0 mg</w:t>
      </w:r>
      <w:r>
        <w:t xml:space="preserve"> </w:t>
      </w:r>
      <w:r w:rsidR="008B7583">
        <w:t>Q2W</w:t>
      </w:r>
      <w:r>
        <w:t xml:space="preserve"> arms of the JADE COMPARE study</w:t>
      </w:r>
      <w:r w:rsidRPr="00070C35">
        <w:t xml:space="preserve">. For patients </w:t>
      </w:r>
      <w:r w:rsidR="00C30D6C">
        <w:t>who</w:t>
      </w:r>
      <w:r w:rsidR="00C30D6C" w:rsidRPr="00070C35">
        <w:t xml:space="preserve"> </w:t>
      </w:r>
      <w:r w:rsidRPr="00070C35">
        <w:t xml:space="preserve">remain on the </w:t>
      </w:r>
      <w:r w:rsidR="00CF5502" w:rsidRPr="00070C35">
        <w:t>20</w:t>
      </w:r>
      <w:r w:rsidR="00E57A8B" w:rsidRPr="00070C35">
        <w:t>0 mg</w:t>
      </w:r>
      <w:r w:rsidRPr="00070C35">
        <w:t xml:space="preserve"> dose of </w:t>
      </w:r>
      <w:r w:rsidR="007F685D" w:rsidRPr="00070C35">
        <w:t>ABRO</w:t>
      </w:r>
      <w:r w:rsidRPr="00070C35">
        <w:t xml:space="preserve">, </w:t>
      </w:r>
      <w:r w:rsidRPr="00E574CC">
        <w:rPr>
          <w:iCs/>
        </w:rPr>
        <w:t xml:space="preserve">the </w:t>
      </w:r>
      <w:r w:rsidR="008A6278" w:rsidRPr="00E574CC">
        <w:rPr>
          <w:iCs/>
        </w:rPr>
        <w:t xml:space="preserve">ESC noted the </w:t>
      </w:r>
      <w:r w:rsidR="00EE136C" w:rsidRPr="00E574CC">
        <w:rPr>
          <w:iCs/>
        </w:rPr>
        <w:t>CMA</w:t>
      </w:r>
      <w:r w:rsidR="008A6278" w:rsidRPr="00E574CC">
        <w:rPr>
          <w:iCs/>
        </w:rPr>
        <w:t xml:space="preserve"> was consistent with that </w:t>
      </w:r>
      <w:r w:rsidR="00C30D6C" w:rsidRPr="00E574CC">
        <w:rPr>
          <w:iCs/>
        </w:rPr>
        <w:t>accepted by the PBAC</w:t>
      </w:r>
      <w:r w:rsidR="008A6278" w:rsidRPr="00E574CC">
        <w:rPr>
          <w:iCs/>
        </w:rPr>
        <w:t xml:space="preserve"> for UPA 15 mg</w:t>
      </w:r>
      <w:r w:rsidR="002368D3" w:rsidRPr="00E574CC">
        <w:rPr>
          <w:iCs/>
        </w:rPr>
        <w:t xml:space="preserve"> or 30 mg</w:t>
      </w:r>
      <w:r w:rsidR="008A6278" w:rsidRPr="00E574CC">
        <w:rPr>
          <w:iCs/>
        </w:rPr>
        <w:t xml:space="preserve"> versus DUPI 300 mg, and considered the approach </w:t>
      </w:r>
      <w:r w:rsidR="00EE136C" w:rsidRPr="00E574CC">
        <w:rPr>
          <w:iCs/>
        </w:rPr>
        <w:t>was</w:t>
      </w:r>
      <w:r w:rsidR="008A6278" w:rsidRPr="00E574CC">
        <w:rPr>
          <w:iCs/>
        </w:rPr>
        <w:t xml:space="preserve"> generally reasonable, noting there is uncertainty around long-term comparative safety and effectiveness</w:t>
      </w:r>
      <w:r w:rsidRPr="00E574CC">
        <w:rPr>
          <w:iCs/>
        </w:rPr>
        <w:t>.</w:t>
      </w:r>
    </w:p>
    <w:p w14:paraId="27630AA3" w14:textId="05565BB0" w:rsidR="00647D57" w:rsidRPr="0052714A" w:rsidRDefault="00CE22A2" w:rsidP="00347481">
      <w:pPr>
        <w:pStyle w:val="3-BodyText"/>
        <w:rPr>
          <w:b/>
          <w:bCs/>
          <w:color w:val="0066FF"/>
        </w:rPr>
      </w:pPr>
      <w:r w:rsidRPr="00070C35">
        <w:t xml:space="preserve">The </w:t>
      </w:r>
      <w:r w:rsidR="0058109F">
        <w:t>CMA</w:t>
      </w:r>
      <w:r w:rsidRPr="00070C35">
        <w:t xml:space="preserve"> only included the cost of </w:t>
      </w:r>
      <w:r w:rsidR="00E93878" w:rsidRPr="00070C35">
        <w:t>DUPI</w:t>
      </w:r>
      <w:r w:rsidRPr="00070C35">
        <w:t xml:space="preserve"> and </w:t>
      </w:r>
      <w:r w:rsidR="007F685D" w:rsidRPr="00070C35">
        <w:t>ABRO</w:t>
      </w:r>
      <w:r w:rsidRPr="00070C35">
        <w:t xml:space="preserve"> </w:t>
      </w:r>
      <w:r w:rsidR="00CF5502" w:rsidRPr="00070C35">
        <w:t>20</w:t>
      </w:r>
      <w:r w:rsidR="00E57A8B" w:rsidRPr="00070C35">
        <w:t>0 mg</w:t>
      </w:r>
      <w:r w:rsidRPr="00070C35">
        <w:t xml:space="preserve">. No costs associated with adverse events or monitoring were included. Although the submission claimed that </w:t>
      </w:r>
      <w:r w:rsidRPr="00070C35">
        <w:lastRenderedPageBreak/>
        <w:t xml:space="preserve">the safety of </w:t>
      </w:r>
      <w:r w:rsidR="007F685D" w:rsidRPr="00070C35">
        <w:t>ABRO</w:t>
      </w:r>
      <w:r w:rsidRPr="00070C35">
        <w:t xml:space="preserve"> </w:t>
      </w:r>
      <w:r w:rsidR="00CF5502" w:rsidRPr="00070C35">
        <w:t>20</w:t>
      </w:r>
      <w:r w:rsidR="00E57A8B" w:rsidRPr="00070C35">
        <w:t>0 mg</w:t>
      </w:r>
      <w:r w:rsidRPr="00070C35">
        <w:t xml:space="preserve"> was non</w:t>
      </w:r>
      <w:r w:rsidR="00CC7879" w:rsidRPr="00070C35">
        <w:t>-</w:t>
      </w:r>
      <w:r w:rsidRPr="00070C35">
        <w:t xml:space="preserve">inferior to </w:t>
      </w:r>
      <w:r w:rsidR="00E93878" w:rsidRPr="00070C35">
        <w:t>DUPI</w:t>
      </w:r>
      <w:r w:rsidRPr="00070C35">
        <w:t xml:space="preserve">, </w:t>
      </w:r>
      <w:r w:rsidR="0037228C">
        <w:t>t</w:t>
      </w:r>
      <w:r w:rsidR="0037228C" w:rsidRPr="00E574CC">
        <w:rPr>
          <w:iCs/>
        </w:rPr>
        <w:t xml:space="preserve">he ESC considered this </w:t>
      </w:r>
      <w:r w:rsidR="002368D3" w:rsidRPr="00E574CC">
        <w:rPr>
          <w:iCs/>
        </w:rPr>
        <w:t>may</w:t>
      </w:r>
      <w:r w:rsidR="0037228C" w:rsidRPr="00E574CC">
        <w:rPr>
          <w:iCs/>
        </w:rPr>
        <w:t xml:space="preserve"> not</w:t>
      </w:r>
      <w:r w:rsidRPr="00E574CC">
        <w:rPr>
          <w:iCs/>
        </w:rPr>
        <w:t xml:space="preserve"> </w:t>
      </w:r>
      <w:r w:rsidR="002368D3" w:rsidRPr="00E574CC">
        <w:rPr>
          <w:iCs/>
        </w:rPr>
        <w:t xml:space="preserve">be </w:t>
      </w:r>
      <w:r w:rsidRPr="00E574CC">
        <w:rPr>
          <w:iCs/>
        </w:rPr>
        <w:t>supported</w:t>
      </w:r>
      <w:r w:rsidR="001F34AC" w:rsidRPr="00E574CC">
        <w:rPr>
          <w:iCs/>
        </w:rPr>
        <w:t xml:space="preserve">, </w:t>
      </w:r>
      <w:r w:rsidR="001F34AC" w:rsidRPr="00070C35">
        <w:t xml:space="preserve">and remains uncertain </w:t>
      </w:r>
      <w:r w:rsidR="0067067F">
        <w:t xml:space="preserve">particularly </w:t>
      </w:r>
      <w:r w:rsidR="001F34AC" w:rsidRPr="00070C35">
        <w:t>for longer term safety</w:t>
      </w:r>
      <w:r w:rsidRPr="00070C35">
        <w:t>.</w:t>
      </w:r>
      <w:r w:rsidR="0067633F">
        <w:t xml:space="preserve"> </w:t>
      </w:r>
      <w:r w:rsidR="0067633F" w:rsidRPr="00E574CC">
        <w:rPr>
          <w:iCs/>
        </w:rPr>
        <w:t>Further, the E</w:t>
      </w:r>
      <w:r w:rsidR="00A82B4C" w:rsidRPr="00E574CC">
        <w:rPr>
          <w:iCs/>
        </w:rPr>
        <w:t>S</w:t>
      </w:r>
      <w:r w:rsidR="0067633F" w:rsidRPr="00E574CC">
        <w:rPr>
          <w:iCs/>
        </w:rPr>
        <w:t>C noted that non-inferior safety does not necessar</w:t>
      </w:r>
      <w:r w:rsidR="00A82B4C" w:rsidRPr="00E574CC">
        <w:rPr>
          <w:iCs/>
        </w:rPr>
        <w:t>il</w:t>
      </w:r>
      <w:r w:rsidR="0067633F" w:rsidRPr="00E574CC">
        <w:rPr>
          <w:iCs/>
        </w:rPr>
        <w:t>y mean equal management cost for AEs.</w:t>
      </w:r>
      <w:r w:rsidRPr="00070C35">
        <w:t xml:space="preserve"> As adverse events reported in JADE COMPARE were typically lower grade, the incremental cost of managing the different adverse event profiles of </w:t>
      </w:r>
      <w:r w:rsidR="007F685D" w:rsidRPr="00070C35">
        <w:t>ABRO</w:t>
      </w:r>
      <w:r w:rsidRPr="00070C35">
        <w:t xml:space="preserve"> vs </w:t>
      </w:r>
      <w:r w:rsidR="00E93878" w:rsidRPr="00070C35">
        <w:t>DUPI</w:t>
      </w:r>
      <w:r w:rsidRPr="00070C35">
        <w:t xml:space="preserve"> would be minimal</w:t>
      </w:r>
      <w:r w:rsidR="001F34AC" w:rsidRPr="00070C35">
        <w:t xml:space="preserve"> over the duration of the JADE COMPARE study (16 weeks)</w:t>
      </w:r>
      <w:r w:rsidRPr="00070C35">
        <w:t xml:space="preserve">. </w:t>
      </w:r>
      <w:r w:rsidR="00AD3905" w:rsidRPr="00E574CC">
        <w:rPr>
          <w:iCs/>
        </w:rPr>
        <w:t>The PSCR stated that omitting the cost</w:t>
      </w:r>
      <w:r w:rsidR="00444088" w:rsidRPr="00E574CC">
        <w:rPr>
          <w:iCs/>
        </w:rPr>
        <w:t>s</w:t>
      </w:r>
      <w:r w:rsidR="00AD3905" w:rsidRPr="00E574CC">
        <w:rPr>
          <w:iCs/>
        </w:rPr>
        <w:t xml:space="preserve"> of specific adverse events was consistent with the claim of non-inferiority and that this was consistent with the approach presented to the PBAC for UPA. </w:t>
      </w:r>
    </w:p>
    <w:p w14:paraId="097027BA" w14:textId="054A37B8" w:rsidR="00CE22A2" w:rsidRPr="00070C35" w:rsidRDefault="00CE22A2" w:rsidP="00347481">
      <w:pPr>
        <w:pStyle w:val="3-BodyText"/>
        <w:rPr>
          <w:b/>
          <w:bCs/>
          <w:color w:val="0066FF"/>
        </w:rPr>
      </w:pPr>
      <w:r w:rsidRPr="00070C35">
        <w:t xml:space="preserve">In addition, it is recommended in the </w:t>
      </w:r>
      <w:r w:rsidR="00E93878" w:rsidRPr="00070C35">
        <w:t>ABRO</w:t>
      </w:r>
      <w:r w:rsidRPr="00070C35">
        <w:t xml:space="preserve"> </w:t>
      </w:r>
      <w:r w:rsidR="002D68F4">
        <w:t>P</w:t>
      </w:r>
      <w:r w:rsidRPr="00070C35">
        <w:t xml:space="preserve">roduct </w:t>
      </w:r>
      <w:r w:rsidR="002D68F4">
        <w:t>I</w:t>
      </w:r>
      <w:r w:rsidRPr="00070C35">
        <w:t xml:space="preserve">nformation (PI) that testing for hepatitis B, hepatitis C and tuberculosis occurs prior to treatment, and blood examinations occur prior to and during treatment. No recommendations for testing or monitoring appear in the </w:t>
      </w:r>
      <w:r w:rsidR="00E93878" w:rsidRPr="00070C35">
        <w:t>DUPI</w:t>
      </w:r>
      <w:r w:rsidRPr="00070C35">
        <w:t xml:space="preserve"> PI. </w:t>
      </w:r>
      <w:r w:rsidR="001F34AC" w:rsidRPr="00070C35">
        <w:t>Although the cost of testing was not included in the CMA, t</w:t>
      </w:r>
      <w:r w:rsidRPr="00070C35">
        <w:t>he cost of testing and monitoring included in the CUA amounted to less than $300 over two years.</w:t>
      </w:r>
    </w:p>
    <w:p w14:paraId="2EB0CD1C" w14:textId="0E3EE10E" w:rsidR="00CE22A2" w:rsidRPr="0052714A" w:rsidRDefault="00CE22A2" w:rsidP="00347481">
      <w:pPr>
        <w:pStyle w:val="3-BodyText"/>
        <w:rPr>
          <w:b/>
          <w:bCs/>
          <w:color w:val="0066FF"/>
        </w:rPr>
      </w:pPr>
      <w:r w:rsidRPr="00070C35">
        <w:t xml:space="preserve">The </w:t>
      </w:r>
      <w:r w:rsidR="0058109F">
        <w:t>CMA</w:t>
      </w:r>
      <w:r w:rsidRPr="00070C35">
        <w:t xml:space="preserve"> estimated the equi-effective doses over 2 years assuming 100% relative dose intensity (RDI). </w:t>
      </w:r>
      <w:r w:rsidR="0058109F">
        <w:t>The submission stated that i</w:t>
      </w:r>
      <w:r w:rsidRPr="00070C35">
        <w:t xml:space="preserve">t was not reasonable to compare monthly doses because </w:t>
      </w:r>
      <w:r w:rsidR="00E93878" w:rsidRPr="00070C35">
        <w:t>DUPI</w:t>
      </w:r>
      <w:r w:rsidRPr="00070C35">
        <w:t xml:space="preserve"> has a single loading dose (60</w:t>
      </w:r>
      <w:r w:rsidR="00E57A8B" w:rsidRPr="00070C35">
        <w:t>0 mg</w:t>
      </w:r>
      <w:r w:rsidRPr="00070C35">
        <w:t xml:space="preserve">) at the beginning of treatment. The </w:t>
      </w:r>
      <w:r w:rsidR="0058109F">
        <w:t xml:space="preserve">RDI </w:t>
      </w:r>
      <w:r w:rsidRPr="00070C35">
        <w:t xml:space="preserve">in JADE COMPARE was 94.9% for </w:t>
      </w:r>
      <w:r w:rsidR="00E93878" w:rsidRPr="00070C35">
        <w:t>ABRO</w:t>
      </w:r>
      <w:r w:rsidRPr="00070C35">
        <w:t xml:space="preserve"> </w:t>
      </w:r>
      <w:r w:rsidR="00CF5502" w:rsidRPr="00070C35">
        <w:t>20</w:t>
      </w:r>
      <w:r w:rsidR="00E57A8B" w:rsidRPr="00070C35">
        <w:t>0 mg</w:t>
      </w:r>
      <w:r w:rsidRPr="00070C35">
        <w:t xml:space="preserve"> and 93.4% for </w:t>
      </w:r>
      <w:r w:rsidR="00E93878" w:rsidRPr="00070C35">
        <w:t>DUPI</w:t>
      </w:r>
      <w:r w:rsidRPr="00070C35">
        <w:t xml:space="preserve">. Adjusting for RDI would have a minor impact on the </w:t>
      </w:r>
      <w:r w:rsidR="0058109F">
        <w:t>CMA</w:t>
      </w:r>
      <w:r w:rsidRPr="00070C35">
        <w:t xml:space="preserve"> results.</w:t>
      </w:r>
      <w:r w:rsidR="00265585" w:rsidRPr="00070C35">
        <w:t xml:space="preserve"> The CMA did not consider the impact of wastage associated with dose changes (for example, a reduction in the dose of </w:t>
      </w:r>
      <w:proofErr w:type="spellStart"/>
      <w:r w:rsidR="00265585" w:rsidRPr="00070C35">
        <w:t>abrocitinib</w:t>
      </w:r>
      <w:proofErr w:type="spellEnd"/>
      <w:r w:rsidR="00265585" w:rsidRPr="00070C35">
        <w:t xml:space="preserve"> 200 mg QD to 100 mg QD). </w:t>
      </w:r>
    </w:p>
    <w:p w14:paraId="209990F2" w14:textId="1F9107EA" w:rsidR="0006034C" w:rsidRPr="00E574CC" w:rsidRDefault="0006034C" w:rsidP="00347481">
      <w:pPr>
        <w:pStyle w:val="3-BodyText"/>
        <w:rPr>
          <w:b/>
          <w:bCs/>
          <w:iCs/>
          <w:color w:val="0066FF"/>
        </w:rPr>
      </w:pPr>
      <w:r w:rsidRPr="00E574CC">
        <w:rPr>
          <w:iCs/>
        </w:rPr>
        <w:t xml:space="preserve">The ESC noted that the possibility of dose titration for both ABRO and DUPI was not accounted for in the CMA, and that there is some </w:t>
      </w:r>
      <w:r w:rsidR="00647D57" w:rsidRPr="00E574CC">
        <w:rPr>
          <w:iCs/>
        </w:rPr>
        <w:t>indication that in practice,</w:t>
      </w:r>
      <w:r w:rsidRPr="00E574CC">
        <w:rPr>
          <w:iCs/>
        </w:rPr>
        <w:t xml:space="preserve"> dose intervals may be lengthened for patients responding well to Q2W DUPI. The ESC considered that </w:t>
      </w:r>
      <w:r w:rsidR="0067067F" w:rsidRPr="00E574CC">
        <w:rPr>
          <w:iCs/>
        </w:rPr>
        <w:t>accounting</w:t>
      </w:r>
      <w:r w:rsidRPr="00E574CC">
        <w:rPr>
          <w:iCs/>
        </w:rPr>
        <w:t xml:space="preserve"> for dose titration </w:t>
      </w:r>
      <w:r w:rsidR="0067067F" w:rsidRPr="00E574CC">
        <w:rPr>
          <w:iCs/>
        </w:rPr>
        <w:t>for both ABRO and DUPI in the CMA may better reflect clinical practice, but was potentially complex and would depend on the price accepted for the 100 mg dose of ABRO</w:t>
      </w:r>
      <w:r w:rsidR="00647D57" w:rsidRPr="00E574CC">
        <w:rPr>
          <w:iCs/>
        </w:rPr>
        <w:t xml:space="preserve">, as the price proposed </w:t>
      </w:r>
      <w:r w:rsidR="007B6B7B" w:rsidRPr="00E574CC">
        <w:rPr>
          <w:iCs/>
        </w:rPr>
        <w:t xml:space="preserve">in the submission </w:t>
      </w:r>
      <w:r w:rsidR="00647D57" w:rsidRPr="00E574CC">
        <w:rPr>
          <w:iCs/>
        </w:rPr>
        <w:t xml:space="preserve">was not </w:t>
      </w:r>
      <w:r w:rsidR="008B4079" w:rsidRPr="008A7F53">
        <w:rPr>
          <w:iCs/>
          <w:color w:val="777777"/>
          <w:w w:val="15"/>
          <w:shd w:val="solid" w:color="000000" w:fill="000000"/>
          <w:fitText w:val="-20" w:id="-760590072"/>
          <w14:textFill>
            <w14:solidFill>
              <w14:srgbClr w14:val="777777">
                <w14:alpha w14:val="100000"/>
              </w14:srgbClr>
            </w14:solidFill>
          </w14:textFill>
        </w:rPr>
        <w:t xml:space="preserve">|  </w:t>
      </w:r>
      <w:r w:rsidR="008B4079" w:rsidRPr="008A7F53">
        <w:rPr>
          <w:iCs/>
          <w:color w:val="777777"/>
          <w:spacing w:val="-69"/>
          <w:w w:val="15"/>
          <w:shd w:val="solid" w:color="000000" w:fill="000000"/>
          <w:fitText w:val="-20" w:id="-760590072"/>
          <w14:textFill>
            <w14:solidFill>
              <w14:srgbClr w14:val="777777">
                <w14:alpha w14:val="100000"/>
              </w14:srgbClr>
            </w14:solidFill>
          </w14:textFill>
        </w:rPr>
        <w:t>|</w:t>
      </w:r>
      <w:r w:rsidR="00647D57" w:rsidRPr="00E574CC">
        <w:rPr>
          <w:iCs/>
        </w:rPr>
        <w:t>% of the 200 mg dose price</w:t>
      </w:r>
      <w:r w:rsidR="0067067F" w:rsidRPr="00E574CC">
        <w:rPr>
          <w:iCs/>
        </w:rPr>
        <w:t xml:space="preserve">. </w:t>
      </w:r>
    </w:p>
    <w:p w14:paraId="1725C452" w14:textId="34D3BD61" w:rsidR="00CE22A2" w:rsidRPr="00070C35" w:rsidRDefault="00C30D6C" w:rsidP="00347481">
      <w:pPr>
        <w:pStyle w:val="3-BodyText"/>
        <w:rPr>
          <w:b/>
          <w:bCs/>
          <w:color w:val="0066FF"/>
        </w:rPr>
      </w:pPr>
      <w:r>
        <w:t xml:space="preserve">The </w:t>
      </w:r>
      <w:r w:rsidR="00CE22A2" w:rsidRPr="00070C35">
        <w:t xml:space="preserve">submission used the published price </w:t>
      </w:r>
      <w:r w:rsidR="009C31E8">
        <w:t xml:space="preserve">of DUPI </w:t>
      </w:r>
      <w:r w:rsidR="00CE22A2" w:rsidRPr="00070C35">
        <w:t xml:space="preserve">in the </w:t>
      </w:r>
      <w:r w:rsidR="0058109F">
        <w:t>CMA</w:t>
      </w:r>
      <w:r w:rsidR="00CE22A2" w:rsidRPr="00070C35">
        <w:t xml:space="preserve">. </w:t>
      </w:r>
      <w:r w:rsidR="00AC781F" w:rsidRPr="00070C35">
        <w:t xml:space="preserve">The CMA presented in the submission was consistent with the approach </w:t>
      </w:r>
      <w:r w:rsidRPr="00E574CC">
        <w:rPr>
          <w:iCs/>
        </w:rPr>
        <w:t xml:space="preserve">accepted </w:t>
      </w:r>
      <w:r w:rsidR="00AC781F" w:rsidRPr="00E574CC">
        <w:rPr>
          <w:iCs/>
        </w:rPr>
        <w:t xml:space="preserve">by </w:t>
      </w:r>
      <w:r w:rsidRPr="00E574CC">
        <w:rPr>
          <w:iCs/>
        </w:rPr>
        <w:t xml:space="preserve">the </w:t>
      </w:r>
      <w:r w:rsidR="00AC781F" w:rsidRPr="00E574CC">
        <w:rPr>
          <w:iCs/>
        </w:rPr>
        <w:t>PBAC</w:t>
      </w:r>
      <w:r w:rsidR="00AC781F" w:rsidRPr="00070C35">
        <w:t xml:space="preserve"> for the comparison of </w:t>
      </w:r>
      <w:r w:rsidR="0058109F">
        <w:t>UPA</w:t>
      </w:r>
      <w:r w:rsidR="0058109F" w:rsidRPr="00070C35">
        <w:t xml:space="preserve"> </w:t>
      </w:r>
      <w:r w:rsidR="00AC781F" w:rsidRPr="00070C35">
        <w:t>15 mg</w:t>
      </w:r>
      <w:r w:rsidR="00647D57">
        <w:t xml:space="preserve"> </w:t>
      </w:r>
      <w:r w:rsidR="00647D57" w:rsidRPr="00E574CC">
        <w:rPr>
          <w:iCs/>
        </w:rPr>
        <w:t>or 30 mg</w:t>
      </w:r>
      <w:r w:rsidR="00AC781F" w:rsidRPr="00070C35">
        <w:t xml:space="preserve"> vs DUPI 300 mg Q2W (para 6.51-6.53</w:t>
      </w:r>
      <w:r w:rsidR="00647D57">
        <w:t xml:space="preserve"> and 9.1</w:t>
      </w:r>
      <w:r w:rsidR="00AC781F" w:rsidRPr="00070C35">
        <w:t xml:space="preserve">, </w:t>
      </w:r>
      <w:r w:rsidR="00BF1930">
        <w:t>UPA</w:t>
      </w:r>
      <w:r w:rsidR="00AC781F" w:rsidRPr="00070C35">
        <w:t xml:space="preserve"> PSD, July 2021 PBAC meeting</w:t>
      </w:r>
      <w:r w:rsidR="00647D57">
        <w:t xml:space="preserve"> </w:t>
      </w:r>
      <w:r w:rsidR="00647D57" w:rsidRPr="00E574CC">
        <w:rPr>
          <w:iCs/>
        </w:rPr>
        <w:t>and addendum</w:t>
      </w:r>
      <w:r w:rsidR="00AC781F" w:rsidRPr="00070C35">
        <w:t>)</w:t>
      </w:r>
      <w:r w:rsidR="00647D57">
        <w:t>.</w:t>
      </w:r>
      <w:r w:rsidR="00AC781F" w:rsidRPr="00070C35">
        <w:t xml:space="preserve"> </w:t>
      </w:r>
    </w:p>
    <w:p w14:paraId="1EE94A98" w14:textId="37549882" w:rsidR="00CE22A2" w:rsidRPr="00070C35" w:rsidRDefault="00CE22A2" w:rsidP="00D2039C">
      <w:pPr>
        <w:pStyle w:val="Caption"/>
      </w:pPr>
      <w:r w:rsidRPr="00070C35">
        <w:lastRenderedPageBreak/>
        <w:t xml:space="preserve">Table </w:t>
      </w:r>
      <w:r>
        <w:fldChar w:fldCharType="begin" w:fldLock="1"/>
      </w:r>
      <w:r>
        <w:instrText xml:space="preserve"> SEQ Table \* ARABIC </w:instrText>
      </w:r>
      <w:r>
        <w:fldChar w:fldCharType="separate"/>
      </w:r>
      <w:r w:rsidR="004F2A70">
        <w:rPr>
          <w:noProof/>
        </w:rPr>
        <w:t>9</w:t>
      </w:r>
      <w:r>
        <w:rPr>
          <w:noProof/>
        </w:rPr>
        <w:fldChar w:fldCharType="end"/>
      </w:r>
      <w:r w:rsidRPr="00070C35">
        <w:t xml:space="preserve">: </w:t>
      </w:r>
      <w:r w:rsidRPr="00070C35">
        <w:rPr>
          <w:rStyle w:val="CommentReference"/>
          <w:b/>
          <w:szCs w:val="24"/>
        </w:rPr>
        <w:t xml:space="preserve">Results of the cost-minimisation approach using the published price of </w:t>
      </w:r>
      <w:r w:rsidR="009D545F" w:rsidRPr="00070C35">
        <w:rPr>
          <w:rStyle w:val="CommentReference"/>
          <w:b/>
          <w:szCs w:val="24"/>
        </w:rPr>
        <w:t>dupilumab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72"/>
        <w:gridCol w:w="2172"/>
      </w:tblGrid>
      <w:tr w:rsidR="00CE22A2" w:rsidRPr="00070C35" w14:paraId="1A671DE2" w14:textId="77777777" w:rsidTr="00CC1644">
        <w:tc>
          <w:tcPr>
            <w:tcW w:w="4673" w:type="dxa"/>
            <w:vAlign w:val="center"/>
          </w:tcPr>
          <w:p w14:paraId="76DF63A9" w14:textId="77777777" w:rsidR="00CE22A2" w:rsidRPr="00070C35" w:rsidRDefault="00CE22A2" w:rsidP="00D2039C">
            <w:pPr>
              <w:pStyle w:val="In-tableHeading"/>
              <w:rPr>
                <w:i w:val="0"/>
                <w:iCs w:val="0"/>
              </w:rPr>
            </w:pPr>
            <w:r w:rsidRPr="00070C35">
              <w:rPr>
                <w:i w:val="0"/>
                <w:iCs w:val="0"/>
              </w:rPr>
              <w:t>Component</w:t>
            </w:r>
          </w:p>
        </w:tc>
        <w:tc>
          <w:tcPr>
            <w:tcW w:w="2172" w:type="dxa"/>
            <w:vAlign w:val="center"/>
          </w:tcPr>
          <w:p w14:paraId="72FF3E4E" w14:textId="2130C302" w:rsidR="00CE22A2" w:rsidRPr="00070C35" w:rsidRDefault="009D545F" w:rsidP="00D2039C">
            <w:pPr>
              <w:pStyle w:val="In-tableHeading"/>
              <w:jc w:val="center"/>
              <w:rPr>
                <w:i w:val="0"/>
                <w:iCs w:val="0"/>
              </w:rPr>
            </w:pPr>
            <w:proofErr w:type="spellStart"/>
            <w:r w:rsidRPr="00070C35">
              <w:rPr>
                <w:i w:val="0"/>
                <w:iCs w:val="0"/>
              </w:rPr>
              <w:t>Abrocitinib</w:t>
            </w:r>
            <w:proofErr w:type="spellEnd"/>
          </w:p>
        </w:tc>
        <w:tc>
          <w:tcPr>
            <w:tcW w:w="2172" w:type="dxa"/>
            <w:vAlign w:val="center"/>
          </w:tcPr>
          <w:p w14:paraId="4506368A" w14:textId="66B5D8EC" w:rsidR="00CE22A2" w:rsidRPr="00070C35" w:rsidRDefault="009D545F" w:rsidP="00D2039C">
            <w:pPr>
              <w:pStyle w:val="In-tableHeading"/>
              <w:jc w:val="center"/>
              <w:rPr>
                <w:i w:val="0"/>
                <w:iCs w:val="0"/>
              </w:rPr>
            </w:pPr>
            <w:r w:rsidRPr="00070C35">
              <w:rPr>
                <w:i w:val="0"/>
                <w:iCs w:val="0"/>
              </w:rPr>
              <w:t>Dupilumab</w:t>
            </w:r>
          </w:p>
        </w:tc>
      </w:tr>
      <w:tr w:rsidR="00CE22A2" w:rsidRPr="00070C35" w14:paraId="7696AD98" w14:textId="77777777" w:rsidTr="00CC1644">
        <w:tc>
          <w:tcPr>
            <w:tcW w:w="4673" w:type="dxa"/>
            <w:vAlign w:val="center"/>
          </w:tcPr>
          <w:p w14:paraId="00F2211A" w14:textId="77777777" w:rsidR="00CE22A2" w:rsidRPr="00070C35" w:rsidRDefault="00CE22A2" w:rsidP="00D2039C">
            <w:pPr>
              <w:pStyle w:val="TableText0"/>
              <w:rPr>
                <w:b/>
                <w:bCs w:val="0"/>
              </w:rPr>
            </w:pPr>
            <w:r w:rsidRPr="00070C35">
              <w:rPr>
                <w:b/>
                <w:bCs w:val="0"/>
              </w:rPr>
              <w:t>Cost per pack (AEMP)</w:t>
            </w:r>
          </w:p>
        </w:tc>
        <w:tc>
          <w:tcPr>
            <w:tcW w:w="2172" w:type="dxa"/>
            <w:vAlign w:val="center"/>
          </w:tcPr>
          <w:p w14:paraId="63EC862F" w14:textId="77777777" w:rsidR="00CE22A2" w:rsidRPr="00070C35" w:rsidRDefault="00CE22A2" w:rsidP="00D2039C">
            <w:pPr>
              <w:pStyle w:val="TableText0"/>
              <w:jc w:val="center"/>
            </w:pPr>
            <w:r w:rsidRPr="00070C35">
              <w:t>$1,640.82</w:t>
            </w:r>
          </w:p>
        </w:tc>
        <w:tc>
          <w:tcPr>
            <w:tcW w:w="2172" w:type="dxa"/>
            <w:vAlign w:val="center"/>
          </w:tcPr>
          <w:p w14:paraId="03E4AB92" w14:textId="77777777" w:rsidR="00CE22A2" w:rsidRPr="00070C35" w:rsidRDefault="00CE22A2" w:rsidP="00D2039C">
            <w:pPr>
              <w:pStyle w:val="TableText0"/>
              <w:jc w:val="center"/>
            </w:pPr>
            <w:r w:rsidRPr="00070C35">
              <w:t>$1,609.86</w:t>
            </w:r>
          </w:p>
        </w:tc>
      </w:tr>
      <w:tr w:rsidR="00CE22A2" w:rsidRPr="00070C35" w14:paraId="08BAED35" w14:textId="77777777" w:rsidTr="00CC1644">
        <w:tc>
          <w:tcPr>
            <w:tcW w:w="4673" w:type="dxa"/>
            <w:vAlign w:val="center"/>
          </w:tcPr>
          <w:p w14:paraId="0D8E8AD8" w14:textId="77777777" w:rsidR="00CE22A2" w:rsidRPr="00070C35" w:rsidRDefault="00CE22A2" w:rsidP="00D2039C">
            <w:pPr>
              <w:pStyle w:val="TableText0"/>
              <w:rPr>
                <w:b/>
                <w:bCs w:val="0"/>
              </w:rPr>
            </w:pPr>
            <w:r w:rsidRPr="00070C35">
              <w:rPr>
                <w:b/>
                <w:bCs w:val="0"/>
              </w:rPr>
              <w:t>Treatment duration per pack</w:t>
            </w:r>
          </w:p>
        </w:tc>
        <w:tc>
          <w:tcPr>
            <w:tcW w:w="2172" w:type="dxa"/>
            <w:vAlign w:val="center"/>
          </w:tcPr>
          <w:p w14:paraId="3071463A" w14:textId="77777777" w:rsidR="00CE22A2" w:rsidRPr="00070C35" w:rsidRDefault="00CE22A2" w:rsidP="00D2039C">
            <w:pPr>
              <w:pStyle w:val="TableText0"/>
              <w:jc w:val="center"/>
            </w:pPr>
            <w:r w:rsidRPr="00070C35">
              <w:t>4 weeks</w:t>
            </w:r>
          </w:p>
        </w:tc>
        <w:tc>
          <w:tcPr>
            <w:tcW w:w="2172" w:type="dxa"/>
            <w:vAlign w:val="center"/>
          </w:tcPr>
          <w:p w14:paraId="049FFD09" w14:textId="77777777" w:rsidR="00CE22A2" w:rsidRPr="00070C35" w:rsidRDefault="00CE22A2" w:rsidP="00D2039C">
            <w:pPr>
              <w:pStyle w:val="TableText0"/>
              <w:jc w:val="center"/>
            </w:pPr>
            <w:r w:rsidRPr="00070C35">
              <w:t>4 weeks</w:t>
            </w:r>
          </w:p>
        </w:tc>
      </w:tr>
      <w:tr w:rsidR="00CE22A2" w:rsidRPr="00070C35" w14:paraId="0596E092" w14:textId="77777777" w:rsidTr="00CC1644">
        <w:tc>
          <w:tcPr>
            <w:tcW w:w="4673" w:type="dxa"/>
            <w:vAlign w:val="center"/>
          </w:tcPr>
          <w:p w14:paraId="062AC0CE" w14:textId="77777777" w:rsidR="00CE22A2" w:rsidRPr="00070C35" w:rsidRDefault="00CE22A2" w:rsidP="00D2039C">
            <w:pPr>
              <w:pStyle w:val="TableText0"/>
              <w:rPr>
                <w:b/>
                <w:bCs w:val="0"/>
              </w:rPr>
            </w:pPr>
            <w:r w:rsidRPr="00070C35">
              <w:rPr>
                <w:b/>
                <w:bCs w:val="0"/>
              </w:rPr>
              <w:t>Loading dose duration per pack</w:t>
            </w:r>
          </w:p>
        </w:tc>
        <w:tc>
          <w:tcPr>
            <w:tcW w:w="2172" w:type="dxa"/>
            <w:vAlign w:val="center"/>
          </w:tcPr>
          <w:p w14:paraId="31335B4E" w14:textId="77777777" w:rsidR="00CE22A2" w:rsidRPr="00070C35" w:rsidRDefault="00CE22A2" w:rsidP="00D2039C">
            <w:pPr>
              <w:pStyle w:val="TableText0"/>
              <w:jc w:val="center"/>
            </w:pPr>
            <w:r w:rsidRPr="00070C35">
              <w:t>-</w:t>
            </w:r>
          </w:p>
        </w:tc>
        <w:tc>
          <w:tcPr>
            <w:tcW w:w="2172" w:type="dxa"/>
            <w:vAlign w:val="center"/>
          </w:tcPr>
          <w:p w14:paraId="1A428938" w14:textId="77777777" w:rsidR="00CE22A2" w:rsidRPr="00070C35" w:rsidRDefault="00CE22A2" w:rsidP="00D2039C">
            <w:pPr>
              <w:pStyle w:val="TableText0"/>
              <w:jc w:val="center"/>
            </w:pPr>
            <w:r w:rsidRPr="00070C35">
              <w:t>2 weeks</w:t>
            </w:r>
          </w:p>
        </w:tc>
      </w:tr>
      <w:tr w:rsidR="00CE22A2" w:rsidRPr="00070C35" w14:paraId="620124BE" w14:textId="77777777" w:rsidTr="00CC1644">
        <w:tc>
          <w:tcPr>
            <w:tcW w:w="4673" w:type="dxa"/>
            <w:vAlign w:val="center"/>
          </w:tcPr>
          <w:p w14:paraId="0831EF80" w14:textId="77777777" w:rsidR="00CE22A2" w:rsidRPr="00070C35" w:rsidRDefault="00CE22A2" w:rsidP="00D2039C">
            <w:pPr>
              <w:pStyle w:val="TableText0"/>
              <w:rPr>
                <w:b/>
                <w:bCs w:val="0"/>
              </w:rPr>
            </w:pPr>
            <w:r w:rsidRPr="00070C35">
              <w:rPr>
                <w:b/>
                <w:bCs w:val="0"/>
              </w:rPr>
              <w:t>Dose duration (minus loading dose)</w:t>
            </w:r>
          </w:p>
        </w:tc>
        <w:tc>
          <w:tcPr>
            <w:tcW w:w="2172" w:type="dxa"/>
            <w:vAlign w:val="center"/>
          </w:tcPr>
          <w:p w14:paraId="7EBDA649" w14:textId="77777777" w:rsidR="00CE22A2" w:rsidRPr="00070C35" w:rsidRDefault="00CE22A2" w:rsidP="00D2039C">
            <w:pPr>
              <w:pStyle w:val="TableText0"/>
              <w:jc w:val="center"/>
            </w:pPr>
            <w:r w:rsidRPr="00070C35">
              <w:t>104 weeks</w:t>
            </w:r>
          </w:p>
        </w:tc>
        <w:tc>
          <w:tcPr>
            <w:tcW w:w="2172" w:type="dxa"/>
            <w:vAlign w:val="center"/>
          </w:tcPr>
          <w:p w14:paraId="4CA145D7" w14:textId="77777777" w:rsidR="00CE22A2" w:rsidRPr="00070C35" w:rsidRDefault="00CE22A2" w:rsidP="00D2039C">
            <w:pPr>
              <w:pStyle w:val="TableText0"/>
              <w:jc w:val="center"/>
            </w:pPr>
            <w:r w:rsidRPr="00070C35">
              <w:t>102 weeks</w:t>
            </w:r>
          </w:p>
        </w:tc>
      </w:tr>
      <w:tr w:rsidR="00CE22A2" w:rsidRPr="00070C35" w14:paraId="3EA56520" w14:textId="77777777" w:rsidTr="00CC1644">
        <w:tc>
          <w:tcPr>
            <w:tcW w:w="4673" w:type="dxa"/>
            <w:vAlign w:val="center"/>
          </w:tcPr>
          <w:p w14:paraId="60EB6C7B" w14:textId="77777777" w:rsidR="00CE22A2" w:rsidRPr="00070C35" w:rsidRDefault="00CE22A2" w:rsidP="00D2039C">
            <w:pPr>
              <w:pStyle w:val="TableText0"/>
              <w:rPr>
                <w:b/>
                <w:bCs w:val="0"/>
              </w:rPr>
            </w:pPr>
            <w:r w:rsidRPr="00070C35">
              <w:rPr>
                <w:b/>
                <w:bCs w:val="0"/>
              </w:rPr>
              <w:t>Cost of loading dose</w:t>
            </w:r>
          </w:p>
        </w:tc>
        <w:tc>
          <w:tcPr>
            <w:tcW w:w="2172" w:type="dxa"/>
            <w:vAlign w:val="center"/>
          </w:tcPr>
          <w:p w14:paraId="42AD9442" w14:textId="77777777" w:rsidR="00CE22A2" w:rsidRPr="00070C35" w:rsidRDefault="00CE22A2" w:rsidP="00D2039C">
            <w:pPr>
              <w:pStyle w:val="TableText0"/>
              <w:jc w:val="center"/>
            </w:pPr>
            <w:r w:rsidRPr="00070C35">
              <w:t>-</w:t>
            </w:r>
          </w:p>
        </w:tc>
        <w:tc>
          <w:tcPr>
            <w:tcW w:w="2172" w:type="dxa"/>
            <w:vAlign w:val="center"/>
          </w:tcPr>
          <w:p w14:paraId="181D7F32" w14:textId="77777777" w:rsidR="00CE22A2" w:rsidRPr="00070C35" w:rsidRDefault="00CE22A2" w:rsidP="00D2039C">
            <w:pPr>
              <w:pStyle w:val="TableText0"/>
              <w:jc w:val="center"/>
            </w:pPr>
            <w:r w:rsidRPr="00070C35">
              <w:t>$1,609.86</w:t>
            </w:r>
          </w:p>
        </w:tc>
      </w:tr>
      <w:tr w:rsidR="00CE22A2" w:rsidRPr="00070C35" w14:paraId="431579C5" w14:textId="77777777" w:rsidTr="00CC1644">
        <w:tc>
          <w:tcPr>
            <w:tcW w:w="4673" w:type="dxa"/>
            <w:vAlign w:val="center"/>
          </w:tcPr>
          <w:p w14:paraId="6A254CCC" w14:textId="77777777" w:rsidR="00CE22A2" w:rsidRPr="00070C35" w:rsidRDefault="00CE22A2" w:rsidP="00D2039C">
            <w:pPr>
              <w:pStyle w:val="TableText0"/>
              <w:rPr>
                <w:b/>
                <w:bCs w:val="0"/>
              </w:rPr>
            </w:pPr>
            <w:r w:rsidRPr="00070C35">
              <w:rPr>
                <w:b/>
                <w:bCs w:val="0"/>
              </w:rPr>
              <w:t>Cost of treatment for 2 years (without loading dose)</w:t>
            </w:r>
          </w:p>
        </w:tc>
        <w:tc>
          <w:tcPr>
            <w:tcW w:w="2172" w:type="dxa"/>
            <w:vAlign w:val="center"/>
          </w:tcPr>
          <w:p w14:paraId="34001596" w14:textId="77777777" w:rsidR="00CE22A2" w:rsidRPr="00070C35" w:rsidRDefault="00CE22A2" w:rsidP="00D2039C">
            <w:pPr>
              <w:pStyle w:val="TableText0"/>
              <w:jc w:val="center"/>
            </w:pPr>
            <w:r w:rsidRPr="00070C35">
              <w:t>$42,661.29</w:t>
            </w:r>
          </w:p>
        </w:tc>
        <w:tc>
          <w:tcPr>
            <w:tcW w:w="2172" w:type="dxa"/>
            <w:vAlign w:val="center"/>
          </w:tcPr>
          <w:p w14:paraId="0248EF6A" w14:textId="77777777" w:rsidR="00CE22A2" w:rsidRPr="00070C35" w:rsidRDefault="00CE22A2" w:rsidP="00D2039C">
            <w:pPr>
              <w:pStyle w:val="TableText0"/>
              <w:jc w:val="center"/>
            </w:pPr>
            <w:r w:rsidRPr="00070C35">
              <w:t>$41,051.43</w:t>
            </w:r>
          </w:p>
        </w:tc>
      </w:tr>
      <w:tr w:rsidR="00CE22A2" w:rsidRPr="00070C35" w14:paraId="4AB9D785" w14:textId="77777777" w:rsidTr="00CC1644">
        <w:tc>
          <w:tcPr>
            <w:tcW w:w="4673" w:type="dxa"/>
            <w:vAlign w:val="center"/>
          </w:tcPr>
          <w:p w14:paraId="29ED4041" w14:textId="357D4C23" w:rsidR="00CE22A2" w:rsidRPr="00070C35" w:rsidRDefault="00CE22A2" w:rsidP="00D2039C">
            <w:pPr>
              <w:pStyle w:val="TableText0"/>
              <w:rPr>
                <w:b/>
                <w:bCs w:val="0"/>
              </w:rPr>
            </w:pPr>
            <w:r w:rsidRPr="00070C35">
              <w:rPr>
                <w:b/>
                <w:bCs w:val="0"/>
              </w:rPr>
              <w:t>Total cost of treatment</w:t>
            </w:r>
            <w:r w:rsidR="009F1DD6" w:rsidRPr="00070C35">
              <w:rPr>
                <w:b/>
                <w:bCs w:val="0"/>
              </w:rPr>
              <w:t xml:space="preserve"> for 2 years</w:t>
            </w:r>
          </w:p>
        </w:tc>
        <w:tc>
          <w:tcPr>
            <w:tcW w:w="2172" w:type="dxa"/>
            <w:vAlign w:val="center"/>
          </w:tcPr>
          <w:p w14:paraId="0DC6C540" w14:textId="77777777" w:rsidR="00CE22A2" w:rsidRPr="00070C35" w:rsidRDefault="00CE22A2" w:rsidP="00D2039C">
            <w:pPr>
              <w:pStyle w:val="TableText0"/>
              <w:jc w:val="center"/>
            </w:pPr>
            <w:r w:rsidRPr="00070C35">
              <w:t>$42,661.29</w:t>
            </w:r>
          </w:p>
        </w:tc>
        <w:tc>
          <w:tcPr>
            <w:tcW w:w="2172" w:type="dxa"/>
            <w:vAlign w:val="center"/>
          </w:tcPr>
          <w:p w14:paraId="1D89CE3E" w14:textId="77777777" w:rsidR="00CE22A2" w:rsidRPr="00070C35" w:rsidRDefault="00CE22A2" w:rsidP="00D2039C">
            <w:pPr>
              <w:pStyle w:val="TableText0"/>
              <w:jc w:val="center"/>
            </w:pPr>
            <w:r w:rsidRPr="00070C35">
              <w:t>$42,661.29</w:t>
            </w:r>
          </w:p>
        </w:tc>
      </w:tr>
    </w:tbl>
    <w:p w14:paraId="3FF8350F" w14:textId="77777777" w:rsidR="00304AB4" w:rsidRPr="00070C35" w:rsidRDefault="001B3286" w:rsidP="00D2039C">
      <w:pPr>
        <w:pStyle w:val="TableFigureFooter"/>
        <w:keepNext/>
        <w:rPr>
          <w:iCs w:val="0"/>
        </w:rPr>
      </w:pPr>
      <w:r w:rsidRPr="00070C35">
        <w:rPr>
          <w:iCs w:val="0"/>
        </w:rPr>
        <w:t xml:space="preserve">Source: Section 3.4, pp88-9 of the submission. </w:t>
      </w:r>
    </w:p>
    <w:p w14:paraId="568DEF98" w14:textId="77777777" w:rsidR="00CE22A2" w:rsidRPr="00070C35" w:rsidRDefault="00CE22A2" w:rsidP="00CE22A2">
      <w:pPr>
        <w:pStyle w:val="TableFigureFooter"/>
        <w:rPr>
          <w:iCs w:val="0"/>
        </w:rPr>
      </w:pPr>
      <w:r w:rsidRPr="00070C35">
        <w:rPr>
          <w:iCs w:val="0"/>
        </w:rPr>
        <w:t>AEMP = Approved ex-manufacturer price</w:t>
      </w:r>
    </w:p>
    <w:p w14:paraId="1E2D71BD" w14:textId="19FE355B" w:rsidR="00CE22A2" w:rsidRPr="00070C35" w:rsidRDefault="00CE22A2" w:rsidP="0052714A">
      <w:pPr>
        <w:pStyle w:val="3-BodyText"/>
      </w:pPr>
      <w:r w:rsidRPr="00070C35">
        <w:t xml:space="preserve">Should the PBAC accept the clinical claim of overall non-inferior effectiveness and safety, the cost-minimisation approach must establish that the cost per patient for treatment with </w:t>
      </w:r>
      <w:r w:rsidR="00E93878" w:rsidRPr="00070C35">
        <w:t>ABRO</w:t>
      </w:r>
      <w:r w:rsidRPr="00070C35">
        <w:t xml:space="preserve"> </w:t>
      </w:r>
      <w:r w:rsidR="004E18C1" w:rsidRPr="00070C35">
        <w:t>2</w:t>
      </w:r>
      <w:r w:rsidR="00CF5502" w:rsidRPr="00070C35">
        <w:t>0</w:t>
      </w:r>
      <w:r w:rsidR="00E57A8B" w:rsidRPr="00070C35">
        <w:t>0 mg</w:t>
      </w:r>
      <w:r w:rsidRPr="00070C35">
        <w:t xml:space="preserve"> would be no more than the cost per patient of </w:t>
      </w:r>
      <w:r w:rsidR="00E93878" w:rsidRPr="00070C35">
        <w:t>DUPI</w:t>
      </w:r>
      <w:r w:rsidRPr="00070C35">
        <w:t xml:space="preserve"> 30</w:t>
      </w:r>
      <w:r w:rsidR="00E57A8B" w:rsidRPr="00070C35">
        <w:t>0 mg</w:t>
      </w:r>
      <w:r w:rsidRPr="00070C35">
        <w:t xml:space="preserve"> Q2W.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11369E" w:rsidRPr="00070C35">
        <w:t xml:space="preserve"> </w:t>
      </w:r>
      <w:r w:rsidR="00347481">
        <w:t>The commentary considered the k</w:t>
      </w:r>
      <w:r w:rsidR="0011369E" w:rsidRPr="00070C35">
        <w:t xml:space="preserve">ey uncertainties of the CMA relate to long term comparative effectiveness and safety of </w:t>
      </w:r>
      <w:r w:rsidR="00E93878" w:rsidRPr="00070C35">
        <w:t>ABRO</w:t>
      </w:r>
      <w:r w:rsidR="0011369E" w:rsidRPr="00070C35">
        <w:t xml:space="preserve"> vs </w:t>
      </w:r>
      <w:r w:rsidR="00E93878" w:rsidRPr="00070C35">
        <w:t>DUPI</w:t>
      </w:r>
      <w:r w:rsidR="0011369E" w:rsidRPr="00070C35">
        <w:t>.</w:t>
      </w:r>
    </w:p>
    <w:p w14:paraId="307069D8" w14:textId="129D625E" w:rsidR="00265585" w:rsidRPr="00070C35" w:rsidRDefault="00265585" w:rsidP="0052714A">
      <w:pPr>
        <w:pStyle w:val="5-SubsectionSubheading"/>
        <w:spacing w:before="0" w:after="120"/>
        <w:rPr>
          <w:u w:val="single"/>
        </w:rPr>
      </w:pPr>
      <w:bookmarkStart w:id="67" w:name="_Toc177558654"/>
      <w:r w:rsidRPr="00070C35">
        <w:rPr>
          <w:u w:val="single"/>
        </w:rPr>
        <w:t>Cost-utility analysis</w:t>
      </w:r>
      <w:bookmarkEnd w:id="67"/>
    </w:p>
    <w:p w14:paraId="3A6607EF" w14:textId="7384A0CB" w:rsidR="00CA1AB9" w:rsidRPr="0052714A" w:rsidRDefault="00CE22A2" w:rsidP="0052714A">
      <w:pPr>
        <w:pStyle w:val="3-BodyText"/>
      </w:pPr>
      <w:bookmarkStart w:id="68" w:name="_Ref180360303"/>
      <w:r w:rsidRPr="00070C35">
        <w:t xml:space="preserve">The submission presented a modelled cost-utility analysis comparing </w:t>
      </w:r>
      <w:r w:rsidR="00E93878" w:rsidRPr="00070C35">
        <w:t>ABRO</w:t>
      </w:r>
      <w:r w:rsidRPr="00070C35">
        <w:t xml:space="preserve"> 10</w:t>
      </w:r>
      <w:r w:rsidR="00E57A8B" w:rsidRPr="00070C35">
        <w:t>0 mg</w:t>
      </w:r>
      <w:r w:rsidRPr="00070C35">
        <w:t xml:space="preserve"> vs </w:t>
      </w:r>
      <w:r w:rsidR="00E93878" w:rsidRPr="00070C35">
        <w:t>DUPI</w:t>
      </w:r>
      <w:r w:rsidRPr="00070C35">
        <w:t xml:space="preserve"> 30</w:t>
      </w:r>
      <w:r w:rsidR="00E57A8B" w:rsidRPr="00070C35">
        <w:t>0 mg</w:t>
      </w:r>
      <w:r w:rsidRPr="00070C35">
        <w:t xml:space="preserve"> </w:t>
      </w:r>
      <w:r w:rsidR="008B7583" w:rsidRPr="00070C35">
        <w:t>Q2W</w:t>
      </w:r>
      <w:r w:rsidRPr="00070C35">
        <w:t xml:space="preserve">. </w:t>
      </w:r>
      <w:r w:rsidR="00AC781F" w:rsidRPr="00070C35">
        <w:t xml:space="preserve">Of the patients </w:t>
      </w:r>
      <w:r w:rsidR="00C30D6C">
        <w:t>who</w:t>
      </w:r>
      <w:r w:rsidR="00C30D6C" w:rsidRPr="00070C35">
        <w:t xml:space="preserve"> </w:t>
      </w:r>
      <w:r w:rsidR="00AC781F" w:rsidRPr="00070C35">
        <w:t xml:space="preserve">would receive </w:t>
      </w:r>
      <w:proofErr w:type="spellStart"/>
      <w:r w:rsidR="00AC781F" w:rsidRPr="00070C35">
        <w:t>abrocitinib</w:t>
      </w:r>
      <w:proofErr w:type="spellEnd"/>
      <w:r w:rsidR="00AC781F" w:rsidRPr="00070C35">
        <w:t xml:space="preserve"> in the Australian setting, the submission expected that more than two-thirds would receive the 100 mg dose. </w:t>
      </w:r>
      <w:r w:rsidRPr="00070C35">
        <w:t xml:space="preserve">The structure was split between a </w:t>
      </w:r>
      <w:r w:rsidR="0011369E" w:rsidRPr="00070C35">
        <w:t>16-week</w:t>
      </w:r>
      <w:r w:rsidRPr="00070C35">
        <w:t xml:space="preserve"> decision-tree and a </w:t>
      </w:r>
      <w:r w:rsidR="0011369E" w:rsidRPr="00070C35">
        <w:t>5-year</w:t>
      </w:r>
      <w:r w:rsidRPr="00070C35">
        <w:t xml:space="preserve"> Markov state transition model. The time horizon of the decision-tree aligned with the proposed timing of the PBS continuation criteria. </w:t>
      </w:r>
      <w:r w:rsidR="002D059F" w:rsidRPr="00E574CC">
        <w:rPr>
          <w:iCs/>
        </w:rPr>
        <w:t xml:space="preserve">The ESC considered that while assessment of response at 16 weeks may favour ABRO given its </w:t>
      </w:r>
      <w:r w:rsidR="00181421" w:rsidRPr="00E574CC">
        <w:rPr>
          <w:iCs/>
        </w:rPr>
        <w:t>earlier onset of action</w:t>
      </w:r>
      <w:r w:rsidR="00152B34" w:rsidRPr="00E574CC">
        <w:rPr>
          <w:iCs/>
        </w:rPr>
        <w:t>,</w:t>
      </w:r>
      <w:r w:rsidR="002D059F" w:rsidRPr="00E574CC">
        <w:rPr>
          <w:iCs/>
        </w:rPr>
        <w:t xml:space="preserve"> assessment at this timepoint was reasonable as DUPI requires assessment of treatment response at 16 weeks. </w:t>
      </w:r>
      <w:r w:rsidR="00CA1AB9" w:rsidRPr="00E574CC">
        <w:rPr>
          <w:iCs/>
        </w:rPr>
        <w:t xml:space="preserve">The ESC </w:t>
      </w:r>
      <w:r w:rsidR="000A2952" w:rsidRPr="00E574CC">
        <w:rPr>
          <w:iCs/>
        </w:rPr>
        <w:t xml:space="preserve">further </w:t>
      </w:r>
      <w:r w:rsidR="00CA1AB9" w:rsidRPr="00E574CC">
        <w:rPr>
          <w:iCs/>
        </w:rPr>
        <w:t>considered that a 5-year duration for the Markov model was reasonable</w:t>
      </w:r>
      <w:r w:rsidR="00FB21A6" w:rsidRPr="00E574CC">
        <w:rPr>
          <w:iCs/>
        </w:rPr>
        <w:t xml:space="preserve"> as it was consistent with other PBAC considerations for this indication</w:t>
      </w:r>
      <w:r w:rsidR="00CA1AB9" w:rsidRPr="00E574CC">
        <w:rPr>
          <w:iCs/>
        </w:rPr>
        <w:t>.</w:t>
      </w:r>
      <w:bookmarkEnd w:id="68"/>
    </w:p>
    <w:p w14:paraId="3F55EBD6" w14:textId="2518D8D7" w:rsidR="002D68F4" w:rsidRDefault="00CE22A2" w:rsidP="0052714A">
      <w:pPr>
        <w:pStyle w:val="3-BodyText"/>
      </w:pPr>
      <w:r w:rsidRPr="00070C35">
        <w:t xml:space="preserve">The </w:t>
      </w:r>
      <w:r w:rsidR="00152B34">
        <w:t xml:space="preserve">Markov </w:t>
      </w:r>
      <w:r w:rsidRPr="00070C35">
        <w:t>model had two health states: responder and non</w:t>
      </w:r>
      <w:r w:rsidR="00490FDE" w:rsidRPr="00070C35">
        <w:t>-</w:t>
      </w:r>
      <w:r w:rsidRPr="00070C35">
        <w:t xml:space="preserve">responder. </w:t>
      </w:r>
      <w:r w:rsidR="0067633F" w:rsidRPr="00E574CC">
        <w:rPr>
          <w:iCs/>
        </w:rPr>
        <w:t xml:space="preserve">The ESC agreed that the omission of mortality was a minor issue and unlikely to have significant impact. </w:t>
      </w:r>
      <w:r w:rsidRPr="00070C35">
        <w:t xml:space="preserve">Responders received active treatment with </w:t>
      </w:r>
      <w:r w:rsidR="00E93878" w:rsidRPr="00070C35">
        <w:t>ABRO</w:t>
      </w:r>
      <w:r w:rsidRPr="00070C35">
        <w:t xml:space="preserve"> 10</w:t>
      </w:r>
      <w:r w:rsidR="00E57A8B" w:rsidRPr="00070C35">
        <w:t>0 mg</w:t>
      </w:r>
      <w:r w:rsidRPr="00070C35">
        <w:t xml:space="preserve"> or </w:t>
      </w:r>
      <w:r w:rsidR="00E93878" w:rsidRPr="00070C35">
        <w:t>DUPI</w:t>
      </w:r>
      <w:r w:rsidRPr="00070C35">
        <w:t xml:space="preserve"> 30</w:t>
      </w:r>
      <w:r w:rsidR="00E57A8B" w:rsidRPr="00070C35">
        <w:t>0 mg</w:t>
      </w:r>
      <w:r w:rsidRPr="00070C35">
        <w:t xml:space="preserve">. Patients </w:t>
      </w:r>
      <w:r w:rsidR="0011369E" w:rsidRPr="00070C35">
        <w:t>could either lose response (through treatment waning) or discontinue treatment (</w:t>
      </w:r>
      <w:r w:rsidRPr="00070C35">
        <w:t>for reasons other than non</w:t>
      </w:r>
      <w:r w:rsidR="007E6156" w:rsidRPr="00070C35">
        <w:t>-</w:t>
      </w:r>
      <w:r w:rsidRPr="00070C35">
        <w:t>response)</w:t>
      </w:r>
      <w:r w:rsidR="0011369E" w:rsidRPr="00070C35">
        <w:t>, and transition to</w:t>
      </w:r>
      <w:r w:rsidRPr="00070C35">
        <w:t xml:space="preserve"> become </w:t>
      </w:r>
      <w:r w:rsidR="004E20EB" w:rsidRPr="00070C35">
        <w:t>non-responders</w:t>
      </w:r>
      <w:r w:rsidRPr="00070C35">
        <w:t xml:space="preserve">. </w:t>
      </w:r>
    </w:p>
    <w:p w14:paraId="30D357D9" w14:textId="230861A2" w:rsidR="00152B34" w:rsidRPr="005E0BDB" w:rsidRDefault="00152B34" w:rsidP="00891977">
      <w:pPr>
        <w:pStyle w:val="3-BodyText"/>
        <w:rPr>
          <w:color w:val="000000" w:themeColor="text1"/>
        </w:rPr>
      </w:pPr>
      <w:r w:rsidRPr="00E574CC">
        <w:rPr>
          <w:iCs/>
        </w:rPr>
        <w:t>The commentary considered</w:t>
      </w:r>
      <w:r>
        <w:t xml:space="preserve"> the </w:t>
      </w:r>
      <w:r w:rsidRPr="00070C35">
        <w:t xml:space="preserve">applicability of the model was unclear. The ABRO </w:t>
      </w:r>
      <w:r>
        <w:t>PI</w:t>
      </w:r>
      <w:r w:rsidRPr="00070C35">
        <w:t xml:space="preserve"> recommends the use of the lowest dose of ABRO required to achieve a response</w:t>
      </w:r>
      <w:r>
        <w:t xml:space="preserve"> whereas the</w:t>
      </w:r>
      <w:r w:rsidRPr="00070C35">
        <w:t xml:space="preserve"> model compares a static 100 mg ABRO dose with DUPI. In clinical </w:t>
      </w:r>
      <w:r w:rsidRPr="007C1DF2">
        <w:t xml:space="preserve">practice, </w:t>
      </w:r>
      <w:r w:rsidR="007C1DF2" w:rsidRPr="00E574CC">
        <w:rPr>
          <w:iCs/>
        </w:rPr>
        <w:t xml:space="preserve">many patients receiving ABRO 100 mg, who become non-responders, are likely to be prescribed and respond to ABRO 200 mg, rather than discontinuing ABRO. Additionally, the ESC considered that in clinical practice the dose of ABRO would be </w:t>
      </w:r>
      <w:r w:rsidR="007C1DF2" w:rsidRPr="00E574CC">
        <w:rPr>
          <w:iCs/>
        </w:rPr>
        <w:lastRenderedPageBreak/>
        <w:t xml:space="preserve">titrated to the minimum dose that is effective, so some patients receiving the 100 mg dose would have </w:t>
      </w:r>
      <w:r w:rsidR="005E0BDB" w:rsidRPr="00E574CC">
        <w:rPr>
          <w:iCs/>
        </w:rPr>
        <w:t xml:space="preserve">been titrated down from the 200 mg dose. </w:t>
      </w:r>
      <w:r w:rsidR="007C1DF2" w:rsidRPr="00E574CC">
        <w:rPr>
          <w:iCs/>
        </w:rPr>
        <w:t>The ESC considered the model structure was too simple to adequately compare ABRO 100 mg vs DUPI 300 mg.</w:t>
      </w:r>
      <w:r w:rsidR="007C1DF2" w:rsidRPr="0052714A">
        <w:t xml:space="preserve"> </w:t>
      </w:r>
      <w:r w:rsidRPr="007C1DF2">
        <w:t>A</w:t>
      </w:r>
      <w:r w:rsidRPr="00070C35">
        <w:t xml:space="preserve"> more accurate approach of estimating the cost-effectiveness of ABRO would be to compare the use of ABRO in clinical practice with the use of DUPI in clinical practice. Such an approach would capture the number of responders associated with dose titration (up and down) for ABRO, and may also </w:t>
      </w:r>
      <w:r w:rsidRPr="005E0BDB">
        <w:rPr>
          <w:color w:val="000000" w:themeColor="text1"/>
        </w:rPr>
        <w:t xml:space="preserve">capture whether the timing between DUPI doses is also varied. </w:t>
      </w:r>
      <w:r w:rsidR="007C1DF2" w:rsidRPr="00E574CC">
        <w:rPr>
          <w:iCs/>
        </w:rPr>
        <w:t xml:space="preserve">The ESC noted that there was no clear data to inform rates of up or down titration and response, and considered the direction of bias for this issue was unclear. </w:t>
      </w:r>
    </w:p>
    <w:p w14:paraId="31F8A9BB" w14:textId="09ED762B" w:rsidR="00C82E14" w:rsidRPr="0052714A" w:rsidRDefault="00C82E14" w:rsidP="0052714A">
      <w:pPr>
        <w:pStyle w:val="3-BodyText"/>
      </w:pPr>
      <w:bookmarkStart w:id="69" w:name="_Ref180360307"/>
      <w:r w:rsidRPr="00E574CC">
        <w:rPr>
          <w:iCs/>
        </w:rPr>
        <w:t>The ESC noted the</w:t>
      </w:r>
      <w:r w:rsidR="00982A25" w:rsidRPr="00E574CC">
        <w:rPr>
          <w:iCs/>
        </w:rPr>
        <w:t xml:space="preserve"> structure of the</w:t>
      </w:r>
      <w:r w:rsidRPr="00E574CC">
        <w:rPr>
          <w:iCs/>
        </w:rPr>
        <w:t xml:space="preserve"> Markov model presented </w:t>
      </w:r>
      <w:r w:rsidR="00982A25" w:rsidRPr="00E574CC">
        <w:rPr>
          <w:iCs/>
        </w:rPr>
        <w:t>was unidirectional</w:t>
      </w:r>
      <w:r w:rsidR="005E0BDB" w:rsidRPr="00E574CC">
        <w:rPr>
          <w:iCs/>
        </w:rPr>
        <w:t xml:space="preserve"> whereas</w:t>
      </w:r>
      <w:r w:rsidRPr="00E574CC">
        <w:rPr>
          <w:iCs/>
        </w:rPr>
        <w:t xml:space="preserve"> </w:t>
      </w:r>
      <w:r w:rsidR="00982A25" w:rsidRPr="00E574CC">
        <w:rPr>
          <w:iCs/>
        </w:rPr>
        <w:t xml:space="preserve">in clinical practice </w:t>
      </w:r>
      <w:r w:rsidRPr="00E574CC">
        <w:rPr>
          <w:iCs/>
        </w:rPr>
        <w:t>patients who discontinue treatment</w:t>
      </w:r>
      <w:r w:rsidR="00982A25" w:rsidRPr="00E574CC">
        <w:rPr>
          <w:iCs/>
        </w:rPr>
        <w:t xml:space="preserve"> with DUPI</w:t>
      </w:r>
      <w:r w:rsidRPr="00E574CC">
        <w:rPr>
          <w:iCs/>
        </w:rPr>
        <w:t xml:space="preserve"> </w:t>
      </w:r>
      <w:r w:rsidR="005E0BDB" w:rsidRPr="00E574CC">
        <w:rPr>
          <w:iCs/>
        </w:rPr>
        <w:t xml:space="preserve">or ABRO </w:t>
      </w:r>
      <w:r w:rsidRPr="00E574CC">
        <w:rPr>
          <w:iCs/>
        </w:rPr>
        <w:t xml:space="preserve">(for </w:t>
      </w:r>
      <w:r w:rsidR="005E0BDB" w:rsidRPr="00E574CC">
        <w:rPr>
          <w:iCs/>
        </w:rPr>
        <w:t>reasons other than lack of response</w:t>
      </w:r>
      <w:r w:rsidRPr="00E574CC">
        <w:rPr>
          <w:iCs/>
        </w:rPr>
        <w:t>) could reinitiate treatment and achieve a response</w:t>
      </w:r>
      <w:r w:rsidR="00982A25" w:rsidRPr="00E574CC">
        <w:rPr>
          <w:iCs/>
        </w:rPr>
        <w:t>, and the model did not allow for this</w:t>
      </w:r>
      <w:r w:rsidRPr="00E574CC">
        <w:rPr>
          <w:iCs/>
        </w:rPr>
        <w:t>. The ESC considered the direction of bias to be unclear.</w:t>
      </w:r>
      <w:bookmarkEnd w:id="69"/>
    </w:p>
    <w:p w14:paraId="65DB819B" w14:textId="70C909A9" w:rsidR="00CE22A2" w:rsidRPr="00070C35" w:rsidRDefault="00CE22A2" w:rsidP="0052714A">
      <w:pPr>
        <w:pStyle w:val="3-BodyText"/>
      </w:pPr>
      <w:r w:rsidRPr="00070C35">
        <w:t xml:space="preserve">Key inputs and methods used in the economic model are presented in </w:t>
      </w:r>
      <w:r w:rsidRPr="00070C35">
        <w:fldChar w:fldCharType="begin" w:fldLock="1"/>
      </w:r>
      <w:r w:rsidRPr="00070C35">
        <w:instrText xml:space="preserve"> REF _Ref176107065 \h  \* MERGEFORMAT </w:instrText>
      </w:r>
      <w:r w:rsidRPr="00070C35">
        <w:fldChar w:fldCharType="separate"/>
      </w:r>
      <w:r w:rsidR="004F2A70" w:rsidRPr="004F2A70">
        <w:t>Table 10</w:t>
      </w:r>
      <w:r w:rsidRPr="00070C35">
        <w:fldChar w:fldCharType="end"/>
      </w:r>
      <w:r w:rsidRPr="00070C35">
        <w:t>.</w:t>
      </w:r>
    </w:p>
    <w:p w14:paraId="31080382" w14:textId="4FF37F2E" w:rsidR="00CE22A2" w:rsidRPr="00070C35" w:rsidRDefault="00CE22A2" w:rsidP="0091041C">
      <w:pPr>
        <w:pStyle w:val="Caption"/>
        <w:rPr>
          <w:rStyle w:val="CommentReference"/>
          <w:rFonts w:eastAsiaTheme="minorHAnsi" w:cstheme="minorBidi"/>
          <w:b/>
          <w:bCs w:val="0"/>
          <w:szCs w:val="24"/>
        </w:rPr>
      </w:pPr>
      <w:bookmarkStart w:id="70" w:name="_Ref176107065"/>
      <w:r w:rsidRPr="00070C35">
        <w:rPr>
          <w:rStyle w:val="CommentReference"/>
          <w:b/>
          <w:szCs w:val="24"/>
        </w:rPr>
        <w:t xml:space="preserve">Table </w:t>
      </w:r>
      <w:r w:rsidRPr="00070C35">
        <w:rPr>
          <w:rStyle w:val="CommentReference"/>
          <w:b/>
          <w:szCs w:val="24"/>
        </w:rPr>
        <w:fldChar w:fldCharType="begin" w:fldLock="1"/>
      </w:r>
      <w:r w:rsidRPr="00070C35">
        <w:rPr>
          <w:rStyle w:val="CommentReference"/>
          <w:b/>
          <w:szCs w:val="24"/>
        </w:rPr>
        <w:instrText xml:space="preserve"> SEQ Table \* ARABIC </w:instrText>
      </w:r>
      <w:r w:rsidRPr="00070C35">
        <w:rPr>
          <w:rStyle w:val="CommentReference"/>
          <w:b/>
          <w:szCs w:val="24"/>
        </w:rPr>
        <w:fldChar w:fldCharType="separate"/>
      </w:r>
      <w:r w:rsidR="004F2A70">
        <w:rPr>
          <w:rStyle w:val="CommentReference"/>
          <w:b/>
          <w:noProof/>
          <w:szCs w:val="24"/>
        </w:rPr>
        <w:t>10</w:t>
      </w:r>
      <w:r w:rsidRPr="00070C35">
        <w:rPr>
          <w:rStyle w:val="CommentReference"/>
          <w:b/>
          <w:szCs w:val="24"/>
        </w:rPr>
        <w:fldChar w:fldCharType="end"/>
      </w:r>
      <w:bookmarkEnd w:id="70"/>
      <w:r w:rsidRPr="00070C35">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7"/>
        <w:gridCol w:w="7179"/>
      </w:tblGrid>
      <w:tr w:rsidR="00CE22A2" w:rsidRPr="00070C35" w14:paraId="32156305" w14:textId="77777777" w:rsidTr="00924054">
        <w:trPr>
          <w:tblHeader/>
        </w:trPr>
        <w:tc>
          <w:tcPr>
            <w:tcW w:w="1019" w:type="pct"/>
            <w:shd w:val="clear" w:color="auto" w:fill="auto"/>
            <w:vAlign w:val="center"/>
          </w:tcPr>
          <w:p w14:paraId="1B7B50CB" w14:textId="77777777" w:rsidR="00CE22A2" w:rsidRPr="00070C35" w:rsidRDefault="00CE22A2" w:rsidP="006A5357">
            <w:pPr>
              <w:pStyle w:val="In-tableHeading"/>
              <w:rPr>
                <w:i w:val="0"/>
                <w:iCs w:val="0"/>
              </w:rPr>
            </w:pPr>
            <w:r w:rsidRPr="00070C35">
              <w:rPr>
                <w:i w:val="0"/>
                <w:iCs w:val="0"/>
              </w:rPr>
              <w:t>Component</w:t>
            </w:r>
          </w:p>
        </w:tc>
        <w:tc>
          <w:tcPr>
            <w:tcW w:w="3981" w:type="pct"/>
            <w:shd w:val="clear" w:color="auto" w:fill="auto"/>
            <w:vAlign w:val="center"/>
          </w:tcPr>
          <w:p w14:paraId="64D748EC" w14:textId="77777777" w:rsidR="00CE22A2" w:rsidRPr="00070C35" w:rsidRDefault="00CE22A2" w:rsidP="006A5357">
            <w:pPr>
              <w:pStyle w:val="In-tableHeading"/>
              <w:rPr>
                <w:i w:val="0"/>
                <w:iCs w:val="0"/>
              </w:rPr>
            </w:pPr>
            <w:r w:rsidRPr="00070C35">
              <w:rPr>
                <w:i w:val="0"/>
                <w:iCs w:val="0"/>
              </w:rPr>
              <w:t>Summary</w:t>
            </w:r>
          </w:p>
        </w:tc>
      </w:tr>
      <w:tr w:rsidR="00CE22A2" w:rsidRPr="00070C35" w14:paraId="45225AE0" w14:textId="77777777" w:rsidTr="00924054">
        <w:tc>
          <w:tcPr>
            <w:tcW w:w="1019" w:type="pct"/>
            <w:shd w:val="clear" w:color="auto" w:fill="auto"/>
            <w:vAlign w:val="center"/>
          </w:tcPr>
          <w:p w14:paraId="7984961F" w14:textId="77777777" w:rsidR="00CE22A2" w:rsidRPr="00070C35" w:rsidRDefault="00CE22A2" w:rsidP="00CC1644">
            <w:pPr>
              <w:pStyle w:val="TableText0"/>
            </w:pPr>
            <w:r w:rsidRPr="00070C35">
              <w:t>Treatments</w:t>
            </w:r>
          </w:p>
        </w:tc>
        <w:tc>
          <w:tcPr>
            <w:tcW w:w="3981" w:type="pct"/>
            <w:shd w:val="clear" w:color="auto" w:fill="auto"/>
            <w:vAlign w:val="center"/>
          </w:tcPr>
          <w:p w14:paraId="6E802543" w14:textId="43358375" w:rsidR="00CE22A2" w:rsidRPr="00070C35" w:rsidRDefault="00E93878" w:rsidP="00CC1644">
            <w:pPr>
              <w:pStyle w:val="TableText0"/>
            </w:pPr>
            <w:r w:rsidRPr="00070C35">
              <w:t>ABRO</w:t>
            </w:r>
            <w:r w:rsidR="00CE22A2" w:rsidRPr="00070C35">
              <w:t xml:space="preserve"> 10</w:t>
            </w:r>
            <w:r w:rsidR="00E57A8B" w:rsidRPr="00070C35">
              <w:t>0 mg</w:t>
            </w:r>
            <w:r w:rsidR="00CE22A2" w:rsidRPr="00070C35">
              <w:t xml:space="preserve"> vs </w:t>
            </w:r>
            <w:r w:rsidRPr="00070C35">
              <w:t>DUPI</w:t>
            </w:r>
            <w:r w:rsidR="00CE22A2" w:rsidRPr="00070C35">
              <w:t xml:space="preserve"> 30</w:t>
            </w:r>
            <w:r w:rsidR="00E57A8B" w:rsidRPr="00070C35">
              <w:t>0 mg</w:t>
            </w:r>
            <w:r w:rsidR="00CE22A2" w:rsidRPr="00070C35">
              <w:t xml:space="preserve"> </w:t>
            </w:r>
            <w:r w:rsidR="008B7583" w:rsidRPr="00070C35">
              <w:t>Q2W</w:t>
            </w:r>
          </w:p>
        </w:tc>
      </w:tr>
      <w:tr w:rsidR="00CE22A2" w:rsidRPr="00070C35" w14:paraId="483D0ECD" w14:textId="77777777" w:rsidTr="00924054">
        <w:tc>
          <w:tcPr>
            <w:tcW w:w="1019" w:type="pct"/>
            <w:shd w:val="clear" w:color="auto" w:fill="auto"/>
            <w:vAlign w:val="center"/>
          </w:tcPr>
          <w:p w14:paraId="52050DA1" w14:textId="77777777" w:rsidR="00CE22A2" w:rsidRPr="00070C35" w:rsidRDefault="00CE22A2" w:rsidP="00CC1644">
            <w:pPr>
              <w:pStyle w:val="TableText0"/>
            </w:pPr>
            <w:r w:rsidRPr="00070C35">
              <w:t>Time horizon</w:t>
            </w:r>
          </w:p>
        </w:tc>
        <w:tc>
          <w:tcPr>
            <w:tcW w:w="3981" w:type="pct"/>
            <w:shd w:val="clear" w:color="auto" w:fill="auto"/>
            <w:vAlign w:val="center"/>
          </w:tcPr>
          <w:p w14:paraId="26E8B38E" w14:textId="77777777" w:rsidR="00CE22A2" w:rsidRPr="00070C35" w:rsidRDefault="00CE22A2" w:rsidP="00CC1644">
            <w:pPr>
              <w:pStyle w:val="TableText0"/>
            </w:pPr>
            <w:r w:rsidRPr="00070C35">
              <w:t>5.3 years in the model base case versus 16 weeks in JADE COMPARE</w:t>
            </w:r>
          </w:p>
        </w:tc>
      </w:tr>
      <w:tr w:rsidR="00CE22A2" w:rsidRPr="00070C35" w14:paraId="56C6727D" w14:textId="77777777" w:rsidTr="00924054">
        <w:tc>
          <w:tcPr>
            <w:tcW w:w="1019" w:type="pct"/>
            <w:shd w:val="clear" w:color="auto" w:fill="auto"/>
            <w:vAlign w:val="center"/>
          </w:tcPr>
          <w:p w14:paraId="696D9B7F" w14:textId="77777777" w:rsidR="00CE22A2" w:rsidRPr="00070C35" w:rsidRDefault="00CE22A2" w:rsidP="00CC1644">
            <w:pPr>
              <w:pStyle w:val="TableText0"/>
            </w:pPr>
            <w:r w:rsidRPr="00070C35">
              <w:t>Outcomes</w:t>
            </w:r>
          </w:p>
        </w:tc>
        <w:tc>
          <w:tcPr>
            <w:tcW w:w="3981" w:type="pct"/>
            <w:shd w:val="clear" w:color="auto" w:fill="auto"/>
            <w:vAlign w:val="center"/>
          </w:tcPr>
          <w:p w14:paraId="2CF34CDA" w14:textId="77777777" w:rsidR="00CE22A2" w:rsidRPr="00070C35" w:rsidRDefault="00CE22A2" w:rsidP="00CC1644">
            <w:pPr>
              <w:pStyle w:val="TableText0"/>
            </w:pPr>
            <w:r w:rsidRPr="00070C35">
              <w:t>Responders (by PBS criteria – EASI 50 + DLQI≥4)</w:t>
            </w:r>
          </w:p>
          <w:p w14:paraId="0CD80863" w14:textId="77777777" w:rsidR="00CE22A2" w:rsidRPr="00070C35" w:rsidRDefault="00CE22A2" w:rsidP="00CC1644">
            <w:pPr>
              <w:pStyle w:val="TableText0"/>
            </w:pPr>
            <w:r w:rsidRPr="00070C35">
              <w:t>QALYs</w:t>
            </w:r>
          </w:p>
        </w:tc>
      </w:tr>
      <w:tr w:rsidR="00CE22A2" w:rsidRPr="00070C35" w14:paraId="2B672A1F" w14:textId="77777777" w:rsidTr="00924054">
        <w:tc>
          <w:tcPr>
            <w:tcW w:w="1019" w:type="pct"/>
            <w:shd w:val="clear" w:color="auto" w:fill="auto"/>
            <w:vAlign w:val="center"/>
          </w:tcPr>
          <w:p w14:paraId="16230BEA" w14:textId="77777777" w:rsidR="00CE22A2" w:rsidRPr="00070C35" w:rsidRDefault="00CE22A2" w:rsidP="00CC1644">
            <w:pPr>
              <w:pStyle w:val="TableText0"/>
            </w:pPr>
            <w:r w:rsidRPr="00070C35">
              <w:t>Methods used to generate results</w:t>
            </w:r>
          </w:p>
        </w:tc>
        <w:tc>
          <w:tcPr>
            <w:tcW w:w="3981" w:type="pct"/>
            <w:shd w:val="clear" w:color="auto" w:fill="auto"/>
            <w:vAlign w:val="center"/>
          </w:tcPr>
          <w:p w14:paraId="598CD611" w14:textId="493F903A" w:rsidR="00CE22A2" w:rsidRPr="00070C35" w:rsidRDefault="0011369E" w:rsidP="00CC1644">
            <w:pPr>
              <w:pStyle w:val="TableText0"/>
            </w:pPr>
            <w:r w:rsidRPr="00070C35">
              <w:t>16-week</w:t>
            </w:r>
            <w:r w:rsidR="00CE22A2" w:rsidRPr="00070C35">
              <w:t xml:space="preserve"> decision tree</w:t>
            </w:r>
          </w:p>
          <w:p w14:paraId="0AFD1DA6" w14:textId="0080AE0D" w:rsidR="00CE22A2" w:rsidRPr="00070C35" w:rsidRDefault="0011369E" w:rsidP="00CC1644">
            <w:pPr>
              <w:pStyle w:val="TableText0"/>
            </w:pPr>
            <w:r w:rsidRPr="00070C35">
              <w:t>5-year</w:t>
            </w:r>
            <w:r w:rsidR="00CE22A2" w:rsidRPr="00070C35">
              <w:t xml:space="preserve"> Markov model</w:t>
            </w:r>
          </w:p>
        </w:tc>
      </w:tr>
      <w:tr w:rsidR="00CE22A2" w:rsidRPr="00070C35" w14:paraId="2194CF9A" w14:textId="77777777" w:rsidTr="00924054">
        <w:tc>
          <w:tcPr>
            <w:tcW w:w="1019" w:type="pct"/>
            <w:shd w:val="clear" w:color="auto" w:fill="auto"/>
            <w:vAlign w:val="center"/>
          </w:tcPr>
          <w:p w14:paraId="2FC79F4F" w14:textId="77777777" w:rsidR="00CE22A2" w:rsidRPr="00070C35" w:rsidRDefault="00CE22A2" w:rsidP="00CC1644">
            <w:pPr>
              <w:pStyle w:val="TableText0"/>
            </w:pPr>
            <w:r w:rsidRPr="00070C35">
              <w:t>Health states</w:t>
            </w:r>
          </w:p>
        </w:tc>
        <w:tc>
          <w:tcPr>
            <w:tcW w:w="3981" w:type="pct"/>
            <w:shd w:val="clear" w:color="auto" w:fill="auto"/>
            <w:vAlign w:val="center"/>
          </w:tcPr>
          <w:p w14:paraId="18376E72" w14:textId="77777777" w:rsidR="00CE22A2" w:rsidRPr="00070C35" w:rsidRDefault="00CE22A2" w:rsidP="00CC1644">
            <w:pPr>
              <w:pStyle w:val="TableText0"/>
            </w:pPr>
            <w:r w:rsidRPr="00070C35">
              <w:t>Responder and non-responder</w:t>
            </w:r>
          </w:p>
        </w:tc>
      </w:tr>
      <w:tr w:rsidR="00CE22A2" w:rsidRPr="00070C35" w14:paraId="189CF346" w14:textId="77777777" w:rsidTr="00924054">
        <w:tc>
          <w:tcPr>
            <w:tcW w:w="1019" w:type="pct"/>
            <w:shd w:val="clear" w:color="auto" w:fill="auto"/>
            <w:vAlign w:val="center"/>
          </w:tcPr>
          <w:p w14:paraId="64ED05A9" w14:textId="77777777" w:rsidR="00CE22A2" w:rsidRPr="00070C35" w:rsidRDefault="00CE22A2" w:rsidP="00CC1644">
            <w:pPr>
              <w:pStyle w:val="TableText0"/>
            </w:pPr>
            <w:r w:rsidRPr="00070C35">
              <w:t>Cycle length</w:t>
            </w:r>
          </w:p>
        </w:tc>
        <w:tc>
          <w:tcPr>
            <w:tcW w:w="3981" w:type="pct"/>
            <w:shd w:val="clear" w:color="auto" w:fill="auto"/>
            <w:vAlign w:val="center"/>
          </w:tcPr>
          <w:p w14:paraId="73FEFF81" w14:textId="77777777" w:rsidR="00CE22A2" w:rsidRPr="00070C35" w:rsidRDefault="00CE22A2" w:rsidP="00CC1644">
            <w:pPr>
              <w:pStyle w:val="TableText0"/>
            </w:pPr>
            <w:r w:rsidRPr="00070C35">
              <w:t>Following the decision tree component, 6 months</w:t>
            </w:r>
          </w:p>
        </w:tc>
      </w:tr>
      <w:tr w:rsidR="00CE22A2" w:rsidRPr="00070C35" w14:paraId="0CC04AEE" w14:textId="77777777" w:rsidTr="00924054">
        <w:tc>
          <w:tcPr>
            <w:tcW w:w="1019" w:type="pct"/>
            <w:shd w:val="clear" w:color="auto" w:fill="auto"/>
            <w:vAlign w:val="center"/>
          </w:tcPr>
          <w:p w14:paraId="644F4616" w14:textId="71EC5145" w:rsidR="00CE22A2" w:rsidRPr="00070C35" w:rsidRDefault="00CE22A2" w:rsidP="002057F5">
            <w:pPr>
              <w:pStyle w:val="TableText0"/>
            </w:pPr>
            <w:r w:rsidRPr="00070C35">
              <w:t>Transition probabilities</w:t>
            </w:r>
          </w:p>
        </w:tc>
        <w:tc>
          <w:tcPr>
            <w:tcW w:w="3981" w:type="pct"/>
            <w:shd w:val="clear" w:color="auto" w:fill="auto"/>
            <w:vAlign w:val="center"/>
          </w:tcPr>
          <w:p w14:paraId="5040B8D8" w14:textId="77777777" w:rsidR="00CE22A2" w:rsidRPr="00070C35" w:rsidRDefault="00CE22A2" w:rsidP="00CC1644">
            <w:pPr>
              <w:pStyle w:val="TableText0"/>
            </w:pPr>
            <w:r w:rsidRPr="00070C35">
              <w:t>Responders at 16 weeks derived from JADE COMPARE</w:t>
            </w:r>
          </w:p>
          <w:p w14:paraId="5E00242A" w14:textId="7D8F7DF0" w:rsidR="00CE22A2" w:rsidRPr="00070C35" w:rsidRDefault="00CE22A2" w:rsidP="002057F5">
            <w:pPr>
              <w:pStyle w:val="TableText0"/>
            </w:pPr>
            <w:r w:rsidRPr="00070C35">
              <w:t xml:space="preserve">Loss of treatment response informed by JADE EXTEND (at 48 weeks) and </w:t>
            </w:r>
            <w:r w:rsidR="002057F5" w:rsidRPr="00070C35">
              <w:t xml:space="preserve">a previous consideration of </w:t>
            </w:r>
            <w:r w:rsidR="00E93878" w:rsidRPr="00070C35">
              <w:t>DUPI</w:t>
            </w:r>
            <w:r w:rsidRPr="00070C35">
              <w:t xml:space="preserve"> </w:t>
            </w:r>
            <w:r w:rsidR="002057F5" w:rsidRPr="00070C35">
              <w:t xml:space="preserve">(Table 19, </w:t>
            </w:r>
            <w:r w:rsidR="00E93878" w:rsidRPr="00070C35">
              <w:t>DUPI</w:t>
            </w:r>
            <w:r w:rsidR="002057F5" w:rsidRPr="00070C35">
              <w:t xml:space="preserve">, PSD, March 2020 PBAC meeting) </w:t>
            </w:r>
            <w:r w:rsidRPr="00070C35">
              <w:t>(at 42 weeks)</w:t>
            </w:r>
          </w:p>
          <w:p w14:paraId="4678361A" w14:textId="77777777" w:rsidR="00CE22A2" w:rsidRPr="00070C35" w:rsidRDefault="00CE22A2" w:rsidP="00CC1644">
            <w:pPr>
              <w:pStyle w:val="TableText0"/>
            </w:pPr>
            <w:r w:rsidRPr="00070C35">
              <w:t>Discontinuation informed by JADE EXTEND</w:t>
            </w:r>
          </w:p>
        </w:tc>
      </w:tr>
      <w:tr w:rsidR="00CE22A2" w:rsidRPr="00070C35" w14:paraId="0E788E89" w14:textId="77777777" w:rsidTr="00924054">
        <w:tc>
          <w:tcPr>
            <w:tcW w:w="1019" w:type="pct"/>
            <w:shd w:val="clear" w:color="auto" w:fill="auto"/>
            <w:vAlign w:val="center"/>
          </w:tcPr>
          <w:p w14:paraId="48074AE0" w14:textId="77777777" w:rsidR="00CE22A2" w:rsidRPr="00070C35" w:rsidRDefault="00CE22A2" w:rsidP="00CC1644">
            <w:pPr>
              <w:pStyle w:val="TableText0"/>
            </w:pPr>
            <w:r w:rsidRPr="00070C35">
              <w:t>Extrapolation method</w:t>
            </w:r>
          </w:p>
        </w:tc>
        <w:tc>
          <w:tcPr>
            <w:tcW w:w="3981" w:type="pct"/>
            <w:shd w:val="clear" w:color="auto" w:fill="auto"/>
            <w:vAlign w:val="center"/>
          </w:tcPr>
          <w:p w14:paraId="5AD058FA" w14:textId="2889E5C9" w:rsidR="00CE22A2" w:rsidRPr="00070C35" w:rsidRDefault="00CE22A2" w:rsidP="00CC1644">
            <w:pPr>
              <w:pStyle w:val="TableText0"/>
            </w:pPr>
            <w:r w:rsidRPr="00070C35">
              <w:t xml:space="preserve">At 16 weeks, patients not achieving the PBS continuation criteria become </w:t>
            </w:r>
            <w:r w:rsidR="004E20EB" w:rsidRPr="00070C35">
              <w:t>non-responders</w:t>
            </w:r>
            <w:r w:rsidRPr="00070C35">
              <w:t>.</w:t>
            </w:r>
          </w:p>
          <w:p w14:paraId="05F2545A" w14:textId="5477768E" w:rsidR="00CE22A2" w:rsidRPr="00070C35" w:rsidRDefault="00CE22A2" w:rsidP="00CC1644">
            <w:pPr>
              <w:pStyle w:val="TableText0"/>
            </w:pPr>
            <w:r w:rsidRPr="00070C35">
              <w:t xml:space="preserve">Each cycle of the cohort model, a proportion of remaining responders become </w:t>
            </w:r>
            <w:r w:rsidR="004E20EB" w:rsidRPr="00070C35">
              <w:t>non-responders</w:t>
            </w:r>
            <w:r w:rsidRPr="00070C35">
              <w:t xml:space="preserve"> either through discontinuation or through loss of treatment effect (which leads to discontinuation).</w:t>
            </w:r>
          </w:p>
          <w:p w14:paraId="3C9AB8E4" w14:textId="77777777" w:rsidR="00CE22A2" w:rsidRPr="00070C35" w:rsidRDefault="00CE22A2" w:rsidP="00CC1644">
            <w:pPr>
              <w:pStyle w:val="TableText0"/>
            </w:pPr>
          </w:p>
          <w:p w14:paraId="16B3E583" w14:textId="130D0EB2" w:rsidR="00CE22A2" w:rsidRPr="00070C35" w:rsidRDefault="00CE22A2" w:rsidP="00CC1644">
            <w:pPr>
              <w:pStyle w:val="TableText0"/>
            </w:pPr>
            <w:r w:rsidRPr="00070C35">
              <w:t xml:space="preserve">More than 90% of the incremental QALY losses, and more than 70% of the incremental cost savings occurred after the </w:t>
            </w:r>
            <w:r w:rsidR="0011369E" w:rsidRPr="00070C35">
              <w:t>16-week</w:t>
            </w:r>
            <w:r w:rsidRPr="00070C35">
              <w:t xml:space="preserve"> decision tree component. </w:t>
            </w:r>
          </w:p>
        </w:tc>
      </w:tr>
      <w:tr w:rsidR="00CE22A2" w:rsidRPr="00070C35" w14:paraId="1E9DC01D" w14:textId="77777777" w:rsidTr="00924054">
        <w:tc>
          <w:tcPr>
            <w:tcW w:w="1019" w:type="pct"/>
            <w:shd w:val="clear" w:color="auto" w:fill="auto"/>
            <w:vAlign w:val="center"/>
          </w:tcPr>
          <w:p w14:paraId="4200DD3C" w14:textId="61E31606" w:rsidR="00CE22A2" w:rsidRPr="00070C35" w:rsidRDefault="00CE22A2" w:rsidP="00CC1644">
            <w:pPr>
              <w:pStyle w:val="TableText0"/>
            </w:pPr>
            <w:r w:rsidRPr="00070C35">
              <w:t>Health related quality of life</w:t>
            </w:r>
            <w:r w:rsidR="0011369E" w:rsidRPr="00070C35">
              <w:t xml:space="preserve"> (utilities)</w:t>
            </w:r>
          </w:p>
        </w:tc>
        <w:tc>
          <w:tcPr>
            <w:tcW w:w="3981" w:type="pct"/>
            <w:shd w:val="clear" w:color="auto" w:fill="auto"/>
            <w:vAlign w:val="center"/>
          </w:tcPr>
          <w:p w14:paraId="36341ADE" w14:textId="77777777" w:rsidR="00CE22A2" w:rsidRPr="00070C35" w:rsidRDefault="00CE22A2" w:rsidP="00490D81">
            <w:pPr>
              <w:pStyle w:val="TableText0"/>
              <w:numPr>
                <w:ilvl w:val="0"/>
                <w:numId w:val="10"/>
              </w:numPr>
            </w:pPr>
            <w:r w:rsidRPr="00070C35">
              <w:t>Baseline (up to week 8): 0.6</w:t>
            </w:r>
          </w:p>
          <w:p w14:paraId="07F788D9" w14:textId="77777777" w:rsidR="00CE22A2" w:rsidRPr="00070C35" w:rsidRDefault="00CE22A2" w:rsidP="00490D81">
            <w:pPr>
              <w:pStyle w:val="TableText0"/>
              <w:numPr>
                <w:ilvl w:val="0"/>
                <w:numId w:val="10"/>
              </w:numPr>
            </w:pPr>
            <w:r w:rsidRPr="00070C35">
              <w:t>Responders between week 9 and week 16: 0.847</w:t>
            </w:r>
          </w:p>
          <w:p w14:paraId="3E49AA46" w14:textId="77777777" w:rsidR="00CE22A2" w:rsidRPr="00070C35" w:rsidRDefault="00CE22A2" w:rsidP="00490D81">
            <w:pPr>
              <w:pStyle w:val="TableText0"/>
              <w:numPr>
                <w:ilvl w:val="0"/>
                <w:numId w:val="10"/>
              </w:numPr>
            </w:pPr>
            <w:r w:rsidRPr="00070C35">
              <w:t>Responders between week 17 and week 42: 0.91</w:t>
            </w:r>
          </w:p>
          <w:p w14:paraId="2B16172C" w14:textId="77777777" w:rsidR="00CE22A2" w:rsidRPr="00070C35" w:rsidRDefault="00CE22A2" w:rsidP="00490D81">
            <w:pPr>
              <w:pStyle w:val="TableText0"/>
              <w:numPr>
                <w:ilvl w:val="0"/>
                <w:numId w:val="10"/>
              </w:numPr>
            </w:pPr>
            <w:r w:rsidRPr="00070C35">
              <w:t>Responders from week 43: 0.79</w:t>
            </w:r>
          </w:p>
          <w:p w14:paraId="0983C15D" w14:textId="216E65A3" w:rsidR="00CE22A2" w:rsidRPr="00070C35" w:rsidRDefault="00CE22A2" w:rsidP="00490D81">
            <w:pPr>
              <w:pStyle w:val="TableText0"/>
              <w:numPr>
                <w:ilvl w:val="0"/>
                <w:numId w:val="10"/>
              </w:numPr>
            </w:pPr>
            <w:r w:rsidRPr="00070C35">
              <w:t>Non</w:t>
            </w:r>
            <w:r w:rsidR="00030B8F" w:rsidRPr="00070C35">
              <w:t>-</w:t>
            </w:r>
            <w:r w:rsidRPr="00070C35">
              <w:t>responders (any time): 0.6</w:t>
            </w:r>
          </w:p>
        </w:tc>
      </w:tr>
    </w:tbl>
    <w:p w14:paraId="30185964" w14:textId="77777777" w:rsidR="00304AB4" w:rsidRPr="00070C35" w:rsidRDefault="001B3286">
      <w:pPr>
        <w:pStyle w:val="TableFigureFooter"/>
        <w:rPr>
          <w:iCs w:val="0"/>
        </w:rPr>
      </w:pPr>
      <w:r w:rsidRPr="00070C35">
        <w:rPr>
          <w:iCs w:val="0"/>
        </w:rPr>
        <w:t>Source: Table 3.5.1, pp91-2, Table 3.7.1, p105 of the submission.</w:t>
      </w:r>
    </w:p>
    <w:p w14:paraId="24DFDC46" w14:textId="26B6C562" w:rsidR="00CE22A2" w:rsidRPr="00070C35" w:rsidRDefault="009D545F" w:rsidP="00CE22A2">
      <w:pPr>
        <w:pStyle w:val="TableFigureFooter"/>
        <w:rPr>
          <w:iCs w:val="0"/>
        </w:rPr>
      </w:pPr>
      <w:r w:rsidRPr="00070C35">
        <w:rPr>
          <w:iCs w:val="0"/>
        </w:rPr>
        <w:t xml:space="preserve">ABRO = </w:t>
      </w:r>
      <w:proofErr w:type="spellStart"/>
      <w:r w:rsidRPr="00070C35">
        <w:rPr>
          <w:iCs w:val="0"/>
        </w:rPr>
        <w:t>abrocitinib</w:t>
      </w:r>
      <w:proofErr w:type="spellEnd"/>
      <w:r w:rsidRPr="00070C35">
        <w:rPr>
          <w:iCs w:val="0"/>
        </w:rPr>
        <w:t xml:space="preserve">; </w:t>
      </w:r>
      <w:r w:rsidR="00CE22A2" w:rsidRPr="00070C35">
        <w:rPr>
          <w:iCs w:val="0"/>
        </w:rPr>
        <w:t xml:space="preserve">DLQI = Dermatology Life Quality Index; DLQI≥4 = Proportion of patients with improvement in baseline DLQI of ≥4 points from baseline; </w:t>
      </w:r>
      <w:r w:rsidRPr="00070C35">
        <w:rPr>
          <w:iCs w:val="0"/>
        </w:rPr>
        <w:t xml:space="preserve">DUPI = dupilumab; </w:t>
      </w:r>
      <w:r w:rsidR="00CE22A2" w:rsidRPr="00070C35">
        <w:rPr>
          <w:iCs w:val="0"/>
        </w:rPr>
        <w:t>EASI = Eczema Assessment Severity Index; PBAC = Pharmaceutical Benefits Advisory Committee; PBS = Pharmaceutical Benefits Scheme; PSD = Public Summary Document; Q2W = Once every 2 weeks; QALY = Quality-adjusted life-year</w:t>
      </w:r>
    </w:p>
    <w:p w14:paraId="3B1224B3" w14:textId="2DC7FD1B" w:rsidR="00CE22A2" w:rsidRPr="00070C35" w:rsidRDefault="00CE22A2" w:rsidP="00347481">
      <w:pPr>
        <w:pStyle w:val="3-BodyText"/>
      </w:pPr>
      <w:r w:rsidRPr="00070C35">
        <w:t xml:space="preserve">Initial treatment effectiveness was sourced from a post hoc analysis of </w:t>
      </w:r>
      <w:r w:rsidR="0011369E" w:rsidRPr="00070C35">
        <w:t>16-week</w:t>
      </w:r>
      <w:r w:rsidRPr="00070C35">
        <w:t xml:space="preserve"> results from JADE COMPARE. The analysis was performed to match the PBS definition of </w:t>
      </w:r>
      <w:r w:rsidRPr="00070C35">
        <w:lastRenderedPageBreak/>
        <w:t xml:space="preserve">responder (EASI 50 + DLQI≥4), and to narrow the population to the severe subgroup (IGA=4 at baseline) without prior use of systemic immunosuppressants. The analysis indicated that, at 16 weeks, 65.7% and 71.4% of patients receiving </w:t>
      </w:r>
      <w:r w:rsidR="00E93878" w:rsidRPr="00070C35">
        <w:t>ABRO</w:t>
      </w:r>
      <w:r w:rsidRPr="00070C35">
        <w:t xml:space="preserve"> 10</w:t>
      </w:r>
      <w:r w:rsidR="00E57A8B" w:rsidRPr="00070C35">
        <w:t>0 mg</w:t>
      </w:r>
      <w:r w:rsidRPr="00070C35">
        <w:t xml:space="preserve"> and </w:t>
      </w:r>
      <w:r w:rsidR="00E93878" w:rsidRPr="00070C35">
        <w:t>DUPI</w:t>
      </w:r>
      <w:r w:rsidRPr="00070C35">
        <w:t xml:space="preserve"> 30</w:t>
      </w:r>
      <w:r w:rsidR="00E57A8B" w:rsidRPr="00070C35">
        <w:t>0 mg</w:t>
      </w:r>
      <w:r w:rsidRPr="00070C35">
        <w:t xml:space="preserve">, respectively, had achieved response using the PBS definition of response. Although these results were generated using a post hoc analysis, they were not inconsistent with the small advantage of </w:t>
      </w:r>
      <w:r w:rsidR="00E93878" w:rsidRPr="00070C35">
        <w:t>DUPI</w:t>
      </w:r>
      <w:r w:rsidRPr="00070C35">
        <w:t xml:space="preserve"> 30</w:t>
      </w:r>
      <w:r w:rsidR="00E57A8B" w:rsidRPr="00070C35">
        <w:t>0 mg</w:t>
      </w:r>
      <w:r w:rsidRPr="00070C35">
        <w:t xml:space="preserve"> over </w:t>
      </w:r>
      <w:r w:rsidR="00E93878" w:rsidRPr="00070C35">
        <w:t>ABRO</w:t>
      </w:r>
      <w:r w:rsidRPr="00070C35">
        <w:t xml:space="preserve"> 10</w:t>
      </w:r>
      <w:r w:rsidR="00E57A8B" w:rsidRPr="00070C35">
        <w:t>0 mg</w:t>
      </w:r>
      <w:r w:rsidRPr="00070C35">
        <w:t xml:space="preserve"> observed for other study outcomes.</w:t>
      </w:r>
      <w:r w:rsidR="00ED5B11" w:rsidRPr="00ED5B11">
        <w:rPr>
          <w:rFonts w:ascii="Times New Roman" w:eastAsia="Times New Roman" w:hAnsi="Times New Roman" w:cs="Times New Roman"/>
          <w:szCs w:val="24"/>
          <w:vertAlign w:val="superscript"/>
        </w:rPr>
        <w:t xml:space="preserve"> </w:t>
      </w:r>
      <w:r w:rsidR="00ED5B11" w:rsidRPr="0091041C">
        <w:rPr>
          <w:rFonts w:eastAsia="Times New Roman" w:cstheme="minorHAnsi"/>
          <w:szCs w:val="24"/>
          <w:vertAlign w:val="superscript"/>
        </w:rPr>
        <w:footnoteReference w:id="6"/>
      </w:r>
      <w:r w:rsidRPr="00070C35">
        <w:t xml:space="preserve"> </w:t>
      </w:r>
    </w:p>
    <w:p w14:paraId="4216B481" w14:textId="2A4302F1" w:rsidR="00CE22A2" w:rsidRPr="00070C35" w:rsidRDefault="00CE22A2" w:rsidP="00347481">
      <w:pPr>
        <w:pStyle w:val="3-BodyText"/>
      </w:pPr>
      <w:r w:rsidRPr="00070C35">
        <w:t xml:space="preserve">As not all patients responded immediately to treatment, the decision-tree component made a simplifying assumption </w:t>
      </w:r>
      <w:r w:rsidR="0011369E" w:rsidRPr="00070C35">
        <w:t>and</w:t>
      </w:r>
      <w:r w:rsidRPr="00070C35">
        <w:t xml:space="preserve"> assume</w:t>
      </w:r>
      <w:r w:rsidR="0011369E" w:rsidRPr="00070C35">
        <w:t>d</w:t>
      </w:r>
      <w:r w:rsidRPr="00070C35">
        <w:t xml:space="preserve"> all responders </w:t>
      </w:r>
      <w:r w:rsidR="0011369E" w:rsidRPr="00070C35">
        <w:t>by</w:t>
      </w:r>
      <w:r w:rsidRPr="00070C35">
        <w:t xml:space="preserve"> 16 weeks achieved response at 8 weeks. This approach may underestimate response in both arms, but as patients receiving </w:t>
      </w:r>
      <w:r w:rsidR="00E93878" w:rsidRPr="00070C35">
        <w:t>DUPI</w:t>
      </w:r>
      <w:r w:rsidRPr="00070C35">
        <w:t xml:space="preserve"> appeared to take longer to respond, this approach may have slightly disadvantage</w:t>
      </w:r>
      <w:r w:rsidR="0011369E" w:rsidRPr="00070C35">
        <w:t>d</w:t>
      </w:r>
      <w:r w:rsidRPr="00070C35">
        <w:t xml:space="preserve"> the </w:t>
      </w:r>
      <w:r w:rsidR="00E93878" w:rsidRPr="00070C35">
        <w:t>ABRO</w:t>
      </w:r>
      <w:r w:rsidRPr="00070C35">
        <w:t xml:space="preserve"> arm.</w:t>
      </w:r>
    </w:p>
    <w:p w14:paraId="7C178BA8" w14:textId="12023F2A" w:rsidR="00CE22A2" w:rsidRPr="00070C35" w:rsidRDefault="00CE22A2" w:rsidP="00347481">
      <w:pPr>
        <w:pStyle w:val="3-BodyText"/>
      </w:pPr>
      <w:r w:rsidRPr="00070C35">
        <w:t xml:space="preserve">At 16 weeks, all </w:t>
      </w:r>
      <w:r w:rsidR="004E20EB" w:rsidRPr="00070C35">
        <w:t>non-responders</w:t>
      </w:r>
      <w:r w:rsidRPr="00070C35">
        <w:t xml:space="preserve"> were modelled to discontinue. Between 16 weeks and 5.3 years, patients in the response health state transitioned to non</w:t>
      </w:r>
      <w:r w:rsidR="009723CB" w:rsidRPr="00070C35">
        <w:t>-</w:t>
      </w:r>
      <w:r w:rsidRPr="00070C35">
        <w:t xml:space="preserve">response due to discontinuation or due to a loss of treatment effect. The rates of discontinuation (6.3% per year) were derived from the JADE EXTEND study at 48 weeks and applied to 5.3 years. The derivation of the rates was </w:t>
      </w:r>
      <w:r w:rsidR="00924054" w:rsidRPr="00070C35">
        <w:t>unclear,</w:t>
      </w:r>
      <w:r w:rsidRPr="00070C35">
        <w:t xml:space="preserve"> and </w:t>
      </w:r>
      <w:r w:rsidRPr="00924054">
        <w:t>the post hoc</w:t>
      </w:r>
      <w:r w:rsidRPr="00070C35">
        <w:t xml:space="preserve"> analysis could not be identified in the submission supporting documents. No evidence to support a static rate of discontinuation over 5 years was provided. The same discontinuation rate was applied to both the </w:t>
      </w:r>
      <w:r w:rsidR="00E93878" w:rsidRPr="00070C35">
        <w:t>ABRO</w:t>
      </w:r>
      <w:r w:rsidRPr="00070C35">
        <w:t xml:space="preserve"> 10</w:t>
      </w:r>
      <w:r w:rsidR="00E57A8B" w:rsidRPr="00070C35">
        <w:t>0 mg</w:t>
      </w:r>
      <w:r w:rsidRPr="00070C35">
        <w:t xml:space="preserve"> and </w:t>
      </w:r>
      <w:r w:rsidR="00E93878" w:rsidRPr="00070C35">
        <w:t>DUPI</w:t>
      </w:r>
      <w:r w:rsidRPr="00070C35">
        <w:t xml:space="preserve"> arms of the model. </w:t>
      </w:r>
      <w:r w:rsidR="00E93878" w:rsidRPr="00070C35">
        <w:t>DUPI</w:t>
      </w:r>
      <w:r w:rsidRPr="00070C35">
        <w:t xml:space="preserve"> was not included in the JADE EXTEND study and no evidence to support a similar discontinuation rate was provided in the submission. The model was not sensitive to changes in the discontinuation rate, but was sensitive if the discontinuation rates differed across arms.</w:t>
      </w:r>
      <w:r w:rsidR="007A0D99">
        <w:t xml:space="preserve"> </w:t>
      </w:r>
      <w:r w:rsidR="007A0D99" w:rsidRPr="00E574CC">
        <w:rPr>
          <w:iCs/>
        </w:rPr>
        <w:t>The PSCR stated that a recent publication of real-world evidence (RWE) for DUPI in Danish patients supports the assumption that both ABRO and DUPI (which reported 86% drug survival at 2 years) have similar discontinuation rates (Vittrup 2023), and that this value aligns with the persistence modelled for ABRO and DUPI in the CUA of “88% at 1.8 years and 85% at 2.3 years”. The ESC considered that dropout rates based on RWE are likely to be higher than in trials.</w:t>
      </w:r>
    </w:p>
    <w:p w14:paraId="6755CD1D" w14:textId="05ADED5C" w:rsidR="004A6CF3" w:rsidRPr="00E574CC" w:rsidRDefault="00CE22A2" w:rsidP="005E0BDB">
      <w:pPr>
        <w:pStyle w:val="3-BodyText"/>
        <w:rPr>
          <w:iCs/>
        </w:rPr>
      </w:pPr>
      <w:r w:rsidRPr="00070C35">
        <w:t xml:space="preserve">Loss of treatment effect (treatment waning) was informed by the JADE EXTEND study at 48 weeks and from the </w:t>
      </w:r>
      <w:r w:rsidR="00E93878" w:rsidRPr="00070C35">
        <w:t>DUPI</w:t>
      </w:r>
      <w:r w:rsidRPr="00070C35">
        <w:t xml:space="preserve"> </w:t>
      </w:r>
      <w:r w:rsidR="002057F5" w:rsidRPr="00070C35">
        <w:t xml:space="preserve">PSD (Table 19, </w:t>
      </w:r>
      <w:r w:rsidR="00E93878" w:rsidRPr="00070C35">
        <w:t>DUPI</w:t>
      </w:r>
      <w:r w:rsidR="002057F5" w:rsidRPr="00070C35">
        <w:t>, PSD, March 2020 PBAC meeting)</w:t>
      </w:r>
      <w:r w:rsidRPr="00070C35">
        <w:t xml:space="preserve">. The submission assumed that 5% of responders would become </w:t>
      </w:r>
      <w:r w:rsidR="004E20EB" w:rsidRPr="00070C35">
        <w:t>non-responders</w:t>
      </w:r>
      <w:r w:rsidRPr="00070C35">
        <w:t xml:space="preserve"> each cycle and that this rate was the same across both arms. This approach results in 100% loss of treatment effect at 10 years. </w:t>
      </w:r>
      <w:r w:rsidR="00ED698E" w:rsidRPr="00E574CC">
        <w:rPr>
          <w:iCs/>
        </w:rPr>
        <w:t>The ESC considered it was not reasonable to apply</w:t>
      </w:r>
      <w:r w:rsidRPr="00E574CC">
        <w:rPr>
          <w:iCs/>
        </w:rPr>
        <w:t xml:space="preserve"> loss of treatment effect measured at </w:t>
      </w:r>
      <w:r w:rsidR="00C65285" w:rsidRPr="00E574CC">
        <w:rPr>
          <w:iCs/>
        </w:rPr>
        <w:t>48 weeks in the trial</w:t>
      </w:r>
      <w:r w:rsidRPr="00E574CC">
        <w:rPr>
          <w:iCs/>
        </w:rPr>
        <w:t xml:space="preserve"> across 5 years</w:t>
      </w:r>
      <w:r w:rsidRPr="00070C35">
        <w:t xml:space="preserve">. </w:t>
      </w:r>
    </w:p>
    <w:p w14:paraId="2E55A138" w14:textId="12797EE8" w:rsidR="00CE22A2" w:rsidRPr="00E574CC" w:rsidRDefault="00CE22A2" w:rsidP="005E0BDB">
      <w:pPr>
        <w:pStyle w:val="3-BodyText"/>
        <w:rPr>
          <w:iCs/>
        </w:rPr>
      </w:pPr>
      <w:r w:rsidRPr="00070C35">
        <w:t xml:space="preserve">The loss of treatment effect appeared to be greater in the </w:t>
      </w:r>
      <w:r w:rsidR="00E93878" w:rsidRPr="00070C35">
        <w:t>ABRO</w:t>
      </w:r>
      <w:r w:rsidRPr="00070C35">
        <w:t xml:space="preserve"> 10</w:t>
      </w:r>
      <w:r w:rsidR="00E57A8B" w:rsidRPr="00070C35">
        <w:t>0 mg</w:t>
      </w:r>
      <w:r w:rsidRPr="00070C35">
        <w:t xml:space="preserve"> arm of JADE EXTEND (9.5% at 48 weeks) than was reported for </w:t>
      </w:r>
      <w:r w:rsidR="00E93878" w:rsidRPr="00070C35">
        <w:t>DUPI</w:t>
      </w:r>
      <w:r w:rsidRPr="00070C35">
        <w:t xml:space="preserve"> (4.3% at 42 weeks</w:t>
      </w:r>
      <w:r w:rsidR="00C62998" w:rsidRPr="00070C35">
        <w:t xml:space="preserve">, Table 16, </w:t>
      </w:r>
      <w:r w:rsidR="00E93878" w:rsidRPr="00070C35">
        <w:lastRenderedPageBreak/>
        <w:t>DUPI</w:t>
      </w:r>
      <w:r w:rsidR="00C62998" w:rsidRPr="00070C35">
        <w:t xml:space="preserve"> PSD, March 2020 PBAC meeting</w:t>
      </w:r>
      <w:r w:rsidRPr="00070C35">
        <w:t xml:space="preserve">). </w:t>
      </w:r>
      <w:r w:rsidR="00C65285" w:rsidRPr="00E574CC">
        <w:rPr>
          <w:iCs/>
        </w:rPr>
        <w:t>In addition, the ESC noted that the loss of treatment effect was substantially higher for patients treated with the 100 mg dose who had severe AD (IGA4</w:t>
      </w:r>
      <w:r w:rsidR="004A6CF3" w:rsidRPr="00E574CC">
        <w:rPr>
          <w:iCs/>
        </w:rPr>
        <w:t>)</w:t>
      </w:r>
      <w:r w:rsidR="00C65285" w:rsidRPr="00E574CC">
        <w:rPr>
          <w:iCs/>
        </w:rPr>
        <w:t xml:space="preserve"> and no prior immunomodulatory therapy (71.4% respo</w:t>
      </w:r>
      <w:r w:rsidR="004A6CF3" w:rsidRPr="00E574CC">
        <w:rPr>
          <w:iCs/>
        </w:rPr>
        <w:t>nse at week 48</w:t>
      </w:r>
      <w:r w:rsidR="00C65285" w:rsidRPr="00E574CC">
        <w:rPr>
          <w:iCs/>
        </w:rPr>
        <w:t>), however data from this small subgroup was potentially unreliable.</w:t>
      </w:r>
      <w:r w:rsidR="00C65285">
        <w:t xml:space="preserve"> </w:t>
      </w:r>
      <w:r w:rsidR="00C85D36" w:rsidRPr="00E574CC">
        <w:rPr>
          <w:iCs/>
          <w:color w:val="000000" w:themeColor="text1"/>
        </w:rPr>
        <w:t xml:space="preserve">The PSCR stated that “the assumption of linear waning over 10 years results in a proportion sustaining response of 95% after 42 weeks of treatment with ABRO, which is within the range of sustained response rates of 90.5% to 100% observed in JADE EXTEND. Similarly, those who were responders to DUPI at Week 16 sustained response at similar rates: Week 42 (95.7%) and at Week 68 91.2% (PSD March 2020; Table 19), confirming that it was reasonable to assume similar rates of treatment waning”. </w:t>
      </w:r>
      <w:r w:rsidR="00C85D36" w:rsidRPr="00070C35">
        <w:t>The model was sensitive to differential estimates of treatment waning.</w:t>
      </w:r>
      <w:r w:rsidR="00C85D36">
        <w:t xml:space="preserve"> </w:t>
      </w:r>
      <w:r w:rsidR="00C85D36" w:rsidRPr="00E574CC">
        <w:rPr>
          <w:iCs/>
        </w:rPr>
        <w:t>The ESC considered the submission’s assumptions regarding</w:t>
      </w:r>
      <w:r w:rsidR="00814963" w:rsidRPr="00E574CC">
        <w:rPr>
          <w:iCs/>
        </w:rPr>
        <w:t xml:space="preserve"> equal</w:t>
      </w:r>
      <w:r w:rsidR="00C85D36" w:rsidRPr="00E574CC">
        <w:rPr>
          <w:iCs/>
        </w:rPr>
        <w:t xml:space="preserve"> treatment waning </w:t>
      </w:r>
      <w:r w:rsidR="004A6CF3" w:rsidRPr="00E574CC">
        <w:rPr>
          <w:iCs/>
        </w:rPr>
        <w:t xml:space="preserve">for both treatment arms </w:t>
      </w:r>
      <w:r w:rsidR="00C85D36" w:rsidRPr="00E574CC">
        <w:rPr>
          <w:iCs/>
        </w:rPr>
        <w:t>to be uncertain and</w:t>
      </w:r>
      <w:r w:rsidR="00814963" w:rsidRPr="00E574CC">
        <w:rPr>
          <w:iCs/>
        </w:rPr>
        <w:t xml:space="preserve"> not well-supported by the clinical data. </w:t>
      </w:r>
      <w:r w:rsidR="00C85D36" w:rsidRPr="00E574CC">
        <w:rPr>
          <w:iCs/>
        </w:rPr>
        <w:t xml:space="preserve">The ESC noted that an assumption of non-linear treatment waning </w:t>
      </w:r>
      <w:r w:rsidR="00814963" w:rsidRPr="00E574CC">
        <w:rPr>
          <w:iCs/>
        </w:rPr>
        <w:t>favoured ABRO and</w:t>
      </w:r>
      <w:r w:rsidR="004A6CF3" w:rsidRPr="00E574CC">
        <w:rPr>
          <w:iCs/>
        </w:rPr>
        <w:t xml:space="preserve"> </w:t>
      </w:r>
      <w:r w:rsidR="00C85D36" w:rsidRPr="00E574CC">
        <w:rPr>
          <w:iCs/>
        </w:rPr>
        <w:t>had a significant impact on the ICER.</w:t>
      </w:r>
      <w:r w:rsidR="00814963" w:rsidRPr="00E574CC">
        <w:rPr>
          <w:iCs/>
        </w:rPr>
        <w:t xml:space="preserve"> </w:t>
      </w:r>
      <w:r w:rsidR="00ED698E" w:rsidRPr="00E574CC">
        <w:rPr>
          <w:iCs/>
        </w:rPr>
        <w:t xml:space="preserve">The ESC noted that when different rates of treatment waning were applied to ABRO and DUPI arms based on the trial response rates the ICER </w:t>
      </w:r>
      <w:r w:rsidR="002032C2" w:rsidRPr="00E574CC">
        <w:rPr>
          <w:iCs/>
        </w:rPr>
        <w:t xml:space="preserve">worsened, </w:t>
      </w:r>
      <w:r w:rsidR="00ED698E" w:rsidRPr="00E574CC">
        <w:rPr>
          <w:iCs/>
        </w:rPr>
        <w:t>decreas</w:t>
      </w:r>
      <w:r w:rsidR="002032C2" w:rsidRPr="00E574CC">
        <w:rPr>
          <w:iCs/>
        </w:rPr>
        <w:t>ing</w:t>
      </w:r>
      <w:r w:rsidR="00ED698E" w:rsidRPr="00E574CC">
        <w:rPr>
          <w:iCs/>
        </w:rPr>
        <w:t xml:space="preserve"> to a saving of </w:t>
      </w:r>
      <w:r w:rsidR="00DF3F6F" w:rsidRPr="00DF3F6F">
        <w:rPr>
          <w:iCs/>
        </w:rPr>
        <w:t>$45,000 to &lt; $55,000</w:t>
      </w:r>
      <w:r w:rsidR="00555E13">
        <w:rPr>
          <w:iCs/>
        </w:rPr>
        <w:t xml:space="preserve"> </w:t>
      </w:r>
      <w:r w:rsidR="00ED698E" w:rsidRPr="00E574CC">
        <w:rPr>
          <w:iCs/>
        </w:rPr>
        <w:t xml:space="preserve">per </w:t>
      </w:r>
      <w:r w:rsidR="00C85D36" w:rsidRPr="00E574CC">
        <w:rPr>
          <w:iCs/>
        </w:rPr>
        <w:t>QALY forgone.</w:t>
      </w:r>
    </w:p>
    <w:p w14:paraId="2616BE7B" w14:textId="7229B97B" w:rsidR="00CE22A2" w:rsidRPr="00070C35" w:rsidRDefault="00CE22A2" w:rsidP="00C20EF0">
      <w:pPr>
        <w:pStyle w:val="3-BodyText"/>
      </w:pPr>
      <w:r w:rsidRPr="00070C35">
        <w:t xml:space="preserve">Health state utilities were sourced from the </w:t>
      </w:r>
      <w:r w:rsidR="00E93878" w:rsidRPr="00070C35">
        <w:t>DUPI</w:t>
      </w:r>
      <w:r w:rsidRPr="00070C35">
        <w:t xml:space="preserve"> March 2020 PSD</w:t>
      </w:r>
      <w:r w:rsidR="002057F5" w:rsidRPr="00070C35">
        <w:t xml:space="preserve"> (Table 13, </w:t>
      </w:r>
      <w:r w:rsidR="00E93878" w:rsidRPr="00070C35">
        <w:t>DUPI</w:t>
      </w:r>
      <w:r w:rsidR="002057F5" w:rsidRPr="00070C35">
        <w:t>, PSD, March 2020 PBAC meeting)</w:t>
      </w:r>
      <w:r w:rsidRPr="00070C35">
        <w:t xml:space="preserve">. The submission claimed that the HRQoL outcomes from the JADE trials were less applicable to the proposed population as the trials excluded patients with substantial mental health issues (such as depression). The utility estimates from the JADE trials for </w:t>
      </w:r>
      <w:r w:rsidR="004E20EB" w:rsidRPr="00070C35">
        <w:t>non-responders</w:t>
      </w:r>
      <w:r w:rsidRPr="00070C35">
        <w:t xml:space="preserve"> were higher than those from the </w:t>
      </w:r>
      <w:r w:rsidR="00C62998" w:rsidRPr="00070C35">
        <w:t xml:space="preserve">previous consideration of </w:t>
      </w:r>
      <w:r w:rsidR="00E93878" w:rsidRPr="00070C35">
        <w:t>DUPI</w:t>
      </w:r>
      <w:r w:rsidRPr="00070C35">
        <w:t xml:space="preserve">. As there were a greater number of </w:t>
      </w:r>
      <w:r w:rsidR="004E20EB" w:rsidRPr="00070C35">
        <w:t>non-responders</w:t>
      </w:r>
      <w:r w:rsidRPr="00070C35">
        <w:t xml:space="preserve"> in the </w:t>
      </w:r>
      <w:r w:rsidR="00E93878" w:rsidRPr="00070C35">
        <w:t>ABRO</w:t>
      </w:r>
      <w:r w:rsidRPr="00070C35">
        <w:t xml:space="preserve"> 10</w:t>
      </w:r>
      <w:r w:rsidR="00E57A8B" w:rsidRPr="00070C35">
        <w:t>0 mg</w:t>
      </w:r>
      <w:r w:rsidRPr="00070C35">
        <w:t xml:space="preserve"> arm of the model, applying a lower utility value for the non</w:t>
      </w:r>
      <w:r w:rsidR="000064C9" w:rsidRPr="00070C35">
        <w:t>-</w:t>
      </w:r>
      <w:r w:rsidRPr="00070C35">
        <w:t xml:space="preserve">responder health state would disfavour the </w:t>
      </w:r>
      <w:r w:rsidR="00E93878" w:rsidRPr="00070C35">
        <w:t>ABRO</w:t>
      </w:r>
      <w:r w:rsidRPr="00070C35">
        <w:t xml:space="preserve"> arm. The </w:t>
      </w:r>
      <w:r w:rsidR="004A6CF3">
        <w:t xml:space="preserve">commentary considered the </w:t>
      </w:r>
      <w:r w:rsidRPr="00070C35">
        <w:t>approach taken was reasonable.</w:t>
      </w:r>
    </w:p>
    <w:p w14:paraId="6A7E864C" w14:textId="5A0657D5" w:rsidR="005E0BDB" w:rsidRPr="005E0BDB" w:rsidRDefault="005E0BDB" w:rsidP="005E0BDB">
      <w:pPr>
        <w:pStyle w:val="3-BodyText"/>
      </w:pPr>
      <w:r w:rsidRPr="00E574CC">
        <w:rPr>
          <w:iCs/>
        </w:rPr>
        <w:t xml:space="preserve">The </w:t>
      </w:r>
      <w:r w:rsidR="004A6CF3" w:rsidRPr="00E574CC">
        <w:rPr>
          <w:iCs/>
        </w:rPr>
        <w:t xml:space="preserve">ESC </w:t>
      </w:r>
      <w:r w:rsidRPr="00E574CC">
        <w:rPr>
          <w:iCs/>
        </w:rPr>
        <w:t xml:space="preserve">noted that patients receiving DUPI who have a long-term response may seek to increase the duration between doses, with emerging evidence suggesting some patients may have ongoing durable responses with less frequent DUPI dosing. The ESC noted that this was not accounted for in the modelled drug costs. The ESC considered down titration of dose may also occur for patients treated with ABRO, however the </w:t>
      </w:r>
      <w:r w:rsidR="00FB21A6" w:rsidRPr="00E574CC">
        <w:rPr>
          <w:iCs/>
        </w:rPr>
        <w:t xml:space="preserve">comparative </w:t>
      </w:r>
      <w:r w:rsidRPr="00E574CC">
        <w:rPr>
          <w:iCs/>
        </w:rPr>
        <w:t xml:space="preserve">reduction in costs for </w:t>
      </w:r>
      <w:r w:rsidR="00FB21A6" w:rsidRPr="00E574CC">
        <w:rPr>
          <w:iCs/>
        </w:rPr>
        <w:t>ABRO may not be as great due to the proposed flat pricing between the 50 mg and 100 mg dose and the relatively small price difference between the 100 mg and 200 mg doses.</w:t>
      </w:r>
      <w:r w:rsidR="00347481">
        <w:rPr>
          <w:iCs/>
        </w:rPr>
        <w:t xml:space="preserve"> The pre-PBAC response noted that no evidence was available to support this assertion and increasing the duration of DUPI doses is not within the DUPI PI.</w:t>
      </w:r>
    </w:p>
    <w:p w14:paraId="5196460E" w14:textId="7AA1377A" w:rsidR="00CE22A2" w:rsidRPr="00070C35" w:rsidRDefault="00CE22A2" w:rsidP="00C20EF0">
      <w:pPr>
        <w:pStyle w:val="3-BodyText"/>
      </w:pPr>
      <w:r w:rsidRPr="00070C35">
        <w:t xml:space="preserve">The model included costs for monitoring (prior to and during the use of </w:t>
      </w:r>
      <w:r w:rsidR="00E93878" w:rsidRPr="00070C35">
        <w:t>ABRO</w:t>
      </w:r>
      <w:r w:rsidRPr="00070C35">
        <w:t xml:space="preserve">), adverse event costs, healthcare costs for the management of responders and </w:t>
      </w:r>
      <w:r w:rsidR="004E20EB" w:rsidRPr="00070C35">
        <w:t>non-responders</w:t>
      </w:r>
      <w:r w:rsidRPr="00070C35">
        <w:t xml:space="preserve">, and a small cost applied immediately following treatment failure to account for the use of other systemic medications. </w:t>
      </w:r>
      <w:r w:rsidR="002057F5" w:rsidRPr="00070C35">
        <w:t xml:space="preserve">Other costs </w:t>
      </w:r>
      <w:r w:rsidRPr="00070C35">
        <w:t xml:space="preserve">included in the model were small compared with the cost of </w:t>
      </w:r>
      <w:r w:rsidR="00E93878" w:rsidRPr="00070C35">
        <w:t>ABRO</w:t>
      </w:r>
      <w:r w:rsidRPr="00070C35">
        <w:t xml:space="preserve"> and </w:t>
      </w:r>
      <w:r w:rsidR="00E93878" w:rsidRPr="00070C35">
        <w:t>DUPI</w:t>
      </w:r>
      <w:r w:rsidRPr="00070C35">
        <w:t xml:space="preserve">. The largest non-drug cost was the annual cost of health care for responders and </w:t>
      </w:r>
      <w:r w:rsidR="004E20EB" w:rsidRPr="00070C35">
        <w:t>non-responders</w:t>
      </w:r>
      <w:r w:rsidRPr="00070C35">
        <w:t xml:space="preserve">. These costs were </w:t>
      </w:r>
      <w:r w:rsidRPr="00070C35">
        <w:lastRenderedPageBreak/>
        <w:t xml:space="preserve">sourced from the </w:t>
      </w:r>
      <w:r w:rsidR="00E93878" w:rsidRPr="00070C35">
        <w:t>DUPI</w:t>
      </w:r>
      <w:r w:rsidRPr="00070C35">
        <w:t xml:space="preserve"> PSD March 2020</w:t>
      </w:r>
      <w:r w:rsidR="002057F5" w:rsidRPr="00070C35">
        <w:t xml:space="preserve"> (Table 13, </w:t>
      </w:r>
      <w:r w:rsidR="00E93878" w:rsidRPr="00070C35">
        <w:t>DUPI</w:t>
      </w:r>
      <w:r w:rsidR="002057F5" w:rsidRPr="00070C35">
        <w:t>, PSD, March 2020 PBAC meeting).</w:t>
      </w:r>
      <w:r w:rsidRPr="00070C35">
        <w:t xml:space="preserve"> As recommended by PBAC during its consideration of </w:t>
      </w:r>
      <w:r w:rsidR="002D68F4">
        <w:t>UPA</w:t>
      </w:r>
      <w:r w:rsidR="002D68F4" w:rsidRPr="00070C35">
        <w:t xml:space="preserve"> </w:t>
      </w:r>
      <w:r w:rsidRPr="00070C35">
        <w:t>(</w:t>
      </w:r>
      <w:r w:rsidR="002057F5" w:rsidRPr="00070C35">
        <w:t xml:space="preserve">Table 12, </w:t>
      </w:r>
      <w:r w:rsidR="00BF1930">
        <w:t>UPA</w:t>
      </w:r>
      <w:r w:rsidR="002057F5" w:rsidRPr="00070C35">
        <w:t xml:space="preserve"> PSD, July 2021 PBAC meeting</w:t>
      </w:r>
      <w:r w:rsidR="009C50B3" w:rsidRPr="00070C35">
        <w:t>)</w:t>
      </w:r>
      <w:r w:rsidRPr="00070C35">
        <w:t xml:space="preserve">, the costs of phototherapy were removed. </w:t>
      </w:r>
      <w:r w:rsidRPr="00E574CC">
        <w:rPr>
          <w:iCs/>
        </w:rPr>
        <w:t xml:space="preserve">The </w:t>
      </w:r>
      <w:r w:rsidR="00FB21A6" w:rsidRPr="00E574CC">
        <w:rPr>
          <w:iCs/>
        </w:rPr>
        <w:t>commentary considered</w:t>
      </w:r>
      <w:r w:rsidR="00FB21A6">
        <w:t xml:space="preserve"> the </w:t>
      </w:r>
      <w:r w:rsidRPr="00070C35">
        <w:t xml:space="preserve">costs included in the model were reasonable. The model </w:t>
      </w:r>
      <w:r w:rsidR="00C62998" w:rsidRPr="00070C35">
        <w:t>was</w:t>
      </w:r>
      <w:r w:rsidRPr="00070C35">
        <w:t xml:space="preserve"> not sensitive to changes in costs (other than the price of </w:t>
      </w:r>
      <w:r w:rsidR="00E93878" w:rsidRPr="00070C35">
        <w:t>ABRO</w:t>
      </w:r>
      <w:r w:rsidRPr="00070C35">
        <w:t xml:space="preserve"> and </w:t>
      </w:r>
      <w:r w:rsidR="00E93878" w:rsidRPr="00070C35">
        <w:t>DUPI</w:t>
      </w:r>
      <w:r w:rsidRPr="00070C35">
        <w:t xml:space="preserve">). </w:t>
      </w:r>
    </w:p>
    <w:p w14:paraId="0D0A6AF8" w14:textId="3653C263" w:rsidR="00CE22A2" w:rsidRPr="00070C35" w:rsidRDefault="00CE22A2" w:rsidP="00C20EF0">
      <w:pPr>
        <w:pStyle w:val="3-BodyText"/>
      </w:pPr>
      <w:r w:rsidRPr="00070C35">
        <w:t xml:space="preserve">The </w:t>
      </w:r>
      <w:r w:rsidR="002E012E">
        <w:t>sponsor</w:t>
      </w:r>
      <w:r w:rsidR="002E012E" w:rsidRPr="00070C35">
        <w:t xml:space="preserve"> </w:t>
      </w:r>
      <w:r w:rsidRPr="00070C35">
        <w:t>applied a hypothetical price of $</w:t>
      </w:r>
      <w:r w:rsidR="008B4079" w:rsidRPr="001E518D">
        <w:rPr>
          <w:color w:val="777777"/>
          <w:w w:val="61"/>
          <w:shd w:val="solid" w:color="000000" w:fill="000000"/>
          <w:fitText w:val="474" w:id="-760590071"/>
          <w14:textFill>
            <w14:solidFill>
              <w14:srgbClr w14:val="777777">
                <w14:alpha w14:val="100000"/>
              </w14:srgbClr>
            </w14:solidFill>
          </w14:textFill>
        </w:rPr>
        <w:t>|||  |||</w:t>
      </w:r>
      <w:r w:rsidRPr="00070C35">
        <w:t xml:space="preserve"> (AEMP</w:t>
      </w:r>
      <w:r w:rsidRPr="00E574CC">
        <w:rPr>
          <w:iCs/>
        </w:rPr>
        <w:t>)</w:t>
      </w:r>
      <w:r w:rsidR="00C85D36" w:rsidRPr="00E574CC">
        <w:rPr>
          <w:iCs/>
        </w:rPr>
        <w:t xml:space="preserve"> for DUPI</w:t>
      </w:r>
      <w:r w:rsidRPr="00E574CC">
        <w:rPr>
          <w:iCs/>
        </w:rPr>
        <w:t>.</w:t>
      </w:r>
      <w:r w:rsidR="007155BB" w:rsidRPr="00E574CC">
        <w:rPr>
          <w:iCs/>
        </w:rPr>
        <w:t xml:space="preserve"> The price applied in the model for ABRO was $</w:t>
      </w:r>
      <w:r w:rsidR="008B4079" w:rsidRPr="008A7F53">
        <w:rPr>
          <w:iCs/>
          <w:color w:val="777777"/>
          <w:w w:val="15"/>
          <w:shd w:val="solid" w:color="000000" w:fill="000000"/>
          <w:fitText w:val="-20" w:id="-760590070"/>
          <w14:textFill>
            <w14:solidFill>
              <w14:srgbClr w14:val="777777">
                <w14:alpha w14:val="100000"/>
              </w14:srgbClr>
            </w14:solidFill>
          </w14:textFill>
        </w:rPr>
        <w:t xml:space="preserve">|  </w:t>
      </w:r>
      <w:r w:rsidR="008B4079" w:rsidRPr="008A7F53">
        <w:rPr>
          <w:iCs/>
          <w:color w:val="777777"/>
          <w:spacing w:val="-69"/>
          <w:w w:val="15"/>
          <w:shd w:val="solid" w:color="000000" w:fill="000000"/>
          <w:fitText w:val="-20" w:id="-760590070"/>
          <w14:textFill>
            <w14:solidFill>
              <w14:srgbClr w14:val="777777">
                <w14:alpha w14:val="100000"/>
              </w14:srgbClr>
            </w14:solidFill>
          </w14:textFill>
        </w:rPr>
        <w:t>|</w:t>
      </w:r>
      <w:r w:rsidR="007155BB" w:rsidRPr="00E574CC">
        <w:rPr>
          <w:iCs/>
        </w:rPr>
        <w:t xml:space="preserve"> (AEMP).</w:t>
      </w:r>
      <w:r w:rsidRPr="00070C35">
        <w:t xml:space="preserve"> </w:t>
      </w:r>
    </w:p>
    <w:p w14:paraId="63B66470" w14:textId="61D73C02" w:rsidR="00CE22A2" w:rsidRPr="00070C35" w:rsidRDefault="00CE22A2" w:rsidP="00CE22A2">
      <w:pPr>
        <w:pStyle w:val="Caption"/>
        <w:rPr>
          <w:rStyle w:val="CommentReference"/>
          <w:b/>
          <w:bCs w:val="0"/>
          <w:szCs w:val="24"/>
        </w:rPr>
      </w:pPr>
      <w:r w:rsidRPr="00070C35">
        <w:rPr>
          <w:rStyle w:val="CommentReference"/>
          <w:b/>
          <w:bCs w:val="0"/>
          <w:szCs w:val="24"/>
        </w:rPr>
        <w:t xml:space="preserve">Table </w:t>
      </w:r>
      <w:r w:rsidRPr="00070C35">
        <w:rPr>
          <w:rStyle w:val="CommentReference"/>
          <w:b/>
          <w:bCs w:val="0"/>
          <w:szCs w:val="24"/>
        </w:rPr>
        <w:fldChar w:fldCharType="begin" w:fldLock="1"/>
      </w:r>
      <w:r w:rsidRPr="00070C35">
        <w:rPr>
          <w:rStyle w:val="CommentReference"/>
          <w:b/>
          <w:bCs w:val="0"/>
          <w:szCs w:val="24"/>
        </w:rPr>
        <w:instrText xml:space="preserve"> SEQ Table \* ARABIC </w:instrText>
      </w:r>
      <w:r w:rsidRPr="00070C35">
        <w:rPr>
          <w:rStyle w:val="CommentReference"/>
          <w:b/>
          <w:bCs w:val="0"/>
          <w:szCs w:val="24"/>
        </w:rPr>
        <w:fldChar w:fldCharType="separate"/>
      </w:r>
      <w:r w:rsidR="004F2A70">
        <w:rPr>
          <w:rStyle w:val="CommentReference"/>
          <w:b/>
          <w:bCs w:val="0"/>
          <w:noProof/>
          <w:szCs w:val="24"/>
        </w:rPr>
        <w:t>11</w:t>
      </w:r>
      <w:r w:rsidRPr="00070C35">
        <w:rPr>
          <w:rStyle w:val="CommentReference"/>
          <w:b/>
          <w:bCs w:val="0"/>
          <w:szCs w:val="24"/>
        </w:rPr>
        <w:fldChar w:fldCharType="end"/>
      </w:r>
      <w:r w:rsidRPr="00070C35">
        <w:rPr>
          <w:rStyle w:val="CommentReference"/>
          <w:b/>
          <w:bCs w:val="0"/>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686"/>
        <w:gridCol w:w="4059"/>
      </w:tblGrid>
      <w:tr w:rsidR="00CE22A2" w:rsidRPr="00070C35" w14:paraId="049783F6" w14:textId="77777777" w:rsidTr="00924054">
        <w:trPr>
          <w:tblHeader/>
        </w:trPr>
        <w:tc>
          <w:tcPr>
            <w:tcW w:w="705" w:type="pct"/>
            <w:shd w:val="clear" w:color="auto" w:fill="auto"/>
            <w:vAlign w:val="center"/>
          </w:tcPr>
          <w:p w14:paraId="67380D4D" w14:textId="77777777" w:rsidR="00CE22A2" w:rsidRPr="00070C35" w:rsidRDefault="00CE22A2" w:rsidP="006A5357">
            <w:pPr>
              <w:pStyle w:val="In-tableHeading"/>
              <w:rPr>
                <w:i w:val="0"/>
                <w:iCs w:val="0"/>
              </w:rPr>
            </w:pPr>
            <w:r w:rsidRPr="00070C35">
              <w:rPr>
                <w:i w:val="0"/>
                <w:iCs w:val="0"/>
              </w:rPr>
              <w:t>Description</w:t>
            </w:r>
          </w:p>
        </w:tc>
        <w:tc>
          <w:tcPr>
            <w:tcW w:w="2044" w:type="pct"/>
            <w:shd w:val="clear" w:color="auto" w:fill="auto"/>
            <w:vAlign w:val="center"/>
          </w:tcPr>
          <w:p w14:paraId="6C634366" w14:textId="77777777" w:rsidR="00CE22A2" w:rsidRPr="00070C35" w:rsidRDefault="00CE22A2" w:rsidP="006A5357">
            <w:pPr>
              <w:pStyle w:val="In-tableHeading"/>
              <w:rPr>
                <w:i w:val="0"/>
                <w:iCs w:val="0"/>
              </w:rPr>
            </w:pPr>
            <w:r w:rsidRPr="00070C35">
              <w:rPr>
                <w:i w:val="0"/>
                <w:iCs w:val="0"/>
              </w:rPr>
              <w:t>Method/Value</w:t>
            </w:r>
          </w:p>
        </w:tc>
        <w:tc>
          <w:tcPr>
            <w:tcW w:w="2251" w:type="pct"/>
            <w:shd w:val="clear" w:color="auto" w:fill="auto"/>
            <w:vAlign w:val="center"/>
          </w:tcPr>
          <w:p w14:paraId="371D86A2" w14:textId="77777777" w:rsidR="00CE22A2" w:rsidRPr="00070C35" w:rsidRDefault="00CE22A2" w:rsidP="006A5357">
            <w:pPr>
              <w:pStyle w:val="In-tableHeading"/>
              <w:rPr>
                <w:i w:val="0"/>
                <w:iCs w:val="0"/>
              </w:rPr>
            </w:pPr>
            <w:r w:rsidRPr="00070C35">
              <w:rPr>
                <w:i w:val="0"/>
                <w:iCs w:val="0"/>
              </w:rPr>
              <w:t>Impact</w:t>
            </w:r>
          </w:p>
          <w:p w14:paraId="02C2C1F5" w14:textId="281A4219" w:rsidR="00CE22A2" w:rsidRPr="00070C35" w:rsidRDefault="00CE22A2" w:rsidP="006A5357">
            <w:pPr>
              <w:pStyle w:val="In-tableHeading"/>
              <w:rPr>
                <w:i w:val="0"/>
                <w:iCs w:val="0"/>
              </w:rPr>
            </w:pPr>
            <w:r w:rsidRPr="00070C35">
              <w:rPr>
                <w:i w:val="0"/>
                <w:iCs w:val="0"/>
              </w:rPr>
              <w:t>Base case: $</w:t>
            </w:r>
            <w:r w:rsidR="008B4079" w:rsidRPr="001E518D">
              <w:rPr>
                <w:i w:val="0"/>
                <w:iCs w:val="0"/>
                <w:color w:val="777777"/>
                <w:spacing w:val="58"/>
                <w:shd w:val="solid" w:color="000000" w:fill="000000"/>
                <w:fitText w:val="360" w:id="-760590069"/>
                <w14:textFill>
                  <w14:solidFill>
                    <w14:srgbClr w14:val="777777">
                      <w14:alpha w14:val="100000"/>
                    </w14:srgbClr>
                  </w14:solidFill>
                </w14:textFill>
              </w:rPr>
              <w:t>|||</w:t>
            </w:r>
            <w:r w:rsidR="008B4079" w:rsidRPr="001E518D">
              <w:rPr>
                <w:i w:val="0"/>
                <w:iCs w:val="0"/>
                <w:color w:val="777777"/>
                <w:spacing w:val="3"/>
                <w:shd w:val="solid" w:color="000000" w:fill="000000"/>
                <w:fitText w:val="360" w:id="-760590069"/>
                <w14:textFill>
                  <w14:solidFill>
                    <w14:srgbClr w14:val="777777">
                      <w14:alpha w14:val="100000"/>
                    </w14:srgbClr>
                  </w14:solidFill>
                </w14:textFill>
              </w:rPr>
              <w:t>|</w:t>
            </w:r>
            <w:r w:rsidR="00803FD8" w:rsidRPr="0091041C">
              <w:rPr>
                <w:i w:val="0"/>
                <w:iCs w:val="0"/>
                <w:vertAlign w:val="superscript"/>
              </w:rPr>
              <w:t>1</w:t>
            </w:r>
            <w:r w:rsidR="00C07262">
              <w:rPr>
                <w:i w:val="0"/>
                <w:iCs w:val="0"/>
                <w:vertAlign w:val="superscript"/>
              </w:rPr>
              <w:t xml:space="preserve"> </w:t>
            </w:r>
            <w:r w:rsidRPr="00070C35">
              <w:rPr>
                <w:i w:val="0"/>
                <w:iCs w:val="0"/>
              </w:rPr>
              <w:t>saving per QALY forgone</w:t>
            </w:r>
          </w:p>
        </w:tc>
      </w:tr>
      <w:tr w:rsidR="00CE22A2" w:rsidRPr="00070C35" w14:paraId="65B6A9C9" w14:textId="77777777" w:rsidTr="00924054">
        <w:tc>
          <w:tcPr>
            <w:tcW w:w="705" w:type="pct"/>
            <w:shd w:val="clear" w:color="auto" w:fill="auto"/>
            <w:vAlign w:val="center"/>
          </w:tcPr>
          <w:p w14:paraId="43AE3170" w14:textId="77777777" w:rsidR="00CE22A2" w:rsidRPr="00070C35" w:rsidRDefault="00CE22A2" w:rsidP="00CC1644">
            <w:pPr>
              <w:pStyle w:val="TableText0"/>
            </w:pPr>
            <w:r w:rsidRPr="00070C35">
              <w:t>Discontinuation</w:t>
            </w:r>
          </w:p>
        </w:tc>
        <w:tc>
          <w:tcPr>
            <w:tcW w:w="2044" w:type="pct"/>
            <w:shd w:val="clear" w:color="auto" w:fill="auto"/>
            <w:vAlign w:val="center"/>
          </w:tcPr>
          <w:p w14:paraId="0CAB6195" w14:textId="686E283A" w:rsidR="00CE22A2" w:rsidRPr="00070C35" w:rsidRDefault="00CE22A2" w:rsidP="00CC1644">
            <w:pPr>
              <w:pStyle w:val="TableText0"/>
            </w:pPr>
            <w:r w:rsidRPr="00070C35">
              <w:t xml:space="preserve">Discontinuation rates were derived from the 48 week follow up in JADE EXTEND, </w:t>
            </w:r>
            <w:r w:rsidR="00FB21A6">
              <w:t xml:space="preserve">and </w:t>
            </w:r>
            <w:r w:rsidRPr="00070C35">
              <w:t xml:space="preserve">were applied over 5 years, and assumed to be the same for </w:t>
            </w:r>
            <w:r w:rsidR="00E93878" w:rsidRPr="00070C35">
              <w:t>DUPI</w:t>
            </w:r>
            <w:r w:rsidRPr="00070C35">
              <w:t xml:space="preserve">. </w:t>
            </w:r>
          </w:p>
        </w:tc>
        <w:tc>
          <w:tcPr>
            <w:tcW w:w="2251" w:type="pct"/>
            <w:shd w:val="clear" w:color="auto" w:fill="auto"/>
            <w:vAlign w:val="center"/>
          </w:tcPr>
          <w:p w14:paraId="058BF806" w14:textId="18205D37" w:rsidR="00CE22A2" w:rsidRPr="00070C35" w:rsidRDefault="00CE22A2" w:rsidP="00CC1644">
            <w:pPr>
              <w:pStyle w:val="TableText0"/>
            </w:pPr>
            <w:r w:rsidRPr="00070C35">
              <w:t xml:space="preserve">High, does not inherently favour either arm. There is no evidence that the discontinuation rate is constant over time, nor that the discontinuation rate for </w:t>
            </w:r>
            <w:r w:rsidR="00E93878" w:rsidRPr="00070C35">
              <w:t>ABRO</w:t>
            </w:r>
            <w:r w:rsidRPr="00070C35">
              <w:t xml:space="preserve"> up to 48 weeks can be used for </w:t>
            </w:r>
            <w:r w:rsidR="00E93878" w:rsidRPr="00070C35">
              <w:t>DUPI</w:t>
            </w:r>
            <w:r w:rsidRPr="00070C35">
              <w:t>. The model is sensitive to small differences in discontinuation across the arms.</w:t>
            </w:r>
          </w:p>
        </w:tc>
      </w:tr>
      <w:tr w:rsidR="00CE22A2" w:rsidRPr="00070C35" w14:paraId="3CFD9B1C" w14:textId="77777777" w:rsidTr="00924054">
        <w:tc>
          <w:tcPr>
            <w:tcW w:w="705" w:type="pct"/>
            <w:shd w:val="clear" w:color="auto" w:fill="auto"/>
            <w:vAlign w:val="center"/>
          </w:tcPr>
          <w:p w14:paraId="2B9C7949" w14:textId="77777777" w:rsidR="00CE22A2" w:rsidRPr="00070C35" w:rsidRDefault="00CE22A2" w:rsidP="00CC1644">
            <w:pPr>
              <w:pStyle w:val="TableText0"/>
            </w:pPr>
            <w:r w:rsidRPr="00070C35">
              <w:t>Loss of treatment effect</w:t>
            </w:r>
          </w:p>
        </w:tc>
        <w:tc>
          <w:tcPr>
            <w:tcW w:w="2044" w:type="pct"/>
            <w:shd w:val="clear" w:color="auto" w:fill="auto"/>
            <w:vAlign w:val="center"/>
          </w:tcPr>
          <w:p w14:paraId="2CE5A343" w14:textId="44F1DF5E" w:rsidR="00CE22A2" w:rsidRPr="00070C35" w:rsidRDefault="00CE22A2" w:rsidP="00CC1644">
            <w:pPr>
              <w:pStyle w:val="TableText0"/>
            </w:pPr>
            <w:r w:rsidRPr="00070C35">
              <w:t xml:space="preserve">The preservation of treatment effect was informed by results from JADE EXTEND for </w:t>
            </w:r>
            <w:r w:rsidR="00E93878" w:rsidRPr="00070C35">
              <w:t>ABRO</w:t>
            </w:r>
            <w:r w:rsidRPr="00070C35">
              <w:t xml:space="preserve"> (90.5% at 48 weeks) and </w:t>
            </w:r>
            <w:r w:rsidR="009C50B3" w:rsidRPr="00070C35">
              <w:t xml:space="preserve">Table 19, </w:t>
            </w:r>
            <w:r w:rsidR="009D545F" w:rsidRPr="00070C35">
              <w:t xml:space="preserve">dupilumab </w:t>
            </w:r>
            <w:r w:rsidR="009C50B3" w:rsidRPr="00070C35">
              <w:t>PSD,</w:t>
            </w:r>
            <w:r w:rsidRPr="00070C35">
              <w:t xml:space="preserve"> March 2020 P</w:t>
            </w:r>
            <w:r w:rsidR="009C50B3" w:rsidRPr="00070C35">
              <w:t>BAC meeting)</w:t>
            </w:r>
            <w:r w:rsidRPr="00070C35">
              <w:t xml:space="preserve"> (95.7% at 42 weeks). The model assumed the same loss of treatment effect of 5% per </w:t>
            </w:r>
            <w:r w:rsidR="00924054" w:rsidRPr="00070C35">
              <w:t>6-month</w:t>
            </w:r>
            <w:r w:rsidR="00656AE8" w:rsidRPr="00070C35">
              <w:t xml:space="preserve"> </w:t>
            </w:r>
            <w:r w:rsidRPr="00070C35">
              <w:t xml:space="preserve">cycle.  </w:t>
            </w:r>
          </w:p>
        </w:tc>
        <w:tc>
          <w:tcPr>
            <w:tcW w:w="2251" w:type="pct"/>
            <w:shd w:val="clear" w:color="auto" w:fill="auto"/>
            <w:vAlign w:val="center"/>
          </w:tcPr>
          <w:p w14:paraId="00B50E98" w14:textId="7CA5B1F9" w:rsidR="00CE22A2" w:rsidRPr="00070C35" w:rsidRDefault="00CE22A2" w:rsidP="00CC1644">
            <w:pPr>
              <w:pStyle w:val="TableText0"/>
            </w:pPr>
            <w:r w:rsidRPr="00070C35">
              <w:t xml:space="preserve">High, likely favours the </w:t>
            </w:r>
            <w:r w:rsidR="00E93878" w:rsidRPr="00070C35">
              <w:t>ABRO</w:t>
            </w:r>
            <w:r w:rsidRPr="00070C35">
              <w:t xml:space="preserve"> arm. Using treatment arm specific estimates results in a reduction of the cost-savings per QALY forgone of 42.6%.</w:t>
            </w:r>
          </w:p>
        </w:tc>
      </w:tr>
    </w:tbl>
    <w:p w14:paraId="312A1C1C" w14:textId="5B07397D" w:rsidR="00304AB4" w:rsidRPr="00070C35" w:rsidRDefault="001B3286">
      <w:pPr>
        <w:pStyle w:val="TableFigureFooter"/>
        <w:rPr>
          <w:iCs w:val="0"/>
        </w:rPr>
      </w:pPr>
      <w:r w:rsidRPr="00070C35">
        <w:rPr>
          <w:iCs w:val="0"/>
        </w:rPr>
        <w:t xml:space="preserve">Source: Generated from the </w:t>
      </w:r>
      <w:proofErr w:type="spellStart"/>
      <w:r w:rsidR="009D545F" w:rsidRPr="00070C35">
        <w:rPr>
          <w:iCs w:val="0"/>
        </w:rPr>
        <w:t>abrocitinib</w:t>
      </w:r>
      <w:proofErr w:type="spellEnd"/>
      <w:r w:rsidR="009D545F" w:rsidRPr="00070C35">
        <w:rPr>
          <w:iCs w:val="0"/>
        </w:rPr>
        <w:t xml:space="preserve"> </w:t>
      </w:r>
      <w:r w:rsidRPr="00070C35">
        <w:rPr>
          <w:iCs w:val="0"/>
        </w:rPr>
        <w:t>economic evaluation model</w:t>
      </w:r>
    </w:p>
    <w:p w14:paraId="0ED9B82F" w14:textId="77777777" w:rsidR="002D2556" w:rsidRDefault="009D545F" w:rsidP="002D2556">
      <w:pPr>
        <w:pStyle w:val="TableFigureFooter"/>
        <w:rPr>
          <w:iCs w:val="0"/>
        </w:rPr>
      </w:pPr>
      <w:r w:rsidRPr="00070C35">
        <w:rPr>
          <w:iCs w:val="0"/>
        </w:rPr>
        <w:t xml:space="preserve">ABRO </w:t>
      </w:r>
      <w:r w:rsidR="00924054" w:rsidRPr="00070C35">
        <w:rPr>
          <w:iCs w:val="0"/>
        </w:rPr>
        <w:t xml:space="preserve">= </w:t>
      </w:r>
      <w:proofErr w:type="spellStart"/>
      <w:r w:rsidR="00924054" w:rsidRPr="00070C35">
        <w:rPr>
          <w:iCs w:val="0"/>
        </w:rPr>
        <w:t>abrocitinib</w:t>
      </w:r>
      <w:proofErr w:type="spellEnd"/>
      <w:r w:rsidRPr="00070C35">
        <w:rPr>
          <w:iCs w:val="0"/>
        </w:rPr>
        <w:t xml:space="preserve">; DUPI = dupilumab; </w:t>
      </w:r>
      <w:r w:rsidR="00CE22A2" w:rsidRPr="00070C35">
        <w:rPr>
          <w:iCs w:val="0"/>
        </w:rPr>
        <w:t>PBAC = Pharmaceutical Benefits Advisory Committee; PSD = Public Summary Document; QALY = Quality-adjusted life-year</w:t>
      </w:r>
      <w:r w:rsidR="002D2556" w:rsidRPr="002D2556">
        <w:rPr>
          <w:iCs w:val="0"/>
        </w:rPr>
        <w:t xml:space="preserve"> </w:t>
      </w:r>
    </w:p>
    <w:p w14:paraId="6D8B261E" w14:textId="77777777" w:rsidR="002D2556" w:rsidRPr="0091041C" w:rsidRDefault="002D2556" w:rsidP="002D2556">
      <w:pPr>
        <w:pStyle w:val="TableFigureFooter"/>
        <w:rPr>
          <w:i/>
        </w:rPr>
      </w:pPr>
      <w:r w:rsidRPr="0091041C">
        <w:rPr>
          <w:i/>
        </w:rPr>
        <w:t xml:space="preserve">The redacted values correspond to the following ranges: </w:t>
      </w:r>
    </w:p>
    <w:p w14:paraId="68345C5C" w14:textId="76377251" w:rsidR="00CE22A2" w:rsidRPr="0091041C" w:rsidRDefault="002D2556" w:rsidP="00CE22A2">
      <w:pPr>
        <w:pStyle w:val="TableFigureFooter"/>
        <w:rPr>
          <w:i/>
        </w:rPr>
      </w:pPr>
      <w:r w:rsidRPr="0091041C">
        <w:rPr>
          <w:i/>
          <w:vertAlign w:val="superscript"/>
        </w:rPr>
        <w:t>1</w:t>
      </w:r>
      <w:r w:rsidRPr="0091041C">
        <w:rPr>
          <w:i/>
        </w:rPr>
        <w:t xml:space="preserve"> $75,000 to &lt; $95,000</w:t>
      </w:r>
    </w:p>
    <w:p w14:paraId="3BC81CE6" w14:textId="40646025" w:rsidR="00CE22A2" w:rsidRPr="00070C35" w:rsidRDefault="00CE22A2" w:rsidP="00CE22A2">
      <w:pPr>
        <w:pStyle w:val="3-BodyText"/>
      </w:pPr>
      <w:r w:rsidRPr="00070C35">
        <w:t xml:space="preserve">The submission base case estimated a </w:t>
      </w:r>
      <w:r w:rsidR="00613CCA" w:rsidRPr="00613CCA">
        <w:t>$75,000 to &lt; $95,000</w:t>
      </w:r>
      <w:r w:rsidR="004B512D">
        <w:t xml:space="preserve"> </w:t>
      </w:r>
      <w:r w:rsidRPr="00070C35">
        <w:t>saving for each QALY forgone.</w:t>
      </w:r>
      <w:r w:rsidR="00C810FF">
        <w:t xml:space="preserve"> </w:t>
      </w:r>
      <w:r w:rsidR="00C810FF" w:rsidRPr="00E574CC">
        <w:rPr>
          <w:iCs/>
        </w:rPr>
        <w:t>The ESC noted the lack of</w:t>
      </w:r>
      <w:r w:rsidR="00A7481C" w:rsidRPr="00E574CC">
        <w:rPr>
          <w:iCs/>
        </w:rPr>
        <w:t xml:space="preserve"> PBAC</w:t>
      </w:r>
      <w:r w:rsidR="00C810FF" w:rsidRPr="00E574CC">
        <w:rPr>
          <w:iCs/>
        </w:rPr>
        <w:t xml:space="preserve"> precedent</w:t>
      </w:r>
      <w:r w:rsidR="00A7481C" w:rsidRPr="00E574CC">
        <w:rPr>
          <w:iCs/>
        </w:rPr>
        <w:t>s</w:t>
      </w:r>
      <w:r w:rsidR="00C810FF" w:rsidRPr="00E574CC">
        <w:rPr>
          <w:iCs/>
        </w:rPr>
        <w:t xml:space="preserve"> for incremental cost-effectiveness ratios (ICERs) where there was a cost saving per QALY </w:t>
      </w:r>
      <w:r w:rsidR="006C561E" w:rsidRPr="00E574CC">
        <w:rPr>
          <w:iCs/>
        </w:rPr>
        <w:t>forgone</w:t>
      </w:r>
      <w:r w:rsidR="00C83052" w:rsidRPr="00E574CC">
        <w:rPr>
          <w:iCs/>
        </w:rPr>
        <w:t xml:space="preserve">, which makes </w:t>
      </w:r>
      <w:r w:rsidR="00A23FED" w:rsidRPr="00E574CC">
        <w:rPr>
          <w:iCs/>
        </w:rPr>
        <w:t xml:space="preserve">the interpretation of what is </w:t>
      </w:r>
      <w:r w:rsidR="00C83052" w:rsidRPr="00E574CC">
        <w:rPr>
          <w:iCs/>
        </w:rPr>
        <w:t xml:space="preserve">an acceptable </w:t>
      </w:r>
      <w:r w:rsidR="00A23FED" w:rsidRPr="00E574CC">
        <w:rPr>
          <w:iCs/>
        </w:rPr>
        <w:t xml:space="preserve">ICER </w:t>
      </w:r>
      <w:r w:rsidR="00C83052" w:rsidRPr="00E574CC">
        <w:rPr>
          <w:iCs/>
        </w:rPr>
        <w:t>difficult</w:t>
      </w:r>
      <w:r w:rsidR="00C810FF" w:rsidRPr="00E574CC">
        <w:rPr>
          <w:iCs/>
        </w:rPr>
        <w:t>.</w:t>
      </w:r>
    </w:p>
    <w:p w14:paraId="11394795" w14:textId="53EA6275" w:rsidR="00CE22A2" w:rsidRPr="00070C35" w:rsidRDefault="00CE22A2" w:rsidP="00CE22A2">
      <w:pPr>
        <w:pStyle w:val="Caption"/>
      </w:pPr>
      <w:r w:rsidRPr="00070C35">
        <w:lastRenderedPageBreak/>
        <w:t xml:space="preserve">Table </w:t>
      </w:r>
      <w:r>
        <w:fldChar w:fldCharType="begin" w:fldLock="1"/>
      </w:r>
      <w:r>
        <w:instrText xml:space="preserve"> SEQ Table \* ARABIC </w:instrText>
      </w:r>
      <w:r>
        <w:fldChar w:fldCharType="separate"/>
      </w:r>
      <w:r w:rsidR="004F2A70">
        <w:rPr>
          <w:noProof/>
        </w:rPr>
        <w:t>12</w:t>
      </w:r>
      <w:r>
        <w:rPr>
          <w:noProof/>
        </w:rPr>
        <w:fldChar w:fldCharType="end"/>
      </w:r>
      <w:r w:rsidRPr="00070C35">
        <w:t>: Stepped derivation of the base-case economic evaluation from the study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493"/>
        <w:gridCol w:w="1137"/>
        <w:gridCol w:w="1464"/>
        <w:gridCol w:w="1886"/>
      </w:tblGrid>
      <w:tr w:rsidR="00CE22A2" w:rsidRPr="00070C35" w14:paraId="111624A4" w14:textId="77777777" w:rsidTr="009A29C5">
        <w:trPr>
          <w:cantSplit/>
          <w:tblHeader/>
        </w:trPr>
        <w:tc>
          <w:tcPr>
            <w:tcW w:w="3038" w:type="dxa"/>
            <w:shd w:val="clear" w:color="auto" w:fill="D9D9D9" w:themeFill="background1" w:themeFillShade="D9"/>
            <w:vAlign w:val="bottom"/>
          </w:tcPr>
          <w:p w14:paraId="5D7BE4D0" w14:textId="77777777" w:rsidR="00CE22A2" w:rsidRPr="00070C35" w:rsidRDefault="00CE22A2" w:rsidP="00CC1644">
            <w:pPr>
              <w:pStyle w:val="TableHeading"/>
            </w:pPr>
          </w:p>
        </w:tc>
        <w:tc>
          <w:tcPr>
            <w:tcW w:w="1493" w:type="dxa"/>
            <w:shd w:val="clear" w:color="auto" w:fill="D9D9D9" w:themeFill="background1" w:themeFillShade="D9"/>
          </w:tcPr>
          <w:p w14:paraId="7505D68D" w14:textId="77777777" w:rsidR="00CE22A2" w:rsidRPr="00070C35" w:rsidRDefault="00CE22A2" w:rsidP="009A29C5">
            <w:pPr>
              <w:pStyle w:val="TableHeading"/>
              <w:jc w:val="left"/>
            </w:pPr>
            <w:r w:rsidRPr="00070C35">
              <w:t>Outcome / population</w:t>
            </w:r>
          </w:p>
        </w:tc>
        <w:tc>
          <w:tcPr>
            <w:tcW w:w="1134" w:type="dxa"/>
            <w:shd w:val="clear" w:color="auto" w:fill="D9D9D9" w:themeFill="background1" w:themeFillShade="D9"/>
          </w:tcPr>
          <w:p w14:paraId="7C04DB00" w14:textId="1B69C834" w:rsidR="00CE22A2" w:rsidRPr="00070C35" w:rsidRDefault="00CE22A2" w:rsidP="009A29C5">
            <w:pPr>
              <w:pStyle w:val="TableHeading"/>
              <w:jc w:val="left"/>
            </w:pPr>
            <w:r w:rsidRPr="00070C35">
              <w:t>Incremental costs</w:t>
            </w:r>
            <w:r w:rsidR="00B20035">
              <w:t xml:space="preserve"> ($)</w:t>
            </w:r>
          </w:p>
        </w:tc>
        <w:tc>
          <w:tcPr>
            <w:tcW w:w="1464" w:type="dxa"/>
            <w:shd w:val="clear" w:color="auto" w:fill="D9D9D9" w:themeFill="background1" w:themeFillShade="D9"/>
          </w:tcPr>
          <w:p w14:paraId="615291E6" w14:textId="1F3EA5C6" w:rsidR="00CE22A2" w:rsidRPr="00070C35" w:rsidRDefault="00CE22A2" w:rsidP="009A29C5">
            <w:pPr>
              <w:pStyle w:val="TableHeading"/>
              <w:jc w:val="left"/>
            </w:pPr>
            <w:r w:rsidRPr="00070C35">
              <w:t>Incremental outcomes</w:t>
            </w:r>
            <w:r w:rsidR="00B20035">
              <w:t xml:space="preserve"> (%)</w:t>
            </w:r>
          </w:p>
        </w:tc>
        <w:tc>
          <w:tcPr>
            <w:tcW w:w="1887" w:type="dxa"/>
            <w:shd w:val="clear" w:color="auto" w:fill="D9D9D9" w:themeFill="background1" w:themeFillShade="D9"/>
          </w:tcPr>
          <w:p w14:paraId="37B40AFC" w14:textId="77777777" w:rsidR="00CE22A2" w:rsidRPr="00070C35" w:rsidRDefault="00CE22A2" w:rsidP="009A29C5">
            <w:pPr>
              <w:pStyle w:val="TableHeading"/>
              <w:jc w:val="left"/>
            </w:pPr>
            <w:r w:rsidRPr="00070C35">
              <w:t>Cost saving per health forgone</w:t>
            </w:r>
          </w:p>
        </w:tc>
      </w:tr>
      <w:tr w:rsidR="00CE22A2" w:rsidRPr="00070C35" w14:paraId="1EC3BDA4" w14:textId="77777777" w:rsidTr="009A29C5">
        <w:trPr>
          <w:cantSplit/>
          <w:tblHeader/>
        </w:trPr>
        <w:tc>
          <w:tcPr>
            <w:tcW w:w="9016" w:type="dxa"/>
            <w:gridSpan w:val="5"/>
            <w:shd w:val="clear" w:color="auto" w:fill="D9D9D9" w:themeFill="background1" w:themeFillShade="D9"/>
            <w:vAlign w:val="bottom"/>
          </w:tcPr>
          <w:p w14:paraId="198858CF" w14:textId="77777777" w:rsidR="00CE22A2" w:rsidRPr="00070C35" w:rsidRDefault="00CE22A2" w:rsidP="00CC1644">
            <w:pPr>
              <w:pStyle w:val="TableHeading"/>
            </w:pPr>
            <w:r w:rsidRPr="00070C35">
              <w:t>Trial based: 16 weeks</w:t>
            </w:r>
          </w:p>
        </w:tc>
      </w:tr>
      <w:tr w:rsidR="00CE22A2" w:rsidRPr="00070C35" w14:paraId="7F62B3DC" w14:textId="77777777" w:rsidTr="009A29C5">
        <w:trPr>
          <w:cantSplit/>
        </w:trPr>
        <w:tc>
          <w:tcPr>
            <w:tcW w:w="3038" w:type="dxa"/>
          </w:tcPr>
          <w:p w14:paraId="564EF825" w14:textId="77777777" w:rsidR="00CE22A2" w:rsidRPr="00070C35" w:rsidRDefault="00CE22A2" w:rsidP="00CC1644">
            <w:pPr>
              <w:pStyle w:val="TableText0"/>
            </w:pPr>
            <w:r w:rsidRPr="00070C35">
              <w:t>Step 1: EASI 75, mITT</w:t>
            </w:r>
          </w:p>
        </w:tc>
        <w:tc>
          <w:tcPr>
            <w:tcW w:w="1493" w:type="dxa"/>
          </w:tcPr>
          <w:p w14:paraId="2E928CCB" w14:textId="77777777" w:rsidR="00CE22A2" w:rsidRPr="00070C35" w:rsidRDefault="00CE22A2" w:rsidP="00CC1644">
            <w:pPr>
              <w:pStyle w:val="TableText0"/>
            </w:pPr>
            <w:r w:rsidRPr="00070C35">
              <w:t>Responder</w:t>
            </w:r>
          </w:p>
        </w:tc>
        <w:tc>
          <w:tcPr>
            <w:tcW w:w="1134" w:type="dxa"/>
          </w:tcPr>
          <w:p w14:paraId="47300A0F" w14:textId="0944C0FC" w:rsidR="00CE22A2" w:rsidRPr="00070C35" w:rsidRDefault="00CE22A2" w:rsidP="00CC1644">
            <w:pPr>
              <w:pStyle w:val="TableText0"/>
            </w:pPr>
            <w:r w:rsidRPr="00070C35">
              <w:t>-</w:t>
            </w:r>
            <w:r w:rsidR="008B4079" w:rsidRPr="001E518D">
              <w:rPr>
                <w:color w:val="777777"/>
                <w:spacing w:val="54"/>
                <w:shd w:val="solid" w:color="000000" w:fill="000000"/>
                <w:fitText w:val="333" w:id="-760590068"/>
                <w14:textFill>
                  <w14:solidFill>
                    <w14:srgbClr w14:val="777777">
                      <w14:alpha w14:val="100000"/>
                    </w14:srgbClr>
                  </w14:solidFill>
                </w14:textFill>
              </w:rPr>
              <w:t>|||</w:t>
            </w:r>
            <w:r w:rsidR="008B4079" w:rsidRPr="001E518D">
              <w:rPr>
                <w:color w:val="777777"/>
                <w:spacing w:val="1"/>
                <w:shd w:val="solid" w:color="000000" w:fill="000000"/>
                <w:fitText w:val="333" w:id="-760590068"/>
                <w14:textFill>
                  <w14:solidFill>
                    <w14:srgbClr w14:val="777777">
                      <w14:alpha w14:val="100000"/>
                    </w14:srgbClr>
                  </w14:solidFill>
                </w14:textFill>
              </w:rPr>
              <w:t>|</w:t>
            </w:r>
          </w:p>
        </w:tc>
        <w:tc>
          <w:tcPr>
            <w:tcW w:w="1464" w:type="dxa"/>
          </w:tcPr>
          <w:p w14:paraId="18FEB1C6" w14:textId="77777777" w:rsidR="00CE22A2" w:rsidRPr="00AB77A6" w:rsidRDefault="00CE22A2" w:rsidP="00CC1644">
            <w:pPr>
              <w:pStyle w:val="TableText0"/>
            </w:pPr>
            <w:r w:rsidRPr="00AB77A6">
              <w:t>-5.20%</w:t>
            </w:r>
          </w:p>
        </w:tc>
        <w:tc>
          <w:tcPr>
            <w:tcW w:w="1887" w:type="dxa"/>
          </w:tcPr>
          <w:p w14:paraId="7DF6C7FA" w14:textId="1E2FBBA8" w:rsidR="00CE22A2" w:rsidRPr="00070C35" w:rsidRDefault="00CE22A2" w:rsidP="00CC1644">
            <w:pPr>
              <w:pStyle w:val="TableText0"/>
            </w:pPr>
            <w:r w:rsidRPr="00070C35">
              <w:t>$</w:t>
            </w:r>
            <w:r w:rsidR="008B4079" w:rsidRPr="001E518D">
              <w:rPr>
                <w:color w:val="777777"/>
                <w:spacing w:val="54"/>
                <w:shd w:val="solid" w:color="000000" w:fill="000000"/>
                <w:fitText w:val="333" w:id="-760590067"/>
                <w14:textFill>
                  <w14:solidFill>
                    <w14:srgbClr w14:val="777777">
                      <w14:alpha w14:val="100000"/>
                    </w14:srgbClr>
                  </w14:solidFill>
                </w14:textFill>
              </w:rPr>
              <w:t>|||</w:t>
            </w:r>
            <w:r w:rsidR="008B4079" w:rsidRPr="001E518D">
              <w:rPr>
                <w:color w:val="777777"/>
                <w:spacing w:val="1"/>
                <w:shd w:val="solid" w:color="000000" w:fill="000000"/>
                <w:fitText w:val="333" w:id="-760590067"/>
                <w14:textFill>
                  <w14:solidFill>
                    <w14:srgbClr w14:val="777777">
                      <w14:alpha w14:val="100000"/>
                    </w14:srgbClr>
                  </w14:solidFill>
                </w14:textFill>
              </w:rPr>
              <w:t>|</w:t>
            </w:r>
            <w:r w:rsidRPr="00070C35">
              <w:t xml:space="preserve"> saved/ responder missed</w:t>
            </w:r>
          </w:p>
        </w:tc>
      </w:tr>
      <w:tr w:rsidR="00CE22A2" w:rsidRPr="00070C35" w14:paraId="28565AD3" w14:textId="77777777" w:rsidTr="009A29C5">
        <w:trPr>
          <w:cantSplit/>
        </w:trPr>
        <w:tc>
          <w:tcPr>
            <w:tcW w:w="3038" w:type="dxa"/>
          </w:tcPr>
          <w:p w14:paraId="089AEA73" w14:textId="77777777" w:rsidR="00CE22A2" w:rsidRPr="00070C35" w:rsidRDefault="00CE22A2" w:rsidP="00CC1644">
            <w:pPr>
              <w:pStyle w:val="TableText0"/>
            </w:pPr>
            <w:r w:rsidRPr="00070C35">
              <w:t>Step 2: EASI 75, severe subgroup</w:t>
            </w:r>
          </w:p>
        </w:tc>
        <w:tc>
          <w:tcPr>
            <w:tcW w:w="1493" w:type="dxa"/>
          </w:tcPr>
          <w:p w14:paraId="3A20E411" w14:textId="77777777" w:rsidR="00CE22A2" w:rsidRPr="00070C35" w:rsidRDefault="00CE22A2" w:rsidP="00CC1644">
            <w:pPr>
              <w:pStyle w:val="TableText0"/>
            </w:pPr>
            <w:r w:rsidRPr="00070C35">
              <w:t>Responder</w:t>
            </w:r>
          </w:p>
        </w:tc>
        <w:tc>
          <w:tcPr>
            <w:tcW w:w="1134" w:type="dxa"/>
          </w:tcPr>
          <w:p w14:paraId="1ADA330D" w14:textId="6F525927" w:rsidR="00CE22A2" w:rsidRPr="00070C35" w:rsidRDefault="00CE22A2" w:rsidP="00CC1644">
            <w:pPr>
              <w:pStyle w:val="TableText0"/>
            </w:pPr>
            <w:r w:rsidRPr="00070C35">
              <w:t>-</w:t>
            </w:r>
            <w:r w:rsidR="008B4079" w:rsidRPr="001E518D">
              <w:rPr>
                <w:color w:val="777777"/>
                <w:spacing w:val="54"/>
                <w:shd w:val="solid" w:color="000000" w:fill="000000"/>
                <w:fitText w:val="333" w:id="-760590066"/>
                <w14:textFill>
                  <w14:solidFill>
                    <w14:srgbClr w14:val="777777">
                      <w14:alpha w14:val="100000"/>
                    </w14:srgbClr>
                  </w14:solidFill>
                </w14:textFill>
              </w:rPr>
              <w:t>|||</w:t>
            </w:r>
            <w:r w:rsidR="008B4079" w:rsidRPr="001E518D">
              <w:rPr>
                <w:color w:val="777777"/>
                <w:spacing w:val="1"/>
                <w:shd w:val="solid" w:color="000000" w:fill="000000"/>
                <w:fitText w:val="333" w:id="-760590066"/>
                <w14:textFill>
                  <w14:solidFill>
                    <w14:srgbClr w14:val="777777">
                      <w14:alpha w14:val="100000"/>
                    </w14:srgbClr>
                  </w14:solidFill>
                </w14:textFill>
              </w:rPr>
              <w:t>|</w:t>
            </w:r>
          </w:p>
        </w:tc>
        <w:tc>
          <w:tcPr>
            <w:tcW w:w="1464" w:type="dxa"/>
          </w:tcPr>
          <w:p w14:paraId="3FE52927" w14:textId="77777777" w:rsidR="00CE22A2" w:rsidRPr="00AB77A6" w:rsidRDefault="00CE22A2" w:rsidP="00CC1644">
            <w:pPr>
              <w:pStyle w:val="TableText0"/>
            </w:pPr>
            <w:r w:rsidRPr="00AB77A6">
              <w:t>-4.20%.</w:t>
            </w:r>
          </w:p>
        </w:tc>
        <w:tc>
          <w:tcPr>
            <w:tcW w:w="1887" w:type="dxa"/>
          </w:tcPr>
          <w:p w14:paraId="5568962F" w14:textId="1EA6F532" w:rsidR="00CE22A2" w:rsidRPr="00070C35" w:rsidRDefault="00CE22A2" w:rsidP="00CC1644">
            <w:pPr>
              <w:pStyle w:val="TableText0"/>
            </w:pPr>
            <w:r w:rsidRPr="00070C35">
              <w:t>$</w:t>
            </w:r>
            <w:r w:rsidR="008B4079" w:rsidRPr="001E518D">
              <w:rPr>
                <w:color w:val="777777"/>
                <w:spacing w:val="54"/>
                <w:shd w:val="solid" w:color="000000" w:fill="000000"/>
                <w:fitText w:val="333" w:id="-760590065"/>
                <w14:textFill>
                  <w14:solidFill>
                    <w14:srgbClr w14:val="777777">
                      <w14:alpha w14:val="100000"/>
                    </w14:srgbClr>
                  </w14:solidFill>
                </w14:textFill>
              </w:rPr>
              <w:t>|||</w:t>
            </w:r>
            <w:r w:rsidR="008B4079" w:rsidRPr="001E518D">
              <w:rPr>
                <w:color w:val="777777"/>
                <w:spacing w:val="1"/>
                <w:shd w:val="solid" w:color="000000" w:fill="000000"/>
                <w:fitText w:val="333" w:id="-760590065"/>
                <w14:textFill>
                  <w14:solidFill>
                    <w14:srgbClr w14:val="777777">
                      <w14:alpha w14:val="100000"/>
                    </w14:srgbClr>
                  </w14:solidFill>
                </w14:textFill>
              </w:rPr>
              <w:t>|</w:t>
            </w:r>
            <w:r w:rsidRPr="00070C35">
              <w:t xml:space="preserve"> saved/ responder missed</w:t>
            </w:r>
          </w:p>
        </w:tc>
      </w:tr>
      <w:tr w:rsidR="00CE22A2" w:rsidRPr="00070C35" w14:paraId="3B71C06B" w14:textId="77777777" w:rsidTr="009A29C5">
        <w:trPr>
          <w:cantSplit/>
        </w:trPr>
        <w:tc>
          <w:tcPr>
            <w:tcW w:w="3038" w:type="dxa"/>
          </w:tcPr>
          <w:p w14:paraId="13E70AA6" w14:textId="77777777" w:rsidR="00CE22A2" w:rsidRPr="00070C35" w:rsidRDefault="00CE22A2" w:rsidP="00CC1644">
            <w:pPr>
              <w:pStyle w:val="TableText0"/>
            </w:pPr>
            <w:r w:rsidRPr="00070C35">
              <w:t>Step 3: EASI 50 + DLQI≥4, severe subgroup</w:t>
            </w:r>
          </w:p>
        </w:tc>
        <w:tc>
          <w:tcPr>
            <w:tcW w:w="1493" w:type="dxa"/>
          </w:tcPr>
          <w:p w14:paraId="21904C69" w14:textId="77777777" w:rsidR="00CE22A2" w:rsidRPr="00070C35" w:rsidRDefault="00CE22A2" w:rsidP="00CC1644">
            <w:pPr>
              <w:pStyle w:val="TableText0"/>
            </w:pPr>
            <w:r w:rsidRPr="00070C35">
              <w:t>PBS continuation criteria responder</w:t>
            </w:r>
          </w:p>
        </w:tc>
        <w:tc>
          <w:tcPr>
            <w:tcW w:w="1134" w:type="dxa"/>
          </w:tcPr>
          <w:p w14:paraId="37D02446" w14:textId="555A5B3C" w:rsidR="00CE22A2" w:rsidRPr="00070C35" w:rsidRDefault="00CE22A2" w:rsidP="00CC1644">
            <w:pPr>
              <w:pStyle w:val="TableText0"/>
            </w:pPr>
            <w:r w:rsidRPr="00070C35">
              <w:t>-</w:t>
            </w:r>
            <w:r w:rsidR="008B4079" w:rsidRPr="001E518D">
              <w:rPr>
                <w:color w:val="777777"/>
                <w:spacing w:val="54"/>
                <w:shd w:val="solid" w:color="000000" w:fill="000000"/>
                <w:fitText w:val="333" w:id="-760590064"/>
                <w14:textFill>
                  <w14:solidFill>
                    <w14:srgbClr w14:val="777777">
                      <w14:alpha w14:val="100000"/>
                    </w14:srgbClr>
                  </w14:solidFill>
                </w14:textFill>
              </w:rPr>
              <w:t>|||</w:t>
            </w:r>
            <w:r w:rsidR="008B4079" w:rsidRPr="001E518D">
              <w:rPr>
                <w:color w:val="777777"/>
                <w:spacing w:val="1"/>
                <w:shd w:val="solid" w:color="000000" w:fill="000000"/>
                <w:fitText w:val="333" w:id="-760590064"/>
                <w14:textFill>
                  <w14:solidFill>
                    <w14:srgbClr w14:val="777777">
                      <w14:alpha w14:val="100000"/>
                    </w14:srgbClr>
                  </w14:solidFill>
                </w14:textFill>
              </w:rPr>
              <w:t>|</w:t>
            </w:r>
          </w:p>
        </w:tc>
        <w:tc>
          <w:tcPr>
            <w:tcW w:w="1464" w:type="dxa"/>
          </w:tcPr>
          <w:p w14:paraId="470C59E3" w14:textId="77777777" w:rsidR="00CE22A2" w:rsidRPr="00AB77A6" w:rsidRDefault="00CE22A2" w:rsidP="00CC1644">
            <w:pPr>
              <w:pStyle w:val="TableText0"/>
            </w:pPr>
            <w:r w:rsidRPr="00AB77A6">
              <w:t>-5.70%</w:t>
            </w:r>
          </w:p>
        </w:tc>
        <w:tc>
          <w:tcPr>
            <w:tcW w:w="1887" w:type="dxa"/>
          </w:tcPr>
          <w:p w14:paraId="3FE125BE" w14:textId="49C38D4B" w:rsidR="00CE22A2" w:rsidRPr="00070C35" w:rsidRDefault="00CE22A2" w:rsidP="00CC1644">
            <w:pPr>
              <w:pStyle w:val="TableText0"/>
            </w:pPr>
            <w:r w:rsidRPr="00070C35">
              <w:t>$</w:t>
            </w:r>
            <w:r w:rsidR="008B4079" w:rsidRPr="001E518D">
              <w:rPr>
                <w:color w:val="777777"/>
                <w:spacing w:val="54"/>
                <w:shd w:val="solid" w:color="000000" w:fill="000000"/>
                <w:fitText w:val="333" w:id="-760590080"/>
                <w14:textFill>
                  <w14:solidFill>
                    <w14:srgbClr w14:val="777777">
                      <w14:alpha w14:val="100000"/>
                    </w14:srgbClr>
                  </w14:solidFill>
                </w14:textFill>
              </w:rPr>
              <w:t>|||</w:t>
            </w:r>
            <w:r w:rsidR="008B4079" w:rsidRPr="001E518D">
              <w:rPr>
                <w:color w:val="777777"/>
                <w:spacing w:val="1"/>
                <w:shd w:val="solid" w:color="000000" w:fill="000000"/>
                <w:fitText w:val="333" w:id="-760590080"/>
                <w14:textFill>
                  <w14:solidFill>
                    <w14:srgbClr w14:val="777777">
                      <w14:alpha w14:val="100000"/>
                    </w14:srgbClr>
                  </w14:solidFill>
                </w14:textFill>
              </w:rPr>
              <w:t>|</w:t>
            </w:r>
            <w:r w:rsidRPr="00070C35">
              <w:t xml:space="preserve"> saved/ responder missed</w:t>
            </w:r>
          </w:p>
        </w:tc>
      </w:tr>
      <w:tr w:rsidR="00CE22A2" w:rsidRPr="00070C35" w14:paraId="21FD776D" w14:textId="77777777" w:rsidTr="009A29C5">
        <w:trPr>
          <w:cantSplit/>
        </w:trPr>
        <w:tc>
          <w:tcPr>
            <w:tcW w:w="9016" w:type="dxa"/>
            <w:gridSpan w:val="5"/>
            <w:shd w:val="clear" w:color="auto" w:fill="D9D9D9" w:themeFill="background1" w:themeFillShade="D9"/>
          </w:tcPr>
          <w:p w14:paraId="15EF8CE9" w14:textId="77777777" w:rsidR="00CE22A2" w:rsidRPr="00070C35" w:rsidRDefault="00CE22A2" w:rsidP="00CC1644">
            <w:pPr>
              <w:pStyle w:val="TableText0"/>
              <w:rPr>
                <w:b/>
                <w:bCs w:val="0"/>
              </w:rPr>
            </w:pPr>
            <w:r w:rsidRPr="00070C35">
              <w:rPr>
                <w:b/>
              </w:rPr>
              <w:t>Extrapolated: 16 weeks + 5 years</w:t>
            </w:r>
          </w:p>
        </w:tc>
      </w:tr>
      <w:tr w:rsidR="00CE22A2" w:rsidRPr="00070C35" w14:paraId="47FD1FB6" w14:textId="77777777" w:rsidTr="009A29C5">
        <w:trPr>
          <w:cantSplit/>
        </w:trPr>
        <w:tc>
          <w:tcPr>
            <w:tcW w:w="3038" w:type="dxa"/>
          </w:tcPr>
          <w:p w14:paraId="13DB4D98" w14:textId="77777777" w:rsidR="00CE22A2" w:rsidRPr="00070C35" w:rsidRDefault="00CE22A2" w:rsidP="00CC1644">
            <w:pPr>
              <w:pStyle w:val="TableText0"/>
            </w:pPr>
            <w:r w:rsidRPr="00070C35">
              <w:t>Step 4: EASI 50 + DLQI≥4, severe subgroup</w:t>
            </w:r>
          </w:p>
        </w:tc>
        <w:tc>
          <w:tcPr>
            <w:tcW w:w="1493" w:type="dxa"/>
          </w:tcPr>
          <w:p w14:paraId="5F3C6E26" w14:textId="77777777" w:rsidR="00CE22A2" w:rsidRPr="00070C35" w:rsidRDefault="00CE22A2" w:rsidP="00CC1644">
            <w:pPr>
              <w:pStyle w:val="TableText0"/>
            </w:pPr>
            <w:r w:rsidRPr="00070C35">
              <w:t>PBS continuation criteria responder</w:t>
            </w:r>
          </w:p>
        </w:tc>
        <w:tc>
          <w:tcPr>
            <w:tcW w:w="1134" w:type="dxa"/>
          </w:tcPr>
          <w:p w14:paraId="2C5A8EE8" w14:textId="4C328267" w:rsidR="00CE22A2" w:rsidRPr="00070C35" w:rsidRDefault="00CE22A2" w:rsidP="00CC1644">
            <w:pPr>
              <w:pStyle w:val="TableText0"/>
            </w:pPr>
            <w:r w:rsidRPr="00070C35">
              <w:t>-</w:t>
            </w:r>
            <w:r w:rsidR="008B4079" w:rsidRPr="001E518D">
              <w:rPr>
                <w:color w:val="777777"/>
                <w:spacing w:val="54"/>
                <w:shd w:val="solid" w:color="000000" w:fill="000000"/>
                <w:fitText w:val="333" w:id="-760590079"/>
                <w14:textFill>
                  <w14:solidFill>
                    <w14:srgbClr w14:val="777777">
                      <w14:alpha w14:val="100000"/>
                    </w14:srgbClr>
                  </w14:solidFill>
                </w14:textFill>
              </w:rPr>
              <w:t>|||</w:t>
            </w:r>
            <w:r w:rsidR="008B4079" w:rsidRPr="001E518D">
              <w:rPr>
                <w:color w:val="777777"/>
                <w:spacing w:val="1"/>
                <w:shd w:val="solid" w:color="000000" w:fill="000000"/>
                <w:fitText w:val="333" w:id="-760590079"/>
                <w14:textFill>
                  <w14:solidFill>
                    <w14:srgbClr w14:val="777777">
                      <w14:alpha w14:val="100000"/>
                    </w14:srgbClr>
                  </w14:solidFill>
                </w14:textFill>
              </w:rPr>
              <w:t>|</w:t>
            </w:r>
          </w:p>
        </w:tc>
        <w:tc>
          <w:tcPr>
            <w:tcW w:w="1464" w:type="dxa"/>
          </w:tcPr>
          <w:p w14:paraId="292931B9" w14:textId="77777777" w:rsidR="00CE22A2" w:rsidRPr="00AB77A6" w:rsidRDefault="00CE22A2" w:rsidP="00CC1644">
            <w:pPr>
              <w:pStyle w:val="TableText0"/>
            </w:pPr>
            <w:r w:rsidRPr="00AB77A6">
              <w:t>-5.70%</w:t>
            </w:r>
          </w:p>
        </w:tc>
        <w:tc>
          <w:tcPr>
            <w:tcW w:w="1887" w:type="dxa"/>
          </w:tcPr>
          <w:p w14:paraId="2C655F13" w14:textId="290DFD34" w:rsidR="00CE22A2" w:rsidRPr="00070C35" w:rsidRDefault="00CE22A2" w:rsidP="00CC1644">
            <w:pPr>
              <w:pStyle w:val="TableText0"/>
            </w:pPr>
            <w:r w:rsidRPr="00070C35">
              <w:t>$</w:t>
            </w:r>
            <w:r w:rsidR="008B4079" w:rsidRPr="001E518D">
              <w:rPr>
                <w:color w:val="777777"/>
                <w:spacing w:val="54"/>
                <w:shd w:val="solid" w:color="000000" w:fill="000000"/>
                <w:fitText w:val="333" w:id="-760590078"/>
                <w14:textFill>
                  <w14:solidFill>
                    <w14:srgbClr w14:val="777777">
                      <w14:alpha w14:val="100000"/>
                    </w14:srgbClr>
                  </w14:solidFill>
                </w14:textFill>
              </w:rPr>
              <w:t>|||</w:t>
            </w:r>
            <w:r w:rsidR="008B4079" w:rsidRPr="001E518D">
              <w:rPr>
                <w:color w:val="777777"/>
                <w:spacing w:val="1"/>
                <w:shd w:val="solid" w:color="000000" w:fill="000000"/>
                <w:fitText w:val="333" w:id="-760590078"/>
                <w14:textFill>
                  <w14:solidFill>
                    <w14:srgbClr w14:val="777777">
                      <w14:alpha w14:val="100000"/>
                    </w14:srgbClr>
                  </w14:solidFill>
                </w14:textFill>
              </w:rPr>
              <w:t>|</w:t>
            </w:r>
            <w:r w:rsidRPr="00070C35">
              <w:t xml:space="preserve"> saved/ responder missed</w:t>
            </w:r>
          </w:p>
        </w:tc>
      </w:tr>
      <w:tr w:rsidR="00CE22A2" w:rsidRPr="00070C35" w14:paraId="45A8AE0B" w14:textId="77777777" w:rsidTr="009A29C5">
        <w:trPr>
          <w:cantSplit/>
        </w:trPr>
        <w:tc>
          <w:tcPr>
            <w:tcW w:w="3038" w:type="dxa"/>
          </w:tcPr>
          <w:p w14:paraId="54B671B7" w14:textId="77777777" w:rsidR="00CE22A2" w:rsidRPr="00070C35" w:rsidRDefault="00CE22A2" w:rsidP="00CC1644">
            <w:pPr>
              <w:pStyle w:val="TableText0"/>
            </w:pPr>
            <w:r w:rsidRPr="00070C35">
              <w:t>Step 5: As above, utility weights attached.</w:t>
            </w:r>
          </w:p>
        </w:tc>
        <w:tc>
          <w:tcPr>
            <w:tcW w:w="1493" w:type="dxa"/>
          </w:tcPr>
          <w:p w14:paraId="76356932" w14:textId="77777777" w:rsidR="00CE22A2" w:rsidRPr="00070C35" w:rsidRDefault="00CE22A2" w:rsidP="00CC1644">
            <w:pPr>
              <w:pStyle w:val="TableText0"/>
            </w:pPr>
            <w:r w:rsidRPr="00070C35">
              <w:t>QALY</w:t>
            </w:r>
          </w:p>
        </w:tc>
        <w:tc>
          <w:tcPr>
            <w:tcW w:w="1134" w:type="dxa"/>
          </w:tcPr>
          <w:p w14:paraId="7A119CB2" w14:textId="13774268" w:rsidR="00CE22A2" w:rsidRPr="00070C35" w:rsidRDefault="008B4079" w:rsidP="00CC1644">
            <w:pPr>
              <w:pStyle w:val="TableText0"/>
            </w:pPr>
            <w:r w:rsidRPr="001E518D">
              <w:rPr>
                <w:color w:val="777777"/>
                <w:spacing w:val="54"/>
                <w:shd w:val="solid" w:color="000000" w:fill="000000"/>
                <w:fitText w:val="334" w:id="-760590077"/>
                <w14:textFill>
                  <w14:solidFill>
                    <w14:srgbClr w14:val="777777">
                      <w14:alpha w14:val="100000"/>
                    </w14:srgbClr>
                  </w14:solidFill>
                </w14:textFill>
              </w:rPr>
              <w:t>|||</w:t>
            </w:r>
            <w:r w:rsidRPr="001E518D">
              <w:rPr>
                <w:color w:val="777777"/>
                <w:spacing w:val="2"/>
                <w:shd w:val="solid" w:color="000000" w:fill="000000"/>
                <w:fitText w:val="334" w:id="-760590077"/>
                <w14:textFill>
                  <w14:solidFill>
                    <w14:srgbClr w14:val="777777">
                      <w14:alpha w14:val="100000"/>
                    </w14:srgbClr>
                  </w14:solidFill>
                </w14:textFill>
              </w:rPr>
              <w:t>|</w:t>
            </w:r>
            <w:r w:rsidR="003B3263" w:rsidRPr="0091041C">
              <w:rPr>
                <w:vertAlign w:val="superscript"/>
              </w:rPr>
              <w:t>1</w:t>
            </w:r>
          </w:p>
        </w:tc>
        <w:tc>
          <w:tcPr>
            <w:tcW w:w="1464" w:type="dxa"/>
          </w:tcPr>
          <w:p w14:paraId="10B54A7C" w14:textId="77777777" w:rsidR="00CE22A2" w:rsidRPr="00AB77A6" w:rsidRDefault="00CE22A2" w:rsidP="00CC1644">
            <w:pPr>
              <w:pStyle w:val="TableText0"/>
            </w:pPr>
            <w:r w:rsidRPr="00AB77A6">
              <w:t>-0.0431</w:t>
            </w:r>
          </w:p>
        </w:tc>
        <w:tc>
          <w:tcPr>
            <w:tcW w:w="1887" w:type="dxa"/>
          </w:tcPr>
          <w:p w14:paraId="15F7273B" w14:textId="1F638224" w:rsidR="00CE22A2" w:rsidRPr="00070C35" w:rsidRDefault="00CE22A2" w:rsidP="00CC1644">
            <w:pPr>
              <w:pStyle w:val="TableText0"/>
            </w:pPr>
            <w:r w:rsidRPr="00070C35">
              <w:t>$</w:t>
            </w:r>
            <w:r w:rsidR="008B4079" w:rsidRPr="001E518D">
              <w:rPr>
                <w:color w:val="777777"/>
                <w:spacing w:val="54"/>
                <w:shd w:val="solid" w:color="000000" w:fill="000000"/>
                <w:fitText w:val="333" w:id="-760590076"/>
                <w14:textFill>
                  <w14:solidFill>
                    <w14:srgbClr w14:val="777777">
                      <w14:alpha w14:val="100000"/>
                    </w14:srgbClr>
                  </w14:solidFill>
                </w14:textFill>
              </w:rPr>
              <w:t>|||</w:t>
            </w:r>
            <w:r w:rsidR="008B4079" w:rsidRPr="001E518D">
              <w:rPr>
                <w:color w:val="777777"/>
                <w:spacing w:val="1"/>
                <w:shd w:val="solid" w:color="000000" w:fill="000000"/>
                <w:fitText w:val="333" w:id="-760590076"/>
                <w14:textFill>
                  <w14:solidFill>
                    <w14:srgbClr w14:val="777777">
                      <w14:alpha w14:val="100000"/>
                    </w14:srgbClr>
                  </w14:solidFill>
                </w14:textFill>
              </w:rPr>
              <w:t>|</w:t>
            </w:r>
            <w:r w:rsidR="002939A8" w:rsidRPr="0091041C">
              <w:rPr>
                <w:vertAlign w:val="superscript"/>
              </w:rPr>
              <w:t>2</w:t>
            </w:r>
            <w:r w:rsidR="002939A8">
              <w:t xml:space="preserve"> </w:t>
            </w:r>
            <w:r w:rsidRPr="00070C35">
              <w:t>saved/ QALY lost</w:t>
            </w:r>
          </w:p>
        </w:tc>
      </w:tr>
      <w:tr w:rsidR="00CE22A2" w:rsidRPr="00070C35" w14:paraId="208DF74C" w14:textId="77777777" w:rsidTr="009A29C5">
        <w:trPr>
          <w:cantSplit/>
        </w:trPr>
        <w:tc>
          <w:tcPr>
            <w:tcW w:w="9016" w:type="dxa"/>
            <w:gridSpan w:val="5"/>
            <w:shd w:val="clear" w:color="auto" w:fill="D9D9D9" w:themeFill="background1" w:themeFillShade="D9"/>
          </w:tcPr>
          <w:p w14:paraId="7329AAE5" w14:textId="77777777" w:rsidR="00CE22A2" w:rsidRPr="00070C35" w:rsidRDefault="00CE22A2" w:rsidP="00CC1644">
            <w:pPr>
              <w:pStyle w:val="TableText0"/>
              <w:rPr>
                <w:b/>
                <w:bCs w:val="0"/>
              </w:rPr>
            </w:pPr>
            <w:r w:rsidRPr="00070C35">
              <w:rPr>
                <w:b/>
              </w:rPr>
              <w:t>Base case</w:t>
            </w:r>
          </w:p>
        </w:tc>
      </w:tr>
      <w:tr w:rsidR="00CE22A2" w:rsidRPr="00070C35" w14:paraId="48958BCC" w14:textId="77777777" w:rsidTr="009A29C5">
        <w:trPr>
          <w:cantSplit/>
        </w:trPr>
        <w:tc>
          <w:tcPr>
            <w:tcW w:w="3038" w:type="dxa"/>
          </w:tcPr>
          <w:p w14:paraId="0154EBDD" w14:textId="77777777" w:rsidR="00CE22A2" w:rsidRPr="00070C35" w:rsidRDefault="00CE22A2" w:rsidP="00CC1644">
            <w:pPr>
              <w:pStyle w:val="TableText0"/>
            </w:pPr>
            <w:r w:rsidRPr="00070C35">
              <w:t xml:space="preserve">Step 6: As above, discounted 5% p.a. </w:t>
            </w:r>
            <w:r w:rsidRPr="00070C35">
              <w:rPr>
                <w:b/>
                <w:bCs w:val="0"/>
              </w:rPr>
              <w:t>[Base case economic evaluation]</w:t>
            </w:r>
          </w:p>
        </w:tc>
        <w:tc>
          <w:tcPr>
            <w:tcW w:w="1493" w:type="dxa"/>
          </w:tcPr>
          <w:p w14:paraId="31E93B2D" w14:textId="77777777" w:rsidR="00CE22A2" w:rsidRPr="00070C35" w:rsidRDefault="00CE22A2" w:rsidP="00CC1644">
            <w:pPr>
              <w:pStyle w:val="TableText0"/>
            </w:pPr>
            <w:r w:rsidRPr="00070C35">
              <w:t>QALY</w:t>
            </w:r>
          </w:p>
        </w:tc>
        <w:tc>
          <w:tcPr>
            <w:tcW w:w="1134" w:type="dxa"/>
          </w:tcPr>
          <w:p w14:paraId="3FA45749" w14:textId="593424A7" w:rsidR="00CE22A2" w:rsidRPr="00070C35" w:rsidRDefault="008B4079" w:rsidP="00CC1644">
            <w:pPr>
              <w:pStyle w:val="TableText0"/>
            </w:pPr>
            <w:r w:rsidRPr="001E518D">
              <w:rPr>
                <w:color w:val="777777"/>
                <w:spacing w:val="54"/>
                <w:shd w:val="solid" w:color="000000" w:fill="000000"/>
                <w:fitText w:val="334" w:id="-760590075"/>
                <w14:textFill>
                  <w14:solidFill>
                    <w14:srgbClr w14:val="777777">
                      <w14:alpha w14:val="100000"/>
                    </w14:srgbClr>
                  </w14:solidFill>
                </w14:textFill>
              </w:rPr>
              <w:t>|||</w:t>
            </w:r>
            <w:r w:rsidRPr="001E518D">
              <w:rPr>
                <w:color w:val="777777"/>
                <w:spacing w:val="2"/>
                <w:shd w:val="solid" w:color="000000" w:fill="000000"/>
                <w:fitText w:val="334" w:id="-760590075"/>
                <w14:textFill>
                  <w14:solidFill>
                    <w14:srgbClr w14:val="777777">
                      <w14:alpha w14:val="100000"/>
                    </w14:srgbClr>
                  </w14:solidFill>
                </w14:textFill>
              </w:rPr>
              <w:t>|</w:t>
            </w:r>
            <w:r w:rsidR="003B3263" w:rsidRPr="0091041C">
              <w:rPr>
                <w:vertAlign w:val="superscript"/>
              </w:rPr>
              <w:t>1</w:t>
            </w:r>
          </w:p>
        </w:tc>
        <w:tc>
          <w:tcPr>
            <w:tcW w:w="1464" w:type="dxa"/>
          </w:tcPr>
          <w:p w14:paraId="2CBF9178" w14:textId="133A77D4" w:rsidR="00CE22A2" w:rsidRPr="00070C35" w:rsidRDefault="00CE22A2" w:rsidP="00CC1644">
            <w:pPr>
              <w:pStyle w:val="TableText0"/>
            </w:pPr>
            <w:r w:rsidRPr="00AB77A6">
              <w:t>-0.0399</w:t>
            </w:r>
          </w:p>
        </w:tc>
        <w:tc>
          <w:tcPr>
            <w:tcW w:w="1887" w:type="dxa"/>
          </w:tcPr>
          <w:p w14:paraId="4C3C83B5" w14:textId="11D9B322" w:rsidR="00CE22A2" w:rsidRPr="00070C35" w:rsidRDefault="00CE22A2" w:rsidP="00CC1644">
            <w:pPr>
              <w:pStyle w:val="TableText0"/>
            </w:pPr>
            <w:r w:rsidRPr="00070C35">
              <w:t>$</w:t>
            </w:r>
            <w:r w:rsidR="008B4079" w:rsidRPr="001E518D">
              <w:rPr>
                <w:color w:val="777777"/>
                <w:spacing w:val="54"/>
                <w:shd w:val="solid" w:color="000000" w:fill="000000"/>
                <w:fitText w:val="333" w:id="-760590074"/>
                <w14:textFill>
                  <w14:solidFill>
                    <w14:srgbClr w14:val="777777">
                      <w14:alpha w14:val="100000"/>
                    </w14:srgbClr>
                  </w14:solidFill>
                </w14:textFill>
              </w:rPr>
              <w:t>|||</w:t>
            </w:r>
            <w:r w:rsidR="008B4079" w:rsidRPr="001E518D">
              <w:rPr>
                <w:color w:val="777777"/>
                <w:spacing w:val="1"/>
                <w:shd w:val="solid" w:color="000000" w:fill="000000"/>
                <w:fitText w:val="333" w:id="-760590074"/>
                <w14:textFill>
                  <w14:solidFill>
                    <w14:srgbClr w14:val="777777">
                      <w14:alpha w14:val="100000"/>
                    </w14:srgbClr>
                  </w14:solidFill>
                </w14:textFill>
              </w:rPr>
              <w:t>|</w:t>
            </w:r>
            <w:r w:rsidR="00C61368" w:rsidRPr="0091041C">
              <w:rPr>
                <w:vertAlign w:val="superscript"/>
              </w:rPr>
              <w:t>2</w:t>
            </w:r>
            <w:r w:rsidRPr="00070C35">
              <w:t xml:space="preserve"> saved/ QALY lost</w:t>
            </w:r>
          </w:p>
        </w:tc>
      </w:tr>
    </w:tbl>
    <w:p w14:paraId="37851C4A" w14:textId="77777777" w:rsidR="00304AB4" w:rsidRPr="00070C35" w:rsidRDefault="001B3286" w:rsidP="00EA5F27">
      <w:pPr>
        <w:pStyle w:val="TableFigureFooter"/>
        <w:rPr>
          <w:iCs w:val="0"/>
        </w:rPr>
      </w:pPr>
      <w:r w:rsidRPr="00070C35">
        <w:rPr>
          <w:iCs w:val="0"/>
        </w:rPr>
        <w:t>Source: Table 3.12.2, p115 of the submission.</w:t>
      </w:r>
    </w:p>
    <w:p w14:paraId="43CA9824" w14:textId="77777777" w:rsidR="003E6CCB" w:rsidRDefault="00CE22A2" w:rsidP="003E6CCB">
      <w:pPr>
        <w:pStyle w:val="TableFigureFooter"/>
      </w:pPr>
      <w:r w:rsidRPr="00070C35">
        <w:rPr>
          <w:iCs w:val="0"/>
        </w:rPr>
        <w:t>DLQI = Dermatology Life Quality Index; DLQI≥4 = Proportion of patients with improvement in baseline DLQI of ≥4 points from baseline; EASI = Eczema Assessment Severity Index;</w:t>
      </w:r>
      <w:r w:rsidR="00EA49EE" w:rsidRPr="00070C35">
        <w:rPr>
          <w:iCs w:val="0"/>
        </w:rPr>
        <w:t xml:space="preserve"> mITT = modified intent to treat;</w:t>
      </w:r>
      <w:r w:rsidRPr="00070C35">
        <w:rPr>
          <w:iCs w:val="0"/>
        </w:rPr>
        <w:t xml:space="preserve"> PBS = Pharmaceutical Benefits Scheme; QALY = Quality-adjusted life-year</w:t>
      </w:r>
      <w:r w:rsidR="003E6CCB" w:rsidRPr="003E6CCB">
        <w:t xml:space="preserve"> </w:t>
      </w:r>
    </w:p>
    <w:p w14:paraId="17986C1E" w14:textId="77777777" w:rsidR="0056033D" w:rsidRPr="0091041C" w:rsidRDefault="003E6CCB" w:rsidP="0056033D">
      <w:pPr>
        <w:pStyle w:val="TableFigureFooter"/>
        <w:rPr>
          <w:i/>
        </w:rPr>
      </w:pPr>
      <w:r w:rsidRPr="0091041C">
        <w:rPr>
          <w:i/>
        </w:rPr>
        <w:t>The redacted values correspond to the following ranges:</w:t>
      </w:r>
      <w:r w:rsidR="0056033D" w:rsidRPr="0091041C">
        <w:rPr>
          <w:i/>
        </w:rPr>
        <w:t xml:space="preserve"> </w:t>
      </w:r>
    </w:p>
    <w:p w14:paraId="6C74F0E6" w14:textId="1530000E" w:rsidR="0056033D" w:rsidRPr="0091041C" w:rsidRDefault="0056033D" w:rsidP="0056033D">
      <w:pPr>
        <w:pStyle w:val="TableFigureFooter"/>
        <w:rPr>
          <w:i/>
        </w:rPr>
      </w:pPr>
      <w:r w:rsidRPr="0091041C">
        <w:rPr>
          <w:i/>
          <w:vertAlign w:val="superscript"/>
        </w:rPr>
        <w:t>1</w:t>
      </w:r>
      <w:r w:rsidRPr="0091041C">
        <w:rPr>
          <w:i/>
        </w:rPr>
        <w:t xml:space="preserve"> Dominant</w:t>
      </w:r>
    </w:p>
    <w:p w14:paraId="14C99763" w14:textId="6D4C3549" w:rsidR="00C9076B" w:rsidRPr="0091041C" w:rsidRDefault="00D31F20" w:rsidP="002F7639">
      <w:pPr>
        <w:pStyle w:val="TableFigureFooter"/>
        <w:rPr>
          <w:i/>
        </w:rPr>
      </w:pPr>
      <w:r w:rsidRPr="0091041C">
        <w:rPr>
          <w:i/>
          <w:vertAlign w:val="superscript"/>
        </w:rPr>
        <w:t>2</w:t>
      </w:r>
      <w:r w:rsidRPr="0091041C">
        <w:rPr>
          <w:i/>
        </w:rPr>
        <w:t xml:space="preserve"> </w:t>
      </w:r>
      <w:r w:rsidR="0056033D" w:rsidRPr="0091041C">
        <w:rPr>
          <w:i/>
        </w:rPr>
        <w:t>$75,000 to &lt; $95,000</w:t>
      </w:r>
    </w:p>
    <w:p w14:paraId="65285419" w14:textId="6F27C8FF" w:rsidR="00797AB2" w:rsidRPr="0059064A" w:rsidRDefault="00797AB2" w:rsidP="00797AB2">
      <w:pPr>
        <w:pStyle w:val="3-BodyText"/>
        <w:rPr>
          <w:lang w:eastAsia="en-US"/>
        </w:rPr>
      </w:pPr>
      <w:r w:rsidRPr="00E574CC">
        <w:rPr>
          <w:iCs/>
        </w:rPr>
        <w:t>The ESC considered that there was inherent uncertainty regarding</w:t>
      </w:r>
      <w:r w:rsidR="0032765C" w:rsidRPr="00E574CC">
        <w:rPr>
          <w:iCs/>
        </w:rPr>
        <w:t xml:space="preserve"> the</w:t>
      </w:r>
      <w:r w:rsidRPr="00E574CC">
        <w:rPr>
          <w:iCs/>
        </w:rPr>
        <w:t xml:space="preserve"> ICER because the magnitude of difference between 100 mg ABRO and DUPI was uncertain due to the limitations of the evidence related to the post hoc nature of the analyses in small subgroups. </w:t>
      </w:r>
    </w:p>
    <w:p w14:paraId="1443C198" w14:textId="029A4241" w:rsidR="00CE22A2" w:rsidRPr="00070C35" w:rsidRDefault="00CE22A2" w:rsidP="00CA7A7F">
      <w:pPr>
        <w:pStyle w:val="3-BodyText"/>
      </w:pPr>
      <w:r w:rsidRPr="00070C35">
        <w:t>The model was primarily sensitive to assumptions regarding treatment waning (loss of treatment effect over time that resulted in the transition from responder to non</w:t>
      </w:r>
      <w:r w:rsidR="002A1F95" w:rsidRPr="00070C35">
        <w:noBreakHyphen/>
      </w:r>
      <w:r w:rsidRPr="00070C35">
        <w:t xml:space="preserve">responder) and to the estimate of discontinuation. These two estimates </w:t>
      </w:r>
      <w:r w:rsidR="00407CAA" w:rsidRPr="00070C35">
        <w:t xml:space="preserve">(treatment waning and discontinuation rates) </w:t>
      </w:r>
      <w:r w:rsidRPr="00070C35">
        <w:t xml:space="preserve">are highly uncertain, particularly the assumption that they are the same in both arms over the duration of the model. No </w:t>
      </w:r>
      <w:r w:rsidR="00C62998" w:rsidRPr="00070C35">
        <w:t>long-term</w:t>
      </w:r>
      <w:r w:rsidRPr="00070C35">
        <w:t xml:space="preserve"> data were provided to support the model predictions in terms of either long</w:t>
      </w:r>
      <w:r w:rsidR="00C62998" w:rsidRPr="00070C35">
        <w:t>-</w:t>
      </w:r>
      <w:r w:rsidRPr="00070C35">
        <w:t>term discontinuations or long</w:t>
      </w:r>
      <w:r w:rsidR="00C62998" w:rsidRPr="00070C35">
        <w:t>-</w:t>
      </w:r>
      <w:r w:rsidRPr="00070C35">
        <w:t xml:space="preserve">term treatment effect. The assumption that discontinuations and loss of treatment effect was the same across treatment arms forced the convergence of the responder curves (as applying the same proportional loss of treatment effect or discontinuation in the </w:t>
      </w:r>
      <w:r w:rsidR="00E93878" w:rsidRPr="00070C35">
        <w:t>DUPI</w:t>
      </w:r>
      <w:r w:rsidRPr="00070C35">
        <w:t xml:space="preserve"> arm results in a larger absolute number of transitions to nonresponse, as the starting proportion of responders is higher).</w:t>
      </w:r>
    </w:p>
    <w:p w14:paraId="0666AB2E" w14:textId="10049389" w:rsidR="00CE22A2" w:rsidRPr="00070C35" w:rsidRDefault="00CE22A2" w:rsidP="00CE22A2">
      <w:pPr>
        <w:pStyle w:val="Caption"/>
      </w:pPr>
      <w:bookmarkStart w:id="71" w:name="_Ref176703402"/>
      <w:bookmarkStart w:id="72" w:name="_Ref183088812"/>
      <w:bookmarkStart w:id="73" w:name="_Ref180357565"/>
      <w:r w:rsidRPr="00070C35">
        <w:lastRenderedPageBreak/>
        <w:t xml:space="preserve">Table </w:t>
      </w:r>
      <w:r>
        <w:fldChar w:fldCharType="begin" w:fldLock="1"/>
      </w:r>
      <w:r>
        <w:instrText xml:space="preserve"> SEQ Table \* ARABIC </w:instrText>
      </w:r>
      <w:r>
        <w:fldChar w:fldCharType="separate"/>
      </w:r>
      <w:r w:rsidR="004F2A70">
        <w:rPr>
          <w:noProof/>
        </w:rPr>
        <w:t>13</w:t>
      </w:r>
      <w:r>
        <w:rPr>
          <w:noProof/>
        </w:rPr>
        <w:fldChar w:fldCharType="end"/>
      </w:r>
      <w:bookmarkEnd w:id="71"/>
      <w:bookmarkEnd w:id="72"/>
      <w:r w:rsidRPr="00070C35">
        <w:t>: Results of sensitivity analyses performed during the evaluation</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88"/>
        <w:gridCol w:w="1333"/>
        <w:gridCol w:w="1393"/>
        <w:gridCol w:w="1140"/>
      </w:tblGrid>
      <w:tr w:rsidR="00CE22A2" w:rsidRPr="00070C35" w14:paraId="4FA5A0C9" w14:textId="77777777" w:rsidTr="59491ECF">
        <w:trPr>
          <w:tblHeader/>
        </w:trPr>
        <w:tc>
          <w:tcPr>
            <w:tcW w:w="562" w:type="dxa"/>
          </w:tcPr>
          <w:p w14:paraId="2BC1B7B6" w14:textId="77777777" w:rsidR="00CE22A2" w:rsidRPr="00070C35" w:rsidRDefault="00CE22A2" w:rsidP="006A5357">
            <w:pPr>
              <w:pStyle w:val="In-tableHeading"/>
              <w:rPr>
                <w:i w:val="0"/>
                <w:iCs w:val="0"/>
              </w:rPr>
            </w:pPr>
          </w:p>
        </w:tc>
        <w:tc>
          <w:tcPr>
            <w:tcW w:w="4589" w:type="dxa"/>
          </w:tcPr>
          <w:p w14:paraId="41B19D34" w14:textId="77777777" w:rsidR="00CE22A2" w:rsidRPr="00070C35" w:rsidRDefault="00CE22A2" w:rsidP="006A5357">
            <w:pPr>
              <w:pStyle w:val="In-tableHeading"/>
              <w:rPr>
                <w:i w:val="0"/>
                <w:iCs w:val="0"/>
              </w:rPr>
            </w:pPr>
            <w:r w:rsidRPr="00070C35">
              <w:rPr>
                <w:i w:val="0"/>
                <w:iCs w:val="0"/>
              </w:rPr>
              <w:t>Analyses</w:t>
            </w:r>
          </w:p>
        </w:tc>
        <w:tc>
          <w:tcPr>
            <w:tcW w:w="1333" w:type="dxa"/>
          </w:tcPr>
          <w:p w14:paraId="55E8B6CC" w14:textId="77777777" w:rsidR="00CE22A2" w:rsidRPr="00070C35" w:rsidRDefault="00CE22A2" w:rsidP="006A5357">
            <w:pPr>
              <w:pStyle w:val="In-tableHeading"/>
              <w:rPr>
                <w:i w:val="0"/>
                <w:iCs w:val="0"/>
              </w:rPr>
            </w:pPr>
            <w:r w:rsidRPr="00070C35">
              <w:rPr>
                <w:i w:val="0"/>
                <w:iCs w:val="0"/>
              </w:rPr>
              <w:t>Incremental cost</w:t>
            </w:r>
          </w:p>
        </w:tc>
        <w:tc>
          <w:tcPr>
            <w:tcW w:w="1393" w:type="dxa"/>
          </w:tcPr>
          <w:p w14:paraId="5BB980F5" w14:textId="77777777" w:rsidR="00CE22A2" w:rsidRPr="00070C35" w:rsidRDefault="00CE22A2" w:rsidP="006A5357">
            <w:pPr>
              <w:pStyle w:val="In-tableHeading"/>
              <w:rPr>
                <w:i w:val="0"/>
                <w:iCs w:val="0"/>
              </w:rPr>
            </w:pPr>
            <w:r w:rsidRPr="00070C35">
              <w:rPr>
                <w:i w:val="0"/>
                <w:iCs w:val="0"/>
              </w:rPr>
              <w:t>Incremental QALY</w:t>
            </w:r>
          </w:p>
        </w:tc>
        <w:tc>
          <w:tcPr>
            <w:tcW w:w="1140" w:type="dxa"/>
          </w:tcPr>
          <w:p w14:paraId="76951077" w14:textId="77777777" w:rsidR="00CE22A2" w:rsidRPr="00070C35" w:rsidRDefault="00CE22A2" w:rsidP="006A5357">
            <w:pPr>
              <w:pStyle w:val="In-tableHeading"/>
              <w:rPr>
                <w:i w:val="0"/>
                <w:iCs w:val="0"/>
              </w:rPr>
            </w:pPr>
            <w:r w:rsidRPr="00070C35">
              <w:rPr>
                <w:i w:val="0"/>
                <w:iCs w:val="0"/>
              </w:rPr>
              <w:t>ICER</w:t>
            </w:r>
          </w:p>
        </w:tc>
      </w:tr>
      <w:tr w:rsidR="00CE22A2" w:rsidRPr="00070C35" w14:paraId="5D824416" w14:textId="77777777" w:rsidTr="59491ECF">
        <w:tc>
          <w:tcPr>
            <w:tcW w:w="5151" w:type="dxa"/>
            <w:gridSpan w:val="2"/>
          </w:tcPr>
          <w:p w14:paraId="20162D17" w14:textId="77777777" w:rsidR="00CE22A2" w:rsidRPr="00070C35" w:rsidRDefault="00CE22A2" w:rsidP="00CC1644">
            <w:pPr>
              <w:pStyle w:val="TableText0"/>
              <w:rPr>
                <w:b/>
                <w:bCs w:val="0"/>
              </w:rPr>
            </w:pPr>
            <w:r w:rsidRPr="00070C35">
              <w:rPr>
                <w:rFonts w:cs="Calibri"/>
                <w:b/>
                <w:bCs w:val="0"/>
                <w:color w:val="000000"/>
              </w:rPr>
              <w:t>Base case</w:t>
            </w:r>
          </w:p>
        </w:tc>
        <w:tc>
          <w:tcPr>
            <w:tcW w:w="1333" w:type="dxa"/>
            <w:vAlign w:val="bottom"/>
          </w:tcPr>
          <w:p w14:paraId="0DCC9EAE" w14:textId="7937900B"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73"/>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73"/>
                <w14:textFill>
                  <w14:solidFill>
                    <w14:srgbClr w14:val="777777">
                      <w14:alpha w14:val="100000"/>
                    </w14:srgbClr>
                  </w14:solidFill>
                </w14:textFill>
              </w:rPr>
              <w:t>|</w:t>
            </w:r>
          </w:p>
        </w:tc>
        <w:tc>
          <w:tcPr>
            <w:tcW w:w="1393" w:type="dxa"/>
            <w:vAlign w:val="bottom"/>
          </w:tcPr>
          <w:p w14:paraId="7DF02C15" w14:textId="77777777" w:rsidR="00CE22A2" w:rsidRPr="00070C35" w:rsidRDefault="00CE22A2" w:rsidP="00CC1644">
            <w:pPr>
              <w:pStyle w:val="TableText0"/>
            </w:pPr>
            <w:r w:rsidRPr="00070C35">
              <w:rPr>
                <w:rFonts w:cs="Calibri"/>
                <w:color w:val="000000"/>
              </w:rPr>
              <w:t xml:space="preserve">-0.0399 </w:t>
            </w:r>
          </w:p>
        </w:tc>
        <w:tc>
          <w:tcPr>
            <w:tcW w:w="1140" w:type="dxa"/>
            <w:vAlign w:val="bottom"/>
          </w:tcPr>
          <w:p w14:paraId="01D82EA6" w14:textId="39184D90" w:rsidR="00CE22A2" w:rsidRPr="00070C35" w:rsidRDefault="008B4079" w:rsidP="00CC1644">
            <w:pPr>
              <w:pStyle w:val="TableText0"/>
            </w:pPr>
            <w:r w:rsidRPr="001E518D">
              <w:rPr>
                <w:rFonts w:cs="Calibri"/>
                <w:color w:val="777777"/>
                <w:spacing w:val="54"/>
                <w:shd w:val="solid" w:color="000000" w:fill="000000"/>
                <w:fitText w:val="334" w:id="-760590072"/>
                <w14:textFill>
                  <w14:solidFill>
                    <w14:srgbClr w14:val="777777">
                      <w14:alpha w14:val="100000"/>
                    </w14:srgbClr>
                  </w14:solidFill>
                </w14:textFill>
              </w:rPr>
              <w:t>|||</w:t>
            </w:r>
            <w:r w:rsidRPr="001E518D">
              <w:rPr>
                <w:rFonts w:cs="Calibri"/>
                <w:color w:val="777777"/>
                <w:spacing w:val="2"/>
                <w:shd w:val="solid" w:color="000000" w:fill="000000"/>
                <w:fitText w:val="334" w:id="-760590072"/>
                <w14:textFill>
                  <w14:solidFill>
                    <w14:srgbClr w14:val="777777">
                      <w14:alpha w14:val="100000"/>
                    </w14:srgbClr>
                  </w14:solidFill>
                </w14:textFill>
              </w:rPr>
              <w:t>|</w:t>
            </w:r>
            <w:r w:rsidR="00DB016A" w:rsidRPr="0091041C">
              <w:rPr>
                <w:rFonts w:cs="Calibri"/>
                <w:color w:val="000000"/>
                <w:vertAlign w:val="superscript"/>
              </w:rPr>
              <w:t>1</w:t>
            </w:r>
          </w:p>
        </w:tc>
      </w:tr>
      <w:tr w:rsidR="00CE22A2" w:rsidRPr="00070C35" w14:paraId="28E9CA38" w14:textId="77777777" w:rsidTr="59491ECF">
        <w:tc>
          <w:tcPr>
            <w:tcW w:w="9017" w:type="dxa"/>
            <w:gridSpan w:val="5"/>
          </w:tcPr>
          <w:p w14:paraId="697AD928" w14:textId="77777777" w:rsidR="00CE22A2" w:rsidRPr="00070C35" w:rsidRDefault="00CE22A2" w:rsidP="00CC1644">
            <w:pPr>
              <w:pStyle w:val="TableText0"/>
              <w:rPr>
                <w:b/>
                <w:bCs w:val="0"/>
              </w:rPr>
            </w:pPr>
            <w:r w:rsidRPr="00070C35">
              <w:rPr>
                <w:rFonts w:cs="Calibri"/>
                <w:b/>
                <w:bCs w:val="0"/>
                <w:color w:val="000000"/>
              </w:rPr>
              <w:t>Time horizon (base case: 5 years)</w:t>
            </w:r>
          </w:p>
        </w:tc>
      </w:tr>
      <w:tr w:rsidR="00CE22A2" w:rsidRPr="00070C35" w14:paraId="68122D73" w14:textId="77777777" w:rsidTr="59491ECF">
        <w:tc>
          <w:tcPr>
            <w:tcW w:w="562" w:type="dxa"/>
          </w:tcPr>
          <w:p w14:paraId="2BFF9565" w14:textId="77777777" w:rsidR="00CE22A2" w:rsidRPr="00070C35" w:rsidRDefault="00CE22A2" w:rsidP="00CC1644">
            <w:pPr>
              <w:pStyle w:val="TableText0"/>
              <w:rPr>
                <w:rFonts w:cs="Calibri"/>
                <w:color w:val="000000"/>
              </w:rPr>
            </w:pPr>
          </w:p>
        </w:tc>
        <w:tc>
          <w:tcPr>
            <w:tcW w:w="4589" w:type="dxa"/>
            <w:vAlign w:val="bottom"/>
          </w:tcPr>
          <w:p w14:paraId="07130F5F" w14:textId="77777777" w:rsidR="00CE22A2" w:rsidRPr="00070C35" w:rsidRDefault="00CE22A2" w:rsidP="00CC1644">
            <w:pPr>
              <w:pStyle w:val="TableText0"/>
            </w:pPr>
            <w:r w:rsidRPr="00070C35">
              <w:rPr>
                <w:rFonts w:cs="Calibri"/>
                <w:color w:val="000000"/>
              </w:rPr>
              <w:t>2 years</w:t>
            </w:r>
          </w:p>
        </w:tc>
        <w:tc>
          <w:tcPr>
            <w:tcW w:w="1333" w:type="dxa"/>
            <w:vAlign w:val="bottom"/>
          </w:tcPr>
          <w:p w14:paraId="01417486" w14:textId="1F08B1ED"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71"/>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71"/>
                <w14:textFill>
                  <w14:solidFill>
                    <w14:srgbClr w14:val="777777">
                      <w14:alpha w14:val="100000"/>
                    </w14:srgbClr>
                  </w14:solidFill>
                </w14:textFill>
              </w:rPr>
              <w:t>|</w:t>
            </w:r>
          </w:p>
        </w:tc>
        <w:tc>
          <w:tcPr>
            <w:tcW w:w="1393" w:type="dxa"/>
            <w:vAlign w:val="bottom"/>
          </w:tcPr>
          <w:p w14:paraId="471FF752" w14:textId="77777777" w:rsidR="00CE22A2" w:rsidRPr="00070C35" w:rsidRDefault="00CE22A2" w:rsidP="00CC1644">
            <w:pPr>
              <w:pStyle w:val="TableText0"/>
            </w:pPr>
            <w:r w:rsidRPr="00070C35">
              <w:rPr>
                <w:rFonts w:cs="Calibri"/>
                <w:color w:val="000000"/>
              </w:rPr>
              <w:t xml:space="preserve">-0.0243 </w:t>
            </w:r>
          </w:p>
        </w:tc>
        <w:tc>
          <w:tcPr>
            <w:tcW w:w="1140" w:type="dxa"/>
            <w:vAlign w:val="bottom"/>
          </w:tcPr>
          <w:p w14:paraId="305FD8F0" w14:textId="3D479BDA" w:rsidR="00CE22A2" w:rsidRPr="00070C35" w:rsidRDefault="008B4079" w:rsidP="00CC1644">
            <w:pPr>
              <w:pStyle w:val="TableText0"/>
            </w:pPr>
            <w:r w:rsidRPr="001E518D">
              <w:rPr>
                <w:rFonts w:cs="Calibri"/>
                <w:color w:val="777777"/>
                <w:spacing w:val="54"/>
                <w:shd w:val="solid" w:color="000000" w:fill="000000"/>
                <w:fitText w:val="334" w:id="-760590070"/>
                <w14:textFill>
                  <w14:solidFill>
                    <w14:srgbClr w14:val="777777">
                      <w14:alpha w14:val="100000"/>
                    </w14:srgbClr>
                  </w14:solidFill>
                </w14:textFill>
              </w:rPr>
              <w:t>|||</w:t>
            </w:r>
            <w:r w:rsidRPr="001E518D">
              <w:rPr>
                <w:rFonts w:cs="Calibri"/>
                <w:color w:val="777777"/>
                <w:spacing w:val="2"/>
                <w:shd w:val="solid" w:color="000000" w:fill="000000"/>
                <w:fitText w:val="334" w:id="-760590070"/>
                <w14:textFill>
                  <w14:solidFill>
                    <w14:srgbClr w14:val="777777">
                      <w14:alpha w14:val="100000"/>
                    </w14:srgbClr>
                  </w14:solidFill>
                </w14:textFill>
              </w:rPr>
              <w:t>|</w:t>
            </w:r>
            <w:r w:rsidR="00900030" w:rsidRPr="0091041C">
              <w:rPr>
                <w:rFonts w:cs="Calibri"/>
                <w:color w:val="000000"/>
                <w:vertAlign w:val="superscript"/>
              </w:rPr>
              <w:t>2</w:t>
            </w:r>
          </w:p>
        </w:tc>
      </w:tr>
      <w:tr w:rsidR="00CE22A2" w:rsidRPr="00070C35" w14:paraId="47C380F6" w14:textId="77777777" w:rsidTr="59491ECF">
        <w:tc>
          <w:tcPr>
            <w:tcW w:w="562" w:type="dxa"/>
          </w:tcPr>
          <w:p w14:paraId="1C6692CF" w14:textId="77777777" w:rsidR="00CE22A2" w:rsidRPr="00070C35" w:rsidRDefault="00CE22A2" w:rsidP="00CC1644">
            <w:pPr>
              <w:pStyle w:val="TableText0"/>
              <w:rPr>
                <w:rFonts w:cs="Calibri"/>
                <w:color w:val="000000"/>
              </w:rPr>
            </w:pPr>
          </w:p>
        </w:tc>
        <w:tc>
          <w:tcPr>
            <w:tcW w:w="4589" w:type="dxa"/>
            <w:vAlign w:val="bottom"/>
          </w:tcPr>
          <w:p w14:paraId="261AD69C" w14:textId="77777777" w:rsidR="00CE22A2" w:rsidRPr="00070C35" w:rsidRDefault="00CE22A2" w:rsidP="00CC1644">
            <w:pPr>
              <w:pStyle w:val="TableText0"/>
            </w:pPr>
            <w:r w:rsidRPr="00070C35">
              <w:rPr>
                <w:rFonts w:cs="Calibri"/>
                <w:color w:val="000000"/>
              </w:rPr>
              <w:t>10 years</w:t>
            </w:r>
          </w:p>
        </w:tc>
        <w:tc>
          <w:tcPr>
            <w:tcW w:w="1333" w:type="dxa"/>
            <w:vAlign w:val="bottom"/>
          </w:tcPr>
          <w:p w14:paraId="6EA7D61E" w14:textId="2939B6AB"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69"/>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69"/>
                <w14:textFill>
                  <w14:solidFill>
                    <w14:srgbClr w14:val="777777">
                      <w14:alpha w14:val="100000"/>
                    </w14:srgbClr>
                  </w14:solidFill>
                </w14:textFill>
              </w:rPr>
              <w:t>|</w:t>
            </w:r>
          </w:p>
        </w:tc>
        <w:tc>
          <w:tcPr>
            <w:tcW w:w="1393" w:type="dxa"/>
            <w:vAlign w:val="bottom"/>
          </w:tcPr>
          <w:p w14:paraId="37CE26A0" w14:textId="77777777" w:rsidR="00CE22A2" w:rsidRPr="00070C35" w:rsidRDefault="00CE22A2" w:rsidP="00CC1644">
            <w:pPr>
              <w:pStyle w:val="TableText0"/>
            </w:pPr>
            <w:r w:rsidRPr="00070C35">
              <w:rPr>
                <w:rFonts w:cs="Calibri"/>
                <w:color w:val="000000"/>
              </w:rPr>
              <w:t xml:space="preserve">-0.0471 </w:t>
            </w:r>
          </w:p>
        </w:tc>
        <w:tc>
          <w:tcPr>
            <w:tcW w:w="1140" w:type="dxa"/>
            <w:vAlign w:val="bottom"/>
          </w:tcPr>
          <w:p w14:paraId="7AAC86FD" w14:textId="4A03131C" w:rsidR="00CE22A2" w:rsidRPr="00070C35" w:rsidRDefault="008B4079" w:rsidP="00CC1644">
            <w:pPr>
              <w:pStyle w:val="TableText0"/>
            </w:pPr>
            <w:r w:rsidRPr="001E518D">
              <w:rPr>
                <w:rFonts w:cs="Calibri"/>
                <w:color w:val="777777"/>
                <w:spacing w:val="54"/>
                <w:shd w:val="solid" w:color="000000" w:fill="000000"/>
                <w:fitText w:val="334" w:id="-760590068"/>
                <w14:textFill>
                  <w14:solidFill>
                    <w14:srgbClr w14:val="777777">
                      <w14:alpha w14:val="100000"/>
                    </w14:srgbClr>
                  </w14:solidFill>
                </w14:textFill>
              </w:rPr>
              <w:t>|||</w:t>
            </w:r>
            <w:r w:rsidRPr="001E518D">
              <w:rPr>
                <w:rFonts w:cs="Calibri"/>
                <w:color w:val="777777"/>
                <w:spacing w:val="2"/>
                <w:shd w:val="solid" w:color="000000" w:fill="000000"/>
                <w:fitText w:val="334" w:id="-760590068"/>
                <w14:textFill>
                  <w14:solidFill>
                    <w14:srgbClr w14:val="777777">
                      <w14:alpha w14:val="100000"/>
                    </w14:srgbClr>
                  </w14:solidFill>
                </w14:textFill>
              </w:rPr>
              <w:t>|</w:t>
            </w:r>
            <w:r w:rsidR="00DB016A" w:rsidRPr="00830C63">
              <w:rPr>
                <w:rFonts w:cs="Calibri"/>
                <w:color w:val="000000"/>
                <w:vertAlign w:val="superscript"/>
              </w:rPr>
              <w:t>1</w:t>
            </w:r>
          </w:p>
        </w:tc>
      </w:tr>
      <w:tr w:rsidR="00CE22A2" w:rsidRPr="00070C35" w14:paraId="095F542C" w14:textId="77777777" w:rsidTr="59491ECF">
        <w:tc>
          <w:tcPr>
            <w:tcW w:w="9017" w:type="dxa"/>
            <w:gridSpan w:val="5"/>
          </w:tcPr>
          <w:p w14:paraId="32372A52" w14:textId="04618653" w:rsidR="00CE22A2" w:rsidRPr="00070C35" w:rsidRDefault="00CE22A2" w:rsidP="00CC1644">
            <w:pPr>
              <w:pStyle w:val="TableText0"/>
              <w:rPr>
                <w:b/>
                <w:bCs w:val="0"/>
              </w:rPr>
            </w:pPr>
            <w:r w:rsidRPr="00070C35">
              <w:rPr>
                <w:rFonts w:cs="Calibri"/>
                <w:b/>
                <w:bCs w:val="0"/>
                <w:color w:val="000000"/>
              </w:rPr>
              <w:t xml:space="preserve">Discontinuation (base case: 6.3% per annum for both </w:t>
            </w:r>
            <w:r w:rsidR="00E93878" w:rsidRPr="00070C35">
              <w:rPr>
                <w:rFonts w:cs="Calibri"/>
                <w:b/>
                <w:bCs w:val="0"/>
                <w:color w:val="000000"/>
              </w:rPr>
              <w:t>ABRO</w:t>
            </w:r>
            <w:r w:rsidRPr="00070C35">
              <w:rPr>
                <w:rFonts w:cs="Calibri"/>
                <w:b/>
                <w:bCs w:val="0"/>
                <w:color w:val="000000"/>
              </w:rPr>
              <w:t xml:space="preserve"> and </w:t>
            </w:r>
            <w:r w:rsidR="00E93878" w:rsidRPr="00070C35">
              <w:rPr>
                <w:rFonts w:cs="Calibri"/>
                <w:b/>
                <w:bCs w:val="0"/>
                <w:color w:val="000000"/>
              </w:rPr>
              <w:t>DUPI</w:t>
            </w:r>
            <w:r w:rsidRPr="00070C35">
              <w:rPr>
                <w:rFonts w:cs="Calibri"/>
                <w:b/>
                <w:bCs w:val="0"/>
                <w:color w:val="000000"/>
              </w:rPr>
              <w:t>)</w:t>
            </w:r>
          </w:p>
        </w:tc>
      </w:tr>
      <w:tr w:rsidR="00CE22A2" w:rsidRPr="00070C35" w14:paraId="2B78E0FB" w14:textId="77777777" w:rsidTr="59491ECF">
        <w:tc>
          <w:tcPr>
            <w:tcW w:w="562" w:type="dxa"/>
          </w:tcPr>
          <w:p w14:paraId="292CE14B" w14:textId="77777777" w:rsidR="00CE22A2" w:rsidRPr="00070C35" w:rsidRDefault="00CE22A2" w:rsidP="00CC1644">
            <w:pPr>
              <w:pStyle w:val="TableText0"/>
              <w:rPr>
                <w:rFonts w:cs="Calibri"/>
                <w:color w:val="000000"/>
              </w:rPr>
            </w:pPr>
            <w:r w:rsidRPr="00070C35">
              <w:rPr>
                <w:rFonts w:cs="Calibri"/>
                <w:color w:val="000000"/>
              </w:rPr>
              <w:t>1</w:t>
            </w:r>
          </w:p>
        </w:tc>
        <w:tc>
          <w:tcPr>
            <w:tcW w:w="4589" w:type="dxa"/>
            <w:vAlign w:val="bottom"/>
          </w:tcPr>
          <w:p w14:paraId="39CBD4C3" w14:textId="7C47B1B9" w:rsidR="00CE22A2" w:rsidRPr="00070C35" w:rsidRDefault="00CE22A2" w:rsidP="00CC1644">
            <w:pPr>
              <w:pStyle w:val="TableText0"/>
            </w:pPr>
            <w:r w:rsidRPr="00070C35">
              <w:rPr>
                <w:rFonts w:cs="Calibri"/>
                <w:color w:val="000000"/>
              </w:rPr>
              <w:t xml:space="preserve">6.3% for </w:t>
            </w:r>
            <w:r w:rsidR="001E3A3B" w:rsidRPr="00070C35">
              <w:rPr>
                <w:rFonts w:cs="Calibri"/>
                <w:color w:val="000000"/>
              </w:rPr>
              <w:t>ABRO</w:t>
            </w:r>
            <w:r w:rsidRPr="00070C35">
              <w:rPr>
                <w:rFonts w:cs="Calibri"/>
                <w:color w:val="000000"/>
              </w:rPr>
              <w:t xml:space="preserve">, 5% for </w:t>
            </w:r>
            <w:r w:rsidR="00E93878" w:rsidRPr="00070C35">
              <w:rPr>
                <w:rFonts w:cs="Calibri"/>
                <w:color w:val="000000"/>
              </w:rPr>
              <w:t>DUPI</w:t>
            </w:r>
          </w:p>
        </w:tc>
        <w:tc>
          <w:tcPr>
            <w:tcW w:w="1333" w:type="dxa"/>
            <w:vAlign w:val="bottom"/>
          </w:tcPr>
          <w:p w14:paraId="5BAE0080" w14:textId="73312437"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67"/>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67"/>
                <w14:textFill>
                  <w14:solidFill>
                    <w14:srgbClr w14:val="777777">
                      <w14:alpha w14:val="100000"/>
                    </w14:srgbClr>
                  </w14:solidFill>
                </w14:textFill>
              </w:rPr>
              <w:t>|</w:t>
            </w:r>
          </w:p>
        </w:tc>
        <w:tc>
          <w:tcPr>
            <w:tcW w:w="1393" w:type="dxa"/>
            <w:vAlign w:val="bottom"/>
          </w:tcPr>
          <w:p w14:paraId="3D56092A" w14:textId="77777777" w:rsidR="00CE22A2" w:rsidRPr="00070C35" w:rsidRDefault="00CE22A2" w:rsidP="00CC1644">
            <w:pPr>
              <w:pStyle w:val="TableText0"/>
            </w:pPr>
            <w:r w:rsidRPr="00070C35">
              <w:rPr>
                <w:rFonts w:cs="Calibri"/>
                <w:color w:val="000000"/>
              </w:rPr>
              <w:t xml:space="preserve">-0.0503 </w:t>
            </w:r>
          </w:p>
        </w:tc>
        <w:tc>
          <w:tcPr>
            <w:tcW w:w="1140" w:type="dxa"/>
            <w:vAlign w:val="bottom"/>
          </w:tcPr>
          <w:p w14:paraId="28AA61DB" w14:textId="11DFBCF7" w:rsidR="00CE22A2" w:rsidRPr="00070C35" w:rsidRDefault="008B4079" w:rsidP="00CC1644">
            <w:pPr>
              <w:pStyle w:val="TableText0"/>
            </w:pPr>
            <w:r w:rsidRPr="001E518D">
              <w:rPr>
                <w:rFonts w:cs="Calibri"/>
                <w:color w:val="777777"/>
                <w:spacing w:val="54"/>
                <w:shd w:val="solid" w:color="000000" w:fill="000000"/>
                <w:fitText w:val="334" w:id="-760590066"/>
                <w14:textFill>
                  <w14:solidFill>
                    <w14:srgbClr w14:val="777777">
                      <w14:alpha w14:val="100000"/>
                    </w14:srgbClr>
                  </w14:solidFill>
                </w14:textFill>
              </w:rPr>
              <w:t>|||</w:t>
            </w:r>
            <w:r w:rsidRPr="001E518D">
              <w:rPr>
                <w:rFonts w:cs="Calibri"/>
                <w:color w:val="777777"/>
                <w:spacing w:val="2"/>
                <w:shd w:val="solid" w:color="000000" w:fill="000000"/>
                <w:fitText w:val="334" w:id="-760590066"/>
                <w14:textFill>
                  <w14:solidFill>
                    <w14:srgbClr w14:val="777777">
                      <w14:alpha w14:val="100000"/>
                    </w14:srgbClr>
                  </w14:solidFill>
                </w14:textFill>
              </w:rPr>
              <w:t>|</w:t>
            </w:r>
            <w:r w:rsidR="00DB016A" w:rsidRPr="00830C63">
              <w:rPr>
                <w:rFonts w:cs="Calibri"/>
                <w:color w:val="000000"/>
                <w:vertAlign w:val="superscript"/>
              </w:rPr>
              <w:t>1</w:t>
            </w:r>
          </w:p>
        </w:tc>
      </w:tr>
      <w:tr w:rsidR="00CE22A2" w:rsidRPr="00070C35" w14:paraId="78355FC8" w14:textId="77777777" w:rsidTr="59491ECF">
        <w:tc>
          <w:tcPr>
            <w:tcW w:w="9017" w:type="dxa"/>
            <w:gridSpan w:val="5"/>
          </w:tcPr>
          <w:p w14:paraId="575BCF87" w14:textId="5E1E215F" w:rsidR="00CE22A2" w:rsidRPr="00070C35" w:rsidRDefault="00CE22A2" w:rsidP="00CC1644">
            <w:pPr>
              <w:pStyle w:val="TableText0"/>
              <w:rPr>
                <w:b/>
                <w:bCs w:val="0"/>
              </w:rPr>
            </w:pPr>
            <w:r w:rsidRPr="00070C35">
              <w:rPr>
                <w:rFonts w:cs="Calibri"/>
                <w:b/>
                <w:bCs w:val="0"/>
                <w:color w:val="000000"/>
              </w:rPr>
              <w:t xml:space="preserve">Treatment waning (base case: 10 years, or 5% per cycle for both </w:t>
            </w:r>
            <w:r w:rsidR="00515FB9" w:rsidRPr="00070C35">
              <w:rPr>
                <w:rFonts w:cs="Calibri"/>
                <w:b/>
                <w:bCs w:val="0"/>
                <w:color w:val="000000"/>
              </w:rPr>
              <w:t xml:space="preserve">ABRO </w:t>
            </w:r>
            <w:r w:rsidRPr="00070C35">
              <w:rPr>
                <w:rFonts w:cs="Calibri"/>
                <w:b/>
                <w:bCs w:val="0"/>
                <w:color w:val="000000"/>
              </w:rPr>
              <w:t xml:space="preserve">and </w:t>
            </w:r>
            <w:r w:rsidR="00515FB9" w:rsidRPr="00070C35">
              <w:rPr>
                <w:rFonts w:cs="Calibri"/>
                <w:b/>
                <w:bCs w:val="0"/>
                <w:color w:val="000000"/>
              </w:rPr>
              <w:t>DUPI</w:t>
            </w:r>
            <w:r w:rsidRPr="00070C35">
              <w:rPr>
                <w:rFonts w:cs="Calibri"/>
                <w:b/>
                <w:bCs w:val="0"/>
                <w:color w:val="000000"/>
              </w:rPr>
              <w:t>)</w:t>
            </w:r>
          </w:p>
        </w:tc>
      </w:tr>
      <w:tr w:rsidR="00CE22A2" w:rsidRPr="00070C35" w14:paraId="0CC76E42" w14:textId="77777777" w:rsidTr="59491ECF">
        <w:tc>
          <w:tcPr>
            <w:tcW w:w="562" w:type="dxa"/>
          </w:tcPr>
          <w:p w14:paraId="32A87185" w14:textId="77777777" w:rsidR="00CE22A2" w:rsidRPr="00070C35" w:rsidRDefault="00CE22A2" w:rsidP="00CC1644">
            <w:pPr>
              <w:pStyle w:val="TableText0"/>
              <w:rPr>
                <w:rFonts w:cs="Calibri"/>
                <w:color w:val="000000"/>
              </w:rPr>
            </w:pPr>
            <w:r w:rsidRPr="00070C35">
              <w:rPr>
                <w:rFonts w:cs="Calibri"/>
                <w:color w:val="000000"/>
              </w:rPr>
              <w:t>2</w:t>
            </w:r>
          </w:p>
        </w:tc>
        <w:tc>
          <w:tcPr>
            <w:tcW w:w="4589" w:type="dxa"/>
            <w:vAlign w:val="bottom"/>
          </w:tcPr>
          <w:p w14:paraId="0317CA85" w14:textId="40C7640A" w:rsidR="00CE22A2" w:rsidRPr="00070C35" w:rsidRDefault="00CE22A2" w:rsidP="00CC1644">
            <w:pPr>
              <w:pStyle w:val="TableText0"/>
            </w:pPr>
            <w:r w:rsidRPr="00070C35">
              <w:rPr>
                <w:rFonts w:cs="Calibri"/>
                <w:color w:val="000000"/>
              </w:rPr>
              <w:t xml:space="preserve">6.46 years for </w:t>
            </w:r>
            <w:r w:rsidR="00515FB9" w:rsidRPr="00070C35">
              <w:rPr>
                <w:rFonts w:cs="Calibri"/>
                <w:color w:val="000000"/>
              </w:rPr>
              <w:t>ABRO</w:t>
            </w:r>
            <w:r w:rsidRPr="00070C35">
              <w:rPr>
                <w:rFonts w:cs="Calibri"/>
                <w:color w:val="000000"/>
              </w:rPr>
              <w:t xml:space="preserve">, 11.63 years for </w:t>
            </w:r>
            <w:proofErr w:type="spellStart"/>
            <w:r w:rsidR="00E93878" w:rsidRPr="00070C35">
              <w:rPr>
                <w:rFonts w:cs="Calibri"/>
                <w:color w:val="000000"/>
              </w:rPr>
              <w:t>DUPI</w:t>
            </w:r>
            <w:r w:rsidRPr="00070C35">
              <w:rPr>
                <w:rFonts w:cs="Calibri"/>
                <w:color w:val="000000"/>
                <w:vertAlign w:val="superscript"/>
              </w:rPr>
              <w:t>a</w:t>
            </w:r>
            <w:proofErr w:type="spellEnd"/>
          </w:p>
        </w:tc>
        <w:tc>
          <w:tcPr>
            <w:tcW w:w="1333" w:type="dxa"/>
          </w:tcPr>
          <w:p w14:paraId="42C10391" w14:textId="58ADA720" w:rsidR="00CE22A2" w:rsidRPr="00070C35" w:rsidRDefault="00CE22A2" w:rsidP="00CC1644">
            <w:pPr>
              <w:pStyle w:val="TableText0"/>
            </w:pPr>
            <w:r w:rsidRPr="00070C35">
              <w:t>-$</w:t>
            </w:r>
            <w:r w:rsidR="008B4079" w:rsidRPr="001E518D">
              <w:rPr>
                <w:color w:val="777777"/>
                <w:spacing w:val="54"/>
                <w:shd w:val="solid" w:color="000000" w:fill="000000"/>
                <w:fitText w:val="333" w:id="-760590065"/>
                <w14:textFill>
                  <w14:solidFill>
                    <w14:srgbClr w14:val="777777">
                      <w14:alpha w14:val="100000"/>
                    </w14:srgbClr>
                  </w14:solidFill>
                </w14:textFill>
              </w:rPr>
              <w:t>|||</w:t>
            </w:r>
            <w:r w:rsidR="008B4079" w:rsidRPr="001E518D">
              <w:rPr>
                <w:color w:val="777777"/>
                <w:spacing w:val="1"/>
                <w:shd w:val="solid" w:color="000000" w:fill="000000"/>
                <w:fitText w:val="333" w:id="-760590065"/>
                <w14:textFill>
                  <w14:solidFill>
                    <w14:srgbClr w14:val="777777">
                      <w14:alpha w14:val="100000"/>
                    </w14:srgbClr>
                  </w14:solidFill>
                </w14:textFill>
              </w:rPr>
              <w:t>|</w:t>
            </w:r>
          </w:p>
        </w:tc>
        <w:tc>
          <w:tcPr>
            <w:tcW w:w="1393" w:type="dxa"/>
          </w:tcPr>
          <w:p w14:paraId="01B2B4D0" w14:textId="77777777" w:rsidR="00CE22A2" w:rsidRPr="00070C35" w:rsidRDefault="00CE22A2" w:rsidP="00CC1644">
            <w:pPr>
              <w:pStyle w:val="TableText0"/>
            </w:pPr>
            <w:r w:rsidRPr="00070C35">
              <w:t xml:space="preserve">-0.1206 </w:t>
            </w:r>
          </w:p>
        </w:tc>
        <w:tc>
          <w:tcPr>
            <w:tcW w:w="1140" w:type="dxa"/>
          </w:tcPr>
          <w:p w14:paraId="3FCF3F98" w14:textId="5BED1C98" w:rsidR="00CE22A2" w:rsidRPr="00070C35" w:rsidRDefault="008B4079" w:rsidP="00CC1644">
            <w:pPr>
              <w:pStyle w:val="TableText0"/>
            </w:pPr>
            <w:r w:rsidRPr="001E518D">
              <w:rPr>
                <w:color w:val="777777"/>
                <w:spacing w:val="54"/>
                <w:shd w:val="solid" w:color="000000" w:fill="000000"/>
                <w:fitText w:val="334" w:id="-760590064"/>
                <w14:textFill>
                  <w14:solidFill>
                    <w14:srgbClr w14:val="777777">
                      <w14:alpha w14:val="100000"/>
                    </w14:srgbClr>
                  </w14:solidFill>
                </w14:textFill>
              </w:rPr>
              <w:t>|||</w:t>
            </w:r>
            <w:r w:rsidRPr="001E518D">
              <w:rPr>
                <w:color w:val="777777"/>
                <w:spacing w:val="2"/>
                <w:shd w:val="solid" w:color="000000" w:fill="000000"/>
                <w:fitText w:val="334" w:id="-760590064"/>
                <w14:textFill>
                  <w14:solidFill>
                    <w14:srgbClr w14:val="777777">
                      <w14:alpha w14:val="100000"/>
                    </w14:srgbClr>
                  </w14:solidFill>
                </w14:textFill>
              </w:rPr>
              <w:t>|</w:t>
            </w:r>
            <w:r w:rsidR="0024524C" w:rsidRPr="0091041C">
              <w:rPr>
                <w:vertAlign w:val="superscript"/>
              </w:rPr>
              <w:t>3</w:t>
            </w:r>
          </w:p>
        </w:tc>
      </w:tr>
      <w:tr w:rsidR="00CE22A2" w:rsidRPr="00070C35" w14:paraId="269369C4" w14:textId="77777777" w:rsidTr="59491ECF">
        <w:tc>
          <w:tcPr>
            <w:tcW w:w="9017" w:type="dxa"/>
            <w:gridSpan w:val="5"/>
          </w:tcPr>
          <w:p w14:paraId="59DDA1C2" w14:textId="1752712B" w:rsidR="00CE22A2" w:rsidRPr="00070C35" w:rsidRDefault="00CE22A2" w:rsidP="00CC1644">
            <w:pPr>
              <w:pStyle w:val="TableText0"/>
              <w:rPr>
                <w:b/>
                <w:bCs w:val="0"/>
              </w:rPr>
            </w:pPr>
            <w:r w:rsidRPr="00070C35">
              <w:rPr>
                <w:rFonts w:cs="Calibri"/>
                <w:b/>
                <w:bCs w:val="0"/>
                <w:color w:val="000000"/>
              </w:rPr>
              <w:t xml:space="preserve">Costs (base case DPMQ for </w:t>
            </w:r>
            <w:r w:rsidR="00E93878" w:rsidRPr="00070C35">
              <w:rPr>
                <w:rFonts w:cs="Calibri"/>
                <w:b/>
                <w:bCs w:val="0"/>
                <w:color w:val="000000"/>
              </w:rPr>
              <w:t>ABRO</w:t>
            </w:r>
            <w:r w:rsidRPr="00070C35">
              <w:rPr>
                <w:rFonts w:cs="Calibri"/>
                <w:b/>
                <w:bCs w:val="0"/>
                <w:color w:val="000000"/>
              </w:rPr>
              <w:t xml:space="preserve"> and </w:t>
            </w:r>
            <w:r w:rsidR="00E93878" w:rsidRPr="00070C35">
              <w:rPr>
                <w:rFonts w:cs="Calibri"/>
                <w:b/>
                <w:bCs w:val="0"/>
                <w:color w:val="000000"/>
              </w:rPr>
              <w:t>DUPI</w:t>
            </w:r>
            <w:r w:rsidRPr="00070C35">
              <w:rPr>
                <w:rFonts w:cs="Calibri"/>
                <w:b/>
                <w:bCs w:val="0"/>
                <w:color w:val="000000"/>
              </w:rPr>
              <w:t xml:space="preserve"> and MBS item 23 based on July 2024 prices)</w:t>
            </w:r>
          </w:p>
        </w:tc>
      </w:tr>
      <w:tr w:rsidR="00CE22A2" w:rsidRPr="00070C35" w14:paraId="102DECF7" w14:textId="77777777" w:rsidTr="59491ECF">
        <w:tc>
          <w:tcPr>
            <w:tcW w:w="562" w:type="dxa"/>
          </w:tcPr>
          <w:p w14:paraId="004D5953" w14:textId="77777777" w:rsidR="00CE22A2" w:rsidRPr="00070C35" w:rsidRDefault="00CE22A2" w:rsidP="00CC1644">
            <w:pPr>
              <w:pStyle w:val="TableText0"/>
              <w:rPr>
                <w:rFonts w:cs="Calibri"/>
                <w:color w:val="000000"/>
              </w:rPr>
            </w:pPr>
          </w:p>
        </w:tc>
        <w:tc>
          <w:tcPr>
            <w:tcW w:w="4589" w:type="dxa"/>
            <w:vAlign w:val="bottom"/>
          </w:tcPr>
          <w:p w14:paraId="326885D1" w14:textId="77777777" w:rsidR="00CE22A2" w:rsidRPr="00070C35" w:rsidRDefault="00CE22A2" w:rsidP="00CC1644">
            <w:pPr>
              <w:pStyle w:val="TableText0"/>
            </w:pPr>
            <w:r w:rsidRPr="00070C35">
              <w:rPr>
                <w:rFonts w:cs="Calibri"/>
                <w:color w:val="000000"/>
              </w:rPr>
              <w:t>DPMQ updated (August prices)</w:t>
            </w:r>
          </w:p>
        </w:tc>
        <w:tc>
          <w:tcPr>
            <w:tcW w:w="1333" w:type="dxa"/>
            <w:vAlign w:val="bottom"/>
          </w:tcPr>
          <w:p w14:paraId="6EE27366" w14:textId="3A543791"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80"/>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80"/>
                <w14:textFill>
                  <w14:solidFill>
                    <w14:srgbClr w14:val="777777">
                      <w14:alpha w14:val="100000"/>
                    </w14:srgbClr>
                  </w14:solidFill>
                </w14:textFill>
              </w:rPr>
              <w:t>|</w:t>
            </w:r>
          </w:p>
        </w:tc>
        <w:tc>
          <w:tcPr>
            <w:tcW w:w="1393" w:type="dxa"/>
            <w:vAlign w:val="bottom"/>
          </w:tcPr>
          <w:p w14:paraId="0071FB6E" w14:textId="77777777" w:rsidR="00CE22A2" w:rsidRPr="00070C35" w:rsidRDefault="00CE22A2" w:rsidP="00CC1644">
            <w:pPr>
              <w:pStyle w:val="TableText0"/>
            </w:pPr>
            <w:r w:rsidRPr="00070C35">
              <w:rPr>
                <w:rFonts w:cs="Calibri"/>
                <w:color w:val="000000"/>
              </w:rPr>
              <w:t xml:space="preserve">-0.0399 </w:t>
            </w:r>
          </w:p>
        </w:tc>
        <w:tc>
          <w:tcPr>
            <w:tcW w:w="1140" w:type="dxa"/>
            <w:vAlign w:val="bottom"/>
          </w:tcPr>
          <w:p w14:paraId="2FC769AD" w14:textId="2CC31135" w:rsidR="00CE22A2" w:rsidRPr="0091041C" w:rsidRDefault="008B4079" w:rsidP="00CC1644">
            <w:pPr>
              <w:pStyle w:val="TableText0"/>
              <w:rPr>
                <w:highlight w:val="lightGray"/>
              </w:rPr>
            </w:pPr>
            <w:r w:rsidRPr="001E518D">
              <w:rPr>
                <w:rFonts w:cs="Calibri"/>
                <w:color w:val="777777"/>
                <w:spacing w:val="54"/>
                <w:shd w:val="solid" w:color="000000" w:fill="000000"/>
                <w:fitText w:val="334" w:id="-760590079"/>
                <w14:textFill>
                  <w14:solidFill>
                    <w14:srgbClr w14:val="777777">
                      <w14:alpha w14:val="100000"/>
                    </w14:srgbClr>
                  </w14:solidFill>
                </w14:textFill>
              </w:rPr>
              <w:t>|||</w:t>
            </w:r>
            <w:r w:rsidRPr="001E518D">
              <w:rPr>
                <w:rFonts w:cs="Calibri"/>
                <w:color w:val="777777"/>
                <w:spacing w:val="2"/>
                <w:shd w:val="solid" w:color="000000" w:fill="000000"/>
                <w:fitText w:val="334" w:id="-760590079"/>
                <w14:textFill>
                  <w14:solidFill>
                    <w14:srgbClr w14:val="777777">
                      <w14:alpha w14:val="100000"/>
                    </w14:srgbClr>
                  </w14:solidFill>
                </w14:textFill>
              </w:rPr>
              <w:t>|</w:t>
            </w:r>
            <w:r w:rsidR="00DB016A" w:rsidRPr="00830C63">
              <w:rPr>
                <w:rFonts w:cs="Calibri"/>
                <w:color w:val="000000"/>
                <w:vertAlign w:val="superscript"/>
              </w:rPr>
              <w:t>1</w:t>
            </w:r>
          </w:p>
        </w:tc>
      </w:tr>
      <w:tr w:rsidR="00CE22A2" w:rsidRPr="00070C35" w14:paraId="1649C519" w14:textId="77777777" w:rsidTr="59491ECF">
        <w:tc>
          <w:tcPr>
            <w:tcW w:w="562" w:type="dxa"/>
          </w:tcPr>
          <w:p w14:paraId="4CE879E9" w14:textId="77777777" w:rsidR="00CE22A2" w:rsidRPr="00070C35" w:rsidRDefault="00CE22A2" w:rsidP="00CC1644">
            <w:pPr>
              <w:pStyle w:val="TableText0"/>
              <w:rPr>
                <w:rFonts w:cs="Calibri"/>
                <w:color w:val="000000"/>
              </w:rPr>
            </w:pPr>
          </w:p>
        </w:tc>
        <w:tc>
          <w:tcPr>
            <w:tcW w:w="4589" w:type="dxa"/>
            <w:vAlign w:val="bottom"/>
          </w:tcPr>
          <w:p w14:paraId="0D99CE5B" w14:textId="77777777" w:rsidR="00CE22A2" w:rsidRPr="00070C35" w:rsidRDefault="00CE22A2" w:rsidP="00CC1644">
            <w:pPr>
              <w:pStyle w:val="TableText0"/>
            </w:pPr>
            <w:r w:rsidRPr="00070C35">
              <w:rPr>
                <w:rFonts w:cs="Calibri"/>
                <w:color w:val="000000"/>
              </w:rPr>
              <w:t>MBS 23 updated (August prices)</w:t>
            </w:r>
          </w:p>
        </w:tc>
        <w:tc>
          <w:tcPr>
            <w:tcW w:w="1333" w:type="dxa"/>
            <w:vAlign w:val="bottom"/>
          </w:tcPr>
          <w:p w14:paraId="608E27AA" w14:textId="7EFA0C2C" w:rsidR="00CE22A2" w:rsidRPr="00070C35" w:rsidRDefault="00CE22A2" w:rsidP="00CC1644">
            <w:pPr>
              <w:pStyle w:val="TableText0"/>
            </w:pPr>
            <w:r w:rsidRPr="59491ECF">
              <w:rPr>
                <w:rFonts w:cs="Calibri"/>
                <w:color w:val="000000" w:themeColor="text1"/>
              </w:rPr>
              <w:t>-$</w:t>
            </w:r>
            <w:r w:rsidR="008B4079" w:rsidRPr="00CF1D90">
              <w:rPr>
                <w:rFonts w:cs="Calibri"/>
                <w:color w:val="7F7F7F" w:themeColor="text1" w:themeTint="80"/>
                <w:spacing w:val="54"/>
                <w:shd w:val="solid" w:color="000000" w:fill="000000"/>
                <w:fitText w:val="333" w:id="-760590078"/>
                <w14:textFill>
                  <w14:solidFill>
                    <w14:schemeClr w14:val="tx1">
                      <w14:alpha w14:val="100000"/>
                      <w14:lumMod w14:val="50000"/>
                      <w14:lumOff w14:val="50000"/>
                    </w14:schemeClr>
                  </w14:solidFill>
                </w14:textFill>
              </w:rPr>
              <w:t>|||</w:t>
            </w:r>
            <w:r w:rsidR="008B4079" w:rsidRPr="00CF1D90">
              <w:rPr>
                <w:rFonts w:cs="Calibri"/>
                <w:color w:val="7F7F7F" w:themeColor="text1" w:themeTint="80"/>
                <w:spacing w:val="1"/>
                <w:shd w:val="solid" w:color="000000" w:fill="000000"/>
                <w:fitText w:val="333" w:id="-760590078"/>
                <w14:textFill>
                  <w14:solidFill>
                    <w14:schemeClr w14:val="tx1">
                      <w14:alpha w14:val="100000"/>
                      <w14:lumMod w14:val="50000"/>
                      <w14:lumOff w14:val="50000"/>
                    </w14:schemeClr>
                  </w14:solidFill>
                </w14:textFill>
              </w:rPr>
              <w:t>|</w:t>
            </w:r>
          </w:p>
        </w:tc>
        <w:tc>
          <w:tcPr>
            <w:tcW w:w="1393" w:type="dxa"/>
            <w:vAlign w:val="bottom"/>
          </w:tcPr>
          <w:p w14:paraId="48947DD9" w14:textId="77777777" w:rsidR="00CE22A2" w:rsidRPr="00070C35" w:rsidRDefault="00CE22A2" w:rsidP="00CC1644">
            <w:pPr>
              <w:pStyle w:val="TableText0"/>
            </w:pPr>
            <w:r w:rsidRPr="00070C35">
              <w:rPr>
                <w:rFonts w:cs="Calibri"/>
                <w:color w:val="000000"/>
              </w:rPr>
              <w:t xml:space="preserve">-0.0399 </w:t>
            </w:r>
          </w:p>
        </w:tc>
        <w:tc>
          <w:tcPr>
            <w:tcW w:w="1140" w:type="dxa"/>
            <w:vAlign w:val="bottom"/>
          </w:tcPr>
          <w:p w14:paraId="03ACC68D" w14:textId="0DD8B6DB" w:rsidR="00CE22A2" w:rsidRPr="00070C35" w:rsidRDefault="008B4079" w:rsidP="00CC1644">
            <w:pPr>
              <w:pStyle w:val="TableText0"/>
            </w:pPr>
            <w:r w:rsidRPr="001E518D">
              <w:rPr>
                <w:rFonts w:cs="Calibri"/>
                <w:color w:val="777777"/>
                <w:spacing w:val="54"/>
                <w:shd w:val="solid" w:color="000000" w:fill="000000"/>
                <w:fitText w:val="334" w:id="-760590077"/>
                <w14:textFill>
                  <w14:solidFill>
                    <w14:srgbClr w14:val="777777">
                      <w14:alpha w14:val="100000"/>
                    </w14:srgbClr>
                  </w14:solidFill>
                </w14:textFill>
              </w:rPr>
              <w:t>|||</w:t>
            </w:r>
            <w:r w:rsidRPr="001E518D">
              <w:rPr>
                <w:rFonts w:cs="Calibri"/>
                <w:color w:val="777777"/>
                <w:spacing w:val="2"/>
                <w:shd w:val="solid" w:color="000000" w:fill="000000"/>
                <w:fitText w:val="334" w:id="-760590077"/>
                <w14:textFill>
                  <w14:solidFill>
                    <w14:srgbClr w14:val="777777">
                      <w14:alpha w14:val="100000"/>
                    </w14:srgbClr>
                  </w14:solidFill>
                </w14:textFill>
              </w:rPr>
              <w:t>|</w:t>
            </w:r>
            <w:r w:rsidR="00DB016A" w:rsidRPr="00830C63">
              <w:rPr>
                <w:rFonts w:cs="Calibri"/>
                <w:color w:val="000000"/>
                <w:vertAlign w:val="superscript"/>
              </w:rPr>
              <w:t>1</w:t>
            </w:r>
          </w:p>
        </w:tc>
      </w:tr>
      <w:tr w:rsidR="00CE22A2" w:rsidRPr="00070C35" w14:paraId="55D6CEEB" w14:textId="77777777" w:rsidTr="59491ECF">
        <w:tc>
          <w:tcPr>
            <w:tcW w:w="9017" w:type="dxa"/>
            <w:gridSpan w:val="5"/>
          </w:tcPr>
          <w:p w14:paraId="271B1A90" w14:textId="453710F4" w:rsidR="00CE22A2" w:rsidRPr="00070C35" w:rsidRDefault="00CE22A2" w:rsidP="00CC1644">
            <w:pPr>
              <w:pStyle w:val="TableText0"/>
              <w:rPr>
                <w:b/>
                <w:bCs w:val="0"/>
              </w:rPr>
            </w:pPr>
            <w:r w:rsidRPr="00070C35">
              <w:rPr>
                <w:rFonts w:cs="Calibri"/>
                <w:b/>
                <w:bCs w:val="0"/>
                <w:color w:val="000000"/>
              </w:rPr>
              <w:t xml:space="preserve">Safety (safety rates for </w:t>
            </w:r>
            <w:r w:rsidR="00E93878" w:rsidRPr="00070C35">
              <w:rPr>
                <w:rFonts w:cs="Calibri"/>
                <w:b/>
                <w:bCs w:val="0"/>
                <w:color w:val="000000"/>
              </w:rPr>
              <w:t>ABRO</w:t>
            </w:r>
            <w:r w:rsidRPr="00070C35">
              <w:rPr>
                <w:rFonts w:cs="Calibri"/>
                <w:b/>
                <w:bCs w:val="0"/>
                <w:color w:val="000000"/>
              </w:rPr>
              <w:t xml:space="preserve"> </w:t>
            </w:r>
            <w:r w:rsidR="00B8498F" w:rsidRPr="00070C35">
              <w:rPr>
                <w:rFonts w:cs="Calibri"/>
                <w:b/>
                <w:bCs w:val="0"/>
                <w:color w:val="000000"/>
              </w:rPr>
              <w:t>200</w:t>
            </w:r>
            <w:r w:rsidR="00E57A8B" w:rsidRPr="00070C35">
              <w:rPr>
                <w:rFonts w:cs="Calibri"/>
                <w:b/>
                <w:bCs w:val="0"/>
                <w:color w:val="000000"/>
              </w:rPr>
              <w:t> mg</w:t>
            </w:r>
            <w:r w:rsidRPr="00070C35">
              <w:rPr>
                <w:rFonts w:cs="Calibri"/>
                <w:b/>
                <w:bCs w:val="0"/>
                <w:color w:val="000000"/>
              </w:rPr>
              <w:t xml:space="preserve"> used)</w:t>
            </w:r>
          </w:p>
        </w:tc>
      </w:tr>
      <w:tr w:rsidR="00CE22A2" w:rsidRPr="00070C35" w14:paraId="178D0652" w14:textId="77777777" w:rsidTr="59491ECF">
        <w:tc>
          <w:tcPr>
            <w:tcW w:w="562" w:type="dxa"/>
          </w:tcPr>
          <w:p w14:paraId="2CCCE796" w14:textId="77777777" w:rsidR="00CE22A2" w:rsidRPr="00070C35" w:rsidRDefault="00CE22A2" w:rsidP="00CC1644">
            <w:pPr>
              <w:pStyle w:val="TableText0"/>
              <w:rPr>
                <w:rFonts w:cs="Calibri"/>
                <w:color w:val="000000"/>
              </w:rPr>
            </w:pPr>
          </w:p>
        </w:tc>
        <w:tc>
          <w:tcPr>
            <w:tcW w:w="4589" w:type="dxa"/>
            <w:vAlign w:val="bottom"/>
          </w:tcPr>
          <w:p w14:paraId="4BDD33A4" w14:textId="4D2FCB24" w:rsidR="00CE22A2" w:rsidRPr="00070C35" w:rsidRDefault="00CE22A2" w:rsidP="00CC1644">
            <w:pPr>
              <w:pStyle w:val="TableText0"/>
            </w:pPr>
            <w:r w:rsidRPr="00070C35">
              <w:rPr>
                <w:rFonts w:cs="Calibri"/>
                <w:color w:val="000000"/>
              </w:rPr>
              <w:t xml:space="preserve">Use safety rates for </w:t>
            </w:r>
            <w:r w:rsidR="00E93878" w:rsidRPr="00070C35">
              <w:rPr>
                <w:rFonts w:cs="Calibri"/>
                <w:color w:val="000000"/>
              </w:rPr>
              <w:t>ABRO</w:t>
            </w:r>
            <w:r w:rsidRPr="00070C35">
              <w:rPr>
                <w:rFonts w:cs="Calibri"/>
                <w:color w:val="000000"/>
              </w:rPr>
              <w:t xml:space="preserve"> 10</w:t>
            </w:r>
            <w:r w:rsidR="00E57A8B" w:rsidRPr="00070C35">
              <w:rPr>
                <w:rFonts w:cs="Calibri"/>
                <w:color w:val="000000"/>
              </w:rPr>
              <w:t>0 mg</w:t>
            </w:r>
          </w:p>
        </w:tc>
        <w:tc>
          <w:tcPr>
            <w:tcW w:w="1333" w:type="dxa"/>
            <w:vAlign w:val="bottom"/>
          </w:tcPr>
          <w:p w14:paraId="001305BB" w14:textId="13089AF7" w:rsidR="00CE22A2" w:rsidRPr="00070C35" w:rsidRDefault="00CE22A2" w:rsidP="00CC1644">
            <w:pPr>
              <w:pStyle w:val="TableText0"/>
            </w:pPr>
            <w:r w:rsidRPr="00070C35">
              <w:rPr>
                <w:rFonts w:cs="Calibri"/>
                <w:color w:val="000000"/>
              </w:rPr>
              <w:t>-$</w:t>
            </w:r>
            <w:r w:rsidR="008B4079" w:rsidRPr="001E518D">
              <w:rPr>
                <w:rFonts w:cs="Calibri"/>
                <w:color w:val="777777"/>
                <w:spacing w:val="54"/>
                <w:shd w:val="solid" w:color="000000" w:fill="000000"/>
                <w:fitText w:val="333" w:id="-760590076"/>
                <w14:textFill>
                  <w14:solidFill>
                    <w14:srgbClr w14:val="777777">
                      <w14:alpha w14:val="100000"/>
                    </w14:srgbClr>
                  </w14:solidFill>
                </w14:textFill>
              </w:rPr>
              <w:t>|||</w:t>
            </w:r>
            <w:r w:rsidR="008B4079" w:rsidRPr="001E518D">
              <w:rPr>
                <w:rFonts w:cs="Calibri"/>
                <w:color w:val="777777"/>
                <w:spacing w:val="1"/>
                <w:shd w:val="solid" w:color="000000" w:fill="000000"/>
                <w:fitText w:val="333" w:id="-760590076"/>
                <w14:textFill>
                  <w14:solidFill>
                    <w14:srgbClr w14:val="777777">
                      <w14:alpha w14:val="100000"/>
                    </w14:srgbClr>
                  </w14:solidFill>
                </w14:textFill>
              </w:rPr>
              <w:t>|</w:t>
            </w:r>
          </w:p>
        </w:tc>
        <w:tc>
          <w:tcPr>
            <w:tcW w:w="1393" w:type="dxa"/>
            <w:vAlign w:val="bottom"/>
          </w:tcPr>
          <w:p w14:paraId="74CF80AA" w14:textId="77777777" w:rsidR="00CE22A2" w:rsidRPr="00070C35" w:rsidRDefault="00CE22A2" w:rsidP="00CC1644">
            <w:pPr>
              <w:pStyle w:val="TableText0"/>
            </w:pPr>
            <w:r w:rsidRPr="00070C35">
              <w:rPr>
                <w:rFonts w:cs="Calibri"/>
                <w:color w:val="000000"/>
              </w:rPr>
              <w:t xml:space="preserve">-0.0399 </w:t>
            </w:r>
          </w:p>
        </w:tc>
        <w:tc>
          <w:tcPr>
            <w:tcW w:w="1140" w:type="dxa"/>
            <w:vAlign w:val="bottom"/>
          </w:tcPr>
          <w:p w14:paraId="578800A1" w14:textId="045734C3" w:rsidR="00CE22A2" w:rsidRPr="00070C35" w:rsidRDefault="008B4079" w:rsidP="00CC1644">
            <w:pPr>
              <w:pStyle w:val="TableText0"/>
            </w:pPr>
            <w:r w:rsidRPr="001E518D">
              <w:rPr>
                <w:rFonts w:cs="Calibri"/>
                <w:color w:val="777777"/>
                <w:spacing w:val="54"/>
                <w:shd w:val="solid" w:color="000000" w:fill="000000"/>
                <w:fitText w:val="334" w:id="-760590075"/>
                <w14:textFill>
                  <w14:solidFill>
                    <w14:srgbClr w14:val="777777">
                      <w14:alpha w14:val="100000"/>
                    </w14:srgbClr>
                  </w14:solidFill>
                </w14:textFill>
              </w:rPr>
              <w:t>|||</w:t>
            </w:r>
            <w:r w:rsidRPr="001E518D">
              <w:rPr>
                <w:rFonts w:cs="Calibri"/>
                <w:color w:val="777777"/>
                <w:spacing w:val="2"/>
                <w:shd w:val="solid" w:color="000000" w:fill="000000"/>
                <w:fitText w:val="334" w:id="-760590075"/>
                <w14:textFill>
                  <w14:solidFill>
                    <w14:srgbClr w14:val="777777">
                      <w14:alpha w14:val="100000"/>
                    </w14:srgbClr>
                  </w14:solidFill>
                </w14:textFill>
              </w:rPr>
              <w:t>|</w:t>
            </w:r>
            <w:r w:rsidR="00DB016A" w:rsidRPr="00830C63">
              <w:rPr>
                <w:rFonts w:cs="Calibri"/>
                <w:color w:val="000000"/>
                <w:vertAlign w:val="superscript"/>
              </w:rPr>
              <w:t>1</w:t>
            </w:r>
          </w:p>
        </w:tc>
      </w:tr>
      <w:tr w:rsidR="00CE22A2" w:rsidRPr="00070C35" w14:paraId="3D034B55" w14:textId="77777777" w:rsidTr="59491ECF">
        <w:tc>
          <w:tcPr>
            <w:tcW w:w="9017" w:type="dxa"/>
            <w:gridSpan w:val="5"/>
          </w:tcPr>
          <w:p w14:paraId="18382580" w14:textId="015F78AB" w:rsidR="00CE22A2" w:rsidRPr="00070C35" w:rsidRDefault="00CE22A2" w:rsidP="00CC1644">
            <w:pPr>
              <w:pStyle w:val="TableText0"/>
              <w:rPr>
                <w:b/>
                <w:bCs w:val="0"/>
              </w:rPr>
            </w:pPr>
            <w:r w:rsidRPr="00070C35">
              <w:rPr>
                <w:b/>
                <w:bCs w:val="0"/>
              </w:rPr>
              <w:t>Multivariate analys</w:t>
            </w:r>
            <w:r w:rsidR="00BB27B6">
              <w:rPr>
                <w:b/>
                <w:bCs w:val="0"/>
              </w:rPr>
              <w:t>i</w:t>
            </w:r>
            <w:r w:rsidRPr="00070C35">
              <w:rPr>
                <w:b/>
                <w:bCs w:val="0"/>
              </w:rPr>
              <w:t>s</w:t>
            </w:r>
          </w:p>
        </w:tc>
      </w:tr>
      <w:tr w:rsidR="00CE22A2" w:rsidRPr="00070C35" w14:paraId="1E3192DA" w14:textId="77777777" w:rsidTr="59491ECF">
        <w:tc>
          <w:tcPr>
            <w:tcW w:w="562" w:type="dxa"/>
          </w:tcPr>
          <w:p w14:paraId="426DDFAF" w14:textId="77777777" w:rsidR="00CE22A2" w:rsidRPr="00070C35" w:rsidRDefault="00CE22A2" w:rsidP="00CC1644">
            <w:pPr>
              <w:pStyle w:val="TableText0"/>
              <w:rPr>
                <w:rFonts w:cs="Calibri"/>
                <w:color w:val="000000"/>
              </w:rPr>
            </w:pPr>
            <w:r w:rsidRPr="00070C35">
              <w:rPr>
                <w:rFonts w:cs="Calibri"/>
                <w:color w:val="000000"/>
              </w:rPr>
              <w:t>1+2</w:t>
            </w:r>
          </w:p>
        </w:tc>
        <w:tc>
          <w:tcPr>
            <w:tcW w:w="4589" w:type="dxa"/>
            <w:vAlign w:val="bottom"/>
          </w:tcPr>
          <w:p w14:paraId="0C2B1452" w14:textId="77777777" w:rsidR="00CE22A2" w:rsidRPr="00070C35" w:rsidRDefault="00CE22A2" w:rsidP="00CC1644">
            <w:pPr>
              <w:pStyle w:val="TableText0"/>
            </w:pPr>
            <w:r w:rsidRPr="00070C35">
              <w:rPr>
                <w:rFonts w:cs="Calibri"/>
                <w:color w:val="000000"/>
              </w:rPr>
              <w:t>Discontinuation and waning</w:t>
            </w:r>
          </w:p>
        </w:tc>
        <w:tc>
          <w:tcPr>
            <w:tcW w:w="1333" w:type="dxa"/>
          </w:tcPr>
          <w:p w14:paraId="6BB735CC" w14:textId="585B918C" w:rsidR="00CE22A2" w:rsidRPr="00070C35" w:rsidRDefault="00CE22A2" w:rsidP="00CC1644">
            <w:pPr>
              <w:pStyle w:val="TableText0"/>
            </w:pPr>
            <w:r w:rsidRPr="00070C35">
              <w:t>-$</w:t>
            </w:r>
            <w:r w:rsidR="008B4079" w:rsidRPr="001E518D">
              <w:rPr>
                <w:color w:val="777777"/>
                <w:spacing w:val="54"/>
                <w:shd w:val="solid" w:color="000000" w:fill="000000"/>
                <w:fitText w:val="333" w:id="-760590074"/>
                <w14:textFill>
                  <w14:solidFill>
                    <w14:srgbClr w14:val="777777">
                      <w14:alpha w14:val="100000"/>
                    </w14:srgbClr>
                  </w14:solidFill>
                </w14:textFill>
              </w:rPr>
              <w:t>|||</w:t>
            </w:r>
            <w:r w:rsidR="008B4079" w:rsidRPr="001E518D">
              <w:rPr>
                <w:color w:val="777777"/>
                <w:spacing w:val="1"/>
                <w:shd w:val="solid" w:color="000000" w:fill="000000"/>
                <w:fitText w:val="333" w:id="-760590074"/>
                <w14:textFill>
                  <w14:solidFill>
                    <w14:srgbClr w14:val="777777">
                      <w14:alpha w14:val="100000"/>
                    </w14:srgbClr>
                  </w14:solidFill>
                </w14:textFill>
              </w:rPr>
              <w:t>|</w:t>
            </w:r>
          </w:p>
        </w:tc>
        <w:tc>
          <w:tcPr>
            <w:tcW w:w="1393" w:type="dxa"/>
          </w:tcPr>
          <w:p w14:paraId="6E97D329" w14:textId="77777777" w:rsidR="00CE22A2" w:rsidRPr="00070C35" w:rsidRDefault="00CE22A2" w:rsidP="00CC1644">
            <w:pPr>
              <w:pStyle w:val="TableText0"/>
            </w:pPr>
            <w:r w:rsidRPr="00070C35">
              <w:t xml:space="preserve">-0.1319 </w:t>
            </w:r>
          </w:p>
        </w:tc>
        <w:tc>
          <w:tcPr>
            <w:tcW w:w="1140" w:type="dxa"/>
          </w:tcPr>
          <w:p w14:paraId="518CB611" w14:textId="51E15E8A" w:rsidR="00CE22A2" w:rsidRPr="00070C35" w:rsidRDefault="008B4079" w:rsidP="00CC1644">
            <w:pPr>
              <w:pStyle w:val="TableText0"/>
            </w:pPr>
            <w:r w:rsidRPr="001E518D">
              <w:rPr>
                <w:color w:val="777777"/>
                <w:spacing w:val="54"/>
                <w:shd w:val="solid" w:color="000000" w:fill="000000"/>
                <w:fitText w:val="334" w:id="-760590073"/>
                <w14:textFill>
                  <w14:solidFill>
                    <w14:srgbClr w14:val="777777">
                      <w14:alpha w14:val="100000"/>
                    </w14:srgbClr>
                  </w14:solidFill>
                </w14:textFill>
              </w:rPr>
              <w:t>|||</w:t>
            </w:r>
            <w:r w:rsidRPr="001E518D">
              <w:rPr>
                <w:color w:val="777777"/>
                <w:spacing w:val="2"/>
                <w:shd w:val="solid" w:color="000000" w:fill="000000"/>
                <w:fitText w:val="334" w:id="-760590073"/>
                <w14:textFill>
                  <w14:solidFill>
                    <w14:srgbClr w14:val="777777">
                      <w14:alpha w14:val="100000"/>
                    </w14:srgbClr>
                  </w14:solidFill>
                </w14:textFill>
              </w:rPr>
              <w:t>|</w:t>
            </w:r>
            <w:r w:rsidR="00DE76AD" w:rsidRPr="0091041C">
              <w:rPr>
                <w:vertAlign w:val="superscript"/>
              </w:rPr>
              <w:t>3</w:t>
            </w:r>
          </w:p>
        </w:tc>
      </w:tr>
    </w:tbl>
    <w:p w14:paraId="089B0C9E" w14:textId="3D90F454" w:rsidR="00304AB4" w:rsidRPr="00070C35" w:rsidRDefault="001B3286" w:rsidP="00EA5F27">
      <w:pPr>
        <w:pStyle w:val="TableFigureFooter"/>
        <w:rPr>
          <w:iCs w:val="0"/>
        </w:rPr>
      </w:pPr>
      <w:r w:rsidRPr="00070C35">
        <w:rPr>
          <w:iCs w:val="0"/>
        </w:rPr>
        <w:t xml:space="preserve">Source: generated during the evaluation from the </w:t>
      </w:r>
      <w:r w:rsidR="00E93878" w:rsidRPr="00070C35">
        <w:rPr>
          <w:iCs w:val="0"/>
        </w:rPr>
        <w:t>ABRO</w:t>
      </w:r>
      <w:r w:rsidRPr="00070C35">
        <w:rPr>
          <w:iCs w:val="0"/>
        </w:rPr>
        <w:t xml:space="preserve"> economic model spreadsheet.</w:t>
      </w:r>
    </w:p>
    <w:p w14:paraId="6EDB8584" w14:textId="2C04EBE5" w:rsidR="00CE22A2" w:rsidRPr="00070C35" w:rsidRDefault="009D545F" w:rsidP="00EA5F27">
      <w:pPr>
        <w:pStyle w:val="TableFigureFooter"/>
        <w:rPr>
          <w:iCs w:val="0"/>
        </w:rPr>
      </w:pPr>
      <w:r w:rsidRPr="00070C35">
        <w:rPr>
          <w:iCs w:val="0"/>
        </w:rPr>
        <w:t xml:space="preserve">ABRO = </w:t>
      </w:r>
      <w:proofErr w:type="spellStart"/>
      <w:r w:rsidRPr="00070C35">
        <w:rPr>
          <w:iCs w:val="0"/>
        </w:rPr>
        <w:t>abrocitinib</w:t>
      </w:r>
      <w:proofErr w:type="spellEnd"/>
      <w:r w:rsidRPr="00070C35">
        <w:rPr>
          <w:iCs w:val="0"/>
        </w:rPr>
        <w:t xml:space="preserve">; </w:t>
      </w:r>
      <w:r w:rsidR="00CE22A2" w:rsidRPr="00070C35">
        <w:rPr>
          <w:iCs w:val="0"/>
        </w:rPr>
        <w:t xml:space="preserve">DPMQ = Dispensed Price for Maximum Quantity; </w:t>
      </w:r>
      <w:r w:rsidRPr="00070C35">
        <w:rPr>
          <w:iCs w:val="0"/>
        </w:rPr>
        <w:t xml:space="preserve">DUPI = dupilumab; </w:t>
      </w:r>
      <w:r w:rsidR="00CE22A2" w:rsidRPr="00070C35">
        <w:rPr>
          <w:iCs w:val="0"/>
        </w:rPr>
        <w:t>ICER = Incremental cost-effectiveness ratio; MBS = Medicare Benefits Schedule; QALY = Quality-adjusted life-year</w:t>
      </w:r>
    </w:p>
    <w:p w14:paraId="030F48DF" w14:textId="77777777" w:rsidR="00E74C27" w:rsidRDefault="00CE22A2" w:rsidP="00E74C27">
      <w:pPr>
        <w:pStyle w:val="TableFigureFooter"/>
        <w:rPr>
          <w:iCs w:val="0"/>
        </w:rPr>
      </w:pPr>
      <w:bookmarkStart w:id="74" w:name="_Hlk180338387"/>
      <w:proofErr w:type="spellStart"/>
      <w:r w:rsidRPr="00070C35">
        <w:rPr>
          <w:iCs w:val="0"/>
          <w:vertAlign w:val="superscript"/>
        </w:rPr>
        <w:t>a</w:t>
      </w:r>
      <w:r w:rsidRPr="00070C35">
        <w:rPr>
          <w:iCs w:val="0"/>
        </w:rPr>
        <w:t>Time</w:t>
      </w:r>
      <w:proofErr w:type="spellEnd"/>
      <w:r w:rsidRPr="00070C35">
        <w:rPr>
          <w:iCs w:val="0"/>
        </w:rPr>
        <w:t xml:space="preserve"> until treatment response becomes zero is derived from 90.5% response at 48 weeks (</w:t>
      </w:r>
      <w:r w:rsidR="00E93878" w:rsidRPr="00070C35">
        <w:rPr>
          <w:iCs w:val="0"/>
        </w:rPr>
        <w:t>ABRO</w:t>
      </w:r>
      <w:r w:rsidRPr="00070C35">
        <w:rPr>
          <w:iCs w:val="0"/>
        </w:rPr>
        <w:t>) and 95.7% response at 42 weeks (</w:t>
      </w:r>
      <w:r w:rsidR="00E93878" w:rsidRPr="00070C35">
        <w:rPr>
          <w:iCs w:val="0"/>
        </w:rPr>
        <w:t>DUPI</w:t>
      </w:r>
      <w:r w:rsidRPr="00070C35">
        <w:rPr>
          <w:iCs w:val="0"/>
        </w:rPr>
        <w:t>).</w:t>
      </w:r>
    </w:p>
    <w:p w14:paraId="5E0D539A" w14:textId="7B5A9309" w:rsidR="00E74C27" w:rsidRPr="0091041C" w:rsidRDefault="00E74C27" w:rsidP="00E74C27">
      <w:pPr>
        <w:pStyle w:val="TableFigureFooter"/>
        <w:rPr>
          <w:i/>
        </w:rPr>
      </w:pPr>
      <w:bookmarkStart w:id="75" w:name="_Hlk185319629"/>
      <w:r w:rsidRPr="0091041C">
        <w:rPr>
          <w:i/>
        </w:rPr>
        <w:t xml:space="preserve">The redacted values correspond to the following ranges: </w:t>
      </w:r>
    </w:p>
    <w:p w14:paraId="700EF287" w14:textId="77777777" w:rsidR="0024524C" w:rsidRPr="0091041C" w:rsidRDefault="00DB016A" w:rsidP="00B91C17">
      <w:pPr>
        <w:pStyle w:val="TableFigureFooter"/>
        <w:rPr>
          <w:i/>
        </w:rPr>
      </w:pPr>
      <w:r w:rsidRPr="0091041C">
        <w:rPr>
          <w:i/>
          <w:vertAlign w:val="superscript"/>
        </w:rPr>
        <w:t>1</w:t>
      </w:r>
      <w:r w:rsidRPr="0091041C">
        <w:rPr>
          <w:i/>
        </w:rPr>
        <w:t xml:space="preserve"> $75,000 to &lt; $95,000</w:t>
      </w:r>
    </w:p>
    <w:p w14:paraId="5FE9C99F" w14:textId="60AD0D1F" w:rsidR="00DB016A" w:rsidRPr="0091041C" w:rsidRDefault="0024524C" w:rsidP="00B91C17">
      <w:pPr>
        <w:pStyle w:val="TableFigureFooter"/>
        <w:rPr>
          <w:i/>
        </w:rPr>
      </w:pPr>
      <w:r w:rsidRPr="0091041C">
        <w:rPr>
          <w:i/>
          <w:vertAlign w:val="superscript"/>
        </w:rPr>
        <w:t>2</w:t>
      </w:r>
      <w:r w:rsidRPr="0091041C">
        <w:rPr>
          <w:i/>
        </w:rPr>
        <w:t xml:space="preserve"> $95,000 to &lt; $115,000</w:t>
      </w:r>
    </w:p>
    <w:p w14:paraId="34853A62" w14:textId="5849854A" w:rsidR="00440EFA" w:rsidRPr="00CA4089" w:rsidRDefault="00EB709D" w:rsidP="0091041C">
      <w:pPr>
        <w:pStyle w:val="3-BodyText"/>
        <w:rPr>
          <w:iCs/>
        </w:rPr>
      </w:pPr>
      <w:r w:rsidRPr="0091041C">
        <w:rPr>
          <w:rFonts w:ascii="Arial Narrow" w:hAnsi="Arial Narrow"/>
          <w:i/>
          <w:iCs/>
          <w:snapToGrid w:val="0"/>
          <w:sz w:val="18"/>
          <w:vertAlign w:val="superscript"/>
          <w:lang w:eastAsia="en-US"/>
        </w:rPr>
        <w:t>3</w:t>
      </w:r>
      <w:r w:rsidRPr="0091041C">
        <w:rPr>
          <w:rFonts w:ascii="Arial Narrow" w:hAnsi="Arial Narrow"/>
          <w:i/>
          <w:iCs/>
          <w:snapToGrid w:val="0"/>
          <w:sz w:val="18"/>
          <w:lang w:eastAsia="en-US"/>
        </w:rPr>
        <w:t xml:space="preserve"> </w:t>
      </w:r>
      <w:r w:rsidR="00B91C17" w:rsidRPr="0091041C">
        <w:rPr>
          <w:rFonts w:ascii="Arial Narrow" w:hAnsi="Arial Narrow"/>
          <w:i/>
          <w:iCs/>
          <w:snapToGrid w:val="0"/>
          <w:sz w:val="18"/>
          <w:lang w:eastAsia="en-US"/>
        </w:rPr>
        <w:t>$45,000 to &lt; $55,000</w:t>
      </w:r>
      <w:bookmarkEnd w:id="74"/>
      <w:bookmarkEnd w:id="75"/>
      <w:r w:rsidR="00440EFA" w:rsidRPr="00CA4089">
        <w:rPr>
          <w:iCs/>
        </w:rPr>
        <w:t xml:space="preserve">When treatment waning was altered in the model to reflect the loss of treatment effect reported in JADE COMPARE for ABRO 100 mg (90.5% at 48 weeks) and Table 19, DUPI, PSD, March 2020 PBAC meeting for DUPI 300 mg (95.7% at 42 weeks), the cost-saving per QALY lost was reduced by more than 40% (analysis 2 in </w:t>
      </w:r>
      <w:r w:rsidR="00C83052" w:rsidRPr="00CA4089">
        <w:rPr>
          <w:iCs/>
        </w:rPr>
        <w:fldChar w:fldCharType="begin" w:fldLock="1"/>
      </w:r>
      <w:r w:rsidR="00C83052" w:rsidRPr="00CA4089">
        <w:rPr>
          <w:iCs/>
        </w:rPr>
        <w:instrText xml:space="preserve"> REF _Ref176703402 \h </w:instrText>
      </w:r>
      <w:r w:rsidR="00CA4089">
        <w:rPr>
          <w:iCs/>
        </w:rPr>
        <w:instrText xml:space="preserve"> \* MERGEFORMAT </w:instrText>
      </w:r>
      <w:r w:rsidR="00C83052" w:rsidRPr="00CA4089">
        <w:rPr>
          <w:iCs/>
        </w:rPr>
      </w:r>
      <w:r w:rsidR="00C83052" w:rsidRPr="00CA4089">
        <w:rPr>
          <w:iCs/>
        </w:rPr>
        <w:fldChar w:fldCharType="separate"/>
      </w:r>
      <w:r w:rsidR="004F2A70" w:rsidRPr="00CA4089">
        <w:rPr>
          <w:iCs/>
        </w:rPr>
        <w:t xml:space="preserve">Table </w:t>
      </w:r>
      <w:r w:rsidR="004F2A70" w:rsidRPr="0091041C">
        <w:rPr>
          <w:iCs/>
        </w:rPr>
        <w:t>13</w:t>
      </w:r>
      <w:r w:rsidR="00C83052" w:rsidRPr="00CA4089">
        <w:rPr>
          <w:iCs/>
        </w:rPr>
        <w:fldChar w:fldCharType="end"/>
      </w:r>
      <w:r w:rsidR="00440EFA" w:rsidRPr="00CA4089">
        <w:rPr>
          <w:iCs/>
        </w:rPr>
        <w:t xml:space="preserve"> above). Although this estimate better reflected the short-term data available, the long-term treatment waning of either ABRO or DUPI remains uncertain.</w:t>
      </w:r>
    </w:p>
    <w:p w14:paraId="00F04A2E" w14:textId="1086264E" w:rsidR="00440EFA" w:rsidRPr="00E574CC" w:rsidRDefault="00440EFA" w:rsidP="00E43C9E">
      <w:pPr>
        <w:pStyle w:val="3-BodyText"/>
        <w:rPr>
          <w:iCs/>
        </w:rPr>
      </w:pPr>
      <w:bookmarkStart w:id="76" w:name="_Hlk179465273"/>
      <w:r w:rsidRPr="00E574CC">
        <w:rPr>
          <w:iCs/>
        </w:rPr>
        <w:t xml:space="preserve">The ESC noted that the sensitivity analyses presented in the submission </w:t>
      </w:r>
      <w:r w:rsidR="00E43C9E">
        <w:rPr>
          <w:iCs/>
        </w:rPr>
        <w:t xml:space="preserve">Table 14 </w:t>
      </w:r>
      <w:r w:rsidRPr="00E574CC">
        <w:rPr>
          <w:iCs/>
        </w:rPr>
        <w:t xml:space="preserve">showed </w:t>
      </w:r>
      <w:r w:rsidR="005217C6" w:rsidRPr="00E574CC">
        <w:rPr>
          <w:iCs/>
        </w:rPr>
        <w:t>the ICER was also sensitive to</w:t>
      </w:r>
      <w:r w:rsidR="00A759A6" w:rsidRPr="00E574CC">
        <w:rPr>
          <w:iCs/>
        </w:rPr>
        <w:t xml:space="preserve"> the assumptions relating to </w:t>
      </w:r>
      <w:r w:rsidRPr="00E574CC">
        <w:rPr>
          <w:iCs/>
        </w:rPr>
        <w:t xml:space="preserve">dose intensity, time to response, or </w:t>
      </w:r>
      <w:r w:rsidR="00A759A6" w:rsidRPr="00E574CC">
        <w:rPr>
          <w:iCs/>
        </w:rPr>
        <w:t>whether</w:t>
      </w:r>
      <w:r w:rsidRPr="00E574CC">
        <w:rPr>
          <w:iCs/>
        </w:rPr>
        <w:t xml:space="preserve"> patients have </w:t>
      </w:r>
      <w:r w:rsidR="009E24BB" w:rsidRPr="00E574CC">
        <w:rPr>
          <w:iCs/>
        </w:rPr>
        <w:t xml:space="preserve">had </w:t>
      </w:r>
      <w:r w:rsidRPr="00E574CC">
        <w:rPr>
          <w:iCs/>
        </w:rPr>
        <w:t>prior immunomodulatory therapy</w:t>
      </w:r>
      <w:r w:rsidR="005217C6" w:rsidRPr="00E574CC">
        <w:rPr>
          <w:iCs/>
        </w:rPr>
        <w:t xml:space="preserve"> (though this was based on data from a small number of patients)</w:t>
      </w:r>
      <w:r w:rsidRPr="00E574CC">
        <w:rPr>
          <w:iCs/>
        </w:rPr>
        <w:t>.</w:t>
      </w:r>
    </w:p>
    <w:p w14:paraId="154D63CD" w14:textId="577E3025" w:rsidR="00440EFA" w:rsidRDefault="00C83052" w:rsidP="008A7F53">
      <w:pPr>
        <w:pStyle w:val="Caption"/>
      </w:pPr>
      <w:bookmarkStart w:id="77" w:name="_Ref180357848"/>
      <w:bookmarkEnd w:id="76"/>
      <w:r w:rsidRPr="00070C35">
        <w:lastRenderedPageBreak/>
        <w:t xml:space="preserve">Table </w:t>
      </w:r>
      <w:r>
        <w:fldChar w:fldCharType="begin" w:fldLock="1"/>
      </w:r>
      <w:r>
        <w:instrText xml:space="preserve"> SEQ Table \* ARABIC </w:instrText>
      </w:r>
      <w:r>
        <w:fldChar w:fldCharType="separate"/>
      </w:r>
      <w:r w:rsidR="004F2A70">
        <w:rPr>
          <w:noProof/>
        </w:rPr>
        <w:t>14</w:t>
      </w:r>
      <w:r>
        <w:rPr>
          <w:noProof/>
        </w:rPr>
        <w:fldChar w:fldCharType="end"/>
      </w:r>
      <w:bookmarkEnd w:id="77"/>
      <w:r w:rsidR="00440EFA">
        <w:t>: Univariate sensitivity analyses presented in the submission</w:t>
      </w:r>
    </w:p>
    <w:tbl>
      <w:tblPr>
        <w:tblStyle w:val="TableGrid"/>
        <w:tblW w:w="0" w:type="auto"/>
        <w:tblInd w:w="-5" w:type="dxa"/>
        <w:tblLook w:val="04A0" w:firstRow="1" w:lastRow="0" w:firstColumn="1" w:lastColumn="0" w:noHBand="0" w:noVBand="1"/>
      </w:tblPr>
      <w:tblGrid>
        <w:gridCol w:w="2409"/>
        <w:gridCol w:w="1701"/>
        <w:gridCol w:w="1418"/>
        <w:gridCol w:w="1417"/>
        <w:gridCol w:w="992"/>
        <w:gridCol w:w="1084"/>
      </w:tblGrid>
      <w:tr w:rsidR="00440EFA" w:rsidRPr="00487B67" w14:paraId="2F02EC78" w14:textId="77777777" w:rsidTr="008A7F53">
        <w:trPr>
          <w:trHeight w:val="170"/>
        </w:trPr>
        <w:tc>
          <w:tcPr>
            <w:tcW w:w="2409" w:type="dxa"/>
            <w:shd w:val="clear" w:color="auto" w:fill="D9D9D9" w:themeFill="background1" w:themeFillShade="D9"/>
            <w:noWrap/>
            <w:hideMark/>
          </w:tcPr>
          <w:p w14:paraId="54FA60C6" w14:textId="77777777" w:rsidR="00440EFA" w:rsidRPr="00487B67" w:rsidRDefault="00440EFA" w:rsidP="008A7F53">
            <w:pPr>
              <w:pStyle w:val="TableHeading"/>
              <w:keepLines/>
              <w:rPr>
                <w:szCs w:val="18"/>
              </w:rPr>
            </w:pPr>
            <w:r w:rsidRPr="00487B67">
              <w:rPr>
                <w:szCs w:val="18"/>
              </w:rPr>
              <w:t>Parameter setting</w:t>
            </w:r>
          </w:p>
        </w:tc>
        <w:tc>
          <w:tcPr>
            <w:tcW w:w="1701" w:type="dxa"/>
            <w:shd w:val="clear" w:color="auto" w:fill="D9D9D9" w:themeFill="background1" w:themeFillShade="D9"/>
          </w:tcPr>
          <w:p w14:paraId="245F79B4" w14:textId="77777777" w:rsidR="00440EFA" w:rsidRPr="00487B67" w:rsidRDefault="00440EFA" w:rsidP="008A7F53">
            <w:pPr>
              <w:pStyle w:val="TableHeading"/>
              <w:keepLines/>
              <w:rPr>
                <w:szCs w:val="18"/>
              </w:rPr>
            </w:pPr>
          </w:p>
        </w:tc>
        <w:tc>
          <w:tcPr>
            <w:tcW w:w="4911" w:type="dxa"/>
            <w:gridSpan w:val="4"/>
            <w:shd w:val="clear" w:color="auto" w:fill="D9D9D9" w:themeFill="background1" w:themeFillShade="D9"/>
            <w:noWrap/>
          </w:tcPr>
          <w:p w14:paraId="7DCCA5D6" w14:textId="77777777" w:rsidR="00440EFA" w:rsidRPr="00487B67" w:rsidRDefault="00440EFA" w:rsidP="008A7F53">
            <w:pPr>
              <w:pStyle w:val="TableHeading"/>
              <w:keepLines/>
              <w:rPr>
                <w:szCs w:val="18"/>
              </w:rPr>
            </w:pPr>
            <w:r w:rsidRPr="00487B67">
              <w:rPr>
                <w:szCs w:val="18"/>
              </w:rPr>
              <w:t xml:space="preserve">ICER </w:t>
            </w:r>
            <w:r>
              <w:rPr>
                <w:szCs w:val="18"/>
              </w:rPr>
              <w:t xml:space="preserve">($ saved per </w:t>
            </w:r>
            <w:r w:rsidRPr="00487B67">
              <w:rPr>
                <w:szCs w:val="18"/>
              </w:rPr>
              <w:t>QALY</w:t>
            </w:r>
            <w:r>
              <w:rPr>
                <w:szCs w:val="18"/>
              </w:rPr>
              <w:t xml:space="preserve"> forgone)</w:t>
            </w:r>
          </w:p>
        </w:tc>
      </w:tr>
      <w:tr w:rsidR="00440EFA" w:rsidRPr="00487B67" w14:paraId="3A95D67B" w14:textId="77777777" w:rsidTr="0052714A">
        <w:trPr>
          <w:trHeight w:val="290"/>
        </w:trPr>
        <w:tc>
          <w:tcPr>
            <w:tcW w:w="4110" w:type="dxa"/>
            <w:gridSpan w:val="2"/>
            <w:shd w:val="clear" w:color="auto" w:fill="D9D9D9" w:themeFill="background1" w:themeFillShade="D9"/>
            <w:noWrap/>
          </w:tcPr>
          <w:p w14:paraId="1E367676" w14:textId="10ECF803" w:rsidR="00440EFA" w:rsidRPr="00487B67" w:rsidRDefault="00440EFA" w:rsidP="008A7F53">
            <w:pPr>
              <w:pStyle w:val="TableHeading"/>
              <w:keepLines/>
              <w:rPr>
                <w:szCs w:val="18"/>
              </w:rPr>
            </w:pPr>
            <w:r w:rsidRPr="00487B67">
              <w:rPr>
                <w:szCs w:val="18"/>
              </w:rPr>
              <w:t xml:space="preserve">Base case: </w:t>
            </w:r>
            <w:r w:rsidR="008B4079" w:rsidRPr="001E518D">
              <w:rPr>
                <w:color w:val="777777"/>
                <w:spacing w:val="10"/>
                <w:szCs w:val="18"/>
                <w:shd w:val="solid" w:color="000000" w:fill="000000"/>
                <w:fitText w:val="327" w:id="-760590072"/>
                <w14:textFill>
                  <w14:solidFill>
                    <w14:srgbClr w14:val="777777">
                      <w14:alpha w14:val="100000"/>
                    </w14:srgbClr>
                  </w14:solidFill>
                </w14:textFill>
              </w:rPr>
              <w:t>||  |</w:t>
            </w:r>
            <w:r w:rsidR="008B4079" w:rsidRPr="001E518D">
              <w:rPr>
                <w:color w:val="777777"/>
                <w:spacing w:val="2"/>
                <w:szCs w:val="18"/>
                <w:shd w:val="solid" w:color="000000" w:fill="000000"/>
                <w:fitText w:val="327" w:id="-760590072"/>
                <w14:textFill>
                  <w14:solidFill>
                    <w14:srgbClr w14:val="777777">
                      <w14:alpha w14:val="100000"/>
                    </w14:srgbClr>
                  </w14:solidFill>
                </w14:textFill>
              </w:rPr>
              <w:t>|</w:t>
            </w:r>
            <w:r w:rsidR="00406200" w:rsidRPr="0091041C">
              <w:rPr>
                <w:szCs w:val="18"/>
                <w:vertAlign w:val="superscript"/>
              </w:rPr>
              <w:t>1</w:t>
            </w:r>
            <w:r w:rsidRPr="00487B67">
              <w:rPr>
                <w:szCs w:val="18"/>
              </w:rPr>
              <w:t>/QALY SWQ</w:t>
            </w:r>
          </w:p>
        </w:tc>
        <w:tc>
          <w:tcPr>
            <w:tcW w:w="1418" w:type="dxa"/>
            <w:shd w:val="clear" w:color="auto" w:fill="D9D9D9" w:themeFill="background1" w:themeFillShade="D9"/>
            <w:noWrap/>
          </w:tcPr>
          <w:p w14:paraId="2A6B4F8E" w14:textId="77777777" w:rsidR="00440EFA" w:rsidRPr="00487B67" w:rsidRDefault="00440EFA" w:rsidP="008A7F53">
            <w:pPr>
              <w:pStyle w:val="TableHeading"/>
              <w:keepLines/>
              <w:rPr>
                <w:szCs w:val="18"/>
              </w:rPr>
            </w:pPr>
            <w:r w:rsidRPr="00487B67">
              <w:rPr>
                <w:szCs w:val="18"/>
              </w:rPr>
              <w:t>Lower</w:t>
            </w:r>
          </w:p>
        </w:tc>
        <w:tc>
          <w:tcPr>
            <w:tcW w:w="1417" w:type="dxa"/>
            <w:shd w:val="clear" w:color="auto" w:fill="D9D9D9" w:themeFill="background1" w:themeFillShade="D9"/>
            <w:noWrap/>
          </w:tcPr>
          <w:p w14:paraId="71D7C762" w14:textId="77777777" w:rsidR="00440EFA" w:rsidRPr="00487B67" w:rsidRDefault="00440EFA" w:rsidP="008A7F53">
            <w:pPr>
              <w:pStyle w:val="TableHeading"/>
              <w:keepLines/>
              <w:rPr>
                <w:szCs w:val="18"/>
              </w:rPr>
            </w:pPr>
            <w:r w:rsidRPr="00487B67">
              <w:rPr>
                <w:szCs w:val="18"/>
              </w:rPr>
              <w:t>Upper</w:t>
            </w:r>
          </w:p>
        </w:tc>
        <w:tc>
          <w:tcPr>
            <w:tcW w:w="2076" w:type="dxa"/>
            <w:gridSpan w:val="2"/>
            <w:shd w:val="clear" w:color="auto" w:fill="D9D9D9" w:themeFill="background1" w:themeFillShade="D9"/>
            <w:noWrap/>
          </w:tcPr>
          <w:p w14:paraId="7E0901C5" w14:textId="77777777" w:rsidR="00440EFA" w:rsidRPr="00487B67" w:rsidRDefault="00440EFA" w:rsidP="008A7F53">
            <w:pPr>
              <w:pStyle w:val="TableHeading"/>
              <w:keepLines/>
              <w:rPr>
                <w:szCs w:val="18"/>
              </w:rPr>
            </w:pPr>
            <w:r w:rsidRPr="00487B67">
              <w:rPr>
                <w:szCs w:val="18"/>
              </w:rPr>
              <w:t>Difference from base case</w:t>
            </w:r>
            <w:r>
              <w:rPr>
                <w:szCs w:val="18"/>
              </w:rPr>
              <w:t xml:space="preserve"> (/QALY forgone)</w:t>
            </w:r>
          </w:p>
        </w:tc>
      </w:tr>
      <w:tr w:rsidR="00440EFA" w:rsidRPr="00487B67" w14:paraId="3DC08B7B" w14:textId="77777777" w:rsidTr="0052714A">
        <w:trPr>
          <w:trHeight w:val="290"/>
        </w:trPr>
        <w:tc>
          <w:tcPr>
            <w:tcW w:w="2409" w:type="dxa"/>
            <w:noWrap/>
            <w:hideMark/>
          </w:tcPr>
          <w:p w14:paraId="21520686" w14:textId="77777777" w:rsidR="00440EFA" w:rsidRPr="00487B67" w:rsidRDefault="00440EFA" w:rsidP="008A7F53">
            <w:pPr>
              <w:pStyle w:val="TableText0"/>
            </w:pPr>
            <w:r w:rsidRPr="00487B67">
              <w:t xml:space="preserve">Base case </w:t>
            </w:r>
            <w:r>
              <w:t>variable</w:t>
            </w:r>
          </w:p>
        </w:tc>
        <w:tc>
          <w:tcPr>
            <w:tcW w:w="1701" w:type="dxa"/>
          </w:tcPr>
          <w:p w14:paraId="62D1145A" w14:textId="77777777" w:rsidR="00440EFA" w:rsidRPr="00487B67" w:rsidRDefault="00440EFA" w:rsidP="008A7F53">
            <w:pPr>
              <w:pStyle w:val="TableText0"/>
            </w:pPr>
            <w:r w:rsidRPr="00487B67">
              <w:t>Test</w:t>
            </w:r>
            <w:r>
              <w:t xml:space="preserve"> variable</w:t>
            </w:r>
          </w:p>
        </w:tc>
        <w:tc>
          <w:tcPr>
            <w:tcW w:w="1418" w:type="dxa"/>
            <w:noWrap/>
          </w:tcPr>
          <w:p w14:paraId="0A069A17" w14:textId="77777777" w:rsidR="00440EFA" w:rsidRPr="00487B67" w:rsidRDefault="00440EFA" w:rsidP="008A7F53">
            <w:pPr>
              <w:pStyle w:val="TableText0"/>
            </w:pPr>
          </w:p>
        </w:tc>
        <w:tc>
          <w:tcPr>
            <w:tcW w:w="1417" w:type="dxa"/>
            <w:noWrap/>
          </w:tcPr>
          <w:p w14:paraId="3A520C38" w14:textId="77777777" w:rsidR="00440EFA" w:rsidRPr="00487B67" w:rsidRDefault="00440EFA" w:rsidP="008A7F53">
            <w:pPr>
              <w:pStyle w:val="TableText0"/>
            </w:pPr>
          </w:p>
        </w:tc>
        <w:tc>
          <w:tcPr>
            <w:tcW w:w="992" w:type="dxa"/>
            <w:noWrap/>
          </w:tcPr>
          <w:p w14:paraId="78AB8C18" w14:textId="77777777" w:rsidR="00440EFA" w:rsidRPr="00487B67" w:rsidRDefault="00440EFA" w:rsidP="008A7F53">
            <w:pPr>
              <w:pStyle w:val="TableText0"/>
            </w:pPr>
          </w:p>
        </w:tc>
        <w:tc>
          <w:tcPr>
            <w:tcW w:w="1084" w:type="dxa"/>
            <w:noWrap/>
          </w:tcPr>
          <w:p w14:paraId="682A670F" w14:textId="77777777" w:rsidR="00440EFA" w:rsidRPr="00487B67" w:rsidRDefault="00440EFA" w:rsidP="008A7F53">
            <w:pPr>
              <w:pStyle w:val="TableText0"/>
            </w:pPr>
          </w:p>
        </w:tc>
      </w:tr>
      <w:tr w:rsidR="00440EFA" w:rsidRPr="00487B67" w14:paraId="3B493FB4" w14:textId="77777777" w:rsidTr="0052714A">
        <w:trPr>
          <w:trHeight w:val="290"/>
        </w:trPr>
        <w:tc>
          <w:tcPr>
            <w:tcW w:w="2409" w:type="dxa"/>
            <w:noWrap/>
            <w:hideMark/>
          </w:tcPr>
          <w:p w14:paraId="4A4C938E" w14:textId="77777777" w:rsidR="00440EFA" w:rsidRPr="00487B67" w:rsidRDefault="00440EFA" w:rsidP="008A7F53">
            <w:pPr>
              <w:pStyle w:val="TableText0"/>
            </w:pPr>
            <w:r w:rsidRPr="00487B67">
              <w:t>IMM experience: no prior</w:t>
            </w:r>
          </w:p>
        </w:tc>
        <w:tc>
          <w:tcPr>
            <w:tcW w:w="1701" w:type="dxa"/>
          </w:tcPr>
          <w:p w14:paraId="76C58A85" w14:textId="77777777" w:rsidR="00440EFA" w:rsidRPr="00487B67" w:rsidRDefault="00440EFA" w:rsidP="008A7F53">
            <w:pPr>
              <w:pStyle w:val="TableText0"/>
            </w:pPr>
            <w:r w:rsidRPr="00487B67">
              <w:t>prior</w:t>
            </w:r>
          </w:p>
        </w:tc>
        <w:tc>
          <w:tcPr>
            <w:tcW w:w="1418" w:type="dxa"/>
            <w:noWrap/>
          </w:tcPr>
          <w:p w14:paraId="13600BA7" w14:textId="49CC39B3" w:rsidR="00440EFA" w:rsidRPr="00487B67" w:rsidRDefault="008B4079" w:rsidP="008A7F53">
            <w:pPr>
              <w:pStyle w:val="TableText0"/>
            </w:pPr>
            <w:r w:rsidRPr="001E518D">
              <w:rPr>
                <w:color w:val="777777"/>
                <w:spacing w:val="54"/>
                <w:shd w:val="solid" w:color="000000" w:fill="000000"/>
                <w:fitText w:val="333" w:id="-760590071"/>
                <w14:textFill>
                  <w14:solidFill>
                    <w14:srgbClr w14:val="777777">
                      <w14:alpha w14:val="100000"/>
                    </w14:srgbClr>
                  </w14:solidFill>
                </w14:textFill>
              </w:rPr>
              <w:t>|||</w:t>
            </w:r>
            <w:r w:rsidRPr="001E518D">
              <w:rPr>
                <w:color w:val="777777"/>
                <w:spacing w:val="1"/>
                <w:shd w:val="solid" w:color="000000" w:fill="000000"/>
                <w:fitText w:val="333" w:id="-760590071"/>
                <w14:textFill>
                  <w14:solidFill>
                    <w14:srgbClr w14:val="777777">
                      <w14:alpha w14:val="100000"/>
                    </w14:srgbClr>
                  </w14:solidFill>
                </w14:textFill>
              </w:rPr>
              <w:t>|</w:t>
            </w:r>
            <w:r w:rsidR="00252FEC" w:rsidRPr="0091041C">
              <w:rPr>
                <w:vertAlign w:val="superscript"/>
              </w:rPr>
              <w:t>2</w:t>
            </w:r>
            <w:r w:rsidR="00440EFA" w:rsidRPr="00487B67">
              <w:t xml:space="preserve"> SWQ</w:t>
            </w:r>
          </w:p>
        </w:tc>
        <w:tc>
          <w:tcPr>
            <w:tcW w:w="1417" w:type="dxa"/>
            <w:noWrap/>
          </w:tcPr>
          <w:p w14:paraId="66ABB88B" w14:textId="77777777" w:rsidR="00440EFA" w:rsidRPr="00487B67" w:rsidRDefault="00440EFA" w:rsidP="008A7F53">
            <w:pPr>
              <w:pStyle w:val="TableText0"/>
            </w:pPr>
            <w:r w:rsidRPr="00487B67">
              <w:t>-</w:t>
            </w:r>
          </w:p>
        </w:tc>
        <w:tc>
          <w:tcPr>
            <w:tcW w:w="992" w:type="dxa"/>
            <w:noWrap/>
          </w:tcPr>
          <w:p w14:paraId="64D39325" w14:textId="1D368635" w:rsidR="00440EFA" w:rsidRPr="00487B67" w:rsidRDefault="00440EFA" w:rsidP="008A7F53">
            <w:pPr>
              <w:pStyle w:val="TableText0"/>
            </w:pPr>
            <w:r w:rsidRPr="00594D85">
              <w:t>-</w:t>
            </w:r>
            <w:r w:rsidR="008B4079" w:rsidRPr="001E518D">
              <w:rPr>
                <w:color w:val="777777"/>
                <w:spacing w:val="54"/>
                <w:shd w:val="solid" w:color="000000" w:fill="000000"/>
                <w:fitText w:val="334" w:id="-760590070"/>
                <w14:textFill>
                  <w14:solidFill>
                    <w14:srgbClr w14:val="777777">
                      <w14:alpha w14:val="100000"/>
                    </w14:srgbClr>
                  </w14:solidFill>
                </w14:textFill>
              </w:rPr>
              <w:t>|||</w:t>
            </w:r>
            <w:r w:rsidR="008B4079" w:rsidRPr="001E518D">
              <w:rPr>
                <w:color w:val="777777"/>
                <w:spacing w:val="2"/>
                <w:shd w:val="solid" w:color="000000" w:fill="000000"/>
                <w:fitText w:val="334" w:id="-760590070"/>
                <w14:textFill>
                  <w14:solidFill>
                    <w14:srgbClr w14:val="777777">
                      <w14:alpha w14:val="100000"/>
                    </w14:srgbClr>
                  </w14:solidFill>
                </w14:textFill>
              </w:rPr>
              <w:t>|</w:t>
            </w:r>
            <w:r w:rsidR="00252FEC" w:rsidRPr="0091041C">
              <w:rPr>
                <w:vertAlign w:val="superscript"/>
              </w:rPr>
              <w:t>3</w:t>
            </w:r>
          </w:p>
        </w:tc>
        <w:tc>
          <w:tcPr>
            <w:tcW w:w="1084" w:type="dxa"/>
            <w:noWrap/>
          </w:tcPr>
          <w:p w14:paraId="23C0ECCD" w14:textId="77777777" w:rsidR="00440EFA" w:rsidRPr="00487B67" w:rsidRDefault="00440EFA" w:rsidP="008A7F53">
            <w:pPr>
              <w:pStyle w:val="TableText0"/>
            </w:pPr>
            <w:r w:rsidRPr="00487B67">
              <w:t>-</w:t>
            </w:r>
          </w:p>
        </w:tc>
      </w:tr>
      <w:tr w:rsidR="00440EFA" w:rsidRPr="00487B67" w14:paraId="6A431C7B" w14:textId="77777777" w:rsidTr="0052714A">
        <w:trPr>
          <w:trHeight w:val="290"/>
        </w:trPr>
        <w:tc>
          <w:tcPr>
            <w:tcW w:w="2409" w:type="dxa"/>
            <w:noWrap/>
            <w:hideMark/>
          </w:tcPr>
          <w:p w14:paraId="72E93166" w14:textId="77777777" w:rsidR="00440EFA" w:rsidRPr="00487B67" w:rsidRDefault="00440EFA" w:rsidP="008A7F53">
            <w:pPr>
              <w:pStyle w:val="TableText0"/>
            </w:pPr>
            <w:r w:rsidRPr="00487B67">
              <w:t xml:space="preserve">Time to response </w:t>
            </w:r>
          </w:p>
          <w:p w14:paraId="7718FDD4" w14:textId="77777777" w:rsidR="00440EFA" w:rsidRPr="00487B67" w:rsidRDefault="00440EFA" w:rsidP="008A7F53">
            <w:pPr>
              <w:pStyle w:val="TableText0"/>
            </w:pPr>
            <w:r w:rsidRPr="00487B67">
              <w:t>ABRO and DUPI 8 weeks</w:t>
            </w:r>
          </w:p>
        </w:tc>
        <w:tc>
          <w:tcPr>
            <w:tcW w:w="1701" w:type="dxa"/>
          </w:tcPr>
          <w:p w14:paraId="14CE9DE3" w14:textId="0360A621" w:rsidR="00440EFA" w:rsidRPr="00487B67" w:rsidRDefault="00440EFA" w:rsidP="008A7F53">
            <w:pPr>
              <w:pStyle w:val="TableText0"/>
            </w:pPr>
            <w:r w:rsidRPr="00487B67">
              <w:t>ABRO 12 weeks; DUPI 12 weeks</w:t>
            </w:r>
          </w:p>
        </w:tc>
        <w:tc>
          <w:tcPr>
            <w:tcW w:w="1418" w:type="dxa"/>
            <w:noWrap/>
          </w:tcPr>
          <w:p w14:paraId="558BC848" w14:textId="478A30A6" w:rsidR="00440EFA" w:rsidRPr="00487B67" w:rsidRDefault="008B4079" w:rsidP="008A7F53">
            <w:pPr>
              <w:pStyle w:val="TableText0"/>
            </w:pPr>
            <w:r w:rsidRPr="001E518D">
              <w:rPr>
                <w:color w:val="777777"/>
                <w:spacing w:val="54"/>
                <w:shd w:val="solid" w:color="000000" w:fill="000000"/>
                <w:fitText w:val="333" w:id="-760590069"/>
                <w14:textFill>
                  <w14:solidFill>
                    <w14:srgbClr w14:val="777777">
                      <w14:alpha w14:val="100000"/>
                    </w14:srgbClr>
                  </w14:solidFill>
                </w14:textFill>
              </w:rPr>
              <w:t>|||</w:t>
            </w:r>
            <w:r w:rsidRPr="001E518D">
              <w:rPr>
                <w:color w:val="777777"/>
                <w:spacing w:val="1"/>
                <w:shd w:val="solid" w:color="000000" w:fill="000000"/>
                <w:fitText w:val="333" w:id="-760590069"/>
                <w14:textFill>
                  <w14:solidFill>
                    <w14:srgbClr w14:val="777777">
                      <w14:alpha w14:val="100000"/>
                    </w14:srgbClr>
                  </w14:solidFill>
                </w14:textFill>
              </w:rPr>
              <w:t>|</w:t>
            </w:r>
            <w:r w:rsidR="00634CFA" w:rsidRPr="0091041C">
              <w:rPr>
                <w:vertAlign w:val="superscript"/>
              </w:rPr>
              <w:t>4</w:t>
            </w:r>
            <w:r w:rsidR="00440EFA" w:rsidRPr="00487B67">
              <w:t xml:space="preserve"> SWQ</w:t>
            </w:r>
          </w:p>
        </w:tc>
        <w:tc>
          <w:tcPr>
            <w:tcW w:w="1417" w:type="dxa"/>
            <w:noWrap/>
          </w:tcPr>
          <w:p w14:paraId="6E8F628C" w14:textId="39406E3F" w:rsidR="00440EFA" w:rsidRPr="00487B67" w:rsidRDefault="008B4079" w:rsidP="008A7F53">
            <w:pPr>
              <w:pStyle w:val="TableText0"/>
            </w:pPr>
            <w:r w:rsidRPr="001E518D">
              <w:rPr>
                <w:color w:val="777777"/>
                <w:spacing w:val="54"/>
                <w:shd w:val="solid" w:color="000000" w:fill="000000"/>
                <w:fitText w:val="333" w:id="-760590068"/>
                <w14:textFill>
                  <w14:solidFill>
                    <w14:srgbClr w14:val="777777">
                      <w14:alpha w14:val="100000"/>
                    </w14:srgbClr>
                  </w14:solidFill>
                </w14:textFill>
              </w:rPr>
              <w:t>|||</w:t>
            </w:r>
            <w:r w:rsidRPr="001E518D">
              <w:rPr>
                <w:color w:val="777777"/>
                <w:spacing w:val="1"/>
                <w:shd w:val="solid" w:color="000000" w:fill="000000"/>
                <w:fitText w:val="333" w:id="-760590068"/>
                <w14:textFill>
                  <w14:solidFill>
                    <w14:srgbClr w14:val="777777">
                      <w14:alpha w14:val="100000"/>
                    </w14:srgbClr>
                  </w14:solidFill>
                </w14:textFill>
              </w:rPr>
              <w:t>|</w:t>
            </w:r>
            <w:r w:rsidR="00990E8F" w:rsidRPr="0091041C">
              <w:rPr>
                <w:vertAlign w:val="superscript"/>
              </w:rPr>
              <w:t>5</w:t>
            </w:r>
            <w:r w:rsidR="00440EFA" w:rsidRPr="00487B67">
              <w:t xml:space="preserve"> SWQ</w:t>
            </w:r>
          </w:p>
        </w:tc>
        <w:tc>
          <w:tcPr>
            <w:tcW w:w="992" w:type="dxa"/>
            <w:noWrap/>
          </w:tcPr>
          <w:p w14:paraId="0DC48063" w14:textId="092FE435" w:rsidR="00440EFA" w:rsidRPr="00487B67" w:rsidRDefault="00440EFA" w:rsidP="008A7F53">
            <w:pPr>
              <w:pStyle w:val="TableText0"/>
            </w:pPr>
            <w:r w:rsidRPr="00594D85">
              <w:t>-</w:t>
            </w:r>
            <w:r w:rsidR="008B4079" w:rsidRPr="001E518D">
              <w:rPr>
                <w:color w:val="777777"/>
                <w:spacing w:val="54"/>
                <w:shd w:val="solid" w:color="000000" w:fill="000000"/>
                <w:fitText w:val="334" w:id="-760590067"/>
                <w14:textFill>
                  <w14:solidFill>
                    <w14:srgbClr w14:val="777777">
                      <w14:alpha w14:val="100000"/>
                    </w14:srgbClr>
                  </w14:solidFill>
                </w14:textFill>
              </w:rPr>
              <w:t>|||</w:t>
            </w:r>
            <w:r w:rsidR="008B4079" w:rsidRPr="001E518D">
              <w:rPr>
                <w:color w:val="777777"/>
                <w:spacing w:val="2"/>
                <w:shd w:val="solid" w:color="000000" w:fill="000000"/>
                <w:fitText w:val="334" w:id="-760590067"/>
                <w14:textFill>
                  <w14:solidFill>
                    <w14:srgbClr w14:val="777777">
                      <w14:alpha w14:val="100000"/>
                    </w14:srgbClr>
                  </w14:solidFill>
                </w14:textFill>
              </w:rPr>
              <w:t>|</w:t>
            </w:r>
            <w:r w:rsidR="004C0F26" w:rsidRPr="0091041C">
              <w:rPr>
                <w:vertAlign w:val="superscript"/>
              </w:rPr>
              <w:t>6</w:t>
            </w:r>
          </w:p>
        </w:tc>
        <w:tc>
          <w:tcPr>
            <w:tcW w:w="1084" w:type="dxa"/>
            <w:noWrap/>
          </w:tcPr>
          <w:p w14:paraId="467DFC41" w14:textId="4847C257" w:rsidR="00440EFA" w:rsidRPr="00487B67" w:rsidRDefault="008B4079" w:rsidP="008A7F53">
            <w:pPr>
              <w:pStyle w:val="TableText0"/>
            </w:pPr>
            <w:r w:rsidRPr="001E518D">
              <w:rPr>
                <w:color w:val="777777"/>
                <w:spacing w:val="54"/>
                <w:shd w:val="solid" w:color="000000" w:fill="000000"/>
                <w:fitText w:val="333" w:id="-760590066"/>
                <w14:textFill>
                  <w14:solidFill>
                    <w14:srgbClr w14:val="777777">
                      <w14:alpha w14:val="100000"/>
                    </w14:srgbClr>
                  </w14:solidFill>
                </w14:textFill>
              </w:rPr>
              <w:t>|||</w:t>
            </w:r>
            <w:r w:rsidRPr="001E518D">
              <w:rPr>
                <w:color w:val="777777"/>
                <w:spacing w:val="1"/>
                <w:shd w:val="solid" w:color="000000" w:fill="000000"/>
                <w:fitText w:val="333" w:id="-760590066"/>
                <w14:textFill>
                  <w14:solidFill>
                    <w14:srgbClr w14:val="777777">
                      <w14:alpha w14:val="100000"/>
                    </w14:srgbClr>
                  </w14:solidFill>
                </w14:textFill>
              </w:rPr>
              <w:t>|</w:t>
            </w:r>
            <w:r w:rsidR="00252FEC" w:rsidRPr="00830C63">
              <w:rPr>
                <w:vertAlign w:val="superscript"/>
              </w:rPr>
              <w:t>2</w:t>
            </w:r>
          </w:p>
        </w:tc>
      </w:tr>
      <w:tr w:rsidR="00440EFA" w:rsidRPr="00487B67" w14:paraId="32D4596E" w14:textId="77777777" w:rsidTr="0052714A">
        <w:trPr>
          <w:trHeight w:val="290"/>
        </w:trPr>
        <w:tc>
          <w:tcPr>
            <w:tcW w:w="2409" w:type="dxa"/>
            <w:noWrap/>
          </w:tcPr>
          <w:p w14:paraId="07BF1612" w14:textId="77777777" w:rsidR="00440EFA" w:rsidRPr="00487B67" w:rsidRDefault="00440EFA" w:rsidP="008A7F53">
            <w:pPr>
              <w:pStyle w:val="TableText0"/>
            </w:pPr>
            <w:r w:rsidRPr="00487B67">
              <w:t xml:space="preserve">Dose intensity </w:t>
            </w:r>
          </w:p>
          <w:p w14:paraId="48BE6D15" w14:textId="77777777" w:rsidR="00440EFA" w:rsidRPr="00487B67" w:rsidRDefault="00440EFA" w:rsidP="008A7F53">
            <w:pPr>
              <w:pStyle w:val="TableText0"/>
            </w:pPr>
            <w:r w:rsidRPr="00487B67">
              <w:t xml:space="preserve">ABRO 94.9%, DUPI 93.4%: </w:t>
            </w:r>
          </w:p>
        </w:tc>
        <w:tc>
          <w:tcPr>
            <w:tcW w:w="1701" w:type="dxa"/>
          </w:tcPr>
          <w:p w14:paraId="4C6B8F7A" w14:textId="1E06B6BB" w:rsidR="00440EFA" w:rsidRPr="00487B67" w:rsidRDefault="00440EFA" w:rsidP="008A7F53">
            <w:pPr>
              <w:pStyle w:val="TableText0"/>
            </w:pPr>
            <w:r w:rsidRPr="00487B67">
              <w:t>ABRO 100%</w:t>
            </w:r>
          </w:p>
          <w:p w14:paraId="556C14C9" w14:textId="029CD551" w:rsidR="00440EFA" w:rsidRPr="00487B67" w:rsidRDefault="00440EFA" w:rsidP="008A7F53">
            <w:pPr>
              <w:pStyle w:val="TableText0"/>
            </w:pPr>
            <w:r w:rsidRPr="00487B67">
              <w:t>DUPI 100%</w:t>
            </w:r>
          </w:p>
        </w:tc>
        <w:tc>
          <w:tcPr>
            <w:tcW w:w="1418" w:type="dxa"/>
            <w:noWrap/>
          </w:tcPr>
          <w:p w14:paraId="2E663837" w14:textId="2CF51D86" w:rsidR="00440EFA" w:rsidRPr="00487B67" w:rsidRDefault="008B4079" w:rsidP="008A7F53">
            <w:pPr>
              <w:pStyle w:val="TableText0"/>
            </w:pPr>
            <w:r w:rsidRPr="001E518D">
              <w:rPr>
                <w:color w:val="777777"/>
                <w:spacing w:val="54"/>
                <w:shd w:val="solid" w:color="000000" w:fill="000000"/>
                <w:fitText w:val="333" w:id="-760590065"/>
                <w14:textFill>
                  <w14:solidFill>
                    <w14:srgbClr w14:val="777777">
                      <w14:alpha w14:val="100000"/>
                    </w14:srgbClr>
                  </w14:solidFill>
                </w14:textFill>
              </w:rPr>
              <w:t>|||</w:t>
            </w:r>
            <w:r w:rsidRPr="001E518D">
              <w:rPr>
                <w:color w:val="777777"/>
                <w:spacing w:val="1"/>
                <w:shd w:val="solid" w:color="000000" w:fill="000000"/>
                <w:fitText w:val="333" w:id="-760590065"/>
                <w14:textFill>
                  <w14:solidFill>
                    <w14:srgbClr w14:val="777777">
                      <w14:alpha w14:val="100000"/>
                    </w14:srgbClr>
                  </w14:solidFill>
                </w14:textFill>
              </w:rPr>
              <w:t>|</w:t>
            </w:r>
            <w:r w:rsidR="00990E8F" w:rsidRPr="00830C63">
              <w:rPr>
                <w:vertAlign w:val="superscript"/>
              </w:rPr>
              <w:t>4</w:t>
            </w:r>
            <w:r w:rsidR="00440EFA" w:rsidRPr="00487B67">
              <w:t xml:space="preserve"> SWQ</w:t>
            </w:r>
          </w:p>
        </w:tc>
        <w:tc>
          <w:tcPr>
            <w:tcW w:w="1417" w:type="dxa"/>
            <w:noWrap/>
          </w:tcPr>
          <w:p w14:paraId="22875D9D" w14:textId="7ECF24CB" w:rsidR="00440EFA" w:rsidRPr="00487B67" w:rsidRDefault="008B4079" w:rsidP="008A7F53">
            <w:pPr>
              <w:pStyle w:val="TableText0"/>
            </w:pPr>
            <w:r w:rsidRPr="001E518D">
              <w:rPr>
                <w:color w:val="777777"/>
                <w:spacing w:val="54"/>
                <w:shd w:val="solid" w:color="000000" w:fill="000000"/>
                <w:fitText w:val="333" w:id="-760590064"/>
                <w14:textFill>
                  <w14:solidFill>
                    <w14:srgbClr w14:val="777777">
                      <w14:alpha w14:val="100000"/>
                    </w14:srgbClr>
                  </w14:solidFill>
                </w14:textFill>
              </w:rPr>
              <w:t>|||</w:t>
            </w:r>
            <w:r w:rsidRPr="001E518D">
              <w:rPr>
                <w:color w:val="777777"/>
                <w:spacing w:val="1"/>
                <w:shd w:val="solid" w:color="000000" w:fill="000000"/>
                <w:fitText w:val="333" w:id="-760590064"/>
                <w14:textFill>
                  <w14:solidFill>
                    <w14:srgbClr w14:val="777777">
                      <w14:alpha w14:val="100000"/>
                    </w14:srgbClr>
                  </w14:solidFill>
                </w14:textFill>
              </w:rPr>
              <w:t>|</w:t>
            </w:r>
            <w:r w:rsidR="008377F6" w:rsidRPr="00830C63">
              <w:rPr>
                <w:vertAlign w:val="superscript"/>
              </w:rPr>
              <w:t>5</w:t>
            </w:r>
            <w:r w:rsidR="00440EFA" w:rsidRPr="00487B67">
              <w:t>SWQ</w:t>
            </w:r>
          </w:p>
        </w:tc>
        <w:tc>
          <w:tcPr>
            <w:tcW w:w="992" w:type="dxa"/>
            <w:noWrap/>
          </w:tcPr>
          <w:p w14:paraId="3E1F1C63" w14:textId="4BFAB006" w:rsidR="00440EFA" w:rsidRPr="00487B67" w:rsidRDefault="00440EFA" w:rsidP="008A7F53">
            <w:pPr>
              <w:pStyle w:val="TableText0"/>
            </w:pPr>
            <w:r w:rsidRPr="00487B67">
              <w:t>-</w:t>
            </w:r>
            <w:r w:rsidR="008B4079" w:rsidRPr="001E518D">
              <w:rPr>
                <w:color w:val="777777"/>
                <w:spacing w:val="54"/>
                <w:shd w:val="solid" w:color="000000" w:fill="000000"/>
                <w:fitText w:val="334" w:id="-760590080"/>
                <w14:textFill>
                  <w14:solidFill>
                    <w14:srgbClr w14:val="777777">
                      <w14:alpha w14:val="100000"/>
                    </w14:srgbClr>
                  </w14:solidFill>
                </w14:textFill>
              </w:rPr>
              <w:t>|||</w:t>
            </w:r>
            <w:r w:rsidR="008B4079" w:rsidRPr="001E518D">
              <w:rPr>
                <w:color w:val="777777"/>
                <w:spacing w:val="2"/>
                <w:shd w:val="solid" w:color="000000" w:fill="000000"/>
                <w:fitText w:val="334" w:id="-760590080"/>
                <w14:textFill>
                  <w14:solidFill>
                    <w14:srgbClr w14:val="777777">
                      <w14:alpha w14:val="100000"/>
                    </w14:srgbClr>
                  </w14:solidFill>
                </w14:textFill>
              </w:rPr>
              <w:t>|</w:t>
            </w:r>
            <w:r w:rsidR="001330EE" w:rsidRPr="0091041C">
              <w:rPr>
                <w:vertAlign w:val="superscript"/>
              </w:rPr>
              <w:t>6</w:t>
            </w:r>
          </w:p>
        </w:tc>
        <w:tc>
          <w:tcPr>
            <w:tcW w:w="1084" w:type="dxa"/>
            <w:noWrap/>
          </w:tcPr>
          <w:p w14:paraId="4A90DF53" w14:textId="15463682" w:rsidR="00440EFA" w:rsidRPr="00487B67" w:rsidRDefault="008B4079" w:rsidP="008A7F53">
            <w:pPr>
              <w:pStyle w:val="TableText0"/>
            </w:pPr>
            <w:r w:rsidRPr="001E518D">
              <w:rPr>
                <w:color w:val="777777"/>
                <w:spacing w:val="54"/>
                <w:shd w:val="solid" w:color="000000" w:fill="000000"/>
                <w:fitText w:val="333" w:id="-760590079"/>
                <w14:textFill>
                  <w14:solidFill>
                    <w14:srgbClr w14:val="777777">
                      <w14:alpha w14:val="100000"/>
                    </w14:srgbClr>
                  </w14:solidFill>
                </w14:textFill>
              </w:rPr>
              <w:t>|||</w:t>
            </w:r>
            <w:r w:rsidRPr="001E518D">
              <w:rPr>
                <w:color w:val="777777"/>
                <w:spacing w:val="1"/>
                <w:shd w:val="solid" w:color="000000" w:fill="000000"/>
                <w:fitText w:val="333" w:id="-760590079"/>
                <w14:textFill>
                  <w14:solidFill>
                    <w14:srgbClr w14:val="777777">
                      <w14:alpha w14:val="100000"/>
                    </w14:srgbClr>
                  </w14:solidFill>
                </w14:textFill>
              </w:rPr>
              <w:t>|</w:t>
            </w:r>
            <w:r w:rsidR="00252FEC" w:rsidRPr="00830C63">
              <w:rPr>
                <w:vertAlign w:val="superscript"/>
              </w:rPr>
              <w:t>2</w:t>
            </w:r>
          </w:p>
        </w:tc>
      </w:tr>
    </w:tbl>
    <w:p w14:paraId="0F2AA3F5" w14:textId="77777777" w:rsidR="00440EFA" w:rsidRDefault="00440EFA" w:rsidP="008A7F53">
      <w:pPr>
        <w:pStyle w:val="TableFigureFooter"/>
        <w:keepNext/>
      </w:pPr>
      <w:r>
        <w:t>Source: Section 3.13.2, p120 of the submission.</w:t>
      </w:r>
    </w:p>
    <w:p w14:paraId="0E452998" w14:textId="77777777" w:rsidR="00406200" w:rsidRDefault="00440EFA" w:rsidP="008A7F53">
      <w:pPr>
        <w:pStyle w:val="TableFigureFooter"/>
        <w:keepNext/>
      </w:pPr>
      <w:r>
        <w:t xml:space="preserve">ABRO = </w:t>
      </w:r>
      <w:proofErr w:type="spellStart"/>
      <w:r>
        <w:t>abrocitinib</w:t>
      </w:r>
      <w:proofErr w:type="spellEnd"/>
      <w:r>
        <w:t>; DUPI = DUPI; EASI75 = Proportion of patients with improvement of ≥ 75% from baseline in Eczema Area and Severity Index; HCRU = health care resource utilisation ICER = Incremental cost-effectiveness ratio; IMM = Immunomodulatory; PSD = Public Summary Document; QALY = Quality-adjusted life-year; SWQ = south-west quadrant</w:t>
      </w:r>
    </w:p>
    <w:p w14:paraId="22D672FA" w14:textId="6CD4CA93" w:rsidR="00406200" w:rsidRPr="0091041C" w:rsidRDefault="00406200" w:rsidP="008A7F53">
      <w:pPr>
        <w:pStyle w:val="TableFigureFooter"/>
        <w:keepNext/>
        <w:rPr>
          <w:i/>
          <w:iCs w:val="0"/>
        </w:rPr>
      </w:pPr>
      <w:r w:rsidRPr="0091041C">
        <w:rPr>
          <w:i/>
          <w:iCs w:val="0"/>
        </w:rPr>
        <w:t xml:space="preserve">The redacted values correspond to the following ranges: </w:t>
      </w:r>
    </w:p>
    <w:p w14:paraId="180594F9" w14:textId="77777777" w:rsidR="00406200" w:rsidRPr="0091041C" w:rsidRDefault="00406200" w:rsidP="008A7F53">
      <w:pPr>
        <w:pStyle w:val="TableFigureFooter"/>
        <w:keepNext/>
        <w:rPr>
          <w:i/>
          <w:iCs w:val="0"/>
        </w:rPr>
      </w:pPr>
      <w:r w:rsidRPr="0091041C">
        <w:rPr>
          <w:i/>
          <w:iCs w:val="0"/>
          <w:vertAlign w:val="superscript"/>
        </w:rPr>
        <w:t>1</w:t>
      </w:r>
      <w:r w:rsidRPr="0091041C">
        <w:rPr>
          <w:i/>
          <w:iCs w:val="0"/>
        </w:rPr>
        <w:t xml:space="preserve"> $75,000 to &lt; $95,000</w:t>
      </w:r>
    </w:p>
    <w:p w14:paraId="5CD39502" w14:textId="4D9EFDC9" w:rsidR="008D2C33" w:rsidRPr="0091041C" w:rsidRDefault="008D2C33" w:rsidP="008A7F53">
      <w:pPr>
        <w:pStyle w:val="TableFigureFooter"/>
        <w:keepNext/>
        <w:rPr>
          <w:i/>
          <w:iCs w:val="0"/>
        </w:rPr>
      </w:pPr>
      <w:r w:rsidRPr="0091041C">
        <w:rPr>
          <w:i/>
          <w:iCs w:val="0"/>
          <w:vertAlign w:val="superscript"/>
        </w:rPr>
        <w:t>2</w:t>
      </w:r>
      <w:r w:rsidRPr="0091041C">
        <w:rPr>
          <w:i/>
          <w:iCs w:val="0"/>
        </w:rPr>
        <w:t xml:space="preserve"> </w:t>
      </w:r>
      <w:r w:rsidR="00406200" w:rsidRPr="0091041C">
        <w:rPr>
          <w:i/>
          <w:iCs w:val="0"/>
        </w:rPr>
        <w:t>$45,000 to &lt; $55,000</w:t>
      </w:r>
    </w:p>
    <w:p w14:paraId="08FA3C7A" w14:textId="58EFB2F7" w:rsidR="00A5236C" w:rsidRPr="0091041C" w:rsidRDefault="008D2C33" w:rsidP="008A7F53">
      <w:pPr>
        <w:pStyle w:val="TableFigureFooter"/>
        <w:keepNext/>
        <w:rPr>
          <w:i/>
          <w:iCs w:val="0"/>
        </w:rPr>
      </w:pPr>
      <w:r w:rsidRPr="0091041C">
        <w:rPr>
          <w:i/>
          <w:iCs w:val="0"/>
          <w:vertAlign w:val="superscript"/>
        </w:rPr>
        <w:t>3</w:t>
      </w:r>
      <w:r w:rsidR="00634CFA" w:rsidRPr="0091041C">
        <w:rPr>
          <w:i/>
          <w:iCs w:val="0"/>
        </w:rPr>
        <w:t xml:space="preserve"> </w:t>
      </w:r>
      <w:r w:rsidRPr="0091041C">
        <w:rPr>
          <w:i/>
          <w:iCs w:val="0"/>
        </w:rPr>
        <w:t>$35,000 to &lt; $45,000</w:t>
      </w:r>
    </w:p>
    <w:p w14:paraId="61577508" w14:textId="055BE9C7" w:rsidR="005C0CC5" w:rsidRPr="0091041C" w:rsidRDefault="00634CFA" w:rsidP="008A7F53">
      <w:pPr>
        <w:pStyle w:val="TableFigureFooter"/>
        <w:keepNext/>
        <w:rPr>
          <w:i/>
          <w:iCs w:val="0"/>
        </w:rPr>
      </w:pPr>
      <w:r w:rsidRPr="0091041C">
        <w:rPr>
          <w:i/>
          <w:iCs w:val="0"/>
          <w:vertAlign w:val="superscript"/>
        </w:rPr>
        <w:t>4</w:t>
      </w:r>
      <w:r w:rsidRPr="0091041C">
        <w:rPr>
          <w:i/>
          <w:iCs w:val="0"/>
        </w:rPr>
        <w:t xml:space="preserve"> </w:t>
      </w:r>
      <w:r w:rsidR="005C0CC5" w:rsidRPr="0091041C">
        <w:rPr>
          <w:i/>
          <w:iCs w:val="0"/>
        </w:rPr>
        <w:t xml:space="preserve">$55,000 to &lt; $75,000 </w:t>
      </w:r>
    </w:p>
    <w:p w14:paraId="1FB34E2E" w14:textId="77777777" w:rsidR="004C0F26" w:rsidRPr="0091041C" w:rsidRDefault="004C0F26" w:rsidP="008A7F53">
      <w:pPr>
        <w:pStyle w:val="TableFigureFooter"/>
        <w:keepNext/>
        <w:rPr>
          <w:i/>
          <w:iCs w:val="0"/>
        </w:rPr>
      </w:pPr>
      <w:r w:rsidRPr="0091041C">
        <w:rPr>
          <w:i/>
          <w:iCs w:val="0"/>
          <w:vertAlign w:val="superscript"/>
        </w:rPr>
        <w:t>5</w:t>
      </w:r>
      <w:r w:rsidRPr="0091041C">
        <w:rPr>
          <w:i/>
          <w:iCs w:val="0"/>
        </w:rPr>
        <w:t xml:space="preserve"> $135,000 to &lt; $155,000</w:t>
      </w:r>
    </w:p>
    <w:p w14:paraId="71E0A3F3" w14:textId="3AD7EAB7" w:rsidR="00440EFA" w:rsidRPr="0091041C" w:rsidRDefault="002C5B68" w:rsidP="005B23ED">
      <w:pPr>
        <w:pStyle w:val="TableFigureFooter"/>
        <w:rPr>
          <w:i/>
          <w:iCs w:val="0"/>
        </w:rPr>
      </w:pPr>
      <w:r w:rsidRPr="0091041C">
        <w:rPr>
          <w:i/>
          <w:iCs w:val="0"/>
          <w:vertAlign w:val="superscript"/>
        </w:rPr>
        <w:t>6</w:t>
      </w:r>
      <w:r w:rsidRPr="0091041C">
        <w:rPr>
          <w:i/>
          <w:iCs w:val="0"/>
        </w:rPr>
        <w:t xml:space="preserve"> </w:t>
      </w:r>
      <w:r w:rsidR="00A5236C" w:rsidRPr="0091041C">
        <w:rPr>
          <w:i/>
          <w:iCs w:val="0"/>
        </w:rPr>
        <w:t>$25,000 to &lt; $35,000</w:t>
      </w:r>
    </w:p>
    <w:p w14:paraId="472842D7" w14:textId="23D901FF" w:rsidR="00C25D9C" w:rsidRPr="009F1DD6" w:rsidRDefault="00C25D9C" w:rsidP="00BB732D">
      <w:pPr>
        <w:pStyle w:val="4-SubsectionHeading"/>
        <w:rPr>
          <w:color w:val="000000" w:themeColor="text1"/>
        </w:rPr>
      </w:pPr>
      <w:bookmarkStart w:id="78" w:name="_Toc22897646"/>
      <w:bookmarkStart w:id="79" w:name="_Toc177558655"/>
      <w:r w:rsidRPr="009F1DD6">
        <w:rPr>
          <w:color w:val="000000" w:themeColor="text1"/>
        </w:rPr>
        <w:t>Drug cost/patient/year</w:t>
      </w:r>
      <w:bookmarkEnd w:id="78"/>
      <w:bookmarkEnd w:id="79"/>
    </w:p>
    <w:p w14:paraId="6A6036D8" w14:textId="6EAD14CB" w:rsidR="00A13F32" w:rsidRPr="00133F5E" w:rsidRDefault="00C83052" w:rsidP="00A13F32">
      <w:pPr>
        <w:pStyle w:val="Caption"/>
        <w:rPr>
          <w:color w:val="000000" w:themeColor="text1"/>
        </w:rPr>
      </w:pPr>
      <w:bookmarkStart w:id="80" w:name="_Toc22897647"/>
      <w:r w:rsidRPr="00070C35">
        <w:t xml:space="preserve">Table </w:t>
      </w:r>
      <w:r>
        <w:fldChar w:fldCharType="begin" w:fldLock="1"/>
      </w:r>
      <w:r>
        <w:instrText xml:space="preserve"> SEQ Table \* ARABIC </w:instrText>
      </w:r>
      <w:r>
        <w:fldChar w:fldCharType="separate"/>
      </w:r>
      <w:r w:rsidR="004F2A70">
        <w:rPr>
          <w:noProof/>
        </w:rPr>
        <w:t>15</w:t>
      </w:r>
      <w:r>
        <w:rPr>
          <w:noProof/>
        </w:rPr>
        <w:fldChar w:fldCharType="end"/>
      </w:r>
      <w:r w:rsidR="00A13F32" w:rsidRPr="00133F5E">
        <w:rPr>
          <w:color w:val="000000" w:themeColor="text1"/>
        </w:rPr>
        <w:t>:</w:t>
      </w:r>
      <w:r w:rsidR="00A13F32" w:rsidRPr="00133F5E">
        <w:rPr>
          <w:b w:val="0"/>
        </w:rPr>
        <w:t xml:space="preserve"> </w:t>
      </w:r>
      <w:r w:rsidR="00A13F32" w:rsidRPr="00133F5E">
        <w:rPr>
          <w:bCs w:val="0"/>
        </w:rPr>
        <w:t xml:space="preserve">Drug cost per patient for </w:t>
      </w:r>
      <w:r w:rsidR="00E93878">
        <w:rPr>
          <w:bCs w:val="0"/>
        </w:rPr>
        <w:t>ABRO</w:t>
      </w:r>
      <w:r w:rsidR="00A13F32" w:rsidRPr="00133F5E">
        <w:rPr>
          <w:bCs w:val="0"/>
        </w:rPr>
        <w:t xml:space="preserve"> </w:t>
      </w:r>
      <w:r w:rsidR="004E18C1">
        <w:rPr>
          <w:bCs w:val="0"/>
        </w:rPr>
        <w:t>2</w:t>
      </w:r>
      <w:r w:rsidR="00CF5502">
        <w:rPr>
          <w:bCs w:val="0"/>
        </w:rPr>
        <w:t>0</w:t>
      </w:r>
      <w:r w:rsidR="00E57A8B">
        <w:rPr>
          <w:bCs w:val="0"/>
        </w:rPr>
        <w:t>0 mg</w:t>
      </w:r>
      <w:r w:rsidR="00A13F32" w:rsidRPr="00133F5E">
        <w:rPr>
          <w:bCs w:val="0"/>
        </w:rPr>
        <w:t xml:space="preserve"> and </w:t>
      </w:r>
      <w:r w:rsidR="00E93878">
        <w:rPr>
          <w:bCs w:val="0"/>
        </w:rPr>
        <w:t>DUPI</w:t>
      </w:r>
      <w:r w:rsidR="00A13F32" w:rsidRPr="00133F5E">
        <w:rPr>
          <w:bCs w:val="0"/>
        </w:rPr>
        <w:t xml:space="preserve"> 30</w:t>
      </w:r>
      <w:r w:rsidR="00E57A8B">
        <w:rPr>
          <w:bCs w:val="0"/>
        </w:rPr>
        <w:t>0 mg</w:t>
      </w:r>
      <w:r w:rsidR="00A13F32" w:rsidRPr="00133F5E">
        <w:rPr>
          <w:bCs w:val="0"/>
        </w:rPr>
        <w:t xml:space="preserve"> Q2W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1277"/>
        <w:gridCol w:w="1275"/>
        <w:gridCol w:w="1275"/>
        <w:gridCol w:w="1277"/>
        <w:gridCol w:w="1134"/>
        <w:gridCol w:w="1791"/>
      </w:tblGrid>
      <w:tr w:rsidR="006C561E" w:rsidRPr="00070C35" w14:paraId="09B68A92" w14:textId="77777777" w:rsidTr="0052714A">
        <w:trPr>
          <w:cantSplit/>
          <w:tblHeader/>
          <w:jc w:val="center"/>
        </w:trPr>
        <w:tc>
          <w:tcPr>
            <w:tcW w:w="547" w:type="pct"/>
            <w:shd w:val="clear" w:color="auto" w:fill="auto"/>
            <w:vAlign w:val="center"/>
          </w:tcPr>
          <w:p w14:paraId="0824FAE0" w14:textId="77777777" w:rsidR="00A13F32" w:rsidRPr="00070C35" w:rsidRDefault="00A13F32" w:rsidP="006A5357">
            <w:pPr>
              <w:pStyle w:val="In-tableHeading"/>
              <w:rPr>
                <w:i w:val="0"/>
                <w:iCs w:val="0"/>
              </w:rPr>
            </w:pPr>
          </w:p>
        </w:tc>
        <w:tc>
          <w:tcPr>
            <w:tcW w:w="708" w:type="pct"/>
            <w:shd w:val="clear" w:color="auto" w:fill="auto"/>
            <w:vAlign w:val="center"/>
          </w:tcPr>
          <w:p w14:paraId="0DB92743" w14:textId="77777777" w:rsidR="00A13F32" w:rsidRPr="00070C35" w:rsidRDefault="00A13F32" w:rsidP="0052714A">
            <w:pPr>
              <w:pStyle w:val="In-tableHeading"/>
              <w:jc w:val="center"/>
              <w:rPr>
                <w:i w:val="0"/>
                <w:iCs w:val="0"/>
              </w:rPr>
            </w:pPr>
            <w:r w:rsidRPr="00070C35">
              <w:rPr>
                <w:i w:val="0"/>
                <w:iCs w:val="0"/>
              </w:rPr>
              <w:t>Proposed drug</w:t>
            </w:r>
          </w:p>
          <w:p w14:paraId="1323FE8C" w14:textId="77777777" w:rsidR="00A13F32" w:rsidRPr="00070C35" w:rsidRDefault="00A13F32" w:rsidP="0052714A">
            <w:pPr>
              <w:pStyle w:val="In-tableHeading"/>
              <w:jc w:val="center"/>
              <w:rPr>
                <w:i w:val="0"/>
                <w:iCs w:val="0"/>
              </w:rPr>
            </w:pPr>
            <w:r w:rsidRPr="00070C35">
              <w:rPr>
                <w:i w:val="0"/>
                <w:iCs w:val="0"/>
              </w:rPr>
              <w:t>Trial dose and duration</w:t>
            </w:r>
          </w:p>
        </w:tc>
        <w:tc>
          <w:tcPr>
            <w:tcW w:w="707" w:type="pct"/>
          </w:tcPr>
          <w:p w14:paraId="66E90617" w14:textId="77777777" w:rsidR="00A13F32" w:rsidRPr="00070C35" w:rsidRDefault="00A13F32" w:rsidP="0052714A">
            <w:pPr>
              <w:pStyle w:val="In-tableHeading"/>
              <w:jc w:val="center"/>
              <w:rPr>
                <w:i w:val="0"/>
                <w:iCs w:val="0"/>
              </w:rPr>
            </w:pPr>
            <w:r w:rsidRPr="00070C35">
              <w:rPr>
                <w:i w:val="0"/>
                <w:iCs w:val="0"/>
              </w:rPr>
              <w:t>Proposed drug</w:t>
            </w:r>
          </w:p>
          <w:p w14:paraId="149B9A44" w14:textId="77777777" w:rsidR="00A13F32" w:rsidRPr="00070C35" w:rsidRDefault="00A13F32" w:rsidP="0052714A">
            <w:pPr>
              <w:pStyle w:val="In-tableHeading"/>
              <w:jc w:val="center"/>
              <w:rPr>
                <w:i w:val="0"/>
                <w:iCs w:val="0"/>
              </w:rPr>
            </w:pPr>
            <w:proofErr w:type="spellStart"/>
            <w:r w:rsidRPr="00070C35">
              <w:rPr>
                <w:i w:val="0"/>
                <w:iCs w:val="0"/>
              </w:rPr>
              <w:t>Model</w:t>
            </w:r>
            <w:r w:rsidRPr="00070C35">
              <w:rPr>
                <w:i w:val="0"/>
                <w:iCs w:val="0"/>
                <w:vertAlign w:val="superscript"/>
              </w:rPr>
              <w:t>a</w:t>
            </w:r>
            <w:proofErr w:type="spellEnd"/>
          </w:p>
        </w:tc>
        <w:tc>
          <w:tcPr>
            <w:tcW w:w="707" w:type="pct"/>
            <w:shd w:val="clear" w:color="auto" w:fill="auto"/>
            <w:vAlign w:val="center"/>
          </w:tcPr>
          <w:p w14:paraId="3079EA7C" w14:textId="77777777" w:rsidR="00A13F32" w:rsidRPr="00070C35" w:rsidRDefault="00A13F32" w:rsidP="0052714A">
            <w:pPr>
              <w:pStyle w:val="In-tableHeading"/>
              <w:jc w:val="center"/>
              <w:rPr>
                <w:i w:val="0"/>
                <w:iCs w:val="0"/>
              </w:rPr>
            </w:pPr>
            <w:r w:rsidRPr="00070C35">
              <w:rPr>
                <w:i w:val="0"/>
                <w:iCs w:val="0"/>
              </w:rPr>
              <w:t>Proposed drug</w:t>
            </w:r>
          </w:p>
          <w:p w14:paraId="50257156" w14:textId="77777777" w:rsidR="00A13F32" w:rsidRPr="00070C35" w:rsidRDefault="00A13F32" w:rsidP="0052714A">
            <w:pPr>
              <w:pStyle w:val="In-tableHeading"/>
              <w:jc w:val="center"/>
              <w:rPr>
                <w:i w:val="0"/>
                <w:iCs w:val="0"/>
              </w:rPr>
            </w:pPr>
            <w:r w:rsidRPr="00070C35">
              <w:rPr>
                <w:i w:val="0"/>
                <w:iCs w:val="0"/>
              </w:rPr>
              <w:t>Financial estimates</w:t>
            </w:r>
          </w:p>
        </w:tc>
        <w:tc>
          <w:tcPr>
            <w:tcW w:w="708" w:type="pct"/>
            <w:shd w:val="clear" w:color="auto" w:fill="auto"/>
            <w:vAlign w:val="center"/>
          </w:tcPr>
          <w:p w14:paraId="4779C55C" w14:textId="77777777" w:rsidR="00A13F32" w:rsidRPr="00070C35" w:rsidRDefault="00A13F32" w:rsidP="0052714A">
            <w:pPr>
              <w:pStyle w:val="In-tableHeading"/>
              <w:jc w:val="center"/>
              <w:rPr>
                <w:i w:val="0"/>
                <w:iCs w:val="0"/>
              </w:rPr>
            </w:pPr>
            <w:r w:rsidRPr="00070C35">
              <w:rPr>
                <w:i w:val="0"/>
                <w:iCs w:val="0"/>
              </w:rPr>
              <w:t>Comparator</w:t>
            </w:r>
          </w:p>
          <w:p w14:paraId="25954173" w14:textId="77777777" w:rsidR="00A13F32" w:rsidRPr="00070C35" w:rsidRDefault="00A13F32" w:rsidP="0052714A">
            <w:pPr>
              <w:pStyle w:val="In-tableHeading"/>
              <w:jc w:val="center"/>
              <w:rPr>
                <w:i w:val="0"/>
                <w:iCs w:val="0"/>
              </w:rPr>
            </w:pPr>
            <w:r w:rsidRPr="00070C35">
              <w:rPr>
                <w:i w:val="0"/>
                <w:iCs w:val="0"/>
              </w:rPr>
              <w:t>Trial dose and duration</w:t>
            </w:r>
          </w:p>
        </w:tc>
        <w:tc>
          <w:tcPr>
            <w:tcW w:w="629" w:type="pct"/>
          </w:tcPr>
          <w:p w14:paraId="69FCA940" w14:textId="77777777" w:rsidR="00A13F32" w:rsidRPr="00070C35" w:rsidRDefault="00A13F32" w:rsidP="0052714A">
            <w:pPr>
              <w:pStyle w:val="In-tableHeading"/>
              <w:jc w:val="center"/>
              <w:rPr>
                <w:i w:val="0"/>
                <w:iCs w:val="0"/>
              </w:rPr>
            </w:pPr>
            <w:r w:rsidRPr="00070C35">
              <w:rPr>
                <w:i w:val="0"/>
                <w:iCs w:val="0"/>
              </w:rPr>
              <w:t>Comparator</w:t>
            </w:r>
          </w:p>
          <w:p w14:paraId="1CF5D93D" w14:textId="77777777" w:rsidR="00A13F32" w:rsidRPr="00070C35" w:rsidRDefault="00A13F32" w:rsidP="0052714A">
            <w:pPr>
              <w:pStyle w:val="In-tableHeading"/>
              <w:jc w:val="center"/>
              <w:rPr>
                <w:i w:val="0"/>
                <w:iCs w:val="0"/>
              </w:rPr>
            </w:pPr>
            <w:proofErr w:type="spellStart"/>
            <w:r w:rsidRPr="00070C35">
              <w:rPr>
                <w:i w:val="0"/>
                <w:iCs w:val="0"/>
              </w:rPr>
              <w:t>Model</w:t>
            </w:r>
            <w:r w:rsidRPr="00070C35">
              <w:rPr>
                <w:i w:val="0"/>
                <w:iCs w:val="0"/>
                <w:vertAlign w:val="superscript"/>
              </w:rPr>
              <w:t>a</w:t>
            </w:r>
            <w:proofErr w:type="spellEnd"/>
          </w:p>
        </w:tc>
        <w:tc>
          <w:tcPr>
            <w:tcW w:w="993" w:type="pct"/>
            <w:vAlign w:val="center"/>
          </w:tcPr>
          <w:p w14:paraId="1E9BBC99" w14:textId="77777777" w:rsidR="00A13F32" w:rsidRPr="00070C35" w:rsidRDefault="00A13F32" w:rsidP="0052714A">
            <w:pPr>
              <w:pStyle w:val="In-tableHeading"/>
              <w:jc w:val="center"/>
              <w:rPr>
                <w:i w:val="0"/>
                <w:iCs w:val="0"/>
              </w:rPr>
            </w:pPr>
            <w:r w:rsidRPr="00070C35">
              <w:rPr>
                <w:i w:val="0"/>
                <w:iCs w:val="0"/>
              </w:rPr>
              <w:t>Comparator</w:t>
            </w:r>
          </w:p>
          <w:p w14:paraId="579EFF57" w14:textId="77777777" w:rsidR="00A13F32" w:rsidRPr="00070C35" w:rsidRDefault="00A13F32" w:rsidP="0052714A">
            <w:pPr>
              <w:pStyle w:val="In-tableHeading"/>
              <w:jc w:val="center"/>
              <w:rPr>
                <w:i w:val="0"/>
                <w:iCs w:val="0"/>
              </w:rPr>
            </w:pPr>
            <w:r w:rsidRPr="00070C35">
              <w:rPr>
                <w:i w:val="0"/>
                <w:iCs w:val="0"/>
              </w:rPr>
              <w:t>Financial estimates</w:t>
            </w:r>
          </w:p>
        </w:tc>
      </w:tr>
      <w:tr w:rsidR="006C561E" w:rsidRPr="00070C35" w14:paraId="5CCA08A5" w14:textId="77777777" w:rsidTr="0052714A">
        <w:trPr>
          <w:cantSplit/>
          <w:tblHeader/>
          <w:jc w:val="center"/>
        </w:trPr>
        <w:tc>
          <w:tcPr>
            <w:tcW w:w="547" w:type="pct"/>
            <w:shd w:val="clear" w:color="auto" w:fill="auto"/>
            <w:vAlign w:val="center"/>
          </w:tcPr>
          <w:p w14:paraId="3AEEADF9" w14:textId="77777777" w:rsidR="00A13F32" w:rsidRPr="00070C35" w:rsidRDefault="00A13F32" w:rsidP="006A5357">
            <w:pPr>
              <w:pStyle w:val="In-tableHeading"/>
              <w:rPr>
                <w:i w:val="0"/>
                <w:iCs w:val="0"/>
              </w:rPr>
            </w:pPr>
          </w:p>
        </w:tc>
        <w:tc>
          <w:tcPr>
            <w:tcW w:w="708" w:type="pct"/>
            <w:shd w:val="clear" w:color="auto" w:fill="auto"/>
            <w:vAlign w:val="center"/>
          </w:tcPr>
          <w:p w14:paraId="7195065E" w14:textId="77777777" w:rsidR="00A13F32" w:rsidRPr="00070C35" w:rsidRDefault="00A13F32" w:rsidP="0052714A">
            <w:pPr>
              <w:pStyle w:val="In-tableHeading"/>
              <w:jc w:val="center"/>
              <w:rPr>
                <w:i w:val="0"/>
                <w:iCs w:val="0"/>
              </w:rPr>
            </w:pPr>
          </w:p>
        </w:tc>
        <w:tc>
          <w:tcPr>
            <w:tcW w:w="707" w:type="pct"/>
          </w:tcPr>
          <w:p w14:paraId="7D2226FA" w14:textId="77777777" w:rsidR="00A13F32" w:rsidRPr="00070C35" w:rsidRDefault="00A13F32" w:rsidP="0052714A">
            <w:pPr>
              <w:pStyle w:val="In-tableHeading"/>
              <w:jc w:val="center"/>
              <w:rPr>
                <w:i w:val="0"/>
                <w:iCs w:val="0"/>
              </w:rPr>
            </w:pPr>
          </w:p>
        </w:tc>
        <w:tc>
          <w:tcPr>
            <w:tcW w:w="707" w:type="pct"/>
            <w:shd w:val="clear" w:color="auto" w:fill="auto"/>
            <w:vAlign w:val="center"/>
          </w:tcPr>
          <w:p w14:paraId="223E3524" w14:textId="77777777" w:rsidR="00A13F32" w:rsidRPr="00070C35" w:rsidRDefault="00A13F32" w:rsidP="0052714A">
            <w:pPr>
              <w:pStyle w:val="In-tableHeading"/>
              <w:jc w:val="center"/>
              <w:rPr>
                <w:i w:val="0"/>
                <w:iCs w:val="0"/>
              </w:rPr>
            </w:pPr>
          </w:p>
        </w:tc>
        <w:tc>
          <w:tcPr>
            <w:tcW w:w="708" w:type="pct"/>
            <w:shd w:val="clear" w:color="auto" w:fill="auto"/>
            <w:vAlign w:val="center"/>
          </w:tcPr>
          <w:p w14:paraId="47896458" w14:textId="77777777" w:rsidR="00A13F32" w:rsidRPr="00070C35" w:rsidRDefault="00A13F32" w:rsidP="0052714A">
            <w:pPr>
              <w:pStyle w:val="In-tableHeading"/>
              <w:jc w:val="center"/>
              <w:rPr>
                <w:i w:val="0"/>
                <w:iCs w:val="0"/>
              </w:rPr>
            </w:pPr>
          </w:p>
        </w:tc>
        <w:tc>
          <w:tcPr>
            <w:tcW w:w="629" w:type="pct"/>
          </w:tcPr>
          <w:p w14:paraId="7CDB5BA2" w14:textId="77777777" w:rsidR="00A13F32" w:rsidRPr="00070C35" w:rsidRDefault="00A13F32" w:rsidP="0052714A">
            <w:pPr>
              <w:pStyle w:val="In-tableHeading"/>
              <w:jc w:val="center"/>
              <w:rPr>
                <w:i w:val="0"/>
                <w:iCs w:val="0"/>
              </w:rPr>
            </w:pPr>
          </w:p>
        </w:tc>
        <w:tc>
          <w:tcPr>
            <w:tcW w:w="993" w:type="pct"/>
            <w:vAlign w:val="center"/>
          </w:tcPr>
          <w:p w14:paraId="065743A0" w14:textId="77777777" w:rsidR="00A13F32" w:rsidRPr="00070C35" w:rsidRDefault="00A13F32" w:rsidP="0052714A">
            <w:pPr>
              <w:pStyle w:val="In-tableHeading"/>
              <w:jc w:val="center"/>
              <w:rPr>
                <w:i w:val="0"/>
                <w:iCs w:val="0"/>
              </w:rPr>
            </w:pPr>
          </w:p>
        </w:tc>
      </w:tr>
      <w:tr w:rsidR="006C561E" w:rsidRPr="00070C35" w14:paraId="201C1283" w14:textId="77777777" w:rsidTr="0052714A">
        <w:trPr>
          <w:cantSplit/>
          <w:jc w:val="center"/>
        </w:trPr>
        <w:tc>
          <w:tcPr>
            <w:tcW w:w="547" w:type="pct"/>
            <w:shd w:val="clear" w:color="auto" w:fill="auto"/>
            <w:vAlign w:val="center"/>
          </w:tcPr>
          <w:p w14:paraId="4DBA92A2" w14:textId="77777777" w:rsidR="00A13F32" w:rsidRPr="00070C35" w:rsidRDefault="00A13F32" w:rsidP="00CC1644">
            <w:pPr>
              <w:pStyle w:val="TableText0"/>
              <w:rPr>
                <w:color w:val="000000" w:themeColor="text1"/>
              </w:rPr>
            </w:pPr>
            <w:r w:rsidRPr="00070C35">
              <w:rPr>
                <w:color w:val="000000" w:themeColor="text1"/>
              </w:rPr>
              <w:t>Mean dose</w:t>
            </w:r>
          </w:p>
        </w:tc>
        <w:tc>
          <w:tcPr>
            <w:tcW w:w="708" w:type="pct"/>
            <w:shd w:val="clear" w:color="auto" w:fill="auto"/>
            <w:vAlign w:val="center"/>
          </w:tcPr>
          <w:p w14:paraId="099831E3" w14:textId="76B0CF31" w:rsidR="00A13F32" w:rsidRPr="00070C35" w:rsidRDefault="00A13F32" w:rsidP="0052714A">
            <w:pPr>
              <w:pStyle w:val="TableText0"/>
              <w:jc w:val="center"/>
              <w:rPr>
                <w:color w:val="000000" w:themeColor="text1"/>
              </w:rPr>
            </w:pPr>
            <w:r w:rsidRPr="00070C35">
              <w:rPr>
                <w:color w:val="000000" w:themeColor="text1"/>
              </w:rPr>
              <w:t>189.8</w:t>
            </w:r>
            <w:r w:rsidR="0016429D">
              <w:rPr>
                <w:color w:val="000000" w:themeColor="text1"/>
              </w:rPr>
              <w:t xml:space="preserve"> </w:t>
            </w:r>
            <w:r w:rsidRPr="00070C35">
              <w:rPr>
                <w:color w:val="000000" w:themeColor="text1"/>
              </w:rPr>
              <w:t>mg</w:t>
            </w:r>
            <w:r w:rsidRPr="00070C35">
              <w:rPr>
                <w:color w:val="000000" w:themeColor="text1"/>
                <w:vertAlign w:val="superscript"/>
              </w:rPr>
              <w:t>b</w:t>
            </w:r>
          </w:p>
        </w:tc>
        <w:tc>
          <w:tcPr>
            <w:tcW w:w="707" w:type="pct"/>
            <w:vAlign w:val="center"/>
          </w:tcPr>
          <w:p w14:paraId="2EBE8D8F" w14:textId="64FB9296" w:rsidR="00A13F32" w:rsidRPr="00070C35" w:rsidRDefault="004E18C1" w:rsidP="0052714A">
            <w:pPr>
              <w:pStyle w:val="TableText0"/>
              <w:jc w:val="center"/>
              <w:rPr>
                <w:color w:val="000000" w:themeColor="text1"/>
              </w:rPr>
            </w:pPr>
            <w:r w:rsidRPr="00070C35">
              <w:rPr>
                <w:color w:val="000000" w:themeColor="text1"/>
              </w:rPr>
              <w:t>2</w:t>
            </w:r>
            <w:r w:rsidR="00CF5502" w:rsidRPr="00070C35">
              <w:rPr>
                <w:color w:val="000000" w:themeColor="text1"/>
              </w:rPr>
              <w:t>0</w:t>
            </w:r>
            <w:r w:rsidR="00E57A8B" w:rsidRPr="00070C35">
              <w:rPr>
                <w:color w:val="000000" w:themeColor="text1"/>
              </w:rPr>
              <w:t>0 mg</w:t>
            </w:r>
            <w:r w:rsidR="00A13F32" w:rsidRPr="00070C35">
              <w:rPr>
                <w:color w:val="000000" w:themeColor="text1"/>
              </w:rPr>
              <w:t xml:space="preserve"> QD</w:t>
            </w:r>
          </w:p>
        </w:tc>
        <w:tc>
          <w:tcPr>
            <w:tcW w:w="707" w:type="pct"/>
            <w:shd w:val="clear" w:color="auto" w:fill="auto"/>
            <w:vAlign w:val="center"/>
          </w:tcPr>
          <w:p w14:paraId="5F497459" w14:textId="223360A8" w:rsidR="00A13F32" w:rsidRPr="00070C35" w:rsidRDefault="004E18C1" w:rsidP="0052714A">
            <w:pPr>
              <w:pStyle w:val="TableText0"/>
              <w:jc w:val="center"/>
              <w:rPr>
                <w:color w:val="000000" w:themeColor="text1"/>
              </w:rPr>
            </w:pPr>
            <w:r w:rsidRPr="00070C35">
              <w:rPr>
                <w:color w:val="000000" w:themeColor="text1"/>
              </w:rPr>
              <w:t>2</w:t>
            </w:r>
            <w:r w:rsidR="00CF5502" w:rsidRPr="00070C35">
              <w:rPr>
                <w:color w:val="000000" w:themeColor="text1"/>
              </w:rPr>
              <w:t>0</w:t>
            </w:r>
            <w:r w:rsidR="00E57A8B" w:rsidRPr="00070C35">
              <w:rPr>
                <w:color w:val="000000" w:themeColor="text1"/>
              </w:rPr>
              <w:t>0 mg</w:t>
            </w:r>
          </w:p>
        </w:tc>
        <w:tc>
          <w:tcPr>
            <w:tcW w:w="708" w:type="pct"/>
            <w:shd w:val="clear" w:color="auto" w:fill="auto"/>
            <w:vAlign w:val="center"/>
          </w:tcPr>
          <w:p w14:paraId="20016C86" w14:textId="1941D111" w:rsidR="00A13F32" w:rsidRPr="00070C35" w:rsidRDefault="00A13F32" w:rsidP="0052714A">
            <w:pPr>
              <w:pStyle w:val="TableText0"/>
              <w:jc w:val="center"/>
              <w:rPr>
                <w:color w:val="000000" w:themeColor="text1"/>
              </w:rPr>
            </w:pPr>
            <w:r w:rsidRPr="00070C35">
              <w:rPr>
                <w:color w:val="000000" w:themeColor="text1"/>
              </w:rPr>
              <w:t>280.2</w:t>
            </w:r>
            <w:r w:rsidR="0016429D">
              <w:rPr>
                <w:color w:val="000000" w:themeColor="text1"/>
              </w:rPr>
              <w:t xml:space="preserve"> </w:t>
            </w:r>
            <w:r w:rsidRPr="00070C35">
              <w:rPr>
                <w:color w:val="000000" w:themeColor="text1"/>
              </w:rPr>
              <w:t>mg Q2W</w:t>
            </w:r>
            <w:r w:rsidRPr="00070C35">
              <w:rPr>
                <w:color w:val="000000" w:themeColor="text1"/>
                <w:vertAlign w:val="superscript"/>
              </w:rPr>
              <w:t>c</w:t>
            </w:r>
          </w:p>
        </w:tc>
        <w:tc>
          <w:tcPr>
            <w:tcW w:w="629" w:type="pct"/>
            <w:vAlign w:val="center"/>
          </w:tcPr>
          <w:p w14:paraId="71AD239F" w14:textId="280FD08B" w:rsidR="00A13F32" w:rsidRPr="00070C35" w:rsidRDefault="00A13F32" w:rsidP="0052714A">
            <w:pPr>
              <w:pStyle w:val="TableText0"/>
              <w:jc w:val="center"/>
              <w:rPr>
                <w:color w:val="000000" w:themeColor="text1"/>
              </w:rPr>
            </w:pPr>
            <w:r w:rsidRPr="00070C35">
              <w:rPr>
                <w:color w:val="000000" w:themeColor="text1"/>
              </w:rPr>
              <w:t>30</w:t>
            </w:r>
            <w:r w:rsidR="00E57A8B" w:rsidRPr="00070C35">
              <w:rPr>
                <w:color w:val="000000" w:themeColor="text1"/>
              </w:rPr>
              <w:t>0 mg</w:t>
            </w:r>
            <w:r w:rsidRPr="00070C35">
              <w:rPr>
                <w:color w:val="000000" w:themeColor="text1"/>
              </w:rPr>
              <w:t xml:space="preserve"> Q2W</w:t>
            </w:r>
          </w:p>
        </w:tc>
        <w:tc>
          <w:tcPr>
            <w:tcW w:w="993" w:type="pct"/>
            <w:vAlign w:val="center"/>
          </w:tcPr>
          <w:p w14:paraId="1A3C8DE4" w14:textId="01C0313A" w:rsidR="00A13F32" w:rsidRPr="00070C35" w:rsidRDefault="00A13F32" w:rsidP="0052714A">
            <w:pPr>
              <w:pStyle w:val="TableText0"/>
              <w:jc w:val="center"/>
              <w:rPr>
                <w:color w:val="000000" w:themeColor="text1"/>
              </w:rPr>
            </w:pPr>
            <w:r w:rsidRPr="00070C35">
              <w:rPr>
                <w:color w:val="000000" w:themeColor="text1"/>
              </w:rPr>
              <w:t>30</w:t>
            </w:r>
            <w:r w:rsidR="00E57A8B" w:rsidRPr="00070C35">
              <w:rPr>
                <w:color w:val="000000" w:themeColor="text1"/>
              </w:rPr>
              <w:t>0 mg</w:t>
            </w:r>
            <w:r w:rsidRPr="00070C35">
              <w:rPr>
                <w:color w:val="000000" w:themeColor="text1"/>
              </w:rPr>
              <w:t xml:space="preserve"> Q2W</w:t>
            </w:r>
          </w:p>
        </w:tc>
      </w:tr>
      <w:tr w:rsidR="006C561E" w:rsidRPr="00070C35" w14:paraId="10AA0C54" w14:textId="77777777" w:rsidTr="0052714A">
        <w:trPr>
          <w:cantSplit/>
          <w:jc w:val="center"/>
        </w:trPr>
        <w:tc>
          <w:tcPr>
            <w:tcW w:w="547" w:type="pct"/>
            <w:shd w:val="clear" w:color="auto" w:fill="auto"/>
            <w:vAlign w:val="center"/>
          </w:tcPr>
          <w:p w14:paraId="6FFEE548" w14:textId="77777777" w:rsidR="00A13F32" w:rsidRPr="00070C35" w:rsidRDefault="00A13F32" w:rsidP="00CC1644">
            <w:pPr>
              <w:pStyle w:val="TableText0"/>
              <w:rPr>
                <w:color w:val="000000" w:themeColor="text1"/>
              </w:rPr>
            </w:pPr>
            <w:r w:rsidRPr="00070C35">
              <w:rPr>
                <w:color w:val="000000" w:themeColor="text1"/>
              </w:rPr>
              <w:t>Mean duration</w:t>
            </w:r>
          </w:p>
        </w:tc>
        <w:tc>
          <w:tcPr>
            <w:tcW w:w="708" w:type="pct"/>
            <w:shd w:val="clear" w:color="auto" w:fill="auto"/>
            <w:vAlign w:val="center"/>
          </w:tcPr>
          <w:p w14:paraId="20AEF61E" w14:textId="77777777" w:rsidR="00A13F32" w:rsidRPr="00070C35" w:rsidRDefault="00A13F32" w:rsidP="0052714A">
            <w:pPr>
              <w:pStyle w:val="TableText0"/>
              <w:jc w:val="center"/>
              <w:rPr>
                <w:color w:val="000000" w:themeColor="text1"/>
              </w:rPr>
            </w:pPr>
            <w:r w:rsidRPr="00070C35">
              <w:rPr>
                <w:color w:val="000000" w:themeColor="text1"/>
              </w:rPr>
              <w:t>106.3 days</w:t>
            </w:r>
          </w:p>
        </w:tc>
        <w:tc>
          <w:tcPr>
            <w:tcW w:w="707" w:type="pct"/>
            <w:vAlign w:val="center"/>
          </w:tcPr>
          <w:p w14:paraId="73249338" w14:textId="77777777" w:rsidR="00A13F32" w:rsidRPr="00070C35" w:rsidRDefault="00A13F32" w:rsidP="0052714A">
            <w:pPr>
              <w:pStyle w:val="TableText0"/>
              <w:jc w:val="center"/>
              <w:rPr>
                <w:color w:val="000000" w:themeColor="text1"/>
              </w:rPr>
            </w:pPr>
            <w:r w:rsidRPr="00070C35">
              <w:rPr>
                <w:color w:val="000000" w:themeColor="text1"/>
              </w:rPr>
              <w:t>2 years</w:t>
            </w:r>
          </w:p>
        </w:tc>
        <w:tc>
          <w:tcPr>
            <w:tcW w:w="707" w:type="pct"/>
            <w:shd w:val="clear" w:color="auto" w:fill="auto"/>
            <w:vAlign w:val="center"/>
          </w:tcPr>
          <w:p w14:paraId="5D30BFA2" w14:textId="77777777" w:rsidR="00A13F32" w:rsidRPr="00070C35" w:rsidRDefault="00A13F32" w:rsidP="0052714A">
            <w:pPr>
              <w:pStyle w:val="TableText0"/>
              <w:jc w:val="center"/>
              <w:rPr>
                <w:color w:val="000000" w:themeColor="text1"/>
              </w:rPr>
            </w:pPr>
            <w:r w:rsidRPr="00070C35">
              <w:rPr>
                <w:color w:val="000000" w:themeColor="text1"/>
              </w:rPr>
              <w:t>-</w:t>
            </w:r>
          </w:p>
        </w:tc>
        <w:tc>
          <w:tcPr>
            <w:tcW w:w="708" w:type="pct"/>
            <w:shd w:val="clear" w:color="auto" w:fill="auto"/>
            <w:vAlign w:val="center"/>
          </w:tcPr>
          <w:p w14:paraId="32348018" w14:textId="77777777" w:rsidR="00A13F32" w:rsidRPr="00070C35" w:rsidRDefault="00A13F32" w:rsidP="0052714A">
            <w:pPr>
              <w:pStyle w:val="TableText0"/>
              <w:jc w:val="center"/>
              <w:rPr>
                <w:color w:val="000000" w:themeColor="text1"/>
              </w:rPr>
            </w:pPr>
            <w:r w:rsidRPr="00070C35">
              <w:rPr>
                <w:color w:val="000000" w:themeColor="text1"/>
              </w:rPr>
              <w:t>104.6 days</w:t>
            </w:r>
          </w:p>
        </w:tc>
        <w:tc>
          <w:tcPr>
            <w:tcW w:w="629" w:type="pct"/>
            <w:vAlign w:val="center"/>
          </w:tcPr>
          <w:p w14:paraId="2322F52F" w14:textId="77777777" w:rsidR="00A13F32" w:rsidRPr="00070C35" w:rsidRDefault="00A13F32" w:rsidP="0052714A">
            <w:pPr>
              <w:pStyle w:val="TableText0"/>
              <w:jc w:val="center"/>
              <w:rPr>
                <w:color w:val="000000" w:themeColor="text1"/>
              </w:rPr>
            </w:pPr>
            <w:r w:rsidRPr="00070C35">
              <w:rPr>
                <w:color w:val="000000" w:themeColor="text1"/>
              </w:rPr>
              <w:t>2 years</w:t>
            </w:r>
          </w:p>
        </w:tc>
        <w:tc>
          <w:tcPr>
            <w:tcW w:w="993" w:type="pct"/>
            <w:vAlign w:val="center"/>
          </w:tcPr>
          <w:p w14:paraId="0F24C519" w14:textId="77777777" w:rsidR="00A13F32" w:rsidRPr="00070C35" w:rsidRDefault="00A13F32" w:rsidP="0052714A">
            <w:pPr>
              <w:pStyle w:val="TableText0"/>
              <w:jc w:val="center"/>
              <w:rPr>
                <w:color w:val="000000" w:themeColor="text1"/>
              </w:rPr>
            </w:pPr>
            <w:r w:rsidRPr="00070C35">
              <w:rPr>
                <w:color w:val="000000" w:themeColor="text1"/>
              </w:rPr>
              <w:t>-</w:t>
            </w:r>
          </w:p>
        </w:tc>
      </w:tr>
      <w:tr w:rsidR="006C561E" w:rsidRPr="00070C35" w14:paraId="2CA820C7" w14:textId="77777777" w:rsidTr="0052714A">
        <w:trPr>
          <w:cantSplit/>
          <w:jc w:val="center"/>
        </w:trPr>
        <w:tc>
          <w:tcPr>
            <w:tcW w:w="547" w:type="pct"/>
            <w:shd w:val="clear" w:color="auto" w:fill="auto"/>
            <w:vAlign w:val="center"/>
          </w:tcPr>
          <w:p w14:paraId="66A7A77D" w14:textId="77777777" w:rsidR="00A13F32" w:rsidRPr="00070C35" w:rsidRDefault="00A13F32" w:rsidP="00CC1644">
            <w:pPr>
              <w:pStyle w:val="TableText0"/>
              <w:rPr>
                <w:color w:val="000000" w:themeColor="text1"/>
              </w:rPr>
            </w:pPr>
            <w:r w:rsidRPr="00070C35">
              <w:rPr>
                <w:color w:val="000000" w:themeColor="text1"/>
              </w:rPr>
              <w:t>Cost/patient/year</w:t>
            </w:r>
          </w:p>
        </w:tc>
        <w:tc>
          <w:tcPr>
            <w:tcW w:w="708" w:type="pct"/>
            <w:shd w:val="clear" w:color="auto" w:fill="auto"/>
            <w:vAlign w:val="center"/>
          </w:tcPr>
          <w:p w14:paraId="48D1505C" w14:textId="77777777" w:rsidR="00A13F32" w:rsidRPr="00070C35" w:rsidRDefault="00A13F32" w:rsidP="0052714A">
            <w:pPr>
              <w:pStyle w:val="TableText0"/>
              <w:jc w:val="center"/>
              <w:rPr>
                <w:color w:val="000000" w:themeColor="text1"/>
              </w:rPr>
            </w:pPr>
          </w:p>
        </w:tc>
        <w:tc>
          <w:tcPr>
            <w:tcW w:w="707" w:type="pct"/>
            <w:vAlign w:val="center"/>
          </w:tcPr>
          <w:p w14:paraId="2104AD1E" w14:textId="0F9D0443" w:rsidR="00A13F32" w:rsidRPr="00070C35" w:rsidRDefault="00A13F32" w:rsidP="0052714A">
            <w:pPr>
              <w:pStyle w:val="TableText0"/>
              <w:jc w:val="center"/>
              <w:rPr>
                <w:color w:val="000000" w:themeColor="text1"/>
              </w:rPr>
            </w:pPr>
            <w:r w:rsidRPr="00070C35">
              <w:rPr>
                <w:color w:val="000000" w:themeColor="text1"/>
              </w:rPr>
              <w:t>$</w:t>
            </w:r>
            <w:r w:rsidR="008B4079" w:rsidRPr="00CF1D90">
              <w:rPr>
                <w:color w:val="7F7F7F" w:themeColor="text1" w:themeTint="80"/>
                <w:shd w:val="solid" w:color="000000" w:fill="000000"/>
                <w14:textFill>
                  <w14:solidFill>
                    <w14:schemeClr w14:val="tx1">
                      <w14:alpha w14:val="100000"/>
                      <w14:lumMod w14:val="50000"/>
                      <w14:lumOff w14:val="50000"/>
                    </w14:schemeClr>
                  </w14:solidFill>
                </w14:textFill>
              </w:rPr>
              <w:t>|</w:t>
            </w:r>
          </w:p>
        </w:tc>
        <w:tc>
          <w:tcPr>
            <w:tcW w:w="707" w:type="pct"/>
            <w:shd w:val="clear" w:color="auto" w:fill="auto"/>
            <w:vAlign w:val="center"/>
          </w:tcPr>
          <w:p w14:paraId="4B722D9E" w14:textId="6A1A5783" w:rsidR="00A13F32" w:rsidRPr="00070C35" w:rsidRDefault="00A13F32" w:rsidP="0052714A">
            <w:pPr>
              <w:pStyle w:val="TableText0"/>
              <w:jc w:val="center"/>
              <w:rPr>
                <w:color w:val="000000" w:themeColor="text1"/>
              </w:rPr>
            </w:pPr>
            <w:r w:rsidRPr="00070C35">
              <w:rPr>
                <w:color w:val="000000" w:themeColor="text1"/>
              </w:rPr>
              <w:t>$</w:t>
            </w:r>
            <w:r w:rsidR="008B4079" w:rsidRPr="00CF1D90">
              <w:rPr>
                <w:color w:val="7F7F7F" w:themeColor="text1" w:themeTint="80"/>
                <w:shd w:val="solid" w:color="000000" w:fill="000000"/>
                <w14:textFill>
                  <w14:solidFill>
                    <w14:schemeClr w14:val="tx1">
                      <w14:alpha w14:val="100000"/>
                      <w14:lumMod w14:val="50000"/>
                      <w14:lumOff w14:val="50000"/>
                    </w14:schemeClr>
                  </w14:solidFill>
                </w14:textFill>
              </w:rPr>
              <w:t>|</w:t>
            </w:r>
          </w:p>
        </w:tc>
        <w:tc>
          <w:tcPr>
            <w:tcW w:w="708" w:type="pct"/>
            <w:shd w:val="clear" w:color="auto" w:fill="auto"/>
            <w:vAlign w:val="center"/>
          </w:tcPr>
          <w:p w14:paraId="764CD871" w14:textId="77777777" w:rsidR="00A13F32" w:rsidRPr="00070C35" w:rsidRDefault="00A13F32" w:rsidP="0052714A">
            <w:pPr>
              <w:pStyle w:val="TableText0"/>
              <w:jc w:val="center"/>
              <w:rPr>
                <w:color w:val="000000" w:themeColor="text1"/>
              </w:rPr>
            </w:pPr>
          </w:p>
        </w:tc>
        <w:tc>
          <w:tcPr>
            <w:tcW w:w="629" w:type="pct"/>
            <w:vAlign w:val="center"/>
          </w:tcPr>
          <w:p w14:paraId="7D186347" w14:textId="50D9D96C" w:rsidR="00A13F32" w:rsidRPr="00070C35" w:rsidRDefault="00A13F32" w:rsidP="0052714A">
            <w:pPr>
              <w:pStyle w:val="TableText0"/>
              <w:jc w:val="center"/>
              <w:rPr>
                <w:color w:val="000000" w:themeColor="text1"/>
              </w:rPr>
            </w:pPr>
            <w:r w:rsidRPr="00070C35">
              <w:rPr>
                <w:color w:val="000000" w:themeColor="text1"/>
              </w:rPr>
              <w:t>$</w:t>
            </w:r>
            <w:r w:rsidR="008B4079" w:rsidRPr="00CF1D90">
              <w:rPr>
                <w:rFonts w:hint="eastAsia"/>
                <w:color w:val="7F7F7F" w:themeColor="text1" w:themeTint="80"/>
                <w:w w:val="15"/>
                <w:shd w:val="solid" w:color="000000" w:fill="000000"/>
                <w:fitText w:val="40" w:id="-760590078"/>
                <w14:textFill>
                  <w14:solidFill>
                    <w14:schemeClr w14:val="tx1">
                      <w14:alpha w14:val="100000"/>
                      <w14:lumMod w14:val="50000"/>
                      <w14:lumOff w14:val="50000"/>
                    </w14:schemeClr>
                  </w14:solidFill>
                </w14:textFill>
              </w:rPr>
              <w:t xml:space="preserve">　</w:t>
            </w:r>
            <w:r w:rsidR="008B4079" w:rsidRPr="00CF1D90">
              <w:rPr>
                <w:color w:val="7F7F7F" w:themeColor="text1" w:themeTint="80"/>
                <w:w w:val="15"/>
                <w:shd w:val="solid" w:color="000000" w:fill="000000"/>
                <w:fitText w:val="40" w:id="-760590078"/>
                <w14:textFill>
                  <w14:solidFill>
                    <w14:schemeClr w14:val="tx1">
                      <w14:alpha w14:val="100000"/>
                      <w14:lumMod w14:val="50000"/>
                      <w14:lumOff w14:val="50000"/>
                    </w14:schemeClr>
                  </w14:solidFill>
                </w14:textFill>
              </w:rPr>
              <w:t>|</w:t>
            </w:r>
            <w:r w:rsidR="008B4079" w:rsidRPr="00CF1D90">
              <w:rPr>
                <w:rFonts w:hint="eastAsia"/>
                <w:color w:val="7F7F7F" w:themeColor="text1" w:themeTint="80"/>
                <w:spacing w:val="-25"/>
                <w:w w:val="15"/>
                <w:shd w:val="solid" w:color="000000" w:fill="000000"/>
                <w:fitText w:val="40" w:id="-760590078"/>
                <w14:textFill>
                  <w14:solidFill>
                    <w14:schemeClr w14:val="tx1">
                      <w14:alpha w14:val="100000"/>
                      <w14:lumMod w14:val="50000"/>
                      <w14:lumOff w14:val="50000"/>
                    </w14:schemeClr>
                  </w14:solidFill>
                </w14:textFill>
              </w:rPr>
              <w:t xml:space="preserve">　</w:t>
            </w:r>
          </w:p>
        </w:tc>
        <w:tc>
          <w:tcPr>
            <w:tcW w:w="993" w:type="pct"/>
            <w:vAlign w:val="center"/>
          </w:tcPr>
          <w:p w14:paraId="2BA5A14A" w14:textId="40D058CC" w:rsidR="00A13F32" w:rsidRPr="00070C35" w:rsidRDefault="00A13F32" w:rsidP="0052714A">
            <w:pPr>
              <w:pStyle w:val="TableText0"/>
              <w:jc w:val="center"/>
              <w:rPr>
                <w:color w:val="000000" w:themeColor="text1"/>
              </w:rPr>
            </w:pPr>
            <w:r w:rsidRPr="00070C35">
              <w:rPr>
                <w:color w:val="000000" w:themeColor="text1"/>
              </w:rPr>
              <w:t>$</w:t>
            </w:r>
            <w:r w:rsidR="008B4079" w:rsidRPr="00CF1D90">
              <w:rPr>
                <w:rFonts w:hint="eastAsia"/>
                <w:color w:val="7F7F7F" w:themeColor="text1" w:themeTint="80"/>
                <w:w w:val="18"/>
                <w:shd w:val="solid" w:color="000000" w:fill="000000"/>
                <w:fitText w:val="80" w:id="-760590077"/>
                <w14:textFill>
                  <w14:solidFill>
                    <w14:schemeClr w14:val="tx1">
                      <w14:alpha w14:val="100000"/>
                      <w14:lumMod w14:val="50000"/>
                      <w14:lumOff w14:val="50000"/>
                    </w14:schemeClr>
                  </w14:solidFill>
                </w14:textFill>
              </w:rPr>
              <w:t xml:space="preserve">　</w:t>
            </w:r>
            <w:r w:rsidR="008B4079" w:rsidRPr="00CF1D90">
              <w:rPr>
                <w:color w:val="7F7F7F" w:themeColor="text1" w:themeTint="80"/>
                <w:w w:val="18"/>
                <w:shd w:val="solid" w:color="000000" w:fill="000000"/>
                <w:fitText w:val="80" w:id="-760590077"/>
                <w14:textFill>
                  <w14:solidFill>
                    <w14:schemeClr w14:val="tx1">
                      <w14:alpha w14:val="100000"/>
                      <w14:lumMod w14:val="50000"/>
                      <w14:lumOff w14:val="50000"/>
                    </w14:schemeClr>
                  </w14:solidFill>
                </w14:textFill>
              </w:rPr>
              <w:t>|</w:t>
            </w:r>
            <w:r w:rsidR="008B4079" w:rsidRPr="00CF1D90">
              <w:rPr>
                <w:rFonts w:hint="eastAsia"/>
                <w:color w:val="7F7F7F" w:themeColor="text1" w:themeTint="80"/>
                <w:w w:val="18"/>
                <w:shd w:val="solid" w:color="000000" w:fill="000000"/>
                <w:fitText w:val="80" w:id="-760590077"/>
                <w14:textFill>
                  <w14:solidFill>
                    <w14:schemeClr w14:val="tx1">
                      <w14:alpha w14:val="100000"/>
                      <w14:lumMod w14:val="50000"/>
                      <w14:lumOff w14:val="50000"/>
                    </w14:schemeClr>
                  </w14:solidFill>
                </w14:textFill>
              </w:rPr>
              <w:t xml:space="preserve">　</w:t>
            </w:r>
            <w:r w:rsidRPr="00070C35">
              <w:rPr>
                <w:color w:val="000000" w:themeColor="text1"/>
              </w:rPr>
              <w:t xml:space="preserve"> (1</w:t>
            </w:r>
            <w:r w:rsidRPr="00070C35">
              <w:rPr>
                <w:color w:val="000000" w:themeColor="text1"/>
                <w:vertAlign w:val="superscript"/>
              </w:rPr>
              <w:t>st</w:t>
            </w:r>
            <w:r w:rsidRPr="00070C35">
              <w:rPr>
                <w:color w:val="000000" w:themeColor="text1"/>
              </w:rPr>
              <w:t xml:space="preserve"> year)</w:t>
            </w:r>
          </w:p>
          <w:p w14:paraId="0C296F86" w14:textId="0D0B9F29" w:rsidR="00A13F32" w:rsidRPr="00070C35" w:rsidRDefault="00A13F32" w:rsidP="0052714A">
            <w:pPr>
              <w:pStyle w:val="TableText0"/>
              <w:jc w:val="center"/>
              <w:rPr>
                <w:color w:val="000000" w:themeColor="text1"/>
              </w:rPr>
            </w:pPr>
            <w:r w:rsidRPr="00070C35">
              <w:rPr>
                <w:color w:val="000000" w:themeColor="text1"/>
              </w:rPr>
              <w:t>$</w:t>
            </w:r>
            <w:r w:rsidR="008B4079" w:rsidRPr="00CF1D90">
              <w:rPr>
                <w:color w:val="7F7F7F" w:themeColor="text1" w:themeTint="80"/>
                <w:spacing w:val="100"/>
                <w:shd w:val="solid" w:color="000000" w:fill="000000"/>
                <w:fitText w:val="186" w:id="-760590076"/>
                <w14:textFill>
                  <w14:solidFill>
                    <w14:schemeClr w14:val="tx1">
                      <w14:alpha w14:val="100000"/>
                      <w14:lumMod w14:val="50000"/>
                      <w14:lumOff w14:val="50000"/>
                    </w14:schemeClr>
                  </w14:solidFill>
                </w14:textFill>
              </w:rPr>
              <w:t>|</w:t>
            </w:r>
            <w:r w:rsidR="008B4079" w:rsidRPr="00CF1D90">
              <w:rPr>
                <w:color w:val="7F7F7F" w:themeColor="text1" w:themeTint="80"/>
                <w:shd w:val="solid" w:color="000000" w:fill="000000"/>
                <w:fitText w:val="186" w:id="-760590076"/>
                <w14:textFill>
                  <w14:solidFill>
                    <w14:schemeClr w14:val="tx1">
                      <w14:alpha w14:val="100000"/>
                      <w14:lumMod w14:val="50000"/>
                      <w14:lumOff w14:val="50000"/>
                    </w14:schemeClr>
                  </w14:solidFill>
                </w14:textFill>
              </w:rPr>
              <w:t>|</w:t>
            </w:r>
            <w:r w:rsidRPr="00070C35">
              <w:rPr>
                <w:color w:val="000000" w:themeColor="text1"/>
              </w:rPr>
              <w:t xml:space="preserve"> (subsequent years)</w:t>
            </w:r>
          </w:p>
        </w:tc>
      </w:tr>
    </w:tbl>
    <w:p w14:paraId="6EB37DF3" w14:textId="36D07D36" w:rsidR="008C04AF" w:rsidRPr="00D546CB" w:rsidRDefault="008C04AF" w:rsidP="00A13F32">
      <w:pPr>
        <w:pStyle w:val="FooterTableFigure"/>
        <w:rPr>
          <w:color w:val="000000" w:themeColor="text1"/>
        </w:rPr>
      </w:pPr>
      <w:r>
        <w:rPr>
          <w:color w:val="000000" w:themeColor="text1"/>
        </w:rPr>
        <w:t xml:space="preserve">ABRO = </w:t>
      </w:r>
      <w:proofErr w:type="spellStart"/>
      <w:r>
        <w:rPr>
          <w:color w:val="000000" w:themeColor="text1"/>
        </w:rPr>
        <w:t>abrocitinib</w:t>
      </w:r>
      <w:proofErr w:type="spellEnd"/>
      <w:r>
        <w:rPr>
          <w:color w:val="000000" w:themeColor="text1"/>
        </w:rPr>
        <w:t>; DUPI = dupilumab; Q2W = every two weeks; QD = once daily.</w:t>
      </w:r>
    </w:p>
    <w:p w14:paraId="48FE3581" w14:textId="522BA05A" w:rsidR="00A13F32" w:rsidRDefault="00A13F32" w:rsidP="00A13F32">
      <w:pPr>
        <w:pStyle w:val="FooterTableFigure"/>
        <w:rPr>
          <w:color w:val="000000" w:themeColor="text1"/>
        </w:rPr>
      </w:pPr>
      <w:proofErr w:type="spellStart"/>
      <w:r w:rsidRPr="00133F5E">
        <w:rPr>
          <w:color w:val="000000" w:themeColor="text1"/>
          <w:vertAlign w:val="superscript"/>
        </w:rPr>
        <w:t>a</w:t>
      </w:r>
      <w:r w:rsidRPr="009F1DD6">
        <w:rPr>
          <w:color w:val="000000" w:themeColor="text1"/>
        </w:rPr>
        <w:t>Cost</w:t>
      </w:r>
      <w:proofErr w:type="spellEnd"/>
      <w:r w:rsidRPr="009F1DD6">
        <w:rPr>
          <w:color w:val="000000" w:themeColor="text1"/>
        </w:rPr>
        <w:t xml:space="preserve"> per patient per year is estimated using published prices.</w:t>
      </w:r>
    </w:p>
    <w:p w14:paraId="5B576D14" w14:textId="452D318C" w:rsidR="00A13F32" w:rsidRPr="009F1DD6" w:rsidRDefault="00A13F32" w:rsidP="00A13F32">
      <w:pPr>
        <w:pStyle w:val="FooterTableFigure"/>
        <w:rPr>
          <w:color w:val="000000" w:themeColor="text1"/>
        </w:rPr>
      </w:pPr>
      <w:proofErr w:type="spellStart"/>
      <w:r>
        <w:rPr>
          <w:color w:val="000000" w:themeColor="text1"/>
          <w:vertAlign w:val="superscript"/>
        </w:rPr>
        <w:t>b</w:t>
      </w:r>
      <w:r w:rsidR="00E93878">
        <w:rPr>
          <w:color w:val="000000" w:themeColor="text1"/>
        </w:rPr>
        <w:t>ABRO</w:t>
      </w:r>
      <w:proofErr w:type="spellEnd"/>
      <w:r w:rsidRPr="009F1DD6">
        <w:rPr>
          <w:color w:val="000000" w:themeColor="text1"/>
        </w:rPr>
        <w:t xml:space="preserve"> 93.7% relative dose intensity</w:t>
      </w:r>
      <w:r>
        <w:rPr>
          <w:color w:val="000000" w:themeColor="text1"/>
        </w:rPr>
        <w:t>. Mean dose was not provided in the JADE COMPARE clinical study report, and the mean dose in the trial has been estimated using the submission’s reported RDI.</w:t>
      </w:r>
    </w:p>
    <w:p w14:paraId="035FE493" w14:textId="47743F51" w:rsidR="00EA5F27" w:rsidRDefault="00A13F32" w:rsidP="00A13F32">
      <w:pPr>
        <w:pStyle w:val="FooterTableFigure"/>
        <w:rPr>
          <w:color w:val="000000" w:themeColor="text1"/>
        </w:rPr>
      </w:pPr>
      <w:proofErr w:type="spellStart"/>
      <w:r>
        <w:rPr>
          <w:color w:val="000000" w:themeColor="text1"/>
          <w:vertAlign w:val="superscript"/>
        </w:rPr>
        <w:t>c</w:t>
      </w:r>
      <w:r w:rsidR="00E93878">
        <w:rPr>
          <w:color w:val="000000" w:themeColor="text1"/>
        </w:rPr>
        <w:t>DUPI</w:t>
      </w:r>
      <w:proofErr w:type="spellEnd"/>
      <w:r w:rsidRPr="009F1DD6">
        <w:rPr>
          <w:color w:val="000000" w:themeColor="text1"/>
        </w:rPr>
        <w:t xml:space="preserve"> 93.4% relative dose intensity – dose does not include loading dose.</w:t>
      </w:r>
      <w:r w:rsidRPr="00133F5E">
        <w:rPr>
          <w:color w:val="000000" w:themeColor="text1"/>
        </w:rPr>
        <w:t xml:space="preserve"> </w:t>
      </w:r>
      <w:r>
        <w:rPr>
          <w:color w:val="000000" w:themeColor="text1"/>
        </w:rPr>
        <w:t>Mean dose was not provided in the JADE COMPARE clinical study report, and the mean dose in the trial has been estimated using the submission’s reported RDI.</w:t>
      </w:r>
    </w:p>
    <w:p w14:paraId="629EAB07" w14:textId="77365ED0" w:rsidR="00A13F32" w:rsidRPr="00133F5E" w:rsidRDefault="00A13F32" w:rsidP="008A7F53">
      <w:pPr>
        <w:pStyle w:val="Caption"/>
        <w:rPr>
          <w:color w:val="000000" w:themeColor="text1"/>
        </w:rPr>
      </w:pPr>
      <w:r w:rsidRPr="00133F5E">
        <w:rPr>
          <w:color w:val="000000" w:themeColor="text1"/>
        </w:rPr>
        <w:lastRenderedPageBreak/>
        <w:t xml:space="preserve">Table </w:t>
      </w:r>
      <w:r w:rsidRPr="00133F5E">
        <w:rPr>
          <w:color w:val="000000" w:themeColor="text1"/>
        </w:rPr>
        <w:fldChar w:fldCharType="begin" w:fldLock="1"/>
      </w:r>
      <w:r w:rsidRPr="00133F5E">
        <w:rPr>
          <w:color w:val="000000" w:themeColor="text1"/>
        </w:rPr>
        <w:instrText xml:space="preserve"> SEQ Table \* ARABIC </w:instrText>
      </w:r>
      <w:r w:rsidRPr="00133F5E">
        <w:rPr>
          <w:color w:val="000000" w:themeColor="text1"/>
        </w:rPr>
        <w:fldChar w:fldCharType="separate"/>
      </w:r>
      <w:r w:rsidR="004F2A70">
        <w:rPr>
          <w:noProof/>
          <w:color w:val="000000" w:themeColor="text1"/>
        </w:rPr>
        <w:t>16</w:t>
      </w:r>
      <w:r w:rsidRPr="00133F5E">
        <w:rPr>
          <w:color w:val="000000" w:themeColor="text1"/>
        </w:rPr>
        <w:fldChar w:fldCharType="end"/>
      </w:r>
      <w:r w:rsidRPr="00133F5E">
        <w:rPr>
          <w:color w:val="000000" w:themeColor="text1"/>
        </w:rPr>
        <w:t>:</w:t>
      </w:r>
      <w:r w:rsidRPr="00133F5E">
        <w:rPr>
          <w:b w:val="0"/>
        </w:rPr>
        <w:t xml:space="preserve"> </w:t>
      </w:r>
      <w:r w:rsidRPr="00133F5E">
        <w:rPr>
          <w:bCs w:val="0"/>
        </w:rPr>
        <w:t xml:space="preserve">Drug cost per patient for </w:t>
      </w:r>
      <w:r w:rsidR="00E93878">
        <w:rPr>
          <w:bCs w:val="0"/>
        </w:rPr>
        <w:t>ABRO</w:t>
      </w:r>
      <w:r w:rsidRPr="00133F5E">
        <w:rPr>
          <w:bCs w:val="0"/>
        </w:rPr>
        <w:t xml:space="preserve"> </w:t>
      </w:r>
      <w:r>
        <w:rPr>
          <w:bCs w:val="0"/>
        </w:rPr>
        <w:t>10</w:t>
      </w:r>
      <w:r w:rsidR="00E57A8B">
        <w:rPr>
          <w:bCs w:val="0"/>
        </w:rPr>
        <w:t>0 mg</w:t>
      </w:r>
      <w:r w:rsidRPr="00133F5E">
        <w:rPr>
          <w:bCs w:val="0"/>
        </w:rPr>
        <w:t xml:space="preserve"> and </w:t>
      </w:r>
      <w:r w:rsidR="00E93878">
        <w:rPr>
          <w:bCs w:val="0"/>
        </w:rPr>
        <w:t>DUPI</w:t>
      </w:r>
      <w:r w:rsidRPr="00133F5E">
        <w:rPr>
          <w:bCs w:val="0"/>
        </w:rPr>
        <w:t xml:space="preserve"> 30</w:t>
      </w:r>
      <w:r w:rsidR="00E57A8B">
        <w:rPr>
          <w:bCs w:val="0"/>
        </w:rPr>
        <w:t>0 mg</w:t>
      </w:r>
      <w:r w:rsidRPr="00133F5E">
        <w:rPr>
          <w:bCs w:val="0"/>
        </w:rPr>
        <w:t xml:space="preserve"> Q2W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9"/>
        <w:gridCol w:w="1275"/>
        <w:gridCol w:w="1275"/>
        <w:gridCol w:w="1277"/>
        <w:gridCol w:w="1277"/>
        <w:gridCol w:w="1132"/>
        <w:gridCol w:w="1791"/>
      </w:tblGrid>
      <w:tr w:rsidR="00A13F32" w:rsidRPr="00070C35" w14:paraId="6ABFFAE8" w14:textId="77777777" w:rsidTr="0052714A">
        <w:trPr>
          <w:cantSplit/>
          <w:tblHeader/>
          <w:jc w:val="center"/>
        </w:trPr>
        <w:tc>
          <w:tcPr>
            <w:tcW w:w="548" w:type="pct"/>
            <w:shd w:val="clear" w:color="auto" w:fill="auto"/>
            <w:vAlign w:val="center"/>
          </w:tcPr>
          <w:p w14:paraId="7C141304" w14:textId="77777777" w:rsidR="00A13F32" w:rsidRPr="00070C35" w:rsidRDefault="00A13F32" w:rsidP="008A7F53">
            <w:pPr>
              <w:pStyle w:val="In-tableHeading"/>
              <w:rPr>
                <w:i w:val="0"/>
                <w:iCs w:val="0"/>
              </w:rPr>
            </w:pPr>
          </w:p>
        </w:tc>
        <w:tc>
          <w:tcPr>
            <w:tcW w:w="707" w:type="pct"/>
            <w:shd w:val="clear" w:color="auto" w:fill="auto"/>
            <w:vAlign w:val="center"/>
          </w:tcPr>
          <w:p w14:paraId="292A7ABD" w14:textId="77777777" w:rsidR="00A13F32" w:rsidRPr="00070C35" w:rsidRDefault="00A13F32" w:rsidP="008A7F53">
            <w:pPr>
              <w:pStyle w:val="In-tableHeading"/>
              <w:jc w:val="center"/>
              <w:rPr>
                <w:i w:val="0"/>
                <w:iCs w:val="0"/>
              </w:rPr>
            </w:pPr>
            <w:r w:rsidRPr="00070C35">
              <w:rPr>
                <w:i w:val="0"/>
                <w:iCs w:val="0"/>
              </w:rPr>
              <w:t>Proposed drug</w:t>
            </w:r>
          </w:p>
          <w:p w14:paraId="5DB368EB" w14:textId="77777777" w:rsidR="00A13F32" w:rsidRPr="00070C35" w:rsidRDefault="00A13F32" w:rsidP="008A7F53">
            <w:pPr>
              <w:pStyle w:val="In-tableHeading"/>
              <w:jc w:val="center"/>
              <w:rPr>
                <w:i w:val="0"/>
                <w:iCs w:val="0"/>
              </w:rPr>
            </w:pPr>
            <w:r w:rsidRPr="00070C35">
              <w:rPr>
                <w:i w:val="0"/>
                <w:iCs w:val="0"/>
              </w:rPr>
              <w:t>Trial dose and duration</w:t>
            </w:r>
          </w:p>
        </w:tc>
        <w:tc>
          <w:tcPr>
            <w:tcW w:w="707" w:type="pct"/>
          </w:tcPr>
          <w:p w14:paraId="46CCEB6B" w14:textId="77777777" w:rsidR="00A13F32" w:rsidRPr="00070C35" w:rsidRDefault="00A13F32" w:rsidP="008A7F53">
            <w:pPr>
              <w:pStyle w:val="In-tableHeading"/>
              <w:jc w:val="center"/>
              <w:rPr>
                <w:i w:val="0"/>
                <w:iCs w:val="0"/>
              </w:rPr>
            </w:pPr>
            <w:r w:rsidRPr="00070C35">
              <w:rPr>
                <w:i w:val="0"/>
                <w:iCs w:val="0"/>
              </w:rPr>
              <w:t>Proposed drug</w:t>
            </w:r>
          </w:p>
          <w:p w14:paraId="3E703EDD" w14:textId="77777777" w:rsidR="00A13F32" w:rsidRPr="00070C35" w:rsidRDefault="00A13F32" w:rsidP="008A7F53">
            <w:pPr>
              <w:pStyle w:val="In-tableHeading"/>
              <w:jc w:val="center"/>
              <w:rPr>
                <w:i w:val="0"/>
                <w:iCs w:val="0"/>
              </w:rPr>
            </w:pPr>
            <w:proofErr w:type="spellStart"/>
            <w:r w:rsidRPr="00070C35">
              <w:rPr>
                <w:i w:val="0"/>
                <w:iCs w:val="0"/>
              </w:rPr>
              <w:t>Model</w:t>
            </w:r>
            <w:r w:rsidRPr="00070C35">
              <w:rPr>
                <w:i w:val="0"/>
                <w:iCs w:val="0"/>
                <w:vertAlign w:val="superscript"/>
              </w:rPr>
              <w:t>c</w:t>
            </w:r>
            <w:proofErr w:type="spellEnd"/>
          </w:p>
        </w:tc>
        <w:tc>
          <w:tcPr>
            <w:tcW w:w="708" w:type="pct"/>
            <w:shd w:val="clear" w:color="auto" w:fill="auto"/>
            <w:vAlign w:val="center"/>
          </w:tcPr>
          <w:p w14:paraId="732879B3" w14:textId="77777777" w:rsidR="00A13F32" w:rsidRPr="00070C35" w:rsidRDefault="00A13F32" w:rsidP="008A7F53">
            <w:pPr>
              <w:pStyle w:val="In-tableHeading"/>
              <w:jc w:val="center"/>
              <w:rPr>
                <w:i w:val="0"/>
                <w:iCs w:val="0"/>
              </w:rPr>
            </w:pPr>
            <w:r w:rsidRPr="00070C35">
              <w:rPr>
                <w:i w:val="0"/>
                <w:iCs w:val="0"/>
              </w:rPr>
              <w:t>Proposed drug</w:t>
            </w:r>
          </w:p>
          <w:p w14:paraId="72D1CAED" w14:textId="27D73880" w:rsidR="00A13F32" w:rsidRPr="00070C35" w:rsidRDefault="00A13F32" w:rsidP="008A7F53">
            <w:pPr>
              <w:pStyle w:val="In-tableHeading"/>
              <w:jc w:val="center"/>
              <w:rPr>
                <w:i w:val="0"/>
                <w:iCs w:val="0"/>
              </w:rPr>
            </w:pPr>
            <w:r w:rsidRPr="00070C35">
              <w:rPr>
                <w:i w:val="0"/>
                <w:iCs w:val="0"/>
              </w:rPr>
              <w:t xml:space="preserve">Financial </w:t>
            </w:r>
            <w:proofErr w:type="spellStart"/>
            <w:r w:rsidRPr="00070C35">
              <w:rPr>
                <w:i w:val="0"/>
                <w:iCs w:val="0"/>
              </w:rPr>
              <w:t>estimates</w:t>
            </w:r>
            <w:r w:rsidR="008C04AF" w:rsidRPr="00070C35">
              <w:rPr>
                <w:i w:val="0"/>
                <w:iCs w:val="0"/>
                <w:vertAlign w:val="superscript"/>
              </w:rPr>
              <w:t>d</w:t>
            </w:r>
            <w:proofErr w:type="spellEnd"/>
          </w:p>
        </w:tc>
        <w:tc>
          <w:tcPr>
            <w:tcW w:w="708" w:type="pct"/>
            <w:shd w:val="clear" w:color="auto" w:fill="auto"/>
            <w:vAlign w:val="center"/>
          </w:tcPr>
          <w:p w14:paraId="7562CC86" w14:textId="77777777" w:rsidR="00A13F32" w:rsidRPr="00070C35" w:rsidRDefault="00A13F32" w:rsidP="008A7F53">
            <w:pPr>
              <w:pStyle w:val="In-tableHeading"/>
              <w:jc w:val="center"/>
              <w:rPr>
                <w:i w:val="0"/>
                <w:iCs w:val="0"/>
              </w:rPr>
            </w:pPr>
            <w:r w:rsidRPr="00070C35">
              <w:rPr>
                <w:i w:val="0"/>
                <w:iCs w:val="0"/>
              </w:rPr>
              <w:t>Comparator</w:t>
            </w:r>
          </w:p>
          <w:p w14:paraId="6A4D1635" w14:textId="77777777" w:rsidR="00A13F32" w:rsidRPr="00070C35" w:rsidRDefault="00A13F32" w:rsidP="008A7F53">
            <w:pPr>
              <w:pStyle w:val="In-tableHeading"/>
              <w:jc w:val="center"/>
              <w:rPr>
                <w:i w:val="0"/>
                <w:iCs w:val="0"/>
              </w:rPr>
            </w:pPr>
            <w:r w:rsidRPr="00070C35">
              <w:rPr>
                <w:i w:val="0"/>
                <w:iCs w:val="0"/>
              </w:rPr>
              <w:t>Trial dose and duration</w:t>
            </w:r>
          </w:p>
        </w:tc>
        <w:tc>
          <w:tcPr>
            <w:tcW w:w="628" w:type="pct"/>
          </w:tcPr>
          <w:p w14:paraId="2A59CDE4" w14:textId="77777777" w:rsidR="00A13F32" w:rsidRPr="00070C35" w:rsidRDefault="00A13F32" w:rsidP="008A7F53">
            <w:pPr>
              <w:pStyle w:val="In-tableHeading"/>
              <w:jc w:val="center"/>
              <w:rPr>
                <w:i w:val="0"/>
                <w:iCs w:val="0"/>
              </w:rPr>
            </w:pPr>
            <w:r w:rsidRPr="00070C35">
              <w:rPr>
                <w:i w:val="0"/>
                <w:iCs w:val="0"/>
              </w:rPr>
              <w:t>Comparator</w:t>
            </w:r>
          </w:p>
          <w:p w14:paraId="523C671D" w14:textId="77777777" w:rsidR="00A13F32" w:rsidRPr="00070C35" w:rsidRDefault="00A13F32" w:rsidP="008A7F53">
            <w:pPr>
              <w:pStyle w:val="In-tableHeading"/>
              <w:jc w:val="center"/>
              <w:rPr>
                <w:i w:val="0"/>
                <w:iCs w:val="0"/>
              </w:rPr>
            </w:pPr>
            <w:proofErr w:type="spellStart"/>
            <w:r w:rsidRPr="00070C35">
              <w:rPr>
                <w:i w:val="0"/>
                <w:iCs w:val="0"/>
              </w:rPr>
              <w:t>Model</w:t>
            </w:r>
            <w:r w:rsidRPr="00070C35">
              <w:rPr>
                <w:i w:val="0"/>
                <w:iCs w:val="0"/>
                <w:vertAlign w:val="superscript"/>
              </w:rPr>
              <w:t>c</w:t>
            </w:r>
            <w:proofErr w:type="spellEnd"/>
          </w:p>
        </w:tc>
        <w:tc>
          <w:tcPr>
            <w:tcW w:w="993" w:type="pct"/>
            <w:vAlign w:val="center"/>
          </w:tcPr>
          <w:p w14:paraId="724CA1B8" w14:textId="77777777" w:rsidR="00A13F32" w:rsidRPr="00070C35" w:rsidRDefault="00A13F32" w:rsidP="008A7F53">
            <w:pPr>
              <w:pStyle w:val="In-tableHeading"/>
              <w:jc w:val="center"/>
              <w:rPr>
                <w:i w:val="0"/>
                <w:iCs w:val="0"/>
              </w:rPr>
            </w:pPr>
            <w:r w:rsidRPr="00070C35">
              <w:rPr>
                <w:i w:val="0"/>
                <w:iCs w:val="0"/>
              </w:rPr>
              <w:t>Comparator</w:t>
            </w:r>
          </w:p>
          <w:p w14:paraId="00E4F60D" w14:textId="77777777" w:rsidR="00A13F32" w:rsidRPr="00070C35" w:rsidRDefault="00A13F32" w:rsidP="008A7F53">
            <w:pPr>
              <w:pStyle w:val="In-tableHeading"/>
              <w:jc w:val="center"/>
              <w:rPr>
                <w:i w:val="0"/>
                <w:iCs w:val="0"/>
              </w:rPr>
            </w:pPr>
            <w:r w:rsidRPr="00070C35">
              <w:rPr>
                <w:i w:val="0"/>
                <w:iCs w:val="0"/>
              </w:rPr>
              <w:t>Financial estimates</w:t>
            </w:r>
          </w:p>
        </w:tc>
      </w:tr>
      <w:tr w:rsidR="00A13F32" w:rsidRPr="00070C35" w14:paraId="797AF932" w14:textId="77777777" w:rsidTr="0052714A">
        <w:trPr>
          <w:cantSplit/>
          <w:tblHeader/>
          <w:jc w:val="center"/>
        </w:trPr>
        <w:tc>
          <w:tcPr>
            <w:tcW w:w="548" w:type="pct"/>
            <w:shd w:val="clear" w:color="auto" w:fill="auto"/>
            <w:vAlign w:val="center"/>
          </w:tcPr>
          <w:p w14:paraId="62097A3C" w14:textId="77777777" w:rsidR="00A13F32" w:rsidRPr="00070C35" w:rsidRDefault="00A13F32" w:rsidP="008A7F53">
            <w:pPr>
              <w:pStyle w:val="In-tableHeading"/>
              <w:rPr>
                <w:i w:val="0"/>
                <w:iCs w:val="0"/>
              </w:rPr>
            </w:pPr>
          </w:p>
        </w:tc>
        <w:tc>
          <w:tcPr>
            <w:tcW w:w="707" w:type="pct"/>
            <w:shd w:val="clear" w:color="auto" w:fill="auto"/>
            <w:vAlign w:val="center"/>
          </w:tcPr>
          <w:p w14:paraId="20A340F1" w14:textId="77777777" w:rsidR="00A13F32" w:rsidRPr="00070C35" w:rsidRDefault="00A13F32" w:rsidP="008A7F53">
            <w:pPr>
              <w:pStyle w:val="In-tableHeading"/>
              <w:jc w:val="center"/>
              <w:rPr>
                <w:i w:val="0"/>
                <w:iCs w:val="0"/>
              </w:rPr>
            </w:pPr>
          </w:p>
        </w:tc>
        <w:tc>
          <w:tcPr>
            <w:tcW w:w="707" w:type="pct"/>
          </w:tcPr>
          <w:p w14:paraId="31FF1BAB" w14:textId="77777777" w:rsidR="00A13F32" w:rsidRPr="00070C35" w:rsidRDefault="00A13F32" w:rsidP="008A7F53">
            <w:pPr>
              <w:pStyle w:val="In-tableHeading"/>
              <w:jc w:val="center"/>
              <w:rPr>
                <w:i w:val="0"/>
                <w:iCs w:val="0"/>
              </w:rPr>
            </w:pPr>
          </w:p>
        </w:tc>
        <w:tc>
          <w:tcPr>
            <w:tcW w:w="708" w:type="pct"/>
            <w:shd w:val="clear" w:color="auto" w:fill="auto"/>
            <w:vAlign w:val="center"/>
          </w:tcPr>
          <w:p w14:paraId="22D538DA" w14:textId="77777777" w:rsidR="00A13F32" w:rsidRPr="00070C35" w:rsidRDefault="00A13F32" w:rsidP="008A7F53">
            <w:pPr>
              <w:pStyle w:val="In-tableHeading"/>
              <w:jc w:val="center"/>
              <w:rPr>
                <w:i w:val="0"/>
                <w:iCs w:val="0"/>
              </w:rPr>
            </w:pPr>
          </w:p>
        </w:tc>
        <w:tc>
          <w:tcPr>
            <w:tcW w:w="708" w:type="pct"/>
            <w:shd w:val="clear" w:color="auto" w:fill="auto"/>
            <w:vAlign w:val="center"/>
          </w:tcPr>
          <w:p w14:paraId="68F2D2D8" w14:textId="77777777" w:rsidR="00A13F32" w:rsidRPr="00070C35" w:rsidRDefault="00A13F32" w:rsidP="008A7F53">
            <w:pPr>
              <w:pStyle w:val="In-tableHeading"/>
              <w:jc w:val="center"/>
              <w:rPr>
                <w:i w:val="0"/>
                <w:iCs w:val="0"/>
              </w:rPr>
            </w:pPr>
          </w:p>
        </w:tc>
        <w:tc>
          <w:tcPr>
            <w:tcW w:w="628" w:type="pct"/>
          </w:tcPr>
          <w:p w14:paraId="468F8588" w14:textId="77777777" w:rsidR="00A13F32" w:rsidRPr="00070C35" w:rsidRDefault="00A13F32" w:rsidP="008A7F53">
            <w:pPr>
              <w:pStyle w:val="In-tableHeading"/>
              <w:jc w:val="center"/>
              <w:rPr>
                <w:i w:val="0"/>
                <w:iCs w:val="0"/>
              </w:rPr>
            </w:pPr>
          </w:p>
        </w:tc>
        <w:tc>
          <w:tcPr>
            <w:tcW w:w="993" w:type="pct"/>
            <w:vAlign w:val="center"/>
          </w:tcPr>
          <w:p w14:paraId="0B027CD0" w14:textId="77777777" w:rsidR="00A13F32" w:rsidRPr="00070C35" w:rsidRDefault="00A13F32" w:rsidP="008A7F53">
            <w:pPr>
              <w:pStyle w:val="In-tableHeading"/>
              <w:jc w:val="center"/>
              <w:rPr>
                <w:i w:val="0"/>
                <w:iCs w:val="0"/>
              </w:rPr>
            </w:pPr>
          </w:p>
        </w:tc>
      </w:tr>
      <w:tr w:rsidR="00A13F32" w:rsidRPr="00070C35" w14:paraId="1A615BB8" w14:textId="77777777" w:rsidTr="0052714A">
        <w:trPr>
          <w:cantSplit/>
          <w:jc w:val="center"/>
        </w:trPr>
        <w:tc>
          <w:tcPr>
            <w:tcW w:w="548" w:type="pct"/>
            <w:shd w:val="clear" w:color="auto" w:fill="auto"/>
            <w:vAlign w:val="center"/>
          </w:tcPr>
          <w:p w14:paraId="7DB6F7DC" w14:textId="77777777" w:rsidR="00A13F32" w:rsidRPr="00070C35" w:rsidRDefault="00A13F32" w:rsidP="008A7F53">
            <w:pPr>
              <w:pStyle w:val="TableText0"/>
              <w:rPr>
                <w:color w:val="000000" w:themeColor="text1"/>
              </w:rPr>
            </w:pPr>
            <w:r w:rsidRPr="00070C35">
              <w:rPr>
                <w:color w:val="000000" w:themeColor="text1"/>
              </w:rPr>
              <w:t>Mean dose</w:t>
            </w:r>
          </w:p>
        </w:tc>
        <w:tc>
          <w:tcPr>
            <w:tcW w:w="707" w:type="pct"/>
            <w:shd w:val="clear" w:color="auto" w:fill="auto"/>
            <w:vAlign w:val="center"/>
          </w:tcPr>
          <w:p w14:paraId="6F4FA722" w14:textId="389D3633" w:rsidR="00A13F32" w:rsidRPr="00070C35" w:rsidRDefault="00A13F32" w:rsidP="008A7F53">
            <w:pPr>
              <w:pStyle w:val="TableText0"/>
              <w:jc w:val="center"/>
              <w:rPr>
                <w:color w:val="000000" w:themeColor="text1"/>
              </w:rPr>
            </w:pPr>
            <w:r w:rsidRPr="00070C35">
              <w:rPr>
                <w:color w:val="000000" w:themeColor="text1"/>
              </w:rPr>
              <w:t>93.7</w:t>
            </w:r>
            <w:r w:rsidR="0016429D">
              <w:rPr>
                <w:color w:val="000000" w:themeColor="text1"/>
              </w:rPr>
              <w:t xml:space="preserve"> </w:t>
            </w:r>
            <w:r w:rsidRPr="00070C35">
              <w:rPr>
                <w:color w:val="000000" w:themeColor="text1"/>
              </w:rPr>
              <w:t>mg</w:t>
            </w:r>
            <w:r w:rsidRPr="00070C35">
              <w:rPr>
                <w:color w:val="000000" w:themeColor="text1"/>
                <w:vertAlign w:val="superscript"/>
              </w:rPr>
              <w:t>a</w:t>
            </w:r>
          </w:p>
        </w:tc>
        <w:tc>
          <w:tcPr>
            <w:tcW w:w="707" w:type="pct"/>
            <w:vAlign w:val="center"/>
          </w:tcPr>
          <w:p w14:paraId="5DCBB910" w14:textId="1AF2FEE6" w:rsidR="00A13F32" w:rsidRPr="00070C35" w:rsidRDefault="00A13F32" w:rsidP="008A7F53">
            <w:pPr>
              <w:pStyle w:val="TableText0"/>
              <w:jc w:val="center"/>
              <w:rPr>
                <w:color w:val="000000" w:themeColor="text1"/>
              </w:rPr>
            </w:pPr>
            <w:r w:rsidRPr="00070C35">
              <w:rPr>
                <w:color w:val="000000" w:themeColor="text1"/>
              </w:rPr>
              <w:t>93.7</w:t>
            </w:r>
            <w:r w:rsidR="0016429D">
              <w:rPr>
                <w:color w:val="000000" w:themeColor="text1"/>
              </w:rPr>
              <w:t xml:space="preserve"> </w:t>
            </w:r>
            <w:r w:rsidRPr="00070C35">
              <w:rPr>
                <w:color w:val="000000" w:themeColor="text1"/>
              </w:rPr>
              <w:t xml:space="preserve">mg </w:t>
            </w:r>
            <w:proofErr w:type="spellStart"/>
            <w:r w:rsidRPr="00070C35">
              <w:rPr>
                <w:color w:val="000000" w:themeColor="text1"/>
              </w:rPr>
              <w:t>QD</w:t>
            </w:r>
            <w:r w:rsidRPr="00070C35">
              <w:rPr>
                <w:color w:val="000000" w:themeColor="text1"/>
                <w:vertAlign w:val="superscript"/>
              </w:rPr>
              <w:t>a</w:t>
            </w:r>
            <w:proofErr w:type="spellEnd"/>
          </w:p>
        </w:tc>
        <w:tc>
          <w:tcPr>
            <w:tcW w:w="708" w:type="pct"/>
            <w:shd w:val="clear" w:color="auto" w:fill="auto"/>
            <w:vAlign w:val="center"/>
          </w:tcPr>
          <w:p w14:paraId="6B878270" w14:textId="661CE532" w:rsidR="00A13F32" w:rsidRPr="00070C35" w:rsidRDefault="00A13F32" w:rsidP="008A7F53">
            <w:pPr>
              <w:pStyle w:val="TableText0"/>
              <w:jc w:val="center"/>
              <w:rPr>
                <w:color w:val="000000" w:themeColor="text1"/>
              </w:rPr>
            </w:pPr>
            <w:r w:rsidRPr="00070C35">
              <w:rPr>
                <w:color w:val="000000" w:themeColor="text1"/>
              </w:rPr>
              <w:t>10</w:t>
            </w:r>
            <w:r w:rsidR="00E57A8B" w:rsidRPr="00070C35">
              <w:rPr>
                <w:color w:val="000000" w:themeColor="text1"/>
              </w:rPr>
              <w:t>0 mg</w:t>
            </w:r>
          </w:p>
        </w:tc>
        <w:tc>
          <w:tcPr>
            <w:tcW w:w="708" w:type="pct"/>
            <w:shd w:val="clear" w:color="auto" w:fill="auto"/>
            <w:vAlign w:val="center"/>
          </w:tcPr>
          <w:p w14:paraId="48A3E48B" w14:textId="7AC0E18F" w:rsidR="00A13F32" w:rsidRPr="00070C35" w:rsidRDefault="00A13F32" w:rsidP="008A7F53">
            <w:pPr>
              <w:pStyle w:val="TableText0"/>
              <w:jc w:val="center"/>
              <w:rPr>
                <w:color w:val="000000" w:themeColor="text1"/>
              </w:rPr>
            </w:pPr>
            <w:r w:rsidRPr="00070C35">
              <w:rPr>
                <w:color w:val="000000" w:themeColor="text1"/>
              </w:rPr>
              <w:t>280.2</w:t>
            </w:r>
            <w:r w:rsidR="0016429D">
              <w:rPr>
                <w:color w:val="000000" w:themeColor="text1"/>
              </w:rPr>
              <w:t xml:space="preserve"> </w:t>
            </w:r>
            <w:r w:rsidRPr="00070C35">
              <w:rPr>
                <w:color w:val="000000" w:themeColor="text1"/>
              </w:rPr>
              <w:t>mg Q2W</w:t>
            </w:r>
            <w:r w:rsidRPr="00070C35">
              <w:rPr>
                <w:color w:val="000000" w:themeColor="text1"/>
                <w:vertAlign w:val="superscript"/>
              </w:rPr>
              <w:t>b</w:t>
            </w:r>
          </w:p>
        </w:tc>
        <w:tc>
          <w:tcPr>
            <w:tcW w:w="628" w:type="pct"/>
            <w:vAlign w:val="center"/>
          </w:tcPr>
          <w:p w14:paraId="52838B07" w14:textId="1C8D19AD" w:rsidR="00A13F32" w:rsidRPr="00070C35" w:rsidRDefault="00A13F32" w:rsidP="008A7F53">
            <w:pPr>
              <w:pStyle w:val="TableText0"/>
              <w:jc w:val="center"/>
              <w:rPr>
                <w:color w:val="000000" w:themeColor="text1"/>
              </w:rPr>
            </w:pPr>
            <w:r w:rsidRPr="00070C35">
              <w:rPr>
                <w:color w:val="000000" w:themeColor="text1"/>
              </w:rPr>
              <w:t>280.2</w:t>
            </w:r>
            <w:r w:rsidR="0016429D">
              <w:rPr>
                <w:color w:val="000000" w:themeColor="text1"/>
              </w:rPr>
              <w:t xml:space="preserve"> </w:t>
            </w:r>
            <w:r w:rsidRPr="00070C35">
              <w:rPr>
                <w:color w:val="000000" w:themeColor="text1"/>
              </w:rPr>
              <w:t>mg Q2W</w:t>
            </w:r>
            <w:r w:rsidRPr="00070C35">
              <w:rPr>
                <w:color w:val="000000" w:themeColor="text1"/>
                <w:vertAlign w:val="superscript"/>
              </w:rPr>
              <w:t>b</w:t>
            </w:r>
          </w:p>
        </w:tc>
        <w:tc>
          <w:tcPr>
            <w:tcW w:w="993" w:type="pct"/>
            <w:vAlign w:val="center"/>
          </w:tcPr>
          <w:p w14:paraId="1B795FEA" w14:textId="7D91AE2A" w:rsidR="00A13F32" w:rsidRPr="00070C35" w:rsidRDefault="00A13F32" w:rsidP="008A7F53">
            <w:pPr>
              <w:pStyle w:val="TableText0"/>
              <w:jc w:val="center"/>
              <w:rPr>
                <w:color w:val="000000" w:themeColor="text1"/>
              </w:rPr>
            </w:pPr>
            <w:r w:rsidRPr="00070C35">
              <w:rPr>
                <w:color w:val="000000" w:themeColor="text1"/>
              </w:rPr>
              <w:t>30</w:t>
            </w:r>
            <w:r w:rsidR="00E57A8B" w:rsidRPr="00070C35">
              <w:rPr>
                <w:color w:val="000000" w:themeColor="text1"/>
              </w:rPr>
              <w:t>0 mg</w:t>
            </w:r>
            <w:r w:rsidRPr="00070C35">
              <w:rPr>
                <w:color w:val="000000" w:themeColor="text1"/>
              </w:rPr>
              <w:t xml:space="preserve"> Q2W</w:t>
            </w:r>
          </w:p>
        </w:tc>
      </w:tr>
      <w:tr w:rsidR="00A13F32" w:rsidRPr="00070C35" w14:paraId="36E16590" w14:textId="77777777" w:rsidTr="0052714A">
        <w:trPr>
          <w:cantSplit/>
          <w:jc w:val="center"/>
        </w:trPr>
        <w:tc>
          <w:tcPr>
            <w:tcW w:w="548" w:type="pct"/>
            <w:shd w:val="clear" w:color="auto" w:fill="auto"/>
            <w:vAlign w:val="center"/>
          </w:tcPr>
          <w:p w14:paraId="24084ECE" w14:textId="77777777" w:rsidR="00A13F32" w:rsidRPr="00070C35" w:rsidRDefault="00A13F32" w:rsidP="008A7F53">
            <w:pPr>
              <w:pStyle w:val="TableText0"/>
              <w:rPr>
                <w:color w:val="000000" w:themeColor="text1"/>
              </w:rPr>
            </w:pPr>
            <w:r w:rsidRPr="00070C35">
              <w:rPr>
                <w:color w:val="000000" w:themeColor="text1"/>
              </w:rPr>
              <w:t>Mean duration</w:t>
            </w:r>
          </w:p>
        </w:tc>
        <w:tc>
          <w:tcPr>
            <w:tcW w:w="707" w:type="pct"/>
            <w:shd w:val="clear" w:color="auto" w:fill="auto"/>
            <w:vAlign w:val="center"/>
          </w:tcPr>
          <w:p w14:paraId="6DC3E7B6" w14:textId="77777777" w:rsidR="00A13F32" w:rsidRPr="00070C35" w:rsidRDefault="00A13F32" w:rsidP="008A7F53">
            <w:pPr>
              <w:pStyle w:val="TableText0"/>
              <w:jc w:val="center"/>
              <w:rPr>
                <w:color w:val="000000" w:themeColor="text1"/>
              </w:rPr>
            </w:pPr>
            <w:r w:rsidRPr="00070C35">
              <w:rPr>
                <w:color w:val="000000" w:themeColor="text1"/>
              </w:rPr>
              <w:t>104.9 days</w:t>
            </w:r>
          </w:p>
        </w:tc>
        <w:tc>
          <w:tcPr>
            <w:tcW w:w="707" w:type="pct"/>
            <w:vAlign w:val="center"/>
          </w:tcPr>
          <w:p w14:paraId="0F9D17C6" w14:textId="77777777" w:rsidR="00A13F32" w:rsidRPr="00070C35" w:rsidRDefault="00A13F32" w:rsidP="008A7F53">
            <w:pPr>
              <w:pStyle w:val="TableText0"/>
              <w:jc w:val="center"/>
              <w:rPr>
                <w:color w:val="000000" w:themeColor="text1"/>
              </w:rPr>
            </w:pPr>
            <w:r w:rsidRPr="00070C35">
              <w:rPr>
                <w:color w:val="000000" w:themeColor="text1"/>
              </w:rPr>
              <w:t>2.55 years</w:t>
            </w:r>
          </w:p>
        </w:tc>
        <w:tc>
          <w:tcPr>
            <w:tcW w:w="708" w:type="pct"/>
            <w:shd w:val="clear" w:color="auto" w:fill="auto"/>
            <w:vAlign w:val="center"/>
          </w:tcPr>
          <w:p w14:paraId="18A5B4B7" w14:textId="77777777" w:rsidR="00A13F32" w:rsidRPr="00070C35" w:rsidRDefault="00A13F32" w:rsidP="008A7F53">
            <w:pPr>
              <w:pStyle w:val="TableText0"/>
              <w:jc w:val="center"/>
              <w:rPr>
                <w:color w:val="000000" w:themeColor="text1"/>
              </w:rPr>
            </w:pPr>
            <w:r w:rsidRPr="00070C35">
              <w:rPr>
                <w:color w:val="000000" w:themeColor="text1"/>
              </w:rPr>
              <w:t>-</w:t>
            </w:r>
          </w:p>
        </w:tc>
        <w:tc>
          <w:tcPr>
            <w:tcW w:w="708" w:type="pct"/>
            <w:shd w:val="clear" w:color="auto" w:fill="auto"/>
            <w:vAlign w:val="center"/>
          </w:tcPr>
          <w:p w14:paraId="28128349" w14:textId="77777777" w:rsidR="00A13F32" w:rsidRPr="00070C35" w:rsidRDefault="00A13F32" w:rsidP="008A7F53">
            <w:pPr>
              <w:pStyle w:val="TableText0"/>
              <w:jc w:val="center"/>
              <w:rPr>
                <w:color w:val="000000" w:themeColor="text1"/>
              </w:rPr>
            </w:pPr>
            <w:r w:rsidRPr="00070C35">
              <w:rPr>
                <w:color w:val="000000" w:themeColor="text1"/>
              </w:rPr>
              <w:t>104.6 days</w:t>
            </w:r>
          </w:p>
        </w:tc>
        <w:tc>
          <w:tcPr>
            <w:tcW w:w="628" w:type="pct"/>
            <w:vAlign w:val="center"/>
          </w:tcPr>
          <w:p w14:paraId="694340D6" w14:textId="77777777" w:rsidR="00A13F32" w:rsidRPr="00070C35" w:rsidRDefault="00A13F32" w:rsidP="008A7F53">
            <w:pPr>
              <w:pStyle w:val="TableText0"/>
              <w:jc w:val="center"/>
              <w:rPr>
                <w:color w:val="000000" w:themeColor="text1"/>
              </w:rPr>
            </w:pPr>
            <w:r w:rsidRPr="00070C35">
              <w:rPr>
                <w:color w:val="000000" w:themeColor="text1"/>
              </w:rPr>
              <w:t>2.75 years</w:t>
            </w:r>
          </w:p>
        </w:tc>
        <w:tc>
          <w:tcPr>
            <w:tcW w:w="993" w:type="pct"/>
            <w:vAlign w:val="center"/>
          </w:tcPr>
          <w:p w14:paraId="541B5038" w14:textId="77777777" w:rsidR="00A13F32" w:rsidRPr="00070C35" w:rsidRDefault="00A13F32" w:rsidP="008A7F53">
            <w:pPr>
              <w:pStyle w:val="TableText0"/>
              <w:jc w:val="center"/>
              <w:rPr>
                <w:color w:val="000000" w:themeColor="text1"/>
              </w:rPr>
            </w:pPr>
            <w:r w:rsidRPr="00070C35">
              <w:rPr>
                <w:color w:val="000000" w:themeColor="text1"/>
              </w:rPr>
              <w:t>-</w:t>
            </w:r>
          </w:p>
        </w:tc>
      </w:tr>
      <w:tr w:rsidR="00A13F32" w:rsidRPr="00070C35" w14:paraId="2E2CB1BD" w14:textId="77777777" w:rsidTr="0052714A">
        <w:trPr>
          <w:cantSplit/>
          <w:jc w:val="center"/>
        </w:trPr>
        <w:tc>
          <w:tcPr>
            <w:tcW w:w="548" w:type="pct"/>
            <w:shd w:val="clear" w:color="auto" w:fill="auto"/>
            <w:vAlign w:val="center"/>
          </w:tcPr>
          <w:p w14:paraId="00020A67" w14:textId="77777777" w:rsidR="00A13F32" w:rsidRPr="00070C35" w:rsidRDefault="00A13F32" w:rsidP="008A7F53">
            <w:pPr>
              <w:pStyle w:val="TableText0"/>
              <w:rPr>
                <w:color w:val="000000" w:themeColor="text1"/>
              </w:rPr>
            </w:pPr>
            <w:r w:rsidRPr="00070C35">
              <w:rPr>
                <w:color w:val="000000" w:themeColor="text1"/>
              </w:rPr>
              <w:t>Cost/patient/year</w:t>
            </w:r>
          </w:p>
        </w:tc>
        <w:tc>
          <w:tcPr>
            <w:tcW w:w="707" w:type="pct"/>
            <w:shd w:val="clear" w:color="auto" w:fill="auto"/>
            <w:vAlign w:val="center"/>
          </w:tcPr>
          <w:p w14:paraId="6955B0A9" w14:textId="77777777" w:rsidR="00A13F32" w:rsidRPr="00070C35" w:rsidRDefault="00A13F32" w:rsidP="008A7F53">
            <w:pPr>
              <w:pStyle w:val="TableText0"/>
              <w:jc w:val="center"/>
              <w:rPr>
                <w:color w:val="000000" w:themeColor="text1"/>
              </w:rPr>
            </w:pPr>
            <w:r w:rsidRPr="00070C35">
              <w:rPr>
                <w:color w:val="000000" w:themeColor="text1"/>
              </w:rPr>
              <w:t>-</w:t>
            </w:r>
          </w:p>
        </w:tc>
        <w:tc>
          <w:tcPr>
            <w:tcW w:w="707" w:type="pct"/>
            <w:vAlign w:val="center"/>
          </w:tcPr>
          <w:p w14:paraId="176739C9" w14:textId="52A50A73" w:rsidR="00A13F32" w:rsidRPr="00070C35" w:rsidRDefault="00A13F32" w:rsidP="008A7F53">
            <w:pPr>
              <w:pStyle w:val="TableText0"/>
              <w:jc w:val="center"/>
              <w:rPr>
                <w:color w:val="000000" w:themeColor="text1"/>
              </w:rPr>
            </w:pPr>
            <w:r w:rsidRPr="00070C35">
              <w:rPr>
                <w:color w:val="000000" w:themeColor="text1"/>
              </w:rPr>
              <w:t>$</w:t>
            </w:r>
            <w:r w:rsidR="008B4079" w:rsidRPr="00CF1D90">
              <w:rPr>
                <w:color w:val="7F7F7F" w:themeColor="text1" w:themeTint="80"/>
                <w:shd w:val="solid" w:color="000000" w:fill="000000"/>
                <w14:textFill>
                  <w14:solidFill>
                    <w14:schemeClr w14:val="tx1">
                      <w14:alpha w14:val="100000"/>
                      <w14:lumMod w14:val="50000"/>
                      <w14:lumOff w14:val="50000"/>
                    </w14:schemeClr>
                  </w14:solidFill>
                </w14:textFill>
              </w:rPr>
              <w:t>|</w:t>
            </w:r>
          </w:p>
        </w:tc>
        <w:tc>
          <w:tcPr>
            <w:tcW w:w="708" w:type="pct"/>
            <w:shd w:val="clear" w:color="auto" w:fill="auto"/>
            <w:vAlign w:val="center"/>
          </w:tcPr>
          <w:p w14:paraId="6E20950E" w14:textId="7DBA0EAE" w:rsidR="00A13F32" w:rsidRPr="00070C35" w:rsidRDefault="00A13F32" w:rsidP="008A7F53">
            <w:pPr>
              <w:pStyle w:val="TableText0"/>
              <w:jc w:val="center"/>
              <w:rPr>
                <w:color w:val="000000" w:themeColor="text1"/>
              </w:rPr>
            </w:pPr>
            <w:r w:rsidRPr="00070C35">
              <w:rPr>
                <w:color w:val="000000" w:themeColor="text1"/>
              </w:rPr>
              <w:t>$</w:t>
            </w:r>
            <w:r w:rsidR="008B4079" w:rsidRPr="00CF1D90">
              <w:rPr>
                <w:color w:val="7F7F7F" w:themeColor="text1" w:themeTint="80"/>
                <w:shd w:val="solid" w:color="000000" w:fill="000000"/>
                <w14:textFill>
                  <w14:solidFill>
                    <w14:schemeClr w14:val="tx1">
                      <w14:alpha w14:val="100000"/>
                      <w14:lumMod w14:val="50000"/>
                      <w14:lumOff w14:val="50000"/>
                    </w14:schemeClr>
                  </w14:solidFill>
                </w14:textFill>
              </w:rPr>
              <w:t>|</w:t>
            </w:r>
          </w:p>
        </w:tc>
        <w:tc>
          <w:tcPr>
            <w:tcW w:w="708" w:type="pct"/>
            <w:shd w:val="clear" w:color="auto" w:fill="auto"/>
            <w:vAlign w:val="center"/>
          </w:tcPr>
          <w:p w14:paraId="73032D66" w14:textId="77777777" w:rsidR="00A13F32" w:rsidRPr="00070C35" w:rsidRDefault="00A13F32" w:rsidP="008A7F53">
            <w:pPr>
              <w:pStyle w:val="TableText0"/>
              <w:jc w:val="center"/>
              <w:rPr>
                <w:color w:val="000000" w:themeColor="text1"/>
              </w:rPr>
            </w:pPr>
            <w:r w:rsidRPr="00070C35">
              <w:rPr>
                <w:color w:val="000000" w:themeColor="text1"/>
              </w:rPr>
              <w:t>-</w:t>
            </w:r>
          </w:p>
        </w:tc>
        <w:tc>
          <w:tcPr>
            <w:tcW w:w="628" w:type="pct"/>
            <w:vAlign w:val="center"/>
          </w:tcPr>
          <w:p w14:paraId="5BF190DF" w14:textId="4FE9FA04" w:rsidR="00A13F32" w:rsidRPr="00070C35" w:rsidRDefault="00A13F32" w:rsidP="008A7F53">
            <w:pPr>
              <w:pStyle w:val="TableText0"/>
              <w:jc w:val="center"/>
              <w:rPr>
                <w:color w:val="000000" w:themeColor="text1"/>
              </w:rPr>
            </w:pPr>
            <w:r w:rsidRPr="00070C35">
              <w:rPr>
                <w:color w:val="000000" w:themeColor="text1"/>
              </w:rPr>
              <w:t>$</w:t>
            </w:r>
            <w:r w:rsidR="008B4079" w:rsidRPr="00CF1D90">
              <w:rPr>
                <w:rFonts w:hint="eastAsia"/>
                <w:color w:val="7F7F7F" w:themeColor="text1" w:themeTint="80"/>
                <w:w w:val="15"/>
                <w:shd w:val="solid" w:color="000000" w:fill="000000"/>
                <w:fitText w:val="40" w:id="-760590075"/>
                <w14:textFill>
                  <w14:solidFill>
                    <w14:schemeClr w14:val="tx1">
                      <w14:alpha w14:val="100000"/>
                      <w14:lumMod w14:val="50000"/>
                      <w14:lumOff w14:val="50000"/>
                    </w14:schemeClr>
                  </w14:solidFill>
                </w14:textFill>
              </w:rPr>
              <w:t xml:space="preserve">　</w:t>
            </w:r>
            <w:r w:rsidR="008B4079" w:rsidRPr="00CF1D90">
              <w:rPr>
                <w:color w:val="7F7F7F" w:themeColor="text1" w:themeTint="80"/>
                <w:w w:val="15"/>
                <w:shd w:val="solid" w:color="000000" w:fill="000000"/>
                <w:fitText w:val="40" w:id="-760590075"/>
                <w14:textFill>
                  <w14:solidFill>
                    <w14:schemeClr w14:val="tx1">
                      <w14:alpha w14:val="100000"/>
                      <w14:lumMod w14:val="50000"/>
                      <w14:lumOff w14:val="50000"/>
                    </w14:schemeClr>
                  </w14:solidFill>
                </w14:textFill>
              </w:rPr>
              <w:t>|</w:t>
            </w:r>
            <w:r w:rsidR="008B4079" w:rsidRPr="00CF1D90">
              <w:rPr>
                <w:rFonts w:hint="eastAsia"/>
                <w:color w:val="7F7F7F" w:themeColor="text1" w:themeTint="80"/>
                <w:spacing w:val="-25"/>
                <w:w w:val="15"/>
                <w:shd w:val="solid" w:color="000000" w:fill="000000"/>
                <w:fitText w:val="40" w:id="-760590075"/>
                <w14:textFill>
                  <w14:solidFill>
                    <w14:schemeClr w14:val="tx1">
                      <w14:alpha w14:val="100000"/>
                      <w14:lumMod w14:val="50000"/>
                      <w14:lumOff w14:val="50000"/>
                    </w14:schemeClr>
                  </w14:solidFill>
                </w14:textFill>
              </w:rPr>
              <w:t xml:space="preserve">　</w:t>
            </w:r>
          </w:p>
        </w:tc>
        <w:tc>
          <w:tcPr>
            <w:tcW w:w="993" w:type="pct"/>
            <w:vAlign w:val="center"/>
          </w:tcPr>
          <w:p w14:paraId="5D4FADBA" w14:textId="4BA11D3A" w:rsidR="00A13F32" w:rsidRPr="00070C35" w:rsidRDefault="00A13F32" w:rsidP="008A7F53">
            <w:pPr>
              <w:pStyle w:val="TableText0"/>
              <w:jc w:val="center"/>
              <w:rPr>
                <w:color w:val="000000" w:themeColor="text1"/>
              </w:rPr>
            </w:pPr>
            <w:r w:rsidRPr="00070C35">
              <w:rPr>
                <w:color w:val="000000" w:themeColor="text1"/>
              </w:rPr>
              <w:t>$</w:t>
            </w:r>
            <w:r w:rsidR="008B4079" w:rsidRPr="00CF1D90">
              <w:rPr>
                <w:rFonts w:hint="eastAsia"/>
                <w:color w:val="7F7F7F" w:themeColor="text1" w:themeTint="80"/>
                <w:w w:val="18"/>
                <w:shd w:val="solid" w:color="000000" w:fill="000000"/>
                <w:fitText w:val="80" w:id="-760590074"/>
                <w14:textFill>
                  <w14:solidFill>
                    <w14:schemeClr w14:val="tx1">
                      <w14:alpha w14:val="100000"/>
                      <w14:lumMod w14:val="50000"/>
                      <w14:lumOff w14:val="50000"/>
                    </w14:schemeClr>
                  </w14:solidFill>
                </w14:textFill>
              </w:rPr>
              <w:t xml:space="preserve">　</w:t>
            </w:r>
            <w:r w:rsidR="008B4079" w:rsidRPr="00CF1D90">
              <w:rPr>
                <w:color w:val="7F7F7F" w:themeColor="text1" w:themeTint="80"/>
                <w:w w:val="18"/>
                <w:shd w:val="solid" w:color="000000" w:fill="000000"/>
                <w:fitText w:val="80" w:id="-760590074"/>
                <w14:textFill>
                  <w14:solidFill>
                    <w14:schemeClr w14:val="tx1">
                      <w14:alpha w14:val="100000"/>
                      <w14:lumMod w14:val="50000"/>
                      <w14:lumOff w14:val="50000"/>
                    </w14:schemeClr>
                  </w14:solidFill>
                </w14:textFill>
              </w:rPr>
              <w:t>|</w:t>
            </w:r>
            <w:r w:rsidR="008B4079" w:rsidRPr="00CF1D90">
              <w:rPr>
                <w:rFonts w:hint="eastAsia"/>
                <w:color w:val="7F7F7F" w:themeColor="text1" w:themeTint="80"/>
                <w:w w:val="18"/>
                <w:shd w:val="solid" w:color="000000" w:fill="000000"/>
                <w:fitText w:val="80" w:id="-760590074"/>
                <w14:textFill>
                  <w14:solidFill>
                    <w14:schemeClr w14:val="tx1">
                      <w14:alpha w14:val="100000"/>
                      <w14:lumMod w14:val="50000"/>
                      <w14:lumOff w14:val="50000"/>
                    </w14:schemeClr>
                  </w14:solidFill>
                </w14:textFill>
              </w:rPr>
              <w:t xml:space="preserve">　</w:t>
            </w:r>
            <w:r w:rsidRPr="00070C35">
              <w:rPr>
                <w:color w:val="000000" w:themeColor="text1"/>
              </w:rPr>
              <w:t xml:space="preserve"> (1</w:t>
            </w:r>
            <w:r w:rsidRPr="00070C35">
              <w:rPr>
                <w:color w:val="000000" w:themeColor="text1"/>
                <w:vertAlign w:val="superscript"/>
              </w:rPr>
              <w:t>st</w:t>
            </w:r>
            <w:r w:rsidRPr="00070C35">
              <w:rPr>
                <w:color w:val="000000" w:themeColor="text1"/>
              </w:rPr>
              <w:t xml:space="preserve"> year)</w:t>
            </w:r>
          </w:p>
          <w:p w14:paraId="54C895EE" w14:textId="7D68F567" w:rsidR="00A13F32" w:rsidRPr="00070C35" w:rsidRDefault="00A13F32" w:rsidP="008A7F53">
            <w:pPr>
              <w:pStyle w:val="TableText0"/>
              <w:jc w:val="center"/>
              <w:rPr>
                <w:color w:val="000000" w:themeColor="text1"/>
              </w:rPr>
            </w:pPr>
            <w:r w:rsidRPr="00070C35">
              <w:rPr>
                <w:color w:val="000000" w:themeColor="text1"/>
              </w:rPr>
              <w:t>$</w:t>
            </w:r>
            <w:r w:rsidR="008B4079" w:rsidRPr="00CF1D90">
              <w:rPr>
                <w:color w:val="7F7F7F" w:themeColor="text1" w:themeTint="80"/>
                <w:spacing w:val="100"/>
                <w:shd w:val="solid" w:color="000000" w:fill="000000"/>
                <w:fitText w:val="186" w:id="-760590073"/>
                <w14:textFill>
                  <w14:solidFill>
                    <w14:schemeClr w14:val="tx1">
                      <w14:alpha w14:val="100000"/>
                      <w14:lumMod w14:val="50000"/>
                      <w14:lumOff w14:val="50000"/>
                    </w14:schemeClr>
                  </w14:solidFill>
                </w14:textFill>
              </w:rPr>
              <w:t>|</w:t>
            </w:r>
            <w:r w:rsidR="008B4079" w:rsidRPr="00CF1D90">
              <w:rPr>
                <w:color w:val="7F7F7F" w:themeColor="text1" w:themeTint="80"/>
                <w:shd w:val="solid" w:color="000000" w:fill="000000"/>
                <w:fitText w:val="186" w:id="-760590073"/>
                <w14:textFill>
                  <w14:solidFill>
                    <w14:schemeClr w14:val="tx1">
                      <w14:alpha w14:val="100000"/>
                      <w14:lumMod w14:val="50000"/>
                      <w14:lumOff w14:val="50000"/>
                    </w14:schemeClr>
                  </w14:solidFill>
                </w14:textFill>
              </w:rPr>
              <w:t>|</w:t>
            </w:r>
            <w:r w:rsidRPr="00070C35">
              <w:rPr>
                <w:color w:val="000000" w:themeColor="text1"/>
              </w:rPr>
              <w:t xml:space="preserve"> (subsequent years)</w:t>
            </w:r>
          </w:p>
        </w:tc>
      </w:tr>
    </w:tbl>
    <w:p w14:paraId="00C65FC8" w14:textId="19D0AB61" w:rsidR="008C04AF" w:rsidRDefault="008C04AF" w:rsidP="008A7F53">
      <w:pPr>
        <w:pStyle w:val="FooterTableFigure"/>
        <w:keepNext/>
        <w:keepLines/>
        <w:rPr>
          <w:color w:val="000000" w:themeColor="text1"/>
          <w:vertAlign w:val="superscript"/>
        </w:rPr>
      </w:pPr>
      <w:r>
        <w:rPr>
          <w:color w:val="000000" w:themeColor="text1"/>
        </w:rPr>
        <w:t xml:space="preserve">ABRO = </w:t>
      </w:r>
      <w:proofErr w:type="spellStart"/>
      <w:r>
        <w:rPr>
          <w:color w:val="000000" w:themeColor="text1"/>
        </w:rPr>
        <w:t>abrocitinib</w:t>
      </w:r>
      <w:proofErr w:type="spellEnd"/>
      <w:r>
        <w:rPr>
          <w:color w:val="000000" w:themeColor="text1"/>
        </w:rPr>
        <w:t>; DUPI = dupilumab; Q2W = every two weeks; QD = once daily.</w:t>
      </w:r>
    </w:p>
    <w:p w14:paraId="03AB772E" w14:textId="5F8B5EF2" w:rsidR="00A13F32" w:rsidRPr="009F1DD6" w:rsidRDefault="00A13F32" w:rsidP="008A7F53">
      <w:pPr>
        <w:pStyle w:val="FooterTableFigure"/>
        <w:keepNext/>
        <w:keepLines/>
        <w:rPr>
          <w:color w:val="000000" w:themeColor="text1"/>
        </w:rPr>
      </w:pPr>
      <w:proofErr w:type="spellStart"/>
      <w:r w:rsidRPr="009F1DD6">
        <w:rPr>
          <w:color w:val="000000" w:themeColor="text1"/>
          <w:vertAlign w:val="superscript"/>
        </w:rPr>
        <w:t>a</w:t>
      </w:r>
      <w:r w:rsidR="00E93878">
        <w:rPr>
          <w:color w:val="000000" w:themeColor="text1"/>
        </w:rPr>
        <w:t>ABRO</w:t>
      </w:r>
      <w:proofErr w:type="spellEnd"/>
      <w:r w:rsidRPr="009F1DD6">
        <w:rPr>
          <w:color w:val="000000" w:themeColor="text1"/>
        </w:rPr>
        <w:t xml:space="preserve"> 93.7% relative dose intensity</w:t>
      </w:r>
      <w:r>
        <w:rPr>
          <w:color w:val="000000" w:themeColor="text1"/>
        </w:rPr>
        <w:t>. Mean dose was not provided in the JADE COMPARE clinical study report, and the mean dose in the trial has been estimated using the submission’s reported RDI.</w:t>
      </w:r>
    </w:p>
    <w:p w14:paraId="6407D92E" w14:textId="446B0594" w:rsidR="00A13F32" w:rsidRDefault="00A13F32" w:rsidP="008A7F53">
      <w:pPr>
        <w:pStyle w:val="FooterTableFigure"/>
        <w:keepNext/>
        <w:keepLines/>
        <w:rPr>
          <w:color w:val="000000" w:themeColor="text1"/>
        </w:rPr>
      </w:pPr>
      <w:proofErr w:type="spellStart"/>
      <w:r w:rsidRPr="009E7455">
        <w:rPr>
          <w:color w:val="000000" w:themeColor="text1"/>
          <w:vertAlign w:val="superscript"/>
        </w:rPr>
        <w:t>b</w:t>
      </w:r>
      <w:r w:rsidR="00E93878">
        <w:rPr>
          <w:color w:val="000000" w:themeColor="text1"/>
        </w:rPr>
        <w:t>DUPI</w:t>
      </w:r>
      <w:proofErr w:type="spellEnd"/>
      <w:r w:rsidRPr="009F1DD6">
        <w:rPr>
          <w:color w:val="000000" w:themeColor="text1"/>
        </w:rPr>
        <w:t xml:space="preserve"> 93.4% relative dose intensity – dose does not include loading dose.</w:t>
      </w:r>
      <w:r w:rsidRPr="00133F5E">
        <w:rPr>
          <w:color w:val="000000" w:themeColor="text1"/>
        </w:rPr>
        <w:t xml:space="preserve"> </w:t>
      </w:r>
      <w:r>
        <w:rPr>
          <w:color w:val="000000" w:themeColor="text1"/>
        </w:rPr>
        <w:t>Mean dose was not provided in the JADE COMPARE clinical study report, and the mean dose in the trial has been estimated using the submission’s reported RDI.</w:t>
      </w:r>
    </w:p>
    <w:p w14:paraId="1C239FC4" w14:textId="0FA6C4C5" w:rsidR="00A13F32" w:rsidRDefault="00A13F32" w:rsidP="008A7F53">
      <w:pPr>
        <w:pStyle w:val="FooterTableFigure"/>
        <w:keepNext/>
        <w:keepLines/>
        <w:rPr>
          <w:color w:val="000000" w:themeColor="text1"/>
        </w:rPr>
      </w:pPr>
      <w:proofErr w:type="spellStart"/>
      <w:r w:rsidRPr="009E7455">
        <w:rPr>
          <w:color w:val="000000" w:themeColor="text1"/>
          <w:vertAlign w:val="superscript"/>
        </w:rPr>
        <w:t>c</w:t>
      </w:r>
      <w:r w:rsidRPr="009F1DD6">
        <w:rPr>
          <w:color w:val="000000" w:themeColor="text1"/>
        </w:rPr>
        <w:t>Cost</w:t>
      </w:r>
      <w:proofErr w:type="spellEnd"/>
      <w:r w:rsidRPr="009F1DD6">
        <w:rPr>
          <w:color w:val="000000" w:themeColor="text1"/>
        </w:rPr>
        <w:t xml:space="preserve"> per patient per year is based on a hypothetical price of </w:t>
      </w:r>
      <w:r w:rsidR="00E93878">
        <w:rPr>
          <w:color w:val="000000" w:themeColor="text1"/>
        </w:rPr>
        <w:t>DUPI</w:t>
      </w:r>
      <w:r w:rsidRPr="009F1DD6">
        <w:rPr>
          <w:color w:val="000000" w:themeColor="text1"/>
        </w:rPr>
        <w:t xml:space="preserve"> of $</w:t>
      </w:r>
      <w:r w:rsidR="008B4079" w:rsidRPr="00CF1D90">
        <w:rPr>
          <w:color w:val="7F7F7F" w:themeColor="text1" w:themeTint="80"/>
          <w:spacing w:val="10"/>
          <w:shd w:val="solid" w:color="000000" w:fill="000000"/>
          <w:fitText w:val="287" w:id="-760590072"/>
          <w14:textFill>
            <w14:solidFill>
              <w14:schemeClr w14:val="tx1">
                <w14:alpha w14:val="100000"/>
                <w14:lumMod w14:val="50000"/>
                <w14:lumOff w14:val="50000"/>
              </w14:schemeClr>
            </w14:solidFill>
          </w14:textFill>
        </w:rPr>
        <w:t>||  |</w:t>
      </w:r>
      <w:r w:rsidR="008B4079" w:rsidRPr="00CF1D90">
        <w:rPr>
          <w:color w:val="7F7F7F" w:themeColor="text1" w:themeTint="80"/>
          <w:spacing w:val="2"/>
          <w:shd w:val="solid" w:color="000000" w:fill="000000"/>
          <w:fitText w:val="287" w:id="-760590072"/>
          <w14:textFill>
            <w14:solidFill>
              <w14:schemeClr w14:val="tx1">
                <w14:alpha w14:val="100000"/>
                <w14:lumMod w14:val="50000"/>
                <w14:lumOff w14:val="50000"/>
              </w14:schemeClr>
            </w14:solidFill>
          </w14:textFill>
        </w:rPr>
        <w:t>|</w:t>
      </w:r>
      <w:r w:rsidRPr="009F1DD6">
        <w:rPr>
          <w:color w:val="000000" w:themeColor="text1"/>
        </w:rPr>
        <w:t xml:space="preserve"> (AEMP)</w:t>
      </w:r>
    </w:p>
    <w:p w14:paraId="2C64FB25" w14:textId="43CC68EA" w:rsidR="00EA5F27" w:rsidRPr="009F1DD6" w:rsidRDefault="008C04AF" w:rsidP="00A13F32">
      <w:pPr>
        <w:pStyle w:val="FooterTableFigure"/>
        <w:rPr>
          <w:color w:val="000000" w:themeColor="text1"/>
        </w:rPr>
      </w:pPr>
      <w:proofErr w:type="spellStart"/>
      <w:r w:rsidRPr="008C04AF">
        <w:rPr>
          <w:color w:val="000000" w:themeColor="text1"/>
          <w:vertAlign w:val="superscript"/>
        </w:rPr>
        <w:t>d</w:t>
      </w:r>
      <w:r w:rsidR="00B07D22" w:rsidRPr="00B07D22">
        <w:rPr>
          <w:color w:val="000000" w:themeColor="text1"/>
        </w:rPr>
        <w:t>T</w:t>
      </w:r>
      <w:r>
        <w:rPr>
          <w:color w:val="000000" w:themeColor="text1"/>
        </w:rPr>
        <w:t>he</w:t>
      </w:r>
      <w:proofErr w:type="spellEnd"/>
      <w:r>
        <w:rPr>
          <w:color w:val="000000" w:themeColor="text1"/>
        </w:rPr>
        <w:t xml:space="preserve"> proposed published price of </w:t>
      </w:r>
      <w:proofErr w:type="spellStart"/>
      <w:r>
        <w:rPr>
          <w:color w:val="000000" w:themeColor="text1"/>
        </w:rPr>
        <w:t>abrocitinib</w:t>
      </w:r>
      <w:proofErr w:type="spellEnd"/>
      <w:r>
        <w:rPr>
          <w:color w:val="000000" w:themeColor="text1"/>
        </w:rPr>
        <w:t xml:space="preserve"> 100 mg is the same as that for </w:t>
      </w:r>
      <w:proofErr w:type="spellStart"/>
      <w:r>
        <w:rPr>
          <w:color w:val="000000" w:themeColor="text1"/>
        </w:rPr>
        <w:t>abrocitinib</w:t>
      </w:r>
      <w:proofErr w:type="spellEnd"/>
      <w:r>
        <w:rPr>
          <w:color w:val="000000" w:themeColor="text1"/>
        </w:rPr>
        <w:t xml:space="preserve"> 200 mg.</w:t>
      </w:r>
    </w:p>
    <w:p w14:paraId="268768EF" w14:textId="3626F292" w:rsidR="00B60939" w:rsidRPr="009F1DD6" w:rsidRDefault="00B60939" w:rsidP="002B05A1">
      <w:pPr>
        <w:pStyle w:val="4-SubsectionHeading"/>
        <w:rPr>
          <w:color w:val="000000" w:themeColor="text1"/>
        </w:rPr>
      </w:pPr>
      <w:bookmarkStart w:id="81" w:name="_Toc177558656"/>
      <w:r w:rsidRPr="009F1DD6">
        <w:rPr>
          <w:color w:val="000000" w:themeColor="text1"/>
        </w:rPr>
        <w:t>Estimated PBS usage &amp; financial implications</w:t>
      </w:r>
      <w:bookmarkEnd w:id="80"/>
      <w:bookmarkEnd w:id="81"/>
    </w:p>
    <w:p w14:paraId="58520576" w14:textId="670AF668" w:rsidR="00066F85" w:rsidRPr="00EA5F27" w:rsidRDefault="00066F85" w:rsidP="00EA5F27">
      <w:pPr>
        <w:pStyle w:val="3-BodyText"/>
      </w:pPr>
      <w:r w:rsidRPr="009F1DD6">
        <w:rPr>
          <w:color w:val="000000" w:themeColor="text1"/>
        </w:rPr>
        <w:t xml:space="preserve">This submission </w:t>
      </w:r>
      <w:r w:rsidR="00124913">
        <w:rPr>
          <w:color w:val="000000" w:themeColor="text1"/>
        </w:rPr>
        <w:t>was</w:t>
      </w:r>
      <w:r w:rsidRPr="009F1DD6">
        <w:rPr>
          <w:color w:val="000000" w:themeColor="text1"/>
        </w:rPr>
        <w:t xml:space="preserve"> not considered by DUSC. The submission used a mixed approach to estimate the financial implications associated with the listing of </w:t>
      </w:r>
      <w:r w:rsidR="00E93878">
        <w:rPr>
          <w:color w:val="000000" w:themeColor="text1"/>
        </w:rPr>
        <w:t>ABRO</w:t>
      </w:r>
      <w:r w:rsidRPr="009F1DD6">
        <w:rPr>
          <w:color w:val="000000" w:themeColor="text1"/>
        </w:rPr>
        <w:t xml:space="preserve"> on the PBS as a once-daily treatment for moderate to severe atopic dermatitis in adults. A market share approach was used to capture the substitution from the existing market (</w:t>
      </w:r>
      <w:r w:rsidR="00E93878">
        <w:rPr>
          <w:color w:val="000000" w:themeColor="text1"/>
        </w:rPr>
        <w:t>DUPI</w:t>
      </w:r>
      <w:r w:rsidRPr="009F1DD6">
        <w:rPr>
          <w:color w:val="000000" w:themeColor="text1"/>
        </w:rPr>
        <w:t xml:space="preserve"> and </w:t>
      </w:r>
      <w:r w:rsidR="00B215E9">
        <w:rPr>
          <w:color w:val="000000" w:themeColor="text1"/>
        </w:rPr>
        <w:t>UPA</w:t>
      </w:r>
      <w:r w:rsidRPr="009F1DD6">
        <w:rPr>
          <w:color w:val="000000" w:themeColor="text1"/>
        </w:rPr>
        <w:t xml:space="preserve">). In addition, an epidemiological </w:t>
      </w:r>
      <w:r w:rsidRPr="00066F85">
        <w:t xml:space="preserve">approach was used to capture patients supplied </w:t>
      </w:r>
      <w:r w:rsidR="00E93878">
        <w:t>ABRO</w:t>
      </w:r>
      <w:r w:rsidRPr="00066F85">
        <w:t xml:space="preserve"> through a proposed patient familiarisation program who would transition to PBS supply once </w:t>
      </w:r>
      <w:r w:rsidR="00E93878">
        <w:t>ABRO</w:t>
      </w:r>
      <w:r w:rsidRPr="00066F85">
        <w:t xml:space="preserve"> was available on the PBS.</w:t>
      </w:r>
    </w:p>
    <w:p w14:paraId="5DA85489" w14:textId="6DC76DFE" w:rsidR="00066F85" w:rsidRDefault="00066F85" w:rsidP="00066F85">
      <w:pPr>
        <w:pStyle w:val="Caption"/>
        <w:rPr>
          <w:rStyle w:val="CommentReference"/>
          <w:b/>
          <w:szCs w:val="24"/>
        </w:rPr>
      </w:pPr>
      <w:r w:rsidRPr="0098262F">
        <w:t xml:space="preserve">Table </w:t>
      </w:r>
      <w:r>
        <w:fldChar w:fldCharType="begin" w:fldLock="1"/>
      </w:r>
      <w:r>
        <w:instrText xml:space="preserve"> SEQ Table \* ARABIC </w:instrText>
      </w:r>
      <w:r>
        <w:fldChar w:fldCharType="separate"/>
      </w:r>
      <w:r w:rsidR="004F2A70">
        <w:rPr>
          <w:noProof/>
        </w:rPr>
        <w:t>17</w:t>
      </w:r>
      <w:r>
        <w:rPr>
          <w:noProof/>
        </w:rPr>
        <w:fldChar w:fldCharType="end"/>
      </w:r>
      <w:r w:rsidRPr="0098262F">
        <w:t>:</w:t>
      </w:r>
      <w:r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2126"/>
        <w:gridCol w:w="4201"/>
      </w:tblGrid>
      <w:tr w:rsidR="00066F85" w:rsidRPr="009300DD" w14:paraId="1E8DE507" w14:textId="77777777" w:rsidTr="00924054">
        <w:trPr>
          <w:tblHeader/>
        </w:trPr>
        <w:tc>
          <w:tcPr>
            <w:tcW w:w="1413" w:type="dxa"/>
            <w:tcBorders>
              <w:top w:val="single" w:sz="4" w:space="0" w:color="auto"/>
              <w:left w:val="single" w:sz="4" w:space="0" w:color="auto"/>
              <w:bottom w:val="single" w:sz="4" w:space="0" w:color="auto"/>
              <w:right w:val="single" w:sz="4" w:space="0" w:color="auto"/>
            </w:tcBorders>
            <w:vAlign w:val="center"/>
            <w:hideMark/>
          </w:tcPr>
          <w:p w14:paraId="1DBFEF5A" w14:textId="77777777" w:rsidR="00066F85" w:rsidRPr="009300DD" w:rsidRDefault="00066F85" w:rsidP="00CC1644">
            <w:pPr>
              <w:jc w:val="center"/>
              <w:rPr>
                <w:rFonts w:ascii="Arial Narrow" w:eastAsia="MS Gothic" w:hAnsi="Arial Narrow"/>
                <w:b/>
                <w:sz w:val="20"/>
              </w:rPr>
            </w:pPr>
            <w:r w:rsidRPr="009300DD">
              <w:rPr>
                <w:rFonts w:ascii="Arial Narrow" w:eastAsia="MS Gothic" w:hAnsi="Arial Narrow"/>
                <w:b/>
                <w:sz w:val="20"/>
              </w:rPr>
              <w:t>Data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4E1287" w14:textId="77777777" w:rsidR="00066F85" w:rsidRPr="009300DD" w:rsidRDefault="00066F85" w:rsidP="00CC1644">
            <w:pPr>
              <w:jc w:val="center"/>
              <w:rPr>
                <w:rFonts w:ascii="Arial Narrow" w:eastAsia="MS Gothic" w:hAnsi="Arial Narrow"/>
                <w:b/>
                <w:sz w:val="20"/>
              </w:rPr>
            </w:pPr>
            <w:r w:rsidRPr="009300DD">
              <w:rPr>
                <w:rFonts w:ascii="Arial Narrow" w:eastAsia="MS Gothic" w:hAnsi="Arial Narrow"/>
                <w:b/>
                <w:sz w:val="20"/>
              </w:rPr>
              <w:t>Value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29C625" w14:textId="77777777" w:rsidR="00066F85" w:rsidRPr="009300DD" w:rsidRDefault="00066F85" w:rsidP="00CC1644">
            <w:pPr>
              <w:jc w:val="center"/>
              <w:rPr>
                <w:rFonts w:ascii="Arial Narrow" w:eastAsia="MS Gothic" w:hAnsi="Arial Narrow"/>
                <w:b/>
                <w:sz w:val="20"/>
              </w:rPr>
            </w:pPr>
            <w:r w:rsidRPr="009300DD">
              <w:rPr>
                <w:rFonts w:ascii="Arial Narrow" w:eastAsia="MS Gothic" w:hAnsi="Arial Narrow"/>
                <w:b/>
                <w:sz w:val="20"/>
              </w:rPr>
              <w:t>Source</w:t>
            </w:r>
          </w:p>
        </w:tc>
        <w:tc>
          <w:tcPr>
            <w:tcW w:w="4201" w:type="dxa"/>
            <w:tcBorders>
              <w:top w:val="single" w:sz="4" w:space="0" w:color="auto"/>
              <w:left w:val="single" w:sz="4" w:space="0" w:color="auto"/>
              <w:bottom w:val="single" w:sz="4" w:space="0" w:color="auto"/>
              <w:right w:val="single" w:sz="4" w:space="0" w:color="auto"/>
            </w:tcBorders>
            <w:vAlign w:val="center"/>
            <w:hideMark/>
          </w:tcPr>
          <w:p w14:paraId="12A35202" w14:textId="77777777" w:rsidR="00066F85" w:rsidRPr="009300DD" w:rsidRDefault="00066F85" w:rsidP="00CC1644">
            <w:pPr>
              <w:jc w:val="center"/>
              <w:rPr>
                <w:rFonts w:ascii="Arial Narrow" w:eastAsia="MS Gothic" w:hAnsi="Arial Narrow"/>
                <w:b/>
                <w:sz w:val="20"/>
              </w:rPr>
            </w:pPr>
            <w:r w:rsidRPr="009300DD">
              <w:rPr>
                <w:rFonts w:ascii="Arial Narrow" w:eastAsia="MS Gothic" w:hAnsi="Arial Narrow"/>
                <w:b/>
                <w:sz w:val="20"/>
              </w:rPr>
              <w:t>Comment</w:t>
            </w:r>
          </w:p>
        </w:tc>
      </w:tr>
      <w:tr w:rsidR="00066F85" w:rsidRPr="009300DD" w14:paraId="18B4C890" w14:textId="77777777" w:rsidTr="00A13B27">
        <w:tc>
          <w:tcPr>
            <w:tcW w:w="9016" w:type="dxa"/>
            <w:gridSpan w:val="4"/>
            <w:tcBorders>
              <w:top w:val="single" w:sz="4" w:space="0" w:color="auto"/>
              <w:left w:val="single" w:sz="4" w:space="0" w:color="auto"/>
              <w:bottom w:val="single" w:sz="4" w:space="0" w:color="auto"/>
              <w:right w:val="single" w:sz="4" w:space="0" w:color="auto"/>
            </w:tcBorders>
            <w:vAlign w:val="center"/>
            <w:hideMark/>
          </w:tcPr>
          <w:p w14:paraId="44981044" w14:textId="77777777" w:rsidR="00066F85" w:rsidRPr="009300DD" w:rsidRDefault="00066F85" w:rsidP="00CC1644">
            <w:pPr>
              <w:rPr>
                <w:rFonts w:ascii="Arial Narrow" w:eastAsia="MS Gothic" w:hAnsi="Arial Narrow"/>
                <w:b/>
                <w:sz w:val="20"/>
              </w:rPr>
            </w:pPr>
            <w:r w:rsidRPr="009300DD">
              <w:rPr>
                <w:rFonts w:ascii="Arial Narrow" w:eastAsia="MS Gothic" w:hAnsi="Arial Narrow"/>
                <w:b/>
                <w:sz w:val="20"/>
              </w:rPr>
              <w:t>Size of the market</w:t>
            </w:r>
          </w:p>
        </w:tc>
      </w:tr>
      <w:tr w:rsidR="00066F85" w:rsidRPr="009300DD" w14:paraId="21B53737"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6A7EF734" w14:textId="3B888CB5"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Total services for all strengths of currently listed </w:t>
            </w:r>
            <w:r w:rsidR="00E93878">
              <w:rPr>
                <w:rFonts w:ascii="Arial Narrow" w:eastAsia="MS Gothic" w:hAnsi="Arial Narrow"/>
                <w:bCs/>
                <w:sz w:val="20"/>
              </w:rPr>
              <w:t>DUPI</w:t>
            </w:r>
            <w:r w:rsidRPr="009300DD">
              <w:rPr>
                <w:rFonts w:ascii="Arial Narrow" w:eastAsia="MS Gothic" w:hAnsi="Arial Narrow"/>
                <w:bCs/>
                <w:sz w:val="20"/>
              </w:rPr>
              <w:t xml:space="preserve"> and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for atopic dermatitis (May 2023 – April 2024)</w:t>
            </w:r>
          </w:p>
        </w:tc>
        <w:tc>
          <w:tcPr>
            <w:tcW w:w="1276" w:type="dxa"/>
            <w:tcBorders>
              <w:top w:val="single" w:sz="4" w:space="0" w:color="auto"/>
              <w:left w:val="single" w:sz="4" w:space="0" w:color="auto"/>
              <w:bottom w:val="single" w:sz="4" w:space="0" w:color="auto"/>
              <w:right w:val="single" w:sz="4" w:space="0" w:color="auto"/>
            </w:tcBorders>
            <w:vAlign w:val="center"/>
          </w:tcPr>
          <w:p w14:paraId="23DE7D41" w14:textId="10D1B83A"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DUPI</w:t>
            </w:r>
            <w:r w:rsidR="00066F85" w:rsidRPr="009300DD">
              <w:rPr>
                <w:rFonts w:ascii="Arial Narrow" w:eastAsia="MS Gothic" w:hAnsi="Arial Narrow"/>
                <w:bCs/>
                <w:sz w:val="20"/>
              </w:rPr>
              <w:t>:</w:t>
            </w:r>
          </w:p>
          <w:p w14:paraId="2977E7A7"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166,511</w:t>
            </w:r>
          </w:p>
          <w:p w14:paraId="77FEBE9E" w14:textId="77777777" w:rsidR="00066F85" w:rsidRPr="009300DD" w:rsidRDefault="00066F85" w:rsidP="00FD3723">
            <w:pPr>
              <w:keepLines/>
              <w:jc w:val="left"/>
              <w:rPr>
                <w:rFonts w:ascii="Arial Narrow" w:eastAsia="MS Gothic" w:hAnsi="Arial Narrow"/>
                <w:bCs/>
                <w:sz w:val="20"/>
              </w:rPr>
            </w:pPr>
          </w:p>
          <w:p w14:paraId="02E3A226" w14:textId="008AD9CB" w:rsidR="00066F85" w:rsidRPr="009300DD" w:rsidRDefault="003C4C51" w:rsidP="00FD3723">
            <w:pPr>
              <w:keepLines/>
              <w:jc w:val="left"/>
              <w:rPr>
                <w:rFonts w:ascii="Arial Narrow" w:eastAsia="MS Gothic" w:hAnsi="Arial Narrow"/>
                <w:bCs/>
                <w:sz w:val="20"/>
              </w:rPr>
            </w:pPr>
            <w:r w:rsidRPr="009300DD">
              <w:rPr>
                <w:rFonts w:ascii="Arial Narrow" w:eastAsia="MS Gothic" w:hAnsi="Arial Narrow"/>
                <w:bCs/>
                <w:sz w:val="20"/>
              </w:rPr>
              <w:t>U</w:t>
            </w:r>
            <w:r>
              <w:rPr>
                <w:rFonts w:ascii="Arial Narrow" w:eastAsia="MS Gothic" w:hAnsi="Arial Narrow"/>
                <w:bCs/>
                <w:sz w:val="20"/>
              </w:rPr>
              <w:t>PA</w:t>
            </w:r>
            <w:r w:rsidR="00066F85" w:rsidRPr="009300DD">
              <w:rPr>
                <w:rFonts w:ascii="Arial Narrow" w:eastAsia="MS Gothic" w:hAnsi="Arial Narrow"/>
                <w:bCs/>
                <w:sz w:val="20"/>
              </w:rPr>
              <w:t>:</w:t>
            </w:r>
          </w:p>
          <w:p w14:paraId="71D02AE6"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27,018</w:t>
            </w:r>
          </w:p>
          <w:p w14:paraId="5A0AA201" w14:textId="77777777" w:rsidR="00066F85" w:rsidRPr="009300DD" w:rsidRDefault="00066F85" w:rsidP="00FD3723">
            <w:pPr>
              <w:keepLines/>
              <w:jc w:val="left"/>
              <w:rPr>
                <w:rFonts w:ascii="Arial Narrow" w:eastAsia="MS Gothic" w:hAnsi="Arial Narrow"/>
                <w:bCs/>
                <w:sz w:val="20"/>
              </w:rPr>
            </w:pPr>
          </w:p>
          <w:p w14:paraId="64F5F938"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Total:</w:t>
            </w:r>
          </w:p>
          <w:p w14:paraId="4B66D905"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193,526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A08270"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Medicare Statistics (May 2023 to April 2024) for PBS items:</w:t>
            </w:r>
          </w:p>
          <w:p w14:paraId="7FB8D28F" w14:textId="69D1F2A5"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12292Y (</w:t>
            </w:r>
            <w:r w:rsidR="00E93878">
              <w:rPr>
                <w:rFonts w:ascii="Arial Narrow" w:eastAsia="MS Gothic" w:hAnsi="Arial Narrow"/>
                <w:bCs/>
                <w:sz w:val="20"/>
              </w:rPr>
              <w:t>DUPI</w:t>
            </w:r>
            <w:r w:rsidRPr="009300DD">
              <w:rPr>
                <w:rFonts w:ascii="Arial Narrow" w:eastAsia="MS Gothic" w:hAnsi="Arial Narrow"/>
                <w:bCs/>
                <w:sz w:val="20"/>
              </w:rPr>
              <w:t xml:space="preserve"> 30</w:t>
            </w:r>
            <w:r w:rsidR="00E57A8B">
              <w:rPr>
                <w:rFonts w:ascii="Arial Narrow" w:eastAsia="MS Gothic" w:hAnsi="Arial Narrow"/>
                <w:bCs/>
                <w:sz w:val="20"/>
              </w:rPr>
              <w:t>0 mg</w:t>
            </w:r>
            <w:r w:rsidRPr="009300DD">
              <w:rPr>
                <w:rFonts w:ascii="Arial Narrow" w:eastAsia="MS Gothic" w:hAnsi="Arial Narrow"/>
                <w:bCs/>
                <w:sz w:val="20"/>
              </w:rPr>
              <w:t xml:space="preserve"> injection), 12828E, 12831H, 12835M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15mg tablet)</w:t>
            </w:r>
          </w:p>
          <w:p w14:paraId="7072A9EA" w14:textId="3656A319"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12836N, 12829F,12827D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3</w:t>
            </w:r>
            <w:r w:rsidR="00E57A8B">
              <w:rPr>
                <w:rFonts w:ascii="Arial Narrow" w:eastAsia="MS Gothic" w:hAnsi="Arial Narrow"/>
                <w:bCs/>
                <w:sz w:val="20"/>
              </w:rPr>
              <w:t>0 mg</w:t>
            </w:r>
            <w:r w:rsidRPr="009300DD">
              <w:rPr>
                <w:rFonts w:ascii="Arial Narrow" w:eastAsia="MS Gothic" w:hAnsi="Arial Narrow"/>
                <w:bCs/>
                <w:sz w:val="20"/>
              </w:rPr>
              <w:t xml:space="preserve"> tablet).</w:t>
            </w:r>
          </w:p>
        </w:tc>
        <w:tc>
          <w:tcPr>
            <w:tcW w:w="4201" w:type="dxa"/>
            <w:tcBorders>
              <w:top w:val="single" w:sz="4" w:space="0" w:color="auto"/>
              <w:left w:val="single" w:sz="4" w:space="0" w:color="auto"/>
              <w:bottom w:val="single" w:sz="4" w:space="0" w:color="auto"/>
              <w:right w:val="single" w:sz="4" w:space="0" w:color="auto"/>
            </w:tcBorders>
            <w:vAlign w:val="center"/>
            <w:hideMark/>
          </w:tcPr>
          <w:p w14:paraId="79ED5A7C" w14:textId="0A145C8C" w:rsidR="00066F85" w:rsidRPr="004E20EB" w:rsidRDefault="00066F85" w:rsidP="00FD3723">
            <w:pPr>
              <w:keepLines/>
              <w:jc w:val="left"/>
              <w:rPr>
                <w:rFonts w:ascii="Arial Narrow" w:eastAsia="MS Gothic" w:hAnsi="Arial Narrow"/>
                <w:bCs/>
                <w:sz w:val="20"/>
              </w:rPr>
            </w:pPr>
            <w:r w:rsidRPr="004E20EB">
              <w:rPr>
                <w:rFonts w:ascii="Arial Narrow" w:eastAsia="MS Gothic" w:hAnsi="Arial Narrow"/>
                <w:bCs/>
                <w:sz w:val="20"/>
              </w:rPr>
              <w:t xml:space="preserve">While the source </w:t>
            </w:r>
            <w:r w:rsidR="00D90BB2">
              <w:rPr>
                <w:rFonts w:ascii="Arial Narrow" w:eastAsia="MS Gothic" w:hAnsi="Arial Narrow"/>
                <w:bCs/>
                <w:sz w:val="20"/>
              </w:rPr>
              <w:t xml:space="preserve">for estimating the size </w:t>
            </w:r>
            <w:r w:rsidRPr="004E20EB">
              <w:rPr>
                <w:rFonts w:ascii="Arial Narrow" w:eastAsia="MS Gothic" w:hAnsi="Arial Narrow"/>
                <w:bCs/>
                <w:sz w:val="20"/>
              </w:rPr>
              <w:t xml:space="preserve">of the market </w:t>
            </w:r>
            <w:r w:rsidR="00D90BB2">
              <w:rPr>
                <w:rFonts w:ascii="Arial Narrow" w:eastAsia="MS Gothic" w:hAnsi="Arial Narrow"/>
                <w:bCs/>
                <w:sz w:val="20"/>
              </w:rPr>
              <w:t>wa</w:t>
            </w:r>
            <w:r w:rsidRPr="004E20EB">
              <w:rPr>
                <w:rFonts w:ascii="Arial Narrow" w:eastAsia="MS Gothic" w:hAnsi="Arial Narrow"/>
                <w:bCs/>
                <w:sz w:val="20"/>
              </w:rPr>
              <w:t xml:space="preserve">s appropriate, the standard approach is to use the last full calendar year for analysis. This ensures that any seasonality in the market is accounted for correctly.  </w:t>
            </w:r>
            <w:r w:rsidR="00F70192">
              <w:rPr>
                <w:rFonts w:ascii="Arial Narrow" w:eastAsia="MS Gothic" w:hAnsi="Arial Narrow"/>
                <w:bCs/>
                <w:sz w:val="20"/>
              </w:rPr>
              <w:t>U</w:t>
            </w:r>
            <w:r w:rsidRPr="004E20EB">
              <w:rPr>
                <w:rFonts w:ascii="Arial Narrow" w:eastAsia="MS Gothic" w:hAnsi="Arial Narrow"/>
                <w:bCs/>
                <w:sz w:val="20"/>
              </w:rPr>
              <w:t xml:space="preserve">se </w:t>
            </w:r>
            <w:r w:rsidR="00F70192">
              <w:rPr>
                <w:rFonts w:ascii="Arial Narrow" w:eastAsia="MS Gothic" w:hAnsi="Arial Narrow"/>
                <w:bCs/>
                <w:sz w:val="20"/>
              </w:rPr>
              <w:t>of the most recent data (</w:t>
            </w:r>
            <w:r w:rsidRPr="004E20EB">
              <w:rPr>
                <w:rFonts w:ascii="Arial Narrow" w:eastAsia="MS Gothic" w:hAnsi="Arial Narrow"/>
                <w:bCs/>
                <w:sz w:val="20"/>
              </w:rPr>
              <w:t>financial year 2023/24</w:t>
            </w:r>
            <w:r w:rsidR="00F70192">
              <w:rPr>
                <w:rFonts w:ascii="Arial Narrow" w:eastAsia="MS Gothic" w:hAnsi="Arial Narrow"/>
                <w:bCs/>
                <w:sz w:val="20"/>
              </w:rPr>
              <w:t xml:space="preserve">) </w:t>
            </w:r>
            <w:r w:rsidRPr="00E574CC">
              <w:rPr>
                <w:rFonts w:ascii="Arial Narrow" w:eastAsia="MS Gothic" w:hAnsi="Arial Narrow"/>
                <w:bCs/>
                <w:iCs/>
                <w:sz w:val="20"/>
              </w:rPr>
              <w:t>result</w:t>
            </w:r>
            <w:r w:rsidR="00D90BB2">
              <w:rPr>
                <w:rFonts w:ascii="Arial Narrow" w:eastAsia="MS Gothic" w:hAnsi="Arial Narrow"/>
                <w:bCs/>
                <w:iCs/>
                <w:sz w:val="20"/>
              </w:rPr>
              <w:t>ed</w:t>
            </w:r>
            <w:r w:rsidRPr="00E574CC">
              <w:rPr>
                <w:rFonts w:ascii="Arial Narrow" w:eastAsia="MS Gothic" w:hAnsi="Arial Narrow"/>
                <w:bCs/>
                <w:iCs/>
                <w:sz w:val="20"/>
              </w:rPr>
              <w:t xml:space="preserve"> in an increase in script volume of approximately 8%</w:t>
            </w:r>
            <w:r w:rsidR="00F70192" w:rsidRPr="00E574CC">
              <w:rPr>
                <w:rFonts w:ascii="Arial Narrow" w:eastAsia="MS Gothic" w:hAnsi="Arial Narrow"/>
                <w:bCs/>
                <w:iCs/>
                <w:sz w:val="20"/>
              </w:rPr>
              <w:t>.</w:t>
            </w:r>
          </w:p>
        </w:tc>
      </w:tr>
      <w:tr w:rsidR="00066F85" w:rsidRPr="009300DD" w14:paraId="2AC5F845"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40140FAC"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Phase of treatment adjustments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AA1964"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21.6% initiating</w:t>
            </w:r>
          </w:p>
          <w:p w14:paraId="049CFE5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70.5% continuing</w:t>
            </w:r>
          </w:p>
          <w:p w14:paraId="15D68130"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7.9% dose modification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26D4A5" w14:textId="103970A1"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The proportions of initial and continuing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 xml:space="preserve">scripts have been applied to the </w:t>
            </w:r>
            <w:r w:rsidR="00E93878">
              <w:rPr>
                <w:rFonts w:ascii="Arial Narrow" w:eastAsia="MS Gothic" w:hAnsi="Arial Narrow"/>
                <w:bCs/>
                <w:sz w:val="20"/>
              </w:rPr>
              <w:t>DUPI</w:t>
            </w:r>
            <w:r w:rsidRPr="009300DD">
              <w:rPr>
                <w:rFonts w:ascii="Arial Narrow" w:eastAsia="MS Gothic" w:hAnsi="Arial Narrow"/>
                <w:bCs/>
                <w:sz w:val="20"/>
              </w:rPr>
              <w:t xml:space="preserve"> scripts.</w:t>
            </w:r>
          </w:p>
        </w:tc>
        <w:tc>
          <w:tcPr>
            <w:tcW w:w="4201" w:type="dxa"/>
            <w:tcBorders>
              <w:top w:val="single" w:sz="4" w:space="0" w:color="auto"/>
              <w:left w:val="single" w:sz="4" w:space="0" w:color="auto"/>
              <w:bottom w:val="single" w:sz="4" w:space="0" w:color="auto"/>
              <w:right w:val="single" w:sz="4" w:space="0" w:color="auto"/>
            </w:tcBorders>
            <w:vAlign w:val="center"/>
            <w:hideMark/>
          </w:tcPr>
          <w:p w14:paraId="29B89F5A" w14:textId="5A753A6A" w:rsidR="00066F85" w:rsidRPr="004E20EB" w:rsidRDefault="00E93878" w:rsidP="00FD3723">
            <w:pPr>
              <w:keepLines/>
              <w:jc w:val="left"/>
              <w:rPr>
                <w:rFonts w:ascii="Arial Narrow" w:eastAsia="MS Gothic" w:hAnsi="Arial Narrow"/>
                <w:bCs/>
                <w:sz w:val="20"/>
              </w:rPr>
            </w:pPr>
            <w:r>
              <w:rPr>
                <w:rFonts w:ascii="Arial Narrow" w:eastAsia="MS Gothic" w:hAnsi="Arial Narrow"/>
                <w:bCs/>
                <w:sz w:val="20"/>
              </w:rPr>
              <w:t>DUPI</w:t>
            </w:r>
            <w:r w:rsidR="00066F85" w:rsidRPr="004E20EB">
              <w:rPr>
                <w:rFonts w:ascii="Arial Narrow" w:eastAsia="MS Gothic" w:hAnsi="Arial Narrow"/>
                <w:bCs/>
                <w:sz w:val="20"/>
              </w:rPr>
              <w:t xml:space="preserve"> scripts are not distinguished by initial and continuing phases of treatment in their item codes. The submission has broken the </w:t>
            </w:r>
            <w:r>
              <w:rPr>
                <w:rFonts w:ascii="Arial Narrow" w:eastAsia="MS Gothic" w:hAnsi="Arial Narrow"/>
                <w:bCs/>
                <w:sz w:val="20"/>
              </w:rPr>
              <w:t>DUPI</w:t>
            </w:r>
            <w:r w:rsidR="00066F85" w:rsidRPr="004E20EB">
              <w:rPr>
                <w:rFonts w:ascii="Arial Narrow" w:eastAsia="MS Gothic" w:hAnsi="Arial Narrow"/>
                <w:bCs/>
                <w:sz w:val="20"/>
              </w:rPr>
              <w:t xml:space="preserve"> scripts into distinct treatment phases to allow the current </w:t>
            </w:r>
            <w:r>
              <w:rPr>
                <w:rFonts w:ascii="Arial Narrow" w:eastAsia="MS Gothic" w:hAnsi="Arial Narrow"/>
                <w:bCs/>
                <w:sz w:val="20"/>
              </w:rPr>
              <w:t>DUPI</w:t>
            </w:r>
            <w:r w:rsidR="00066F85" w:rsidRPr="004E20EB">
              <w:rPr>
                <w:rFonts w:ascii="Arial Narrow" w:eastAsia="MS Gothic" w:hAnsi="Arial Narrow"/>
                <w:bCs/>
                <w:sz w:val="20"/>
              </w:rPr>
              <w:t xml:space="preserve"> scripts to be equated to the proposed </w:t>
            </w:r>
            <w:r>
              <w:rPr>
                <w:rFonts w:ascii="Arial Narrow" w:eastAsia="MS Gothic" w:hAnsi="Arial Narrow"/>
                <w:bCs/>
                <w:sz w:val="20"/>
              </w:rPr>
              <w:t>ABRO</w:t>
            </w:r>
            <w:r w:rsidR="00066F85" w:rsidRPr="004E20EB">
              <w:rPr>
                <w:rFonts w:ascii="Arial Narrow" w:eastAsia="MS Gothic" w:hAnsi="Arial Narrow"/>
                <w:bCs/>
                <w:sz w:val="20"/>
              </w:rPr>
              <w:t xml:space="preserve"> scripts. As the </w:t>
            </w:r>
            <w:r w:rsidR="006C561E">
              <w:rPr>
                <w:rFonts w:ascii="Arial Narrow" w:eastAsia="MS Gothic" w:hAnsi="Arial Narrow"/>
                <w:bCs/>
                <w:sz w:val="20"/>
              </w:rPr>
              <w:t>UPA</w:t>
            </w:r>
            <w:r w:rsidR="006C561E" w:rsidRPr="004E20EB">
              <w:rPr>
                <w:rFonts w:ascii="Arial Narrow" w:eastAsia="MS Gothic" w:hAnsi="Arial Narrow"/>
                <w:bCs/>
                <w:sz w:val="20"/>
              </w:rPr>
              <w:t xml:space="preserve"> </w:t>
            </w:r>
            <w:r w:rsidR="00066F85" w:rsidRPr="004E20EB">
              <w:rPr>
                <w:rFonts w:ascii="Arial Narrow" w:eastAsia="MS Gothic" w:hAnsi="Arial Narrow"/>
                <w:bCs/>
                <w:sz w:val="20"/>
              </w:rPr>
              <w:t xml:space="preserve">market is immature, this may </w:t>
            </w:r>
            <w:r w:rsidR="00D90BB2">
              <w:rPr>
                <w:rFonts w:ascii="Arial Narrow" w:eastAsia="MS Gothic" w:hAnsi="Arial Narrow"/>
                <w:bCs/>
                <w:sz w:val="20"/>
              </w:rPr>
              <w:t xml:space="preserve">have </w:t>
            </w:r>
            <w:r w:rsidR="00066F85" w:rsidRPr="004E20EB">
              <w:rPr>
                <w:rFonts w:ascii="Arial Narrow" w:eastAsia="MS Gothic" w:hAnsi="Arial Narrow"/>
                <w:bCs/>
                <w:sz w:val="20"/>
              </w:rPr>
              <w:t>result</w:t>
            </w:r>
            <w:r w:rsidR="00D90BB2">
              <w:rPr>
                <w:rFonts w:ascii="Arial Narrow" w:eastAsia="MS Gothic" w:hAnsi="Arial Narrow"/>
                <w:bCs/>
                <w:sz w:val="20"/>
              </w:rPr>
              <w:t>ed</w:t>
            </w:r>
            <w:r w:rsidR="00066F85" w:rsidRPr="004E20EB">
              <w:rPr>
                <w:rFonts w:ascii="Arial Narrow" w:eastAsia="MS Gothic" w:hAnsi="Arial Narrow"/>
                <w:bCs/>
                <w:sz w:val="20"/>
              </w:rPr>
              <w:t xml:space="preserve"> in an over-estimation of the proportion of </w:t>
            </w:r>
            <w:r>
              <w:rPr>
                <w:rFonts w:ascii="Arial Narrow" w:eastAsia="MS Gothic" w:hAnsi="Arial Narrow"/>
                <w:bCs/>
                <w:sz w:val="20"/>
              </w:rPr>
              <w:t>DUPI</w:t>
            </w:r>
            <w:r w:rsidR="00066F85" w:rsidRPr="004E20EB">
              <w:rPr>
                <w:rFonts w:ascii="Arial Narrow" w:eastAsia="MS Gothic" w:hAnsi="Arial Narrow"/>
                <w:bCs/>
                <w:sz w:val="20"/>
              </w:rPr>
              <w:t xml:space="preserve"> scripts used in initiation. </w:t>
            </w:r>
          </w:p>
        </w:tc>
      </w:tr>
      <w:tr w:rsidR="00066F85" w:rsidRPr="009300DD" w14:paraId="47631649"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07D227DE"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lastRenderedPageBreak/>
              <w:t>Patient age adjustments</w:t>
            </w:r>
          </w:p>
        </w:tc>
        <w:tc>
          <w:tcPr>
            <w:tcW w:w="1276" w:type="dxa"/>
            <w:tcBorders>
              <w:top w:val="single" w:sz="4" w:space="0" w:color="auto"/>
              <w:left w:val="single" w:sz="4" w:space="0" w:color="auto"/>
              <w:bottom w:val="single" w:sz="4" w:space="0" w:color="auto"/>
              <w:right w:val="single" w:sz="4" w:space="0" w:color="auto"/>
            </w:tcBorders>
            <w:vAlign w:val="center"/>
          </w:tcPr>
          <w:p w14:paraId="245016FD" w14:textId="6600EC23"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DUPI</w:t>
            </w:r>
          </w:p>
          <w:p w14:paraId="2F8EA940"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3.87% children</w:t>
            </w:r>
          </w:p>
          <w:p w14:paraId="0EFFBEB7"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77.69% adults</w:t>
            </w:r>
          </w:p>
          <w:p w14:paraId="04442A62" w14:textId="77777777" w:rsidR="00066F85" w:rsidRPr="009300DD" w:rsidRDefault="00066F85" w:rsidP="00FD3723">
            <w:pPr>
              <w:keepLines/>
              <w:jc w:val="left"/>
              <w:rPr>
                <w:rFonts w:ascii="Arial Narrow" w:eastAsia="MS Gothic" w:hAnsi="Arial Narrow"/>
                <w:bCs/>
                <w:sz w:val="20"/>
              </w:rPr>
            </w:pPr>
          </w:p>
          <w:p w14:paraId="461A920C" w14:textId="235CF007" w:rsidR="00066F85" w:rsidRPr="009300DD" w:rsidRDefault="003C4C51" w:rsidP="00FD3723">
            <w:pPr>
              <w:keepLines/>
              <w:jc w:val="left"/>
              <w:rPr>
                <w:rFonts w:ascii="Arial Narrow" w:eastAsia="MS Gothic" w:hAnsi="Arial Narrow"/>
                <w:bCs/>
                <w:sz w:val="20"/>
              </w:rPr>
            </w:pPr>
            <w:r w:rsidRPr="009300DD">
              <w:rPr>
                <w:rFonts w:ascii="Arial Narrow" w:eastAsia="MS Gothic" w:hAnsi="Arial Narrow"/>
                <w:bCs/>
                <w:sz w:val="20"/>
              </w:rPr>
              <w:t>U</w:t>
            </w:r>
            <w:r>
              <w:rPr>
                <w:rFonts w:ascii="Arial Narrow" w:eastAsia="MS Gothic" w:hAnsi="Arial Narrow"/>
                <w:bCs/>
                <w:sz w:val="20"/>
              </w:rPr>
              <w:t>PA</w:t>
            </w:r>
          </w:p>
          <w:p w14:paraId="0461A2C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22.31% children</w:t>
            </w:r>
          </w:p>
          <w:p w14:paraId="30AEDD5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77.69% adults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6E817D" w14:textId="44695B15"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The proportion of currently treated patients who would be eligible for treatment with </w:t>
            </w:r>
            <w:r w:rsidR="00E93878">
              <w:rPr>
                <w:rFonts w:ascii="Arial Narrow" w:eastAsia="MS Gothic" w:hAnsi="Arial Narrow"/>
                <w:bCs/>
                <w:sz w:val="20"/>
              </w:rPr>
              <w:t>ABRO</w:t>
            </w:r>
            <w:r w:rsidRPr="009300DD">
              <w:rPr>
                <w:rFonts w:ascii="Arial Narrow" w:eastAsia="MS Gothic" w:hAnsi="Arial Narrow"/>
                <w:bCs/>
                <w:sz w:val="20"/>
              </w:rPr>
              <w:t xml:space="preserve">. The adjustment </w:t>
            </w:r>
            <w:r w:rsidR="00D90BB2">
              <w:rPr>
                <w:rFonts w:ascii="Arial Narrow" w:eastAsia="MS Gothic" w:hAnsi="Arial Narrow"/>
                <w:bCs/>
                <w:sz w:val="20"/>
              </w:rPr>
              <w:t>wa</w:t>
            </w:r>
            <w:r w:rsidRPr="009300DD">
              <w:rPr>
                <w:rFonts w:ascii="Arial Narrow" w:eastAsia="MS Gothic" w:hAnsi="Arial Narrow"/>
                <w:bCs/>
                <w:sz w:val="20"/>
              </w:rPr>
              <w:t>s based on the relative size of each age group as a proportion of the total Australian population in 2024 (ABS 3222.0 Series B).</w:t>
            </w:r>
          </w:p>
        </w:tc>
        <w:tc>
          <w:tcPr>
            <w:tcW w:w="4201" w:type="dxa"/>
            <w:tcBorders>
              <w:top w:val="single" w:sz="4" w:space="0" w:color="auto"/>
              <w:left w:val="single" w:sz="4" w:space="0" w:color="auto"/>
              <w:bottom w:val="single" w:sz="4" w:space="0" w:color="auto"/>
              <w:right w:val="single" w:sz="4" w:space="0" w:color="auto"/>
            </w:tcBorders>
            <w:vAlign w:val="center"/>
            <w:hideMark/>
          </w:tcPr>
          <w:p w14:paraId="0D6A704E" w14:textId="60C9AE7E"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The submission </w:t>
            </w:r>
            <w:r w:rsidR="00D90BB2">
              <w:rPr>
                <w:rFonts w:ascii="Arial Narrow" w:eastAsia="MS Gothic" w:hAnsi="Arial Narrow"/>
                <w:bCs/>
                <w:sz w:val="20"/>
              </w:rPr>
              <w:t>sought</w:t>
            </w:r>
            <w:r w:rsidRPr="009300DD">
              <w:rPr>
                <w:rFonts w:ascii="Arial Narrow" w:eastAsia="MS Gothic" w:hAnsi="Arial Narrow"/>
                <w:bCs/>
                <w:sz w:val="20"/>
              </w:rPr>
              <w:t xml:space="preserve"> a listing for </w:t>
            </w:r>
            <w:r w:rsidR="00E93878">
              <w:rPr>
                <w:rFonts w:ascii="Arial Narrow" w:eastAsia="MS Gothic" w:hAnsi="Arial Narrow"/>
                <w:bCs/>
                <w:sz w:val="20"/>
              </w:rPr>
              <w:t>ABRO</w:t>
            </w:r>
            <w:r w:rsidRPr="009300DD">
              <w:rPr>
                <w:rFonts w:ascii="Arial Narrow" w:eastAsia="MS Gothic" w:hAnsi="Arial Narrow"/>
                <w:bCs/>
                <w:sz w:val="20"/>
              </w:rPr>
              <w:t xml:space="preserve"> for adult patients (18 years and older); however, the current market also provides treatment for children</w:t>
            </w:r>
            <w:r w:rsidR="00F878E6">
              <w:rPr>
                <w:rFonts w:ascii="Arial Narrow" w:eastAsia="MS Gothic" w:hAnsi="Arial Narrow"/>
                <w:bCs/>
                <w:sz w:val="20"/>
              </w:rPr>
              <w:t xml:space="preserve"> 12 years and older</w:t>
            </w:r>
            <w:r w:rsidRPr="009300DD">
              <w:rPr>
                <w:rFonts w:ascii="Arial Narrow" w:eastAsia="MS Gothic" w:hAnsi="Arial Narrow"/>
                <w:bCs/>
                <w:sz w:val="20"/>
              </w:rPr>
              <w:t xml:space="preserve">. The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 xml:space="preserve">adjustment </w:t>
            </w:r>
            <w:r w:rsidR="00D90BB2">
              <w:rPr>
                <w:rFonts w:ascii="Arial Narrow" w:eastAsia="MS Gothic" w:hAnsi="Arial Narrow"/>
                <w:bCs/>
                <w:sz w:val="20"/>
              </w:rPr>
              <w:t>was</w:t>
            </w:r>
            <w:r w:rsidRPr="009300DD">
              <w:rPr>
                <w:rFonts w:ascii="Arial Narrow" w:eastAsia="MS Gothic" w:hAnsi="Arial Narrow"/>
                <w:bCs/>
                <w:sz w:val="20"/>
              </w:rPr>
              <w:t xml:space="preserve"> correctly applied; however, the </w:t>
            </w:r>
            <w:r w:rsidR="00E93878">
              <w:rPr>
                <w:rFonts w:ascii="Arial Narrow" w:eastAsia="MS Gothic" w:hAnsi="Arial Narrow"/>
                <w:bCs/>
                <w:sz w:val="20"/>
              </w:rPr>
              <w:t>DUPI</w:t>
            </w:r>
            <w:r w:rsidRPr="009300DD">
              <w:rPr>
                <w:rFonts w:ascii="Arial Narrow" w:eastAsia="MS Gothic" w:hAnsi="Arial Narrow"/>
                <w:bCs/>
                <w:sz w:val="20"/>
              </w:rPr>
              <w:t xml:space="preserve"> adjustment </w:t>
            </w:r>
            <w:r w:rsidR="00D90BB2">
              <w:rPr>
                <w:rFonts w:ascii="Arial Narrow" w:eastAsia="MS Gothic" w:hAnsi="Arial Narrow"/>
                <w:bCs/>
                <w:sz w:val="20"/>
              </w:rPr>
              <w:t>wa</w:t>
            </w:r>
            <w:r w:rsidRPr="009300DD">
              <w:rPr>
                <w:rFonts w:ascii="Arial Narrow" w:eastAsia="MS Gothic" w:hAnsi="Arial Narrow"/>
                <w:bCs/>
                <w:sz w:val="20"/>
              </w:rPr>
              <w:t xml:space="preserve">s incorrect as the overall population is patients from 2 years, not the entire population. This </w:t>
            </w:r>
            <w:r w:rsidR="00D90BB2">
              <w:rPr>
                <w:rFonts w:ascii="Arial Narrow" w:eastAsia="MS Gothic" w:hAnsi="Arial Narrow"/>
                <w:bCs/>
                <w:sz w:val="20"/>
              </w:rPr>
              <w:t>was</w:t>
            </w:r>
            <w:r w:rsidRPr="009300DD">
              <w:rPr>
                <w:rFonts w:ascii="Arial Narrow" w:eastAsia="MS Gothic" w:hAnsi="Arial Narrow"/>
                <w:bCs/>
                <w:sz w:val="20"/>
              </w:rPr>
              <w:t xml:space="preserve"> corrected during the evaluation. Overall, the approach</w:t>
            </w:r>
            <w:r w:rsidR="00D90BB2">
              <w:rPr>
                <w:rFonts w:ascii="Arial Narrow" w:eastAsia="MS Gothic" w:hAnsi="Arial Narrow"/>
                <w:bCs/>
                <w:sz w:val="20"/>
              </w:rPr>
              <w:t xml:space="preserve"> wa</w:t>
            </w:r>
            <w:r w:rsidRPr="009300DD">
              <w:rPr>
                <w:rFonts w:ascii="Arial Narrow" w:eastAsia="MS Gothic" w:hAnsi="Arial Narrow"/>
                <w:bCs/>
                <w:sz w:val="20"/>
              </w:rPr>
              <w:t>s reasonable, if the atopic dermatitis population has the same age distribution as the general population.</w:t>
            </w:r>
          </w:p>
        </w:tc>
      </w:tr>
      <w:tr w:rsidR="00066F85" w:rsidRPr="009300DD" w14:paraId="0D55BCA9"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3F5ABFF8"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Annual growth for current listing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835195"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2.5% - 2024-25</w:t>
            </w:r>
          </w:p>
          <w:p w14:paraId="23DD755B"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2.2% - 2025-30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EBEEB1"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DUSC Cost-effectiveness review of drugs for atopic dermatitis (November 2023 PBAC).</w:t>
            </w:r>
          </w:p>
        </w:tc>
        <w:tc>
          <w:tcPr>
            <w:tcW w:w="4201" w:type="dxa"/>
            <w:tcBorders>
              <w:top w:val="single" w:sz="4" w:space="0" w:color="auto"/>
              <w:left w:val="single" w:sz="4" w:space="0" w:color="auto"/>
              <w:bottom w:val="single" w:sz="4" w:space="0" w:color="auto"/>
              <w:right w:val="single" w:sz="4" w:space="0" w:color="auto"/>
            </w:tcBorders>
            <w:vAlign w:val="center"/>
            <w:hideMark/>
          </w:tcPr>
          <w:p w14:paraId="5330AC7B" w14:textId="1A4DFED9"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The figure appears appropriate; however, it is not clear why the growth rate from 2024 to 2025 is 2.5%.</w:t>
            </w:r>
            <w:r w:rsidR="003C4C51">
              <w:rPr>
                <w:rFonts w:ascii="Arial Narrow" w:eastAsia="MS Gothic" w:hAnsi="Arial Narrow"/>
                <w:bCs/>
                <w:sz w:val="20"/>
              </w:rPr>
              <w:t xml:space="preserve"> </w:t>
            </w:r>
            <w:r w:rsidR="003C4C51" w:rsidRPr="00E574CC">
              <w:rPr>
                <w:rFonts w:ascii="Arial Narrow" w:eastAsia="MS Gothic" w:hAnsi="Arial Narrow"/>
                <w:bCs/>
                <w:iCs/>
                <w:sz w:val="20"/>
              </w:rPr>
              <w:t>The ESC considered the growth rate to be uncertain.</w:t>
            </w:r>
          </w:p>
        </w:tc>
      </w:tr>
      <w:tr w:rsidR="00066F85" w:rsidRPr="009300DD" w14:paraId="0C1A222B"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2D335EEF"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Proportion applicable to indication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DD1DD"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F8D95C" w14:textId="77777777" w:rsidR="00066F85" w:rsidRPr="009300DD" w:rsidRDefault="00066F85" w:rsidP="00FD3723">
            <w:pPr>
              <w:keepLines/>
              <w:jc w:val="left"/>
              <w:rPr>
                <w:rFonts w:ascii="Arial Narrow" w:eastAsia="MS Gothic" w:hAnsi="Arial Narrow"/>
                <w:bCs/>
                <w:sz w:val="20"/>
              </w:rPr>
            </w:pPr>
            <w:r>
              <w:rPr>
                <w:rFonts w:ascii="Arial Narrow" w:eastAsia="MS Gothic" w:hAnsi="Arial Narrow"/>
                <w:bCs/>
                <w:sz w:val="20"/>
              </w:rPr>
              <w:t>Applicant</w:t>
            </w:r>
            <w:r w:rsidRPr="009300DD">
              <w:rPr>
                <w:rFonts w:ascii="Arial Narrow" w:eastAsia="MS Gothic" w:hAnsi="Arial Narrow"/>
                <w:bCs/>
                <w:sz w:val="20"/>
              </w:rPr>
              <w:t xml:space="preserve"> assumption</w:t>
            </w:r>
          </w:p>
        </w:tc>
        <w:tc>
          <w:tcPr>
            <w:tcW w:w="4201" w:type="dxa"/>
            <w:tcBorders>
              <w:top w:val="single" w:sz="4" w:space="0" w:color="auto"/>
              <w:left w:val="single" w:sz="4" w:space="0" w:color="auto"/>
              <w:bottom w:val="single" w:sz="4" w:space="0" w:color="auto"/>
              <w:right w:val="single" w:sz="4" w:space="0" w:color="auto"/>
            </w:tcBorders>
            <w:vAlign w:val="center"/>
            <w:hideMark/>
          </w:tcPr>
          <w:p w14:paraId="25B7829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This approach is appropriate given the other adjustments that have been made in prior steps.</w:t>
            </w:r>
          </w:p>
        </w:tc>
      </w:tr>
      <w:tr w:rsidR="00066F85" w:rsidRPr="009300DD" w14:paraId="748313F8"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619D8564"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Uptake rate</w:t>
            </w:r>
          </w:p>
        </w:tc>
        <w:tc>
          <w:tcPr>
            <w:tcW w:w="1276" w:type="dxa"/>
            <w:tcBorders>
              <w:top w:val="single" w:sz="4" w:space="0" w:color="auto"/>
              <w:left w:val="single" w:sz="4" w:space="0" w:color="auto"/>
              <w:bottom w:val="single" w:sz="4" w:space="0" w:color="auto"/>
              <w:right w:val="single" w:sz="4" w:space="0" w:color="auto"/>
            </w:tcBorders>
            <w:vAlign w:val="center"/>
          </w:tcPr>
          <w:p w14:paraId="731328E3" w14:textId="3A8BB3C7"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DUPI</w:t>
            </w:r>
          </w:p>
          <w:p w14:paraId="41148B52" w14:textId="6508236E" w:rsidR="00066F85" w:rsidRPr="009300DD" w:rsidRDefault="008B4079" w:rsidP="00FD3723">
            <w:pPr>
              <w:keepLines/>
              <w:jc w:val="left"/>
              <w:rPr>
                <w:rFonts w:ascii="Arial Narrow" w:eastAsia="MS Gothic" w:hAnsi="Arial Narrow"/>
                <w:bCs/>
                <w:sz w:val="20"/>
              </w:rPr>
            </w:pPr>
            <w:r w:rsidRPr="001E518D">
              <w:rPr>
                <w:rFonts w:ascii="Arial Narrow" w:eastAsia="MS Gothic" w:hAnsi="Arial Narrow"/>
                <w:bCs/>
                <w:color w:val="777777"/>
                <w:spacing w:val="54"/>
                <w:sz w:val="20"/>
                <w:shd w:val="solid" w:color="000000" w:fill="000000"/>
                <w:fitText w:val="333" w:id="-760590071"/>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71"/>
                <w14:textFill>
                  <w14:solidFill>
                    <w14:srgbClr w14:val="777777">
                      <w14:alpha w14:val="100000"/>
                    </w14:srgbClr>
                  </w14:solidFill>
                </w14:textFill>
              </w:rPr>
              <w:t>|</w:t>
            </w:r>
            <w:r w:rsidR="00066F85" w:rsidRPr="009300DD">
              <w:rPr>
                <w:rFonts w:ascii="Arial Narrow" w:eastAsia="MS Gothic" w:hAnsi="Arial Narrow"/>
                <w:bCs/>
                <w:sz w:val="20"/>
              </w:rPr>
              <w:t xml:space="preserve">% - </w:t>
            </w:r>
            <w:r w:rsidRPr="001E518D">
              <w:rPr>
                <w:rFonts w:ascii="Arial Narrow" w:eastAsia="MS Gothic" w:hAnsi="Arial Narrow"/>
                <w:bCs/>
                <w:color w:val="777777"/>
                <w:spacing w:val="54"/>
                <w:sz w:val="20"/>
                <w:shd w:val="solid" w:color="000000" w:fill="000000"/>
                <w:fitText w:val="333" w:id="-760590070"/>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70"/>
                <w14:textFill>
                  <w14:solidFill>
                    <w14:srgbClr w14:val="777777">
                      <w14:alpha w14:val="100000"/>
                    </w14:srgbClr>
                  </w14:solidFill>
                </w14:textFill>
              </w:rPr>
              <w:t>|</w:t>
            </w:r>
            <w:r w:rsidR="00066F85" w:rsidRPr="009300DD">
              <w:rPr>
                <w:rFonts w:ascii="Arial Narrow" w:eastAsia="MS Gothic" w:hAnsi="Arial Narrow"/>
                <w:bCs/>
                <w:sz w:val="20"/>
              </w:rPr>
              <w:t>%</w:t>
            </w:r>
          </w:p>
          <w:p w14:paraId="4C319032" w14:textId="77777777" w:rsidR="00066F85" w:rsidRPr="009300DD" w:rsidRDefault="00066F85" w:rsidP="00FD3723">
            <w:pPr>
              <w:keepLines/>
              <w:jc w:val="left"/>
              <w:rPr>
                <w:rFonts w:ascii="Arial Narrow" w:eastAsia="MS Gothic" w:hAnsi="Arial Narrow"/>
                <w:bCs/>
                <w:sz w:val="20"/>
              </w:rPr>
            </w:pPr>
          </w:p>
          <w:p w14:paraId="2475ABF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Upadacitinib</w:t>
            </w:r>
          </w:p>
          <w:p w14:paraId="5153592E" w14:textId="0E5B5F91" w:rsidR="00066F85" w:rsidRPr="009300DD" w:rsidRDefault="008B4079" w:rsidP="00FD3723">
            <w:pPr>
              <w:keepLines/>
              <w:jc w:val="left"/>
              <w:rPr>
                <w:rFonts w:ascii="Arial Narrow" w:eastAsia="MS Gothic" w:hAnsi="Arial Narrow"/>
                <w:bCs/>
                <w:sz w:val="20"/>
              </w:rPr>
            </w:pPr>
            <w:r w:rsidRPr="001E518D">
              <w:rPr>
                <w:rFonts w:ascii="Arial Narrow" w:eastAsia="MS Gothic" w:hAnsi="Arial Narrow"/>
                <w:bCs/>
                <w:color w:val="777777"/>
                <w:spacing w:val="54"/>
                <w:sz w:val="20"/>
                <w:shd w:val="solid" w:color="000000" w:fill="000000"/>
                <w:fitText w:val="333" w:id="-760590069"/>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69"/>
                <w14:textFill>
                  <w14:solidFill>
                    <w14:srgbClr w14:val="777777">
                      <w14:alpha w14:val="100000"/>
                    </w14:srgbClr>
                  </w14:solidFill>
                </w14:textFill>
              </w:rPr>
              <w:t>|</w:t>
            </w:r>
            <w:r w:rsidR="00066F85" w:rsidRPr="009300DD">
              <w:rPr>
                <w:rFonts w:ascii="Arial Narrow" w:eastAsia="MS Gothic" w:hAnsi="Arial Narrow"/>
                <w:bCs/>
                <w:sz w:val="20"/>
              </w:rPr>
              <w:t xml:space="preserve">% - </w:t>
            </w:r>
            <w:r w:rsidRPr="001E518D">
              <w:rPr>
                <w:rFonts w:ascii="Arial Narrow" w:eastAsia="MS Gothic" w:hAnsi="Arial Narrow"/>
                <w:bCs/>
                <w:color w:val="777777"/>
                <w:spacing w:val="54"/>
                <w:sz w:val="20"/>
                <w:shd w:val="solid" w:color="000000" w:fill="000000"/>
                <w:fitText w:val="333" w:id="-760590068"/>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68"/>
                <w14:textFill>
                  <w14:solidFill>
                    <w14:srgbClr w14:val="777777">
                      <w14:alpha w14:val="100000"/>
                    </w14:srgbClr>
                  </w14:solidFill>
                </w14:textFill>
              </w:rPr>
              <w:t>|</w:t>
            </w:r>
            <w:r w:rsidR="00066F85" w:rsidRPr="009300DD">
              <w:rPr>
                <w:rFonts w:ascii="Arial Narrow" w:eastAsia="MS Gothic" w:hAnsi="Arial Narrow"/>
                <w:bCs/>
                <w:sz w:val="20"/>
              </w:rPr>
              <w:t>%</w:t>
            </w:r>
          </w:p>
          <w:p w14:paraId="05911EDE" w14:textId="0A800679" w:rsidR="00066F85" w:rsidRPr="009300DD" w:rsidRDefault="008B4079" w:rsidP="00FD3723">
            <w:pPr>
              <w:keepLines/>
              <w:jc w:val="left"/>
              <w:rPr>
                <w:rFonts w:ascii="Arial Narrow" w:eastAsia="MS Gothic" w:hAnsi="Arial Narrow"/>
                <w:bCs/>
                <w:sz w:val="20"/>
              </w:rPr>
            </w:pPr>
            <w:r w:rsidRPr="001E518D">
              <w:rPr>
                <w:rFonts w:ascii="Arial Narrow" w:eastAsia="MS Gothic" w:hAnsi="Arial Narrow"/>
                <w:bCs/>
                <w:color w:val="777777"/>
                <w:spacing w:val="54"/>
                <w:sz w:val="20"/>
                <w:shd w:val="solid" w:color="000000" w:fill="000000"/>
                <w:fitText w:val="333" w:id="-760590067"/>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67"/>
                <w14:textFill>
                  <w14:solidFill>
                    <w14:srgbClr w14:val="777777">
                      <w14:alpha w14:val="100000"/>
                    </w14:srgbClr>
                  </w14:solidFill>
                </w14:textFill>
              </w:rPr>
              <w:t>|</w:t>
            </w:r>
            <w:r w:rsidR="00066F85" w:rsidRPr="009300DD">
              <w:rPr>
                <w:rFonts w:ascii="Arial Narrow" w:eastAsia="MS Gothic" w:hAnsi="Arial Narrow"/>
                <w:bCs/>
                <w:sz w:val="20"/>
              </w:rPr>
              <w:t xml:space="preserve">% - </w:t>
            </w:r>
            <w:r w:rsidRPr="001E518D">
              <w:rPr>
                <w:rFonts w:ascii="Arial Narrow" w:eastAsia="MS Gothic" w:hAnsi="Arial Narrow"/>
                <w:bCs/>
                <w:color w:val="777777"/>
                <w:spacing w:val="54"/>
                <w:sz w:val="20"/>
                <w:shd w:val="solid" w:color="000000" w:fill="000000"/>
                <w:fitText w:val="333" w:id="-760590066"/>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66"/>
                <w14:textFill>
                  <w14:solidFill>
                    <w14:srgbClr w14:val="777777">
                      <w14:alpha w14:val="100000"/>
                    </w14:srgbClr>
                  </w14:solidFill>
                </w14:textFill>
              </w:rPr>
              <w:t>|</w:t>
            </w:r>
            <w:r w:rsidR="00066F85" w:rsidRPr="009300DD">
              <w:rPr>
                <w:rFonts w:ascii="Arial Narrow" w:eastAsia="MS Gothic" w:hAnsi="Arial Narrow"/>
                <w:bCs/>
                <w:sz w:val="2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59E65E" w14:textId="1C7CA99E"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DUPI</w:t>
            </w:r>
            <w:r w:rsidR="00066F85" w:rsidRPr="009300DD">
              <w:rPr>
                <w:rFonts w:ascii="Arial Narrow" w:eastAsia="MS Gothic" w:hAnsi="Arial Narrow"/>
                <w:bCs/>
                <w:sz w:val="20"/>
              </w:rPr>
              <w:t xml:space="preserve"> PSD Nov 2020</w:t>
            </w:r>
          </w:p>
        </w:tc>
        <w:tc>
          <w:tcPr>
            <w:tcW w:w="4201" w:type="dxa"/>
            <w:tcBorders>
              <w:top w:val="single" w:sz="4" w:space="0" w:color="auto"/>
              <w:left w:val="single" w:sz="4" w:space="0" w:color="auto"/>
              <w:bottom w:val="single" w:sz="4" w:space="0" w:color="auto"/>
              <w:right w:val="single" w:sz="4" w:space="0" w:color="auto"/>
            </w:tcBorders>
            <w:vAlign w:val="center"/>
            <w:hideMark/>
          </w:tcPr>
          <w:p w14:paraId="32E77512"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The source and validity of these figures could not be determined as they linked to hard coded numbers in the UCM. The numbers could not be found in the reference provided by the </w:t>
            </w:r>
            <w:r>
              <w:rPr>
                <w:rFonts w:ascii="Arial Narrow" w:eastAsia="MS Gothic" w:hAnsi="Arial Narrow"/>
                <w:bCs/>
                <w:sz w:val="20"/>
              </w:rPr>
              <w:t>applicant</w:t>
            </w:r>
            <w:r w:rsidRPr="009300DD">
              <w:rPr>
                <w:rFonts w:ascii="Arial Narrow" w:eastAsia="MS Gothic" w:hAnsi="Arial Narrow"/>
                <w:bCs/>
                <w:sz w:val="20"/>
              </w:rPr>
              <w:t>.</w:t>
            </w:r>
          </w:p>
        </w:tc>
      </w:tr>
      <w:tr w:rsidR="00066F85" w:rsidRPr="009300DD" w14:paraId="1B3033FB"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63A20887"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Grandfathered patients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2E1190" w14:textId="7A6B916A" w:rsidR="00066F85" w:rsidRPr="009300DD" w:rsidRDefault="008B4079" w:rsidP="00FD3723">
            <w:pPr>
              <w:keepLines/>
              <w:jc w:val="left"/>
              <w:rPr>
                <w:rFonts w:ascii="Arial Narrow" w:eastAsia="MS Gothic" w:hAnsi="Arial Narrow"/>
                <w:bCs/>
                <w:sz w:val="20"/>
              </w:rPr>
            </w:pPr>
            <w:r w:rsidRPr="001E518D">
              <w:rPr>
                <w:rFonts w:ascii="Arial Narrow" w:eastAsia="MS Gothic" w:hAnsi="Arial Narrow"/>
                <w:bCs/>
                <w:color w:val="777777"/>
                <w:spacing w:val="54"/>
                <w:sz w:val="20"/>
                <w:shd w:val="solid" w:color="000000" w:fill="000000"/>
                <w:fitText w:val="333" w:id="-760590065"/>
                <w14:textFill>
                  <w14:solidFill>
                    <w14:srgbClr w14:val="777777">
                      <w14:alpha w14:val="100000"/>
                    </w14:srgbClr>
                  </w14:solidFill>
                </w14:textFill>
              </w:rPr>
              <w:t>|||</w:t>
            </w:r>
            <w:r w:rsidRPr="001E518D">
              <w:rPr>
                <w:rFonts w:ascii="Arial Narrow" w:eastAsia="MS Gothic" w:hAnsi="Arial Narrow"/>
                <w:bCs/>
                <w:color w:val="777777"/>
                <w:spacing w:val="1"/>
                <w:sz w:val="20"/>
                <w:shd w:val="solid" w:color="000000" w:fill="000000"/>
                <w:fitText w:val="333" w:id="-760590065"/>
                <w14:textFill>
                  <w14:solidFill>
                    <w14:srgbClr w14:val="777777">
                      <w14:alpha w14:val="100000"/>
                    </w14:srgbClr>
                  </w14:solidFill>
                </w14:textFill>
              </w:rPr>
              <w:t>|</w:t>
            </w:r>
            <w:r w:rsidR="00942922" w:rsidRPr="0091041C">
              <w:rPr>
                <w:rFonts w:ascii="Arial Narrow" w:eastAsia="MS Gothic" w:hAnsi="Arial Narrow"/>
                <w:bCs/>
                <w:sz w:val="20"/>
                <w:vertAlign w:val="superscript"/>
              </w:rPr>
              <w:t>1</w:t>
            </w:r>
            <w:r w:rsidR="00066F85" w:rsidRPr="009300DD">
              <w:rPr>
                <w:rFonts w:ascii="Arial Narrow" w:eastAsia="MS Gothic" w:hAnsi="Arial Narrow"/>
                <w:bCs/>
                <w:sz w:val="20"/>
              </w:rPr>
              <w:t xml:space="preserve"> patients annually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649815" w14:textId="77777777" w:rsidR="00066F85" w:rsidRPr="009300DD" w:rsidRDefault="00066F85" w:rsidP="00FD3723">
            <w:pPr>
              <w:keepLines/>
              <w:jc w:val="left"/>
              <w:rPr>
                <w:rFonts w:ascii="Arial Narrow" w:eastAsia="MS Gothic" w:hAnsi="Arial Narrow"/>
                <w:bCs/>
                <w:sz w:val="20"/>
              </w:rPr>
            </w:pPr>
            <w:r>
              <w:rPr>
                <w:rFonts w:ascii="Arial Narrow" w:eastAsia="MS Gothic" w:hAnsi="Arial Narrow"/>
                <w:bCs/>
                <w:sz w:val="20"/>
              </w:rPr>
              <w:t>Applicant</w:t>
            </w:r>
            <w:r w:rsidRPr="009300DD">
              <w:rPr>
                <w:rFonts w:ascii="Arial Narrow" w:eastAsia="MS Gothic" w:hAnsi="Arial Narrow"/>
                <w:bCs/>
                <w:sz w:val="20"/>
              </w:rPr>
              <w:t>’s proposed Patient Familiarisation Program.</w:t>
            </w:r>
          </w:p>
        </w:tc>
        <w:tc>
          <w:tcPr>
            <w:tcW w:w="4201" w:type="dxa"/>
            <w:tcBorders>
              <w:top w:val="single" w:sz="4" w:space="0" w:color="auto"/>
              <w:left w:val="single" w:sz="4" w:space="0" w:color="auto"/>
              <w:bottom w:val="single" w:sz="4" w:space="0" w:color="auto"/>
              <w:right w:val="single" w:sz="4" w:space="0" w:color="auto"/>
            </w:tcBorders>
            <w:vAlign w:val="center"/>
            <w:hideMark/>
          </w:tcPr>
          <w:p w14:paraId="122B1E25" w14:textId="7A2B1BDA"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Grandfathered patients are included in financial estimates to account for patients outside of the market under consideration. </w:t>
            </w:r>
            <w:r w:rsidR="00BB27B6">
              <w:rPr>
                <w:rFonts w:ascii="Arial Narrow" w:eastAsia="MS Gothic" w:hAnsi="Arial Narrow"/>
                <w:bCs/>
                <w:sz w:val="20"/>
              </w:rPr>
              <w:t>T</w:t>
            </w:r>
            <w:r w:rsidRPr="009300DD">
              <w:rPr>
                <w:rFonts w:ascii="Arial Narrow" w:eastAsia="MS Gothic" w:hAnsi="Arial Narrow"/>
                <w:bCs/>
                <w:sz w:val="20"/>
              </w:rPr>
              <w:t>he source of these patients</w:t>
            </w:r>
            <w:r w:rsidR="00BB27B6">
              <w:rPr>
                <w:rFonts w:ascii="Arial Narrow" w:eastAsia="MS Gothic" w:hAnsi="Arial Narrow"/>
                <w:bCs/>
                <w:sz w:val="20"/>
              </w:rPr>
              <w:t xml:space="preserve"> was unclear - i</w:t>
            </w:r>
            <w:r w:rsidRPr="009300DD">
              <w:rPr>
                <w:rFonts w:ascii="Arial Narrow" w:eastAsia="MS Gothic" w:hAnsi="Arial Narrow"/>
                <w:bCs/>
                <w:sz w:val="20"/>
              </w:rPr>
              <w:t>f they are treatment experienced, their utilisation will be captured in the current market as the PFP has not yet commenced.</w:t>
            </w:r>
            <w:r w:rsidR="00BB27B6">
              <w:rPr>
                <w:rFonts w:ascii="Arial Narrow" w:eastAsia="MS Gothic" w:hAnsi="Arial Narrow"/>
                <w:bCs/>
                <w:sz w:val="20"/>
              </w:rPr>
              <w:t xml:space="preserve"> In revised estimates provided with the PSCR, grandfathered patients were removed in years 2-6 of the estimates.</w:t>
            </w:r>
          </w:p>
        </w:tc>
      </w:tr>
      <w:tr w:rsidR="00066F85" w:rsidRPr="009300DD" w14:paraId="7F121EA0"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2346E30D"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Continuation rate for grandfathered patients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12C68"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78%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9184F3"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DUSC Cost-effectiveness review of drugs for atopic dermatitis (November 2023 PBAC).</w:t>
            </w:r>
          </w:p>
        </w:tc>
        <w:tc>
          <w:tcPr>
            <w:tcW w:w="4201" w:type="dxa"/>
            <w:tcBorders>
              <w:top w:val="single" w:sz="4" w:space="0" w:color="auto"/>
              <w:left w:val="single" w:sz="4" w:space="0" w:color="auto"/>
              <w:bottom w:val="single" w:sz="4" w:space="0" w:color="auto"/>
              <w:right w:val="single" w:sz="4" w:space="0" w:color="auto"/>
            </w:tcBorders>
            <w:vAlign w:val="center"/>
            <w:hideMark/>
          </w:tcPr>
          <w:p w14:paraId="00A618CD" w14:textId="5E31B31A"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This continuation rate is appropriate between initial and continuing patients. The submission notes that grandfathered patients will only receive continuing treatment, which means that only 78 grandfathered patients will receive treatment. Additionally, there is no indication of the likely continuation rate for subsequent years of treatment. It is unlikely that once on continuing treatment, patients will remain on treatment indefinitely.</w:t>
            </w:r>
            <w:r w:rsidR="00BB27B6">
              <w:rPr>
                <w:rFonts w:ascii="Arial Narrow" w:eastAsia="MS Gothic" w:hAnsi="Arial Narrow"/>
                <w:bCs/>
                <w:sz w:val="20"/>
              </w:rPr>
              <w:t xml:space="preserve"> The revised PSCR estimates did not include continuing treatment in grandfathered patients.</w:t>
            </w:r>
          </w:p>
        </w:tc>
      </w:tr>
      <w:tr w:rsidR="00066F85" w:rsidRPr="009300DD" w14:paraId="7B62DB0A" w14:textId="77777777" w:rsidTr="00A13B27">
        <w:tc>
          <w:tcPr>
            <w:tcW w:w="9016" w:type="dxa"/>
            <w:gridSpan w:val="4"/>
            <w:tcBorders>
              <w:top w:val="single" w:sz="4" w:space="0" w:color="auto"/>
              <w:left w:val="single" w:sz="4" w:space="0" w:color="auto"/>
              <w:bottom w:val="single" w:sz="4" w:space="0" w:color="auto"/>
              <w:right w:val="single" w:sz="4" w:space="0" w:color="auto"/>
            </w:tcBorders>
            <w:vAlign w:val="center"/>
            <w:hideMark/>
          </w:tcPr>
          <w:p w14:paraId="752DDC21" w14:textId="77777777" w:rsidR="00066F85" w:rsidRPr="0052714A" w:rsidRDefault="00066F85" w:rsidP="0091041C">
            <w:pPr>
              <w:keepNext/>
              <w:keepLines/>
              <w:jc w:val="left"/>
              <w:rPr>
                <w:rFonts w:ascii="Arial Narrow" w:eastAsia="MS Gothic" w:hAnsi="Arial Narrow"/>
                <w:b/>
                <w:sz w:val="20"/>
              </w:rPr>
            </w:pPr>
            <w:r w:rsidRPr="0052714A">
              <w:rPr>
                <w:rFonts w:ascii="Arial Narrow" w:eastAsia="MS Gothic" w:hAnsi="Arial Narrow"/>
                <w:b/>
                <w:sz w:val="20"/>
              </w:rPr>
              <w:lastRenderedPageBreak/>
              <w:t>Treatment utilisation</w:t>
            </w:r>
          </w:p>
        </w:tc>
      </w:tr>
      <w:tr w:rsidR="00066F85" w:rsidRPr="009300DD" w14:paraId="326CDF9D"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1A7A14FB"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Scripts dispensed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83AEE2" w14:textId="61FEEE31"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1: </w:t>
            </w:r>
            <w:r w:rsidR="008B4079" w:rsidRPr="001E518D">
              <w:rPr>
                <w:rFonts w:ascii="Arial Narrow" w:eastAsia="MS Gothic" w:hAnsi="Arial Narrow"/>
                <w:bCs/>
                <w:color w:val="777777"/>
                <w:spacing w:val="49"/>
                <w:sz w:val="20"/>
                <w:shd w:val="solid" w:color="000000" w:fill="000000"/>
                <w:fitText w:val="320" w:id="-760590064"/>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64"/>
                <w14:textFill>
                  <w14:solidFill>
                    <w14:srgbClr w14:val="777777">
                      <w14:alpha w14:val="100000"/>
                    </w14:srgbClr>
                  </w14:solidFill>
                </w14:textFill>
              </w:rPr>
              <w:t>|</w:t>
            </w:r>
            <w:r w:rsidR="00DA2B0B" w:rsidRPr="0091041C">
              <w:rPr>
                <w:rFonts w:ascii="Arial Narrow" w:eastAsia="MS Gothic" w:hAnsi="Arial Narrow"/>
                <w:bCs/>
                <w:sz w:val="20"/>
                <w:vertAlign w:val="superscript"/>
              </w:rPr>
              <w:t>2</w:t>
            </w:r>
          </w:p>
          <w:p w14:paraId="4ED8FBCD" w14:textId="2B477F8D"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2: </w:t>
            </w:r>
            <w:r w:rsidR="008B4079" w:rsidRPr="001E518D">
              <w:rPr>
                <w:rFonts w:ascii="Arial Narrow" w:eastAsia="MS Gothic" w:hAnsi="Arial Narrow"/>
                <w:bCs/>
                <w:color w:val="777777"/>
                <w:spacing w:val="49"/>
                <w:sz w:val="20"/>
                <w:shd w:val="solid" w:color="000000" w:fill="000000"/>
                <w:fitText w:val="320" w:id="-760590080"/>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80"/>
                <w14:textFill>
                  <w14:solidFill>
                    <w14:srgbClr w14:val="777777">
                      <w14:alpha w14:val="100000"/>
                    </w14:srgbClr>
                  </w14:solidFill>
                </w14:textFill>
              </w:rPr>
              <w:t>|</w:t>
            </w:r>
            <w:r w:rsidR="00DA2B0B" w:rsidRPr="0091041C">
              <w:rPr>
                <w:rFonts w:ascii="Arial Narrow" w:eastAsia="MS Gothic" w:hAnsi="Arial Narrow"/>
                <w:bCs/>
                <w:sz w:val="20"/>
                <w:vertAlign w:val="superscript"/>
              </w:rPr>
              <w:t>3</w:t>
            </w:r>
          </w:p>
          <w:p w14:paraId="7540D04B" w14:textId="5376C654"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3: </w:t>
            </w:r>
            <w:r w:rsidR="008B4079" w:rsidRPr="001E518D">
              <w:rPr>
                <w:rFonts w:ascii="Arial Narrow" w:eastAsia="MS Gothic" w:hAnsi="Arial Narrow"/>
                <w:bCs/>
                <w:color w:val="777777"/>
                <w:spacing w:val="49"/>
                <w:sz w:val="20"/>
                <w:shd w:val="solid" w:color="000000" w:fill="000000"/>
                <w:fitText w:val="320" w:id="-760590079"/>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79"/>
                <w14:textFill>
                  <w14:solidFill>
                    <w14:srgbClr w14:val="777777">
                      <w14:alpha w14:val="100000"/>
                    </w14:srgbClr>
                  </w14:solidFill>
                </w14:textFill>
              </w:rPr>
              <w:t>|</w:t>
            </w:r>
            <w:r w:rsidR="00DA2B0B" w:rsidRPr="0091041C">
              <w:rPr>
                <w:rFonts w:ascii="Arial Narrow" w:eastAsia="MS Gothic" w:hAnsi="Arial Narrow"/>
                <w:bCs/>
                <w:sz w:val="20"/>
                <w:vertAlign w:val="superscript"/>
              </w:rPr>
              <w:t>4</w:t>
            </w:r>
          </w:p>
          <w:p w14:paraId="5283D1DE" w14:textId="6EA15422"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4: </w:t>
            </w:r>
            <w:r w:rsidR="008B4079" w:rsidRPr="001E518D">
              <w:rPr>
                <w:rFonts w:ascii="Arial Narrow" w:eastAsia="MS Gothic" w:hAnsi="Arial Narrow"/>
                <w:bCs/>
                <w:color w:val="777777"/>
                <w:spacing w:val="49"/>
                <w:sz w:val="20"/>
                <w:shd w:val="solid" w:color="000000" w:fill="000000"/>
                <w:fitText w:val="320" w:id="-760590078"/>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78"/>
                <w14:textFill>
                  <w14:solidFill>
                    <w14:srgbClr w14:val="777777">
                      <w14:alpha w14:val="100000"/>
                    </w14:srgbClr>
                  </w14:solidFill>
                </w14:textFill>
              </w:rPr>
              <w:t>|</w:t>
            </w:r>
            <w:r w:rsidR="00DA2B0B" w:rsidRPr="0091041C">
              <w:rPr>
                <w:rFonts w:ascii="Arial Narrow" w:eastAsia="MS Gothic" w:hAnsi="Arial Narrow"/>
                <w:bCs/>
                <w:sz w:val="20"/>
                <w:vertAlign w:val="superscript"/>
              </w:rPr>
              <w:t>4</w:t>
            </w:r>
          </w:p>
          <w:p w14:paraId="26171EF9" w14:textId="628D92B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5: </w:t>
            </w:r>
            <w:r w:rsidR="008B4079" w:rsidRPr="001E518D">
              <w:rPr>
                <w:rFonts w:ascii="Arial Narrow" w:eastAsia="MS Gothic" w:hAnsi="Arial Narrow"/>
                <w:bCs/>
                <w:color w:val="777777"/>
                <w:spacing w:val="49"/>
                <w:sz w:val="20"/>
                <w:shd w:val="solid" w:color="000000" w:fill="000000"/>
                <w:fitText w:val="320" w:id="-760590077"/>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77"/>
                <w14:textFill>
                  <w14:solidFill>
                    <w14:srgbClr w14:val="777777">
                      <w14:alpha w14:val="100000"/>
                    </w14:srgbClr>
                  </w14:solidFill>
                </w14:textFill>
              </w:rPr>
              <w:t>|</w:t>
            </w:r>
            <w:r w:rsidR="00DA2B0B" w:rsidRPr="0091041C">
              <w:rPr>
                <w:rFonts w:ascii="Arial Narrow" w:eastAsia="MS Gothic" w:hAnsi="Arial Narrow"/>
                <w:bCs/>
                <w:sz w:val="20"/>
                <w:vertAlign w:val="superscript"/>
              </w:rPr>
              <w:t>4</w:t>
            </w:r>
          </w:p>
          <w:p w14:paraId="600BEA75" w14:textId="08677A7A"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Yr 6: </w:t>
            </w:r>
            <w:r w:rsidR="008B4079" w:rsidRPr="001E518D">
              <w:rPr>
                <w:rFonts w:ascii="Arial Narrow" w:eastAsia="MS Gothic" w:hAnsi="Arial Narrow"/>
                <w:bCs/>
                <w:color w:val="777777"/>
                <w:spacing w:val="49"/>
                <w:sz w:val="20"/>
                <w:shd w:val="solid" w:color="000000" w:fill="000000"/>
                <w:fitText w:val="320" w:id="-760590076"/>
                <w14:textFill>
                  <w14:solidFill>
                    <w14:srgbClr w14:val="777777">
                      <w14:alpha w14:val="100000"/>
                    </w14:srgbClr>
                  </w14:solidFill>
                </w14:textFill>
              </w:rPr>
              <w:t>|||</w:t>
            </w:r>
            <w:r w:rsidR="008B4079" w:rsidRPr="001E518D">
              <w:rPr>
                <w:rFonts w:ascii="Arial Narrow" w:eastAsia="MS Gothic" w:hAnsi="Arial Narrow"/>
                <w:bCs/>
                <w:color w:val="777777"/>
                <w:spacing w:val="3"/>
                <w:sz w:val="20"/>
                <w:shd w:val="solid" w:color="000000" w:fill="000000"/>
                <w:fitText w:val="320" w:id="-760590076"/>
                <w14:textFill>
                  <w14:solidFill>
                    <w14:srgbClr w14:val="777777">
                      <w14:alpha w14:val="100000"/>
                    </w14:srgbClr>
                  </w14:solidFill>
                </w14:textFill>
              </w:rPr>
              <w:t>|</w:t>
            </w:r>
            <w:r w:rsidR="00DA2B0B" w:rsidRPr="0091041C">
              <w:rPr>
                <w:rFonts w:ascii="Arial Narrow" w:eastAsia="MS Gothic" w:hAnsi="Arial Narrow"/>
                <w:bCs/>
                <w:sz w:val="20"/>
                <w:vertAlign w:val="superscript"/>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2E6697" w14:textId="5F6CC474"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ABRO</w:t>
            </w:r>
            <w:r w:rsidR="00066F85" w:rsidRPr="009300DD">
              <w:rPr>
                <w:rFonts w:ascii="Arial Narrow" w:eastAsia="MS Gothic" w:hAnsi="Arial Narrow"/>
                <w:bCs/>
                <w:sz w:val="20"/>
              </w:rPr>
              <w:t xml:space="preserve"> : </w:t>
            </w:r>
            <w:r>
              <w:rPr>
                <w:rFonts w:ascii="Arial Narrow" w:eastAsia="MS Gothic" w:hAnsi="Arial Narrow"/>
                <w:bCs/>
                <w:sz w:val="20"/>
              </w:rPr>
              <w:t>DUPI</w:t>
            </w:r>
            <w:r w:rsidR="00066F85" w:rsidRPr="009300DD">
              <w:rPr>
                <w:rFonts w:ascii="Arial Narrow" w:eastAsia="MS Gothic" w:hAnsi="Arial Narrow"/>
                <w:bCs/>
                <w:sz w:val="20"/>
              </w:rPr>
              <w:t xml:space="preserve"> (initial) = 0.93</w:t>
            </w:r>
          </w:p>
          <w:p w14:paraId="432291C3" w14:textId="69B02355"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ABRO</w:t>
            </w:r>
            <w:r w:rsidR="00066F85" w:rsidRPr="009300DD">
              <w:rPr>
                <w:rFonts w:ascii="Arial Narrow" w:eastAsia="MS Gothic" w:hAnsi="Arial Narrow"/>
                <w:bCs/>
                <w:sz w:val="20"/>
              </w:rPr>
              <w:t xml:space="preserve"> : </w:t>
            </w:r>
            <w:r>
              <w:rPr>
                <w:rFonts w:ascii="Arial Narrow" w:eastAsia="MS Gothic" w:hAnsi="Arial Narrow"/>
                <w:bCs/>
                <w:sz w:val="20"/>
              </w:rPr>
              <w:t>DUPI</w:t>
            </w:r>
            <w:r w:rsidR="00066F85" w:rsidRPr="009300DD">
              <w:rPr>
                <w:rFonts w:ascii="Arial Narrow" w:eastAsia="MS Gothic" w:hAnsi="Arial Narrow"/>
                <w:bCs/>
                <w:sz w:val="20"/>
              </w:rPr>
              <w:t xml:space="preserve"> (</w:t>
            </w:r>
            <w:proofErr w:type="spellStart"/>
            <w:r w:rsidR="00066F85" w:rsidRPr="009300DD">
              <w:rPr>
                <w:rFonts w:ascii="Arial Narrow" w:eastAsia="MS Gothic" w:hAnsi="Arial Narrow"/>
                <w:bCs/>
                <w:sz w:val="20"/>
              </w:rPr>
              <w:t>cont</w:t>
            </w:r>
            <w:proofErr w:type="spellEnd"/>
            <w:r w:rsidR="00066F85" w:rsidRPr="009300DD">
              <w:rPr>
                <w:rFonts w:ascii="Arial Narrow" w:eastAsia="MS Gothic" w:hAnsi="Arial Narrow"/>
                <w:bCs/>
                <w:sz w:val="20"/>
              </w:rPr>
              <w:t>) = 0.97</w:t>
            </w:r>
          </w:p>
          <w:p w14:paraId="203EB6B1" w14:textId="6AAF01BF" w:rsidR="00066F85" w:rsidRPr="009300DD" w:rsidRDefault="00E93878" w:rsidP="00FD3723">
            <w:pPr>
              <w:keepLines/>
              <w:jc w:val="left"/>
              <w:rPr>
                <w:rFonts w:ascii="Arial Narrow" w:eastAsia="MS Gothic" w:hAnsi="Arial Narrow"/>
                <w:bCs/>
                <w:sz w:val="20"/>
              </w:rPr>
            </w:pPr>
            <w:r>
              <w:rPr>
                <w:rFonts w:ascii="Arial Narrow" w:eastAsia="MS Gothic" w:hAnsi="Arial Narrow"/>
                <w:bCs/>
                <w:sz w:val="20"/>
              </w:rPr>
              <w:t>ABRO</w:t>
            </w:r>
            <w:r w:rsidR="00066F85" w:rsidRPr="009300DD">
              <w:rPr>
                <w:rFonts w:ascii="Arial Narrow" w:eastAsia="MS Gothic" w:hAnsi="Arial Narrow"/>
                <w:bCs/>
                <w:sz w:val="20"/>
              </w:rPr>
              <w:t xml:space="preserve"> : U</w:t>
            </w:r>
            <w:r w:rsidR="006C561E">
              <w:rPr>
                <w:rFonts w:ascii="Arial Narrow" w:eastAsia="MS Gothic" w:hAnsi="Arial Narrow"/>
                <w:bCs/>
                <w:sz w:val="20"/>
              </w:rPr>
              <w:t>PA</w:t>
            </w:r>
            <w:r w:rsidR="00066F85" w:rsidRPr="009300DD">
              <w:rPr>
                <w:rFonts w:ascii="Arial Narrow" w:eastAsia="MS Gothic" w:hAnsi="Arial Narrow"/>
                <w:bCs/>
                <w:sz w:val="20"/>
              </w:rPr>
              <w:t xml:space="preserve"> = 1</w:t>
            </w:r>
          </w:p>
        </w:tc>
        <w:tc>
          <w:tcPr>
            <w:tcW w:w="4201" w:type="dxa"/>
            <w:tcBorders>
              <w:top w:val="single" w:sz="4" w:space="0" w:color="auto"/>
              <w:left w:val="single" w:sz="4" w:space="0" w:color="auto"/>
              <w:bottom w:val="single" w:sz="4" w:space="0" w:color="auto"/>
              <w:right w:val="single" w:sz="4" w:space="0" w:color="auto"/>
            </w:tcBorders>
            <w:vAlign w:val="center"/>
            <w:hideMark/>
          </w:tcPr>
          <w:p w14:paraId="20F35767" w14:textId="62DBB663"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The derivation of the annual number of scripts per patient for </w:t>
            </w:r>
            <w:r w:rsidR="00E93878">
              <w:rPr>
                <w:rFonts w:ascii="Arial Narrow" w:eastAsia="MS Gothic" w:hAnsi="Arial Narrow"/>
                <w:bCs/>
                <w:sz w:val="20"/>
              </w:rPr>
              <w:t>DUPI</w:t>
            </w:r>
            <w:r w:rsidRPr="009300DD">
              <w:rPr>
                <w:rFonts w:ascii="Arial Narrow" w:eastAsia="MS Gothic" w:hAnsi="Arial Narrow"/>
                <w:bCs/>
                <w:sz w:val="20"/>
              </w:rPr>
              <w:t xml:space="preserve"> contains an error where two injections are given in consecutive weeks rather than every two weeks. This error was corrected during the evaluation.</w:t>
            </w:r>
            <w:r w:rsidR="00F878E6">
              <w:rPr>
                <w:rFonts w:ascii="Arial Narrow" w:eastAsia="MS Gothic" w:hAnsi="Arial Narrow"/>
                <w:bCs/>
                <w:sz w:val="20"/>
              </w:rPr>
              <w:t xml:space="preserve"> </w:t>
            </w:r>
            <w:r w:rsidR="00F878E6" w:rsidRPr="00E574CC">
              <w:rPr>
                <w:rFonts w:ascii="Arial Narrow" w:eastAsia="MS Gothic" w:hAnsi="Arial Narrow"/>
                <w:bCs/>
                <w:iCs/>
                <w:sz w:val="20"/>
              </w:rPr>
              <w:t>The PSCR stated that this represents the DUPI loading dose</w:t>
            </w:r>
            <w:r w:rsidR="00454C71" w:rsidRPr="00E574CC">
              <w:rPr>
                <w:rFonts w:ascii="Arial Narrow" w:eastAsia="MS Gothic" w:hAnsi="Arial Narrow"/>
                <w:bCs/>
                <w:iCs/>
                <w:sz w:val="20"/>
              </w:rPr>
              <w:t>. Inclusion of the loading doses in the first week was reasonable,</w:t>
            </w:r>
            <w:r w:rsidR="00F878E6" w:rsidRPr="00E574CC">
              <w:rPr>
                <w:rFonts w:ascii="Arial Narrow" w:eastAsia="MS Gothic" w:hAnsi="Arial Narrow"/>
                <w:bCs/>
                <w:iCs/>
                <w:sz w:val="20"/>
              </w:rPr>
              <w:t xml:space="preserve"> however</w:t>
            </w:r>
            <w:r w:rsidR="00454C71" w:rsidRPr="00E574CC">
              <w:rPr>
                <w:rFonts w:ascii="Arial Narrow" w:eastAsia="MS Gothic" w:hAnsi="Arial Narrow"/>
                <w:bCs/>
                <w:iCs/>
                <w:sz w:val="20"/>
              </w:rPr>
              <w:t xml:space="preserve"> In the last two weeks of the first year (weeks 51 and 52), the UCM shows doses of dupilumab being administered. As dupilumab is administered every two weeks, this is incorrect and inconsistent with the dosing regimen used in the balance of the first year.</w:t>
            </w:r>
          </w:p>
        </w:tc>
      </w:tr>
      <w:tr w:rsidR="00066F85" w:rsidRPr="009300DD" w14:paraId="3408D979" w14:textId="77777777" w:rsidTr="00A13B27">
        <w:tc>
          <w:tcPr>
            <w:tcW w:w="9016" w:type="dxa"/>
            <w:gridSpan w:val="4"/>
            <w:tcBorders>
              <w:top w:val="single" w:sz="4" w:space="0" w:color="auto"/>
              <w:left w:val="single" w:sz="4" w:space="0" w:color="auto"/>
              <w:bottom w:val="single" w:sz="4" w:space="0" w:color="auto"/>
              <w:right w:val="single" w:sz="4" w:space="0" w:color="auto"/>
            </w:tcBorders>
            <w:vAlign w:val="center"/>
            <w:hideMark/>
          </w:tcPr>
          <w:p w14:paraId="15CB51AB" w14:textId="77777777" w:rsidR="00066F85" w:rsidRPr="0052714A" w:rsidRDefault="00066F85" w:rsidP="00FD3723">
            <w:pPr>
              <w:keepLines/>
              <w:jc w:val="left"/>
              <w:rPr>
                <w:rFonts w:ascii="Arial Narrow" w:eastAsia="MS Gothic" w:hAnsi="Arial Narrow"/>
                <w:b/>
                <w:sz w:val="20"/>
              </w:rPr>
            </w:pPr>
            <w:r w:rsidRPr="0052714A">
              <w:rPr>
                <w:rFonts w:ascii="Arial Narrow" w:eastAsia="MS Gothic" w:hAnsi="Arial Narrow"/>
                <w:b/>
                <w:sz w:val="20"/>
              </w:rPr>
              <w:t>Costs</w:t>
            </w:r>
          </w:p>
        </w:tc>
      </w:tr>
      <w:tr w:rsidR="00066F85" w:rsidRPr="009300DD" w14:paraId="1C836397"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528BD451"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Proposed medicine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5D0DB4"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$1,416,19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E389E8"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Requested DPMQ (published price)</w:t>
            </w:r>
          </w:p>
        </w:tc>
        <w:tc>
          <w:tcPr>
            <w:tcW w:w="4201" w:type="dxa"/>
            <w:tcBorders>
              <w:top w:val="single" w:sz="4" w:space="0" w:color="auto"/>
              <w:left w:val="single" w:sz="4" w:space="0" w:color="auto"/>
              <w:bottom w:val="single" w:sz="4" w:space="0" w:color="auto"/>
              <w:right w:val="single" w:sz="4" w:space="0" w:color="auto"/>
            </w:tcBorders>
            <w:vAlign w:val="center"/>
            <w:hideMark/>
          </w:tcPr>
          <w:p w14:paraId="712E691D"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The DPMQ was calculated using the previous fees and mark-ups and was updated during the evaluation.</w:t>
            </w:r>
          </w:p>
        </w:tc>
      </w:tr>
      <w:tr w:rsidR="00066F85" w:rsidRPr="009300DD" w14:paraId="66AE49DF"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77905A9D"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Affected medicine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F1332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$1,755.19</w:t>
            </w:r>
          </w:p>
          <w:p w14:paraId="7B44D574"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$1,272.31</w:t>
            </w:r>
          </w:p>
          <w:p w14:paraId="1ABDC572"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$2,077.29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4C5517"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12292Y</w:t>
            </w:r>
          </w:p>
          <w:p w14:paraId="746959C6"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12828E, 12831H, 12835M</w:t>
            </w:r>
          </w:p>
          <w:p w14:paraId="08A5FC0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12836N, 12829F, 12827E</w:t>
            </w:r>
          </w:p>
        </w:tc>
        <w:tc>
          <w:tcPr>
            <w:tcW w:w="4201" w:type="dxa"/>
            <w:tcBorders>
              <w:top w:val="single" w:sz="4" w:space="0" w:color="auto"/>
              <w:left w:val="single" w:sz="4" w:space="0" w:color="auto"/>
              <w:bottom w:val="single" w:sz="4" w:space="0" w:color="auto"/>
              <w:right w:val="single" w:sz="4" w:space="0" w:color="auto"/>
            </w:tcBorders>
            <w:vAlign w:val="center"/>
            <w:hideMark/>
          </w:tcPr>
          <w:p w14:paraId="62C2CFE4"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The DPMQs presented use the previous fees and mark-ups and were updated during the evaluation.</w:t>
            </w:r>
          </w:p>
        </w:tc>
      </w:tr>
      <w:tr w:rsidR="00066F85" w:rsidRPr="009300DD" w14:paraId="44A08D38" w14:textId="77777777" w:rsidTr="00924054">
        <w:trPr>
          <w:trHeight w:val="683"/>
        </w:trPr>
        <w:tc>
          <w:tcPr>
            <w:tcW w:w="1413" w:type="dxa"/>
            <w:tcBorders>
              <w:top w:val="single" w:sz="4" w:space="0" w:color="auto"/>
              <w:left w:val="single" w:sz="4" w:space="0" w:color="auto"/>
              <w:bottom w:val="single" w:sz="4" w:space="0" w:color="auto"/>
              <w:right w:val="single" w:sz="4" w:space="0" w:color="auto"/>
            </w:tcBorders>
            <w:vAlign w:val="center"/>
            <w:hideMark/>
          </w:tcPr>
          <w:p w14:paraId="4754ED5E"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Patient copayment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30492"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$24.94 PBS</w:t>
            </w:r>
          </w:p>
          <w:p w14:paraId="7A730B35"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$5.58 RPBS</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A81FCF9" w14:textId="586C334B"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Weighted copayments for PBS items: 12292Y (</w:t>
            </w:r>
            <w:r w:rsidR="00E93878">
              <w:rPr>
                <w:rFonts w:ascii="Arial Narrow" w:eastAsia="MS Gothic" w:hAnsi="Arial Narrow"/>
                <w:bCs/>
                <w:sz w:val="20"/>
              </w:rPr>
              <w:t>DUPI</w:t>
            </w:r>
            <w:r w:rsidRPr="009300DD">
              <w:rPr>
                <w:rFonts w:ascii="Arial Narrow" w:eastAsia="MS Gothic" w:hAnsi="Arial Narrow"/>
                <w:bCs/>
                <w:sz w:val="20"/>
              </w:rPr>
              <w:t xml:space="preserve"> </w:t>
            </w:r>
            <w:r w:rsidR="004E18C1">
              <w:rPr>
                <w:rFonts w:ascii="Arial Narrow" w:eastAsia="MS Gothic" w:hAnsi="Arial Narrow"/>
                <w:bCs/>
                <w:sz w:val="20"/>
              </w:rPr>
              <w:t>2</w:t>
            </w:r>
            <w:r w:rsidR="00CF5502">
              <w:rPr>
                <w:rFonts w:ascii="Arial Narrow" w:eastAsia="MS Gothic" w:hAnsi="Arial Narrow"/>
                <w:bCs/>
                <w:sz w:val="20"/>
              </w:rPr>
              <w:t>0</w:t>
            </w:r>
            <w:r w:rsidR="00E57A8B">
              <w:rPr>
                <w:rFonts w:ascii="Arial Narrow" w:eastAsia="MS Gothic" w:hAnsi="Arial Narrow"/>
                <w:bCs/>
                <w:sz w:val="20"/>
              </w:rPr>
              <w:t>0 mg</w:t>
            </w:r>
            <w:r w:rsidRPr="009300DD">
              <w:rPr>
                <w:rFonts w:ascii="Arial Narrow" w:eastAsia="MS Gothic" w:hAnsi="Arial Narrow"/>
                <w:bCs/>
                <w:sz w:val="20"/>
              </w:rPr>
              <w:t xml:space="preserve"> and 30</w:t>
            </w:r>
            <w:r w:rsidR="00E57A8B">
              <w:rPr>
                <w:rFonts w:ascii="Arial Narrow" w:eastAsia="MS Gothic" w:hAnsi="Arial Narrow"/>
                <w:bCs/>
                <w:sz w:val="20"/>
              </w:rPr>
              <w:t>0 mg</w:t>
            </w:r>
            <w:r w:rsidRPr="009300DD">
              <w:rPr>
                <w:rFonts w:ascii="Arial Narrow" w:eastAsia="MS Gothic" w:hAnsi="Arial Narrow"/>
                <w:bCs/>
                <w:sz w:val="20"/>
              </w:rPr>
              <w:t xml:space="preserve"> injection), 12828E, 12831H, 12835M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15mg tablet), 12836N, 12829F,12827D (</w:t>
            </w:r>
            <w:r w:rsidR="006C561E">
              <w:rPr>
                <w:rFonts w:ascii="Arial Narrow" w:eastAsia="MS Gothic" w:hAnsi="Arial Narrow"/>
                <w:bCs/>
                <w:sz w:val="20"/>
              </w:rPr>
              <w:t>UPA</w:t>
            </w:r>
            <w:r w:rsidR="006C561E" w:rsidRPr="009300DD">
              <w:rPr>
                <w:rFonts w:ascii="Arial Narrow" w:eastAsia="MS Gothic" w:hAnsi="Arial Narrow"/>
                <w:bCs/>
                <w:sz w:val="20"/>
              </w:rPr>
              <w:t xml:space="preserve"> </w:t>
            </w:r>
            <w:r w:rsidRPr="009300DD">
              <w:rPr>
                <w:rFonts w:ascii="Arial Narrow" w:eastAsia="MS Gothic" w:hAnsi="Arial Narrow"/>
                <w:bCs/>
                <w:sz w:val="20"/>
              </w:rPr>
              <w:t>3</w:t>
            </w:r>
            <w:r w:rsidR="00E57A8B">
              <w:rPr>
                <w:rFonts w:ascii="Arial Narrow" w:eastAsia="MS Gothic" w:hAnsi="Arial Narrow"/>
                <w:bCs/>
                <w:sz w:val="20"/>
              </w:rPr>
              <w:t>0 mg</w:t>
            </w:r>
            <w:r w:rsidRPr="009300DD">
              <w:rPr>
                <w:rFonts w:ascii="Arial Narrow" w:eastAsia="MS Gothic" w:hAnsi="Arial Narrow"/>
                <w:bCs/>
                <w:sz w:val="20"/>
              </w:rPr>
              <w:t xml:space="preserve"> tablet). </w:t>
            </w:r>
          </w:p>
        </w:tc>
        <w:tc>
          <w:tcPr>
            <w:tcW w:w="4201" w:type="dxa"/>
            <w:vMerge w:val="restart"/>
            <w:tcBorders>
              <w:top w:val="single" w:sz="4" w:space="0" w:color="auto"/>
              <w:left w:val="single" w:sz="4" w:space="0" w:color="auto"/>
              <w:bottom w:val="single" w:sz="4" w:space="0" w:color="auto"/>
              <w:right w:val="single" w:sz="4" w:space="0" w:color="auto"/>
            </w:tcBorders>
            <w:vAlign w:val="center"/>
            <w:hideMark/>
          </w:tcPr>
          <w:p w14:paraId="57D294BA"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The co-payment information included in the financial estimates is correctly described, but incorrect figures have been presented in the submission main body, without affecting the overall calculations.</w:t>
            </w:r>
          </w:p>
        </w:tc>
      </w:tr>
      <w:tr w:rsidR="00066F85" w:rsidRPr="009300DD" w14:paraId="54B05078" w14:textId="77777777" w:rsidTr="00924054">
        <w:trPr>
          <w:trHeight w:val="684"/>
        </w:trPr>
        <w:tc>
          <w:tcPr>
            <w:tcW w:w="1413" w:type="dxa"/>
            <w:tcBorders>
              <w:top w:val="single" w:sz="4" w:space="0" w:color="auto"/>
              <w:left w:val="single" w:sz="4" w:space="0" w:color="auto"/>
              <w:bottom w:val="single" w:sz="4" w:space="0" w:color="auto"/>
              <w:right w:val="single" w:sz="4" w:space="0" w:color="auto"/>
            </w:tcBorders>
            <w:vAlign w:val="center"/>
            <w:hideMark/>
          </w:tcPr>
          <w:p w14:paraId="5E567B87" w14:textId="2153D8D9" w:rsidR="00066F85" w:rsidRPr="009300DD" w:rsidRDefault="00924054" w:rsidP="00FD3723">
            <w:pPr>
              <w:keepLines/>
              <w:jc w:val="left"/>
              <w:rPr>
                <w:rFonts w:ascii="Arial Narrow" w:eastAsia="MS Gothic" w:hAnsi="Arial Narrow"/>
                <w:bCs/>
                <w:sz w:val="20"/>
              </w:rPr>
            </w:pPr>
            <w:r w:rsidRPr="009300DD">
              <w:rPr>
                <w:rFonts w:ascii="Arial Narrow" w:eastAsia="MS Gothic" w:hAnsi="Arial Narrow"/>
                <w:bCs/>
                <w:sz w:val="20"/>
              </w:rPr>
              <w:t>PBS:</w:t>
            </w:r>
            <w:r w:rsidR="00066F85" w:rsidRPr="009300DD">
              <w:rPr>
                <w:rFonts w:ascii="Arial Narrow" w:eastAsia="MS Gothic" w:hAnsi="Arial Narrow"/>
                <w:bCs/>
                <w:sz w:val="20"/>
              </w:rPr>
              <w:t xml:space="preserve"> RPBS split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DD03F"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99.37%: 0.63%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BAD170" w14:textId="77777777" w:rsidR="00066F85" w:rsidRPr="009300DD" w:rsidRDefault="00066F85" w:rsidP="00FD3723">
            <w:pPr>
              <w:jc w:val="left"/>
              <w:rPr>
                <w:rFonts w:ascii="Arial Narrow" w:eastAsia="MS Gothic" w:hAnsi="Arial Narrow"/>
                <w:bCs/>
                <w:sz w:val="20"/>
              </w:rPr>
            </w:pPr>
          </w:p>
        </w:tc>
        <w:tc>
          <w:tcPr>
            <w:tcW w:w="4201" w:type="dxa"/>
            <w:vMerge/>
            <w:tcBorders>
              <w:top w:val="single" w:sz="4" w:space="0" w:color="auto"/>
              <w:left w:val="single" w:sz="4" w:space="0" w:color="auto"/>
              <w:bottom w:val="single" w:sz="4" w:space="0" w:color="auto"/>
              <w:right w:val="single" w:sz="4" w:space="0" w:color="auto"/>
            </w:tcBorders>
            <w:vAlign w:val="center"/>
            <w:hideMark/>
          </w:tcPr>
          <w:p w14:paraId="6A017347" w14:textId="77777777" w:rsidR="00066F85" w:rsidRPr="009300DD" w:rsidRDefault="00066F85" w:rsidP="00FD3723">
            <w:pPr>
              <w:jc w:val="left"/>
              <w:rPr>
                <w:rFonts w:ascii="Arial Narrow" w:eastAsia="MS Gothic" w:hAnsi="Arial Narrow"/>
                <w:bCs/>
                <w:sz w:val="20"/>
              </w:rPr>
            </w:pPr>
          </w:p>
        </w:tc>
      </w:tr>
      <w:tr w:rsidR="00066F85" w:rsidRPr="009300DD" w14:paraId="2E2BC233" w14:textId="77777777" w:rsidTr="00924054">
        <w:tc>
          <w:tcPr>
            <w:tcW w:w="1413" w:type="dxa"/>
            <w:tcBorders>
              <w:top w:val="single" w:sz="4" w:space="0" w:color="auto"/>
              <w:left w:val="single" w:sz="4" w:space="0" w:color="auto"/>
              <w:bottom w:val="single" w:sz="4" w:space="0" w:color="auto"/>
              <w:right w:val="single" w:sz="4" w:space="0" w:color="auto"/>
            </w:tcBorders>
            <w:vAlign w:val="center"/>
            <w:hideMark/>
          </w:tcPr>
          <w:p w14:paraId="0B0BF818"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MBS costs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3964CB"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DCA2CD" w14:textId="77777777"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No MBS items were included in the financial estimates.</w:t>
            </w:r>
          </w:p>
        </w:tc>
        <w:tc>
          <w:tcPr>
            <w:tcW w:w="4201" w:type="dxa"/>
            <w:tcBorders>
              <w:top w:val="single" w:sz="4" w:space="0" w:color="auto"/>
              <w:left w:val="single" w:sz="4" w:space="0" w:color="auto"/>
              <w:bottom w:val="single" w:sz="4" w:space="0" w:color="auto"/>
              <w:right w:val="single" w:sz="4" w:space="0" w:color="auto"/>
            </w:tcBorders>
            <w:vAlign w:val="center"/>
            <w:hideMark/>
          </w:tcPr>
          <w:p w14:paraId="5C5E7141" w14:textId="49F8970B" w:rsidR="00066F85" w:rsidRPr="009300DD" w:rsidRDefault="00066F85" w:rsidP="00FD3723">
            <w:pPr>
              <w:keepLines/>
              <w:jc w:val="left"/>
              <w:rPr>
                <w:rFonts w:ascii="Arial Narrow" w:eastAsia="MS Gothic" w:hAnsi="Arial Narrow"/>
                <w:bCs/>
                <w:sz w:val="20"/>
              </w:rPr>
            </w:pPr>
            <w:r w:rsidRPr="009300DD">
              <w:rPr>
                <w:rFonts w:ascii="Arial Narrow" w:eastAsia="MS Gothic" w:hAnsi="Arial Narrow"/>
                <w:bCs/>
                <w:sz w:val="20"/>
              </w:rPr>
              <w:t xml:space="preserve">This is inconsistent with the submission that indicates that a range of tests are required prior to treatment with </w:t>
            </w:r>
            <w:r w:rsidR="00E93878">
              <w:rPr>
                <w:rFonts w:ascii="Arial Narrow" w:eastAsia="MS Gothic" w:hAnsi="Arial Narrow"/>
                <w:bCs/>
                <w:sz w:val="20"/>
              </w:rPr>
              <w:t>ABRO</w:t>
            </w:r>
            <w:r w:rsidRPr="009300DD">
              <w:rPr>
                <w:rFonts w:ascii="Arial Narrow" w:eastAsia="MS Gothic" w:hAnsi="Arial Narrow"/>
                <w:bCs/>
                <w:sz w:val="20"/>
              </w:rPr>
              <w:t xml:space="preserve">, together with monitoring items during each cycle of treatment with the proposed medicines. </w:t>
            </w:r>
          </w:p>
        </w:tc>
      </w:tr>
    </w:tbl>
    <w:p w14:paraId="09B6C0A4" w14:textId="77777777" w:rsidR="00304AB4" w:rsidRDefault="001B3286">
      <w:pPr>
        <w:pStyle w:val="TableFigureFooter"/>
      </w:pPr>
      <w:r>
        <w:t>Source: Compiled during the evaluation from Section 4 of the submission and the UCM.</w:t>
      </w:r>
    </w:p>
    <w:p w14:paraId="4F9AC7C9" w14:textId="77777777" w:rsidR="005C68B4" w:rsidRDefault="00066F85" w:rsidP="00066F85">
      <w:pPr>
        <w:pStyle w:val="TableFigureFooter"/>
        <w:snapToGrid w:val="0"/>
      </w:pPr>
      <w:r>
        <w:t>ABS = Australian Bureau of Statistics; DPMQ = Dispensed Price for Maximum Quantity; DUSC = Drug Utilisation Sub Committee; MBS = Medicare Benefits Schedule; PBAC = Pharmaceutical Benefits Advisory Committee; PBS = Pharmaceutical Benefits Scheme; PFP = Product Familiarisation Program; PSD = Public Summary Document; RPBS = Repatriation Pharmaceutical Benefits Scheme</w:t>
      </w:r>
    </w:p>
    <w:p w14:paraId="27138CEA" w14:textId="1B7D911B" w:rsidR="005E0BAA" w:rsidRPr="004B3C7C" w:rsidRDefault="005C68B4" w:rsidP="00C63608">
      <w:pPr>
        <w:pStyle w:val="TableFigureFooter"/>
        <w:snapToGrid w:val="0"/>
        <w:rPr>
          <w:i/>
          <w:iCs w:val="0"/>
        </w:rPr>
      </w:pPr>
      <w:bookmarkStart w:id="82" w:name="_Hlk185322288"/>
      <w:r w:rsidRPr="004B3C7C">
        <w:rPr>
          <w:i/>
          <w:iCs w:val="0"/>
        </w:rPr>
        <w:t>The redacted values correspond to the following ranges:</w:t>
      </w:r>
    </w:p>
    <w:p w14:paraId="3AF5E95C" w14:textId="179D7BC5" w:rsidR="00A12757" w:rsidRPr="00CB582D" w:rsidRDefault="00A12757" w:rsidP="00C63608">
      <w:pPr>
        <w:pStyle w:val="TableFigureFooter"/>
        <w:snapToGrid w:val="0"/>
        <w:rPr>
          <w:i/>
          <w:iCs w:val="0"/>
        </w:rPr>
      </w:pPr>
      <w:r w:rsidRPr="00CB582D">
        <w:rPr>
          <w:i/>
          <w:iCs w:val="0"/>
          <w:vertAlign w:val="superscript"/>
        </w:rPr>
        <w:t>1</w:t>
      </w:r>
      <w:r w:rsidRPr="00CB582D">
        <w:rPr>
          <w:i/>
          <w:iCs w:val="0"/>
        </w:rPr>
        <w:t xml:space="preserve"> &lt;500</w:t>
      </w:r>
    </w:p>
    <w:p w14:paraId="3CB44423" w14:textId="563C939E" w:rsidR="0015020B" w:rsidRPr="004B3C7C" w:rsidRDefault="00A12757" w:rsidP="00C63608">
      <w:pPr>
        <w:pStyle w:val="TableFigureFooter"/>
        <w:snapToGrid w:val="0"/>
        <w:rPr>
          <w:i/>
          <w:iCs w:val="0"/>
        </w:rPr>
      </w:pPr>
      <w:r w:rsidRPr="00CB582D">
        <w:rPr>
          <w:i/>
          <w:iCs w:val="0"/>
          <w:vertAlign w:val="superscript"/>
        </w:rPr>
        <w:t>2</w:t>
      </w:r>
      <w:r w:rsidR="005E0BAA" w:rsidRPr="004B3C7C">
        <w:rPr>
          <w:i/>
          <w:iCs w:val="0"/>
        </w:rPr>
        <w:t xml:space="preserve"> 500 to &lt; 5,000</w:t>
      </w:r>
    </w:p>
    <w:p w14:paraId="767B16C1" w14:textId="3F608D48" w:rsidR="00C63608" w:rsidRPr="004B3C7C" w:rsidRDefault="00A12757" w:rsidP="00C63608">
      <w:pPr>
        <w:pStyle w:val="TableFigureFooter"/>
        <w:snapToGrid w:val="0"/>
        <w:rPr>
          <w:i/>
          <w:iCs w:val="0"/>
        </w:rPr>
      </w:pPr>
      <w:r w:rsidRPr="004B3C7C">
        <w:rPr>
          <w:i/>
          <w:iCs w:val="0"/>
          <w:vertAlign w:val="superscript"/>
        </w:rPr>
        <w:t>3</w:t>
      </w:r>
      <w:r w:rsidR="005E0BAA" w:rsidRPr="004B3C7C">
        <w:rPr>
          <w:i/>
          <w:iCs w:val="0"/>
        </w:rPr>
        <w:t xml:space="preserve"> </w:t>
      </w:r>
      <w:r w:rsidR="00C63608" w:rsidRPr="004B3C7C">
        <w:rPr>
          <w:i/>
          <w:iCs w:val="0"/>
        </w:rPr>
        <w:t>5,000 to &lt; 10,000</w:t>
      </w:r>
    </w:p>
    <w:p w14:paraId="6B24EBA9" w14:textId="204E9BE5" w:rsidR="00C63608" w:rsidRPr="004B3C7C" w:rsidRDefault="00A12757" w:rsidP="00C63608">
      <w:pPr>
        <w:pStyle w:val="TableFigureFooter"/>
        <w:snapToGrid w:val="0"/>
        <w:rPr>
          <w:i/>
          <w:iCs w:val="0"/>
        </w:rPr>
      </w:pPr>
      <w:r w:rsidRPr="004B3C7C">
        <w:rPr>
          <w:i/>
          <w:iCs w:val="0"/>
          <w:vertAlign w:val="superscript"/>
        </w:rPr>
        <w:t>4</w:t>
      </w:r>
      <w:r w:rsidR="00391EEE" w:rsidRPr="004B3C7C">
        <w:rPr>
          <w:i/>
          <w:iCs w:val="0"/>
        </w:rPr>
        <w:t xml:space="preserve"> </w:t>
      </w:r>
      <w:r w:rsidR="00C63608" w:rsidRPr="004B3C7C">
        <w:rPr>
          <w:i/>
          <w:iCs w:val="0"/>
        </w:rPr>
        <w:t>10,000 to &lt; 20,000</w:t>
      </w:r>
    </w:p>
    <w:p w14:paraId="5FC5F478" w14:textId="05A2AB63" w:rsidR="00066F85" w:rsidRPr="00CB582D" w:rsidRDefault="00A12757" w:rsidP="00C63608">
      <w:pPr>
        <w:pStyle w:val="TableFigureFooter"/>
        <w:snapToGrid w:val="0"/>
        <w:rPr>
          <w:i/>
          <w:iCs w:val="0"/>
          <w:sz w:val="20"/>
        </w:rPr>
      </w:pPr>
      <w:r w:rsidRPr="0091041C">
        <w:rPr>
          <w:i/>
          <w:iCs w:val="0"/>
          <w:vertAlign w:val="superscript"/>
        </w:rPr>
        <w:t>5</w:t>
      </w:r>
      <w:r w:rsidR="00391EEE" w:rsidRPr="00CB582D">
        <w:rPr>
          <w:i/>
          <w:iCs w:val="0"/>
        </w:rPr>
        <w:t xml:space="preserve"> </w:t>
      </w:r>
      <w:r w:rsidR="00C63608" w:rsidRPr="00CB582D">
        <w:rPr>
          <w:i/>
          <w:iCs w:val="0"/>
        </w:rPr>
        <w:t>20,000 to &lt; 30,000</w:t>
      </w:r>
    </w:p>
    <w:bookmarkEnd w:id="82"/>
    <w:p w14:paraId="510E3AE4" w14:textId="685CAF84" w:rsidR="00066F85" w:rsidRDefault="00066F85" w:rsidP="00227B51">
      <w:pPr>
        <w:pStyle w:val="Caption"/>
        <w:rPr>
          <w:rStyle w:val="CommentReference"/>
          <w:b/>
          <w:szCs w:val="24"/>
        </w:rPr>
      </w:pPr>
      <w:r w:rsidRPr="0098262F">
        <w:lastRenderedPageBreak/>
        <w:t xml:space="preserve">Table </w:t>
      </w:r>
      <w:r>
        <w:fldChar w:fldCharType="begin" w:fldLock="1"/>
      </w:r>
      <w:r>
        <w:instrText xml:space="preserve"> SEQ Table \* ARABIC </w:instrText>
      </w:r>
      <w:r>
        <w:fldChar w:fldCharType="separate"/>
      </w:r>
      <w:r w:rsidR="004F2A70">
        <w:rPr>
          <w:noProof/>
        </w:rPr>
        <w:t>18</w:t>
      </w:r>
      <w:r>
        <w:rPr>
          <w:noProof/>
        </w:rPr>
        <w:fldChar w:fldCharType="end"/>
      </w:r>
      <w:r w:rsidRPr="0098262F">
        <w:t>:</w:t>
      </w:r>
      <w:r w:rsidRPr="0098262F">
        <w:rPr>
          <w:rStyle w:val="CommentReference"/>
          <w:b/>
          <w:szCs w:val="24"/>
        </w:rPr>
        <w:t xml:space="preserve"> Estimated use and financial implications</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1167"/>
        <w:gridCol w:w="1167"/>
        <w:gridCol w:w="1166"/>
        <w:gridCol w:w="1167"/>
        <w:gridCol w:w="1166"/>
        <w:gridCol w:w="1167"/>
      </w:tblGrid>
      <w:tr w:rsidR="00066F85" w:rsidRPr="004C13BB" w14:paraId="71610E2D" w14:textId="77777777" w:rsidTr="00FB5316">
        <w:tc>
          <w:tcPr>
            <w:tcW w:w="2015" w:type="dxa"/>
            <w:tcBorders>
              <w:top w:val="single" w:sz="4" w:space="0" w:color="auto"/>
              <w:left w:val="single" w:sz="4" w:space="0" w:color="auto"/>
              <w:bottom w:val="single" w:sz="4" w:space="0" w:color="auto"/>
              <w:right w:val="single" w:sz="4" w:space="0" w:color="auto"/>
            </w:tcBorders>
            <w:vAlign w:val="center"/>
          </w:tcPr>
          <w:p w14:paraId="29F62641" w14:textId="77777777" w:rsidR="00066F85" w:rsidRPr="009300DD" w:rsidRDefault="00066F85" w:rsidP="00227B51">
            <w:pPr>
              <w:keepNext/>
              <w:keepLines/>
              <w:rPr>
                <w:rFonts w:ascii="Arial Narrow" w:eastAsia="MS Gothic" w:hAnsi="Arial Narrow"/>
                <w:b/>
                <w:sz w:val="20"/>
              </w:rPr>
            </w:pPr>
          </w:p>
        </w:tc>
        <w:tc>
          <w:tcPr>
            <w:tcW w:w="1167" w:type="dxa"/>
            <w:tcBorders>
              <w:top w:val="single" w:sz="4" w:space="0" w:color="auto"/>
              <w:left w:val="single" w:sz="4" w:space="0" w:color="auto"/>
              <w:bottom w:val="single" w:sz="4" w:space="0" w:color="auto"/>
              <w:right w:val="single" w:sz="4" w:space="0" w:color="auto"/>
            </w:tcBorders>
            <w:hideMark/>
          </w:tcPr>
          <w:p w14:paraId="632654E4"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1</w:t>
            </w:r>
          </w:p>
        </w:tc>
        <w:tc>
          <w:tcPr>
            <w:tcW w:w="1167" w:type="dxa"/>
            <w:tcBorders>
              <w:top w:val="single" w:sz="4" w:space="0" w:color="auto"/>
              <w:left w:val="single" w:sz="4" w:space="0" w:color="auto"/>
              <w:bottom w:val="single" w:sz="4" w:space="0" w:color="auto"/>
              <w:right w:val="single" w:sz="4" w:space="0" w:color="auto"/>
            </w:tcBorders>
            <w:hideMark/>
          </w:tcPr>
          <w:p w14:paraId="5093A165"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2</w:t>
            </w:r>
          </w:p>
        </w:tc>
        <w:tc>
          <w:tcPr>
            <w:tcW w:w="1166" w:type="dxa"/>
            <w:tcBorders>
              <w:top w:val="single" w:sz="4" w:space="0" w:color="auto"/>
              <w:left w:val="single" w:sz="4" w:space="0" w:color="auto"/>
              <w:bottom w:val="single" w:sz="4" w:space="0" w:color="auto"/>
              <w:right w:val="single" w:sz="4" w:space="0" w:color="auto"/>
            </w:tcBorders>
            <w:hideMark/>
          </w:tcPr>
          <w:p w14:paraId="4AA36F1D"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3</w:t>
            </w:r>
          </w:p>
        </w:tc>
        <w:tc>
          <w:tcPr>
            <w:tcW w:w="1167" w:type="dxa"/>
            <w:tcBorders>
              <w:top w:val="single" w:sz="4" w:space="0" w:color="auto"/>
              <w:left w:val="single" w:sz="4" w:space="0" w:color="auto"/>
              <w:bottom w:val="single" w:sz="4" w:space="0" w:color="auto"/>
              <w:right w:val="single" w:sz="4" w:space="0" w:color="auto"/>
            </w:tcBorders>
            <w:hideMark/>
          </w:tcPr>
          <w:p w14:paraId="7AEA9A0D"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4</w:t>
            </w:r>
          </w:p>
        </w:tc>
        <w:tc>
          <w:tcPr>
            <w:tcW w:w="1166" w:type="dxa"/>
            <w:tcBorders>
              <w:top w:val="single" w:sz="4" w:space="0" w:color="auto"/>
              <w:left w:val="single" w:sz="4" w:space="0" w:color="auto"/>
              <w:bottom w:val="single" w:sz="4" w:space="0" w:color="auto"/>
              <w:right w:val="single" w:sz="4" w:space="0" w:color="auto"/>
            </w:tcBorders>
            <w:hideMark/>
          </w:tcPr>
          <w:p w14:paraId="1524E1DB"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5</w:t>
            </w:r>
          </w:p>
        </w:tc>
        <w:tc>
          <w:tcPr>
            <w:tcW w:w="1167" w:type="dxa"/>
            <w:tcBorders>
              <w:top w:val="single" w:sz="4" w:space="0" w:color="auto"/>
              <w:left w:val="single" w:sz="4" w:space="0" w:color="auto"/>
              <w:bottom w:val="single" w:sz="4" w:space="0" w:color="auto"/>
              <w:right w:val="single" w:sz="4" w:space="0" w:color="auto"/>
            </w:tcBorders>
            <w:hideMark/>
          </w:tcPr>
          <w:p w14:paraId="42F94F39" w14:textId="77777777" w:rsidR="00066F85" w:rsidRPr="004C13BB" w:rsidRDefault="00066F85" w:rsidP="00227B51">
            <w:pPr>
              <w:keepNext/>
              <w:keepLines/>
              <w:jc w:val="center"/>
              <w:rPr>
                <w:rFonts w:ascii="Arial Narrow" w:eastAsia="MS Gothic" w:hAnsi="Arial Narrow"/>
                <w:b/>
                <w:sz w:val="20"/>
              </w:rPr>
            </w:pPr>
            <w:r w:rsidRPr="004C13BB">
              <w:rPr>
                <w:rFonts w:ascii="Arial Narrow" w:eastAsia="MS Gothic" w:hAnsi="Arial Narrow"/>
                <w:b/>
                <w:sz w:val="20"/>
              </w:rPr>
              <w:t>Year 6</w:t>
            </w:r>
          </w:p>
        </w:tc>
      </w:tr>
      <w:tr w:rsidR="00066F85" w:rsidRPr="004C13BB" w14:paraId="7E84B189" w14:textId="77777777" w:rsidTr="00FB5316">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3369D7B3" w14:textId="17B2749A" w:rsidR="00066F85" w:rsidRPr="004C13BB" w:rsidRDefault="00066F85" w:rsidP="00227B51">
            <w:pPr>
              <w:keepNext/>
              <w:keepLines/>
              <w:rPr>
                <w:rFonts w:ascii="Arial Narrow" w:eastAsia="MS Gothic" w:hAnsi="Arial Narrow"/>
                <w:b/>
                <w:sz w:val="20"/>
              </w:rPr>
            </w:pPr>
            <w:r w:rsidRPr="004C13BB">
              <w:rPr>
                <w:rFonts w:ascii="Arial Narrow" w:eastAsia="MS Gothic" w:hAnsi="Arial Narrow"/>
                <w:b/>
                <w:sz w:val="20"/>
              </w:rPr>
              <w:t xml:space="preserve">Estimated financial implications of </w:t>
            </w:r>
            <w:r w:rsidR="00E93878">
              <w:rPr>
                <w:rFonts w:ascii="Arial Narrow" w:eastAsia="MS Gothic" w:hAnsi="Arial Narrow"/>
                <w:b/>
                <w:sz w:val="20"/>
              </w:rPr>
              <w:t>ABRO</w:t>
            </w:r>
          </w:p>
        </w:tc>
      </w:tr>
      <w:tr w:rsidR="00FB5316" w:rsidRPr="004C13BB" w14:paraId="626A9371" w14:textId="77777777" w:rsidTr="00FB5316">
        <w:tc>
          <w:tcPr>
            <w:tcW w:w="2015" w:type="dxa"/>
            <w:tcBorders>
              <w:top w:val="single" w:sz="4" w:space="0" w:color="auto"/>
              <w:left w:val="single" w:sz="4" w:space="0" w:color="auto"/>
              <w:bottom w:val="single" w:sz="4" w:space="0" w:color="auto"/>
              <w:right w:val="single" w:sz="4" w:space="0" w:color="auto"/>
            </w:tcBorders>
            <w:vAlign w:val="center"/>
          </w:tcPr>
          <w:p w14:paraId="01C1F756" w14:textId="4DAB873A" w:rsidR="00FB5316" w:rsidRPr="00515FB9" w:rsidRDefault="00FB5316" w:rsidP="0091041C">
            <w:pPr>
              <w:keepNext/>
              <w:keepLines/>
              <w:rPr>
                <w:rFonts w:ascii="Arial Narrow" w:eastAsia="MS Gothic" w:hAnsi="Arial Narrow"/>
                <w:bCs/>
                <w:sz w:val="20"/>
                <w:szCs w:val="20"/>
              </w:rPr>
            </w:pPr>
            <w:proofErr w:type="spellStart"/>
            <w:r w:rsidRPr="00515FB9">
              <w:rPr>
                <w:rFonts w:ascii="Arial Narrow" w:eastAsia="MS Gothic" w:hAnsi="Arial Narrow"/>
                <w:bCs/>
                <w:sz w:val="20"/>
                <w:szCs w:val="20"/>
              </w:rPr>
              <w:t>Abrocitinib</w:t>
            </w:r>
            <w:proofErr w:type="spellEnd"/>
            <w:r w:rsidRPr="00515FB9">
              <w:rPr>
                <w:rFonts w:ascii="Arial Narrow" w:eastAsia="MS Gothic" w:hAnsi="Arial Narrow"/>
                <w:bCs/>
                <w:sz w:val="20"/>
                <w:szCs w:val="20"/>
              </w:rPr>
              <w:t xml:space="preserve"> 50</w:t>
            </w:r>
            <w:r w:rsidR="00515FB9" w:rsidRPr="00515FB9">
              <w:rPr>
                <w:rFonts w:ascii="Arial Narrow" w:eastAsia="MS Gothic" w:hAnsi="Arial Narrow"/>
                <w:bCs/>
                <w:sz w:val="20"/>
                <w:szCs w:val="20"/>
              </w:rPr>
              <w:t xml:space="preserve"> </w:t>
            </w:r>
            <w:r w:rsidRPr="00515FB9">
              <w:rPr>
                <w:rFonts w:ascii="Arial Narrow" w:eastAsia="MS Gothic" w:hAnsi="Arial Narrow"/>
                <w:bCs/>
                <w:sz w:val="20"/>
                <w:szCs w:val="20"/>
              </w:rPr>
              <w:t>mg scripts (PBS/RPBS)</w:t>
            </w:r>
          </w:p>
        </w:tc>
        <w:tc>
          <w:tcPr>
            <w:tcW w:w="1167" w:type="dxa"/>
            <w:tcBorders>
              <w:top w:val="single" w:sz="4" w:space="0" w:color="auto"/>
              <w:left w:val="single" w:sz="4" w:space="0" w:color="auto"/>
              <w:bottom w:val="single" w:sz="4" w:space="0" w:color="auto"/>
              <w:right w:val="single" w:sz="4" w:space="0" w:color="auto"/>
            </w:tcBorders>
            <w:vAlign w:val="center"/>
          </w:tcPr>
          <w:p w14:paraId="093A450F" w14:textId="48B0141C"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75"/>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75"/>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75"/>
                <w14:textFill>
                  <w14:solidFill>
                    <w14:srgbClr w14:val="777777">
                      <w14:alpha w14:val="100000"/>
                    </w14:srgbClr>
                  </w14:solidFill>
                </w14:textFill>
              </w:rPr>
              <w:t xml:space="preserve">　</w:t>
            </w:r>
            <w:r w:rsidR="00691938" w:rsidRPr="0091041C">
              <w:rPr>
                <w:rFonts w:ascii="Arial Narrow" w:hAnsi="Arial Narrow"/>
                <w:sz w:val="20"/>
                <w:szCs w:val="20"/>
                <w:vertAlign w:val="superscript"/>
              </w:rPr>
              <w:t>1</w:t>
            </w:r>
          </w:p>
        </w:tc>
        <w:tc>
          <w:tcPr>
            <w:tcW w:w="1167" w:type="dxa"/>
            <w:tcBorders>
              <w:top w:val="single" w:sz="4" w:space="0" w:color="auto"/>
              <w:left w:val="single" w:sz="4" w:space="0" w:color="auto"/>
              <w:bottom w:val="single" w:sz="4" w:space="0" w:color="auto"/>
              <w:right w:val="single" w:sz="4" w:space="0" w:color="auto"/>
            </w:tcBorders>
            <w:vAlign w:val="center"/>
          </w:tcPr>
          <w:p w14:paraId="1B780760" w14:textId="00ECA82C"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74"/>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74"/>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74"/>
                <w14:textFill>
                  <w14:solidFill>
                    <w14:srgbClr w14:val="777777">
                      <w14:alpha w14:val="100000"/>
                    </w14:srgbClr>
                  </w14:solidFill>
                </w14:textFill>
              </w:rPr>
              <w:t xml:space="preserve">　</w:t>
            </w:r>
            <w:r w:rsidR="008C4A44" w:rsidRPr="0091041C">
              <w:rPr>
                <w:rFonts w:ascii="Arial Narrow" w:hAnsi="Arial Narrow"/>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vAlign w:val="center"/>
          </w:tcPr>
          <w:p w14:paraId="66BFBDD0" w14:textId="4F8D73BE"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3"/>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3"/>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3"/>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7" w:type="dxa"/>
            <w:tcBorders>
              <w:top w:val="single" w:sz="4" w:space="0" w:color="auto"/>
              <w:left w:val="single" w:sz="4" w:space="0" w:color="auto"/>
              <w:bottom w:val="single" w:sz="4" w:space="0" w:color="auto"/>
              <w:right w:val="single" w:sz="4" w:space="0" w:color="auto"/>
            </w:tcBorders>
            <w:vAlign w:val="center"/>
          </w:tcPr>
          <w:p w14:paraId="64E1BE3F" w14:textId="107A6BED"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2"/>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2"/>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2"/>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vAlign w:val="center"/>
          </w:tcPr>
          <w:p w14:paraId="434C6BC6" w14:textId="27EABF8C"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1"/>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1"/>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1"/>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7" w:type="dxa"/>
            <w:tcBorders>
              <w:top w:val="single" w:sz="4" w:space="0" w:color="auto"/>
              <w:left w:val="single" w:sz="4" w:space="0" w:color="auto"/>
              <w:bottom w:val="single" w:sz="4" w:space="0" w:color="auto"/>
              <w:right w:val="single" w:sz="4" w:space="0" w:color="auto"/>
            </w:tcBorders>
            <w:vAlign w:val="center"/>
          </w:tcPr>
          <w:p w14:paraId="65CF728E" w14:textId="67FFC34D"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0"/>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0"/>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0"/>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r>
      <w:tr w:rsidR="00FB5316" w:rsidRPr="004C13BB" w14:paraId="1147FBA2" w14:textId="77777777" w:rsidTr="00FB5316">
        <w:tc>
          <w:tcPr>
            <w:tcW w:w="2015" w:type="dxa"/>
            <w:tcBorders>
              <w:top w:val="single" w:sz="4" w:space="0" w:color="auto"/>
              <w:left w:val="single" w:sz="4" w:space="0" w:color="auto"/>
              <w:bottom w:val="single" w:sz="4" w:space="0" w:color="auto"/>
              <w:right w:val="single" w:sz="4" w:space="0" w:color="auto"/>
            </w:tcBorders>
            <w:vAlign w:val="center"/>
          </w:tcPr>
          <w:p w14:paraId="1E59AF40" w14:textId="5100A633" w:rsidR="00FB5316" w:rsidRPr="00515FB9" w:rsidRDefault="00FB5316" w:rsidP="0091041C">
            <w:pPr>
              <w:keepNext/>
              <w:keepLines/>
              <w:rPr>
                <w:rFonts w:ascii="Arial Narrow" w:eastAsia="MS Gothic" w:hAnsi="Arial Narrow"/>
                <w:bCs/>
                <w:sz w:val="20"/>
                <w:szCs w:val="20"/>
              </w:rPr>
            </w:pPr>
            <w:proofErr w:type="spellStart"/>
            <w:r w:rsidRPr="00515FB9">
              <w:rPr>
                <w:rFonts w:ascii="Arial Narrow" w:eastAsia="MS Gothic" w:hAnsi="Arial Narrow"/>
                <w:bCs/>
                <w:sz w:val="20"/>
                <w:szCs w:val="20"/>
              </w:rPr>
              <w:t>Abrocitinib</w:t>
            </w:r>
            <w:proofErr w:type="spellEnd"/>
            <w:r w:rsidRPr="00515FB9">
              <w:rPr>
                <w:rFonts w:ascii="Arial Narrow" w:eastAsia="MS Gothic" w:hAnsi="Arial Narrow"/>
                <w:bCs/>
                <w:sz w:val="20"/>
                <w:szCs w:val="20"/>
              </w:rPr>
              <w:t xml:space="preserve"> 100</w:t>
            </w:r>
            <w:r w:rsidR="00515FB9" w:rsidRPr="00515FB9">
              <w:rPr>
                <w:rFonts w:ascii="Arial Narrow" w:eastAsia="MS Gothic" w:hAnsi="Arial Narrow"/>
                <w:bCs/>
                <w:sz w:val="20"/>
                <w:szCs w:val="20"/>
              </w:rPr>
              <w:t xml:space="preserve"> </w:t>
            </w:r>
            <w:r w:rsidRPr="00515FB9">
              <w:rPr>
                <w:rFonts w:ascii="Arial Narrow" w:eastAsia="MS Gothic" w:hAnsi="Arial Narrow"/>
                <w:bCs/>
                <w:sz w:val="20"/>
                <w:szCs w:val="20"/>
              </w:rPr>
              <w:t>mg scripts (PBS/RPBS)</w:t>
            </w:r>
          </w:p>
        </w:tc>
        <w:tc>
          <w:tcPr>
            <w:tcW w:w="1167" w:type="dxa"/>
            <w:tcBorders>
              <w:top w:val="single" w:sz="4" w:space="0" w:color="auto"/>
              <w:left w:val="single" w:sz="4" w:space="0" w:color="auto"/>
              <w:bottom w:val="single" w:sz="4" w:space="0" w:color="auto"/>
              <w:right w:val="single" w:sz="4" w:space="0" w:color="auto"/>
            </w:tcBorders>
            <w:vAlign w:val="center"/>
          </w:tcPr>
          <w:p w14:paraId="71A4E7D7" w14:textId="73C248D5"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69"/>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69"/>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69"/>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7" w:type="dxa"/>
            <w:tcBorders>
              <w:top w:val="single" w:sz="4" w:space="0" w:color="auto"/>
              <w:left w:val="single" w:sz="4" w:space="0" w:color="auto"/>
              <w:bottom w:val="single" w:sz="4" w:space="0" w:color="auto"/>
              <w:right w:val="single" w:sz="4" w:space="0" w:color="auto"/>
            </w:tcBorders>
            <w:vAlign w:val="center"/>
          </w:tcPr>
          <w:p w14:paraId="5E5F08C8" w14:textId="75562572"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68"/>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68"/>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68"/>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vAlign w:val="center"/>
          </w:tcPr>
          <w:p w14:paraId="7EE0CD39" w14:textId="07A27F99"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67"/>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67"/>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67"/>
                <w14:textFill>
                  <w14:solidFill>
                    <w14:srgbClr w14:val="777777">
                      <w14:alpha w14:val="100000"/>
                    </w14:srgbClr>
                  </w14:solidFill>
                </w14:textFill>
              </w:rPr>
              <w:t xml:space="preserve">　</w:t>
            </w:r>
            <w:r w:rsidR="008E5641" w:rsidRPr="0091041C">
              <w:rPr>
                <w:rFonts w:ascii="Arial Narrow" w:hAnsi="Arial Narrow"/>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vAlign w:val="center"/>
          </w:tcPr>
          <w:p w14:paraId="112E0B7B" w14:textId="53ED3644"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66"/>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66"/>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66"/>
                <w14:textFill>
                  <w14:solidFill>
                    <w14:srgbClr w14:val="777777">
                      <w14:alpha w14:val="100000"/>
                    </w14:srgbClr>
                  </w14:solidFill>
                </w14:textFill>
              </w:rPr>
              <w:t xml:space="preserve">　</w:t>
            </w:r>
            <w:r w:rsidR="00893894" w:rsidRPr="0091041C">
              <w:rPr>
                <w:rFonts w:ascii="Arial Narrow" w:hAnsi="Arial Narrow"/>
                <w:sz w:val="20"/>
                <w:szCs w:val="20"/>
                <w:vertAlign w:val="superscript"/>
              </w:rPr>
              <w:t>4</w:t>
            </w:r>
          </w:p>
        </w:tc>
        <w:tc>
          <w:tcPr>
            <w:tcW w:w="1166" w:type="dxa"/>
            <w:tcBorders>
              <w:top w:val="single" w:sz="4" w:space="0" w:color="auto"/>
              <w:left w:val="single" w:sz="4" w:space="0" w:color="auto"/>
              <w:bottom w:val="single" w:sz="4" w:space="0" w:color="auto"/>
              <w:right w:val="single" w:sz="4" w:space="0" w:color="auto"/>
            </w:tcBorders>
            <w:vAlign w:val="center"/>
          </w:tcPr>
          <w:p w14:paraId="2E7B2641" w14:textId="417D8908"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65"/>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65"/>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65"/>
                <w14:textFill>
                  <w14:solidFill>
                    <w14:srgbClr w14:val="777777">
                      <w14:alpha w14:val="100000"/>
                    </w14:srgbClr>
                  </w14:solidFill>
                </w14:textFill>
              </w:rPr>
              <w:t xml:space="preserve">　</w:t>
            </w:r>
            <w:r w:rsidR="00EF76C5" w:rsidRPr="00830C63">
              <w:rPr>
                <w:rFonts w:ascii="Arial Narrow" w:hAnsi="Arial Narrow"/>
                <w:sz w:val="20"/>
                <w:szCs w:val="20"/>
                <w:vertAlign w:val="superscript"/>
              </w:rPr>
              <w:t>4</w:t>
            </w:r>
          </w:p>
        </w:tc>
        <w:tc>
          <w:tcPr>
            <w:tcW w:w="1167" w:type="dxa"/>
            <w:tcBorders>
              <w:top w:val="single" w:sz="4" w:space="0" w:color="auto"/>
              <w:left w:val="single" w:sz="4" w:space="0" w:color="auto"/>
              <w:bottom w:val="single" w:sz="4" w:space="0" w:color="auto"/>
              <w:right w:val="single" w:sz="4" w:space="0" w:color="auto"/>
            </w:tcBorders>
            <w:vAlign w:val="center"/>
          </w:tcPr>
          <w:p w14:paraId="45776AC6" w14:textId="78FCD9D8"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64"/>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64"/>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64"/>
                <w14:textFill>
                  <w14:solidFill>
                    <w14:srgbClr w14:val="777777">
                      <w14:alpha w14:val="100000"/>
                    </w14:srgbClr>
                  </w14:solidFill>
                </w14:textFill>
              </w:rPr>
              <w:t xml:space="preserve">　</w:t>
            </w:r>
            <w:r w:rsidR="00EF76C5" w:rsidRPr="00830C63">
              <w:rPr>
                <w:rFonts w:ascii="Arial Narrow" w:hAnsi="Arial Narrow"/>
                <w:sz w:val="20"/>
                <w:szCs w:val="20"/>
                <w:vertAlign w:val="superscript"/>
              </w:rPr>
              <w:t>4</w:t>
            </w:r>
          </w:p>
        </w:tc>
      </w:tr>
      <w:tr w:rsidR="00FB5316" w:rsidRPr="004C13BB" w14:paraId="4DC3CDE5" w14:textId="77777777" w:rsidTr="00FB5316">
        <w:tc>
          <w:tcPr>
            <w:tcW w:w="2015" w:type="dxa"/>
            <w:tcBorders>
              <w:top w:val="single" w:sz="4" w:space="0" w:color="auto"/>
              <w:left w:val="single" w:sz="4" w:space="0" w:color="auto"/>
              <w:bottom w:val="single" w:sz="4" w:space="0" w:color="auto"/>
              <w:right w:val="single" w:sz="4" w:space="0" w:color="auto"/>
            </w:tcBorders>
            <w:vAlign w:val="center"/>
          </w:tcPr>
          <w:p w14:paraId="422BDC01" w14:textId="63A809E9" w:rsidR="00FB5316" w:rsidRPr="00515FB9" w:rsidRDefault="00FB5316" w:rsidP="0091041C">
            <w:pPr>
              <w:keepNext/>
              <w:keepLines/>
              <w:rPr>
                <w:rFonts w:ascii="Arial Narrow" w:eastAsia="MS Gothic" w:hAnsi="Arial Narrow"/>
                <w:bCs/>
                <w:sz w:val="20"/>
                <w:szCs w:val="20"/>
              </w:rPr>
            </w:pPr>
            <w:proofErr w:type="spellStart"/>
            <w:r w:rsidRPr="00515FB9">
              <w:rPr>
                <w:rFonts w:ascii="Arial Narrow" w:eastAsia="MS Gothic" w:hAnsi="Arial Narrow"/>
                <w:bCs/>
                <w:sz w:val="20"/>
                <w:szCs w:val="20"/>
              </w:rPr>
              <w:t>Abrocitinib</w:t>
            </w:r>
            <w:proofErr w:type="spellEnd"/>
            <w:r w:rsidRPr="00515FB9">
              <w:rPr>
                <w:rFonts w:ascii="Arial Narrow" w:eastAsia="MS Gothic" w:hAnsi="Arial Narrow"/>
                <w:bCs/>
                <w:sz w:val="20"/>
                <w:szCs w:val="20"/>
              </w:rPr>
              <w:t xml:space="preserve"> 200</w:t>
            </w:r>
            <w:r w:rsidR="00515FB9" w:rsidRPr="00515FB9">
              <w:rPr>
                <w:rFonts w:ascii="Arial Narrow" w:eastAsia="MS Gothic" w:hAnsi="Arial Narrow"/>
                <w:bCs/>
                <w:sz w:val="20"/>
                <w:szCs w:val="20"/>
              </w:rPr>
              <w:t xml:space="preserve"> </w:t>
            </w:r>
            <w:r w:rsidRPr="00515FB9">
              <w:rPr>
                <w:rFonts w:ascii="Arial Narrow" w:eastAsia="MS Gothic" w:hAnsi="Arial Narrow"/>
                <w:bCs/>
                <w:sz w:val="20"/>
                <w:szCs w:val="20"/>
              </w:rPr>
              <w:t>mg scripts (PBS/RPBS)</w:t>
            </w:r>
          </w:p>
        </w:tc>
        <w:tc>
          <w:tcPr>
            <w:tcW w:w="1167" w:type="dxa"/>
            <w:tcBorders>
              <w:top w:val="single" w:sz="4" w:space="0" w:color="auto"/>
              <w:left w:val="single" w:sz="4" w:space="0" w:color="auto"/>
              <w:bottom w:val="single" w:sz="4" w:space="0" w:color="auto"/>
              <w:right w:val="single" w:sz="4" w:space="0" w:color="auto"/>
            </w:tcBorders>
            <w:vAlign w:val="center"/>
          </w:tcPr>
          <w:p w14:paraId="27A3E6A9" w14:textId="5CAE145D"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80"/>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80"/>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80"/>
                <w14:textFill>
                  <w14:solidFill>
                    <w14:srgbClr w14:val="777777">
                      <w14:alpha w14:val="100000"/>
                    </w14:srgbClr>
                  </w14:solidFill>
                </w14:textFill>
              </w:rPr>
              <w:t xml:space="preserve">　</w:t>
            </w:r>
            <w:r w:rsidR="00FB4B89" w:rsidRPr="0091041C">
              <w:rPr>
                <w:rFonts w:ascii="Arial Narrow" w:hAnsi="Arial Narrow"/>
                <w:sz w:val="20"/>
                <w:szCs w:val="20"/>
                <w:vertAlign w:val="superscript"/>
              </w:rPr>
              <w:t>1</w:t>
            </w:r>
          </w:p>
        </w:tc>
        <w:tc>
          <w:tcPr>
            <w:tcW w:w="1167" w:type="dxa"/>
            <w:tcBorders>
              <w:top w:val="single" w:sz="4" w:space="0" w:color="auto"/>
              <w:left w:val="single" w:sz="4" w:space="0" w:color="auto"/>
              <w:bottom w:val="single" w:sz="4" w:space="0" w:color="auto"/>
              <w:right w:val="single" w:sz="4" w:space="0" w:color="auto"/>
            </w:tcBorders>
            <w:vAlign w:val="center"/>
          </w:tcPr>
          <w:p w14:paraId="55D4A222" w14:textId="09199AEE" w:rsidR="00FB5316" w:rsidRPr="0091041C" w:rsidRDefault="008B4079" w:rsidP="0091041C">
            <w:pPr>
              <w:keepNext/>
              <w:keepLines/>
              <w:jc w:val="center"/>
              <w:rPr>
                <w:rFonts w:ascii="Arial Narrow" w:eastAsia="MS Gothic" w:hAnsi="Arial Narrow"/>
                <w:bCs/>
                <w:sz w:val="20"/>
                <w:szCs w:val="20"/>
                <w:highlight w:val="darkGray"/>
              </w:rPr>
            </w:pPr>
            <w:r w:rsidRPr="00391444">
              <w:rPr>
                <w:rFonts w:ascii="Arial Narrow" w:hAnsi="Arial Narrow" w:hint="eastAsia"/>
                <w:color w:val="777777"/>
                <w:w w:val="15"/>
                <w:sz w:val="20"/>
                <w:szCs w:val="20"/>
                <w:shd w:val="solid" w:color="000000" w:fill="000000"/>
                <w:fitText w:val="26" w:id="-760590079"/>
                <w14:textFill>
                  <w14:solidFill>
                    <w14:srgbClr w14:val="777777">
                      <w14:alpha w14:val="100000"/>
                    </w14:srgbClr>
                  </w14:solidFill>
                </w14:textFill>
              </w:rPr>
              <w:t xml:space="preserve">　</w:t>
            </w:r>
            <w:r w:rsidRPr="00391444">
              <w:rPr>
                <w:rFonts w:ascii="Arial Narrow" w:hAnsi="Arial Narrow"/>
                <w:color w:val="777777"/>
                <w:w w:val="15"/>
                <w:sz w:val="20"/>
                <w:szCs w:val="20"/>
                <w:shd w:val="solid" w:color="000000" w:fill="000000"/>
                <w:fitText w:val="26" w:id="-760590079"/>
                <w14:textFill>
                  <w14:solidFill>
                    <w14:srgbClr w14:val="777777">
                      <w14:alpha w14:val="100000"/>
                    </w14:srgbClr>
                  </w14:solidFill>
                </w14:textFill>
              </w:rPr>
              <w:t>|</w:t>
            </w:r>
            <w:r w:rsidRPr="00391444">
              <w:rPr>
                <w:rFonts w:ascii="Arial Narrow" w:hAnsi="Arial Narrow" w:hint="eastAsia"/>
                <w:color w:val="777777"/>
                <w:spacing w:val="-39"/>
                <w:w w:val="15"/>
                <w:sz w:val="20"/>
                <w:szCs w:val="20"/>
                <w:shd w:val="solid" w:color="000000" w:fill="000000"/>
                <w:fitText w:val="26" w:id="-760590079"/>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vAlign w:val="center"/>
          </w:tcPr>
          <w:p w14:paraId="595CC9CB" w14:textId="4180ACB4"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8"/>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8"/>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8"/>
                <w14:textFill>
                  <w14:solidFill>
                    <w14:srgbClr w14:val="777777">
                      <w14:alpha w14:val="100000"/>
                    </w14:srgbClr>
                  </w14:solidFill>
                </w14:textFill>
              </w:rPr>
              <w:t xml:space="preserve">　</w:t>
            </w:r>
            <w:r w:rsidR="008C4A44" w:rsidRPr="00830C63">
              <w:rPr>
                <w:rFonts w:ascii="Arial Narrow" w:hAnsi="Arial Narrow"/>
                <w:sz w:val="20"/>
                <w:szCs w:val="20"/>
                <w:vertAlign w:val="superscript"/>
              </w:rPr>
              <w:t>2</w:t>
            </w:r>
          </w:p>
        </w:tc>
        <w:tc>
          <w:tcPr>
            <w:tcW w:w="1167" w:type="dxa"/>
            <w:tcBorders>
              <w:top w:val="single" w:sz="4" w:space="0" w:color="auto"/>
              <w:left w:val="single" w:sz="4" w:space="0" w:color="auto"/>
              <w:bottom w:val="single" w:sz="4" w:space="0" w:color="auto"/>
              <w:right w:val="single" w:sz="4" w:space="0" w:color="auto"/>
            </w:tcBorders>
            <w:vAlign w:val="center"/>
          </w:tcPr>
          <w:p w14:paraId="57B6499C" w14:textId="39CDC469"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7"/>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7"/>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7"/>
                <w14:textFill>
                  <w14:solidFill>
                    <w14:srgbClr w14:val="777777">
                      <w14:alpha w14:val="100000"/>
                    </w14:srgbClr>
                  </w14:solidFill>
                </w14:textFill>
              </w:rPr>
              <w:t xml:space="preserve">　</w:t>
            </w:r>
            <w:r w:rsidR="00FB4B89" w:rsidRPr="00830C63">
              <w:rPr>
                <w:rFonts w:ascii="Arial Narrow" w:hAnsi="Arial Narrow"/>
                <w:sz w:val="20"/>
                <w:szCs w:val="20"/>
                <w:vertAlign w:val="superscript"/>
              </w:rPr>
              <w:t>2</w:t>
            </w:r>
          </w:p>
        </w:tc>
        <w:tc>
          <w:tcPr>
            <w:tcW w:w="1166" w:type="dxa"/>
            <w:tcBorders>
              <w:top w:val="single" w:sz="4" w:space="0" w:color="auto"/>
              <w:left w:val="single" w:sz="4" w:space="0" w:color="auto"/>
              <w:bottom w:val="single" w:sz="4" w:space="0" w:color="auto"/>
              <w:right w:val="single" w:sz="4" w:space="0" w:color="auto"/>
            </w:tcBorders>
            <w:vAlign w:val="center"/>
          </w:tcPr>
          <w:p w14:paraId="0732CFD9" w14:textId="6C3CB2A8"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6"/>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6"/>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6"/>
                <w14:textFill>
                  <w14:solidFill>
                    <w14:srgbClr w14:val="777777">
                      <w14:alpha w14:val="100000"/>
                    </w14:srgbClr>
                  </w14:solidFill>
                </w14:textFill>
              </w:rPr>
              <w:t xml:space="preserve">　</w:t>
            </w:r>
            <w:r w:rsidR="00FB4B89" w:rsidRPr="00830C63">
              <w:rPr>
                <w:rFonts w:ascii="Arial Narrow" w:hAnsi="Arial Narrow"/>
                <w:sz w:val="20"/>
                <w:szCs w:val="20"/>
                <w:vertAlign w:val="superscript"/>
              </w:rPr>
              <w:t>2</w:t>
            </w:r>
          </w:p>
        </w:tc>
        <w:tc>
          <w:tcPr>
            <w:tcW w:w="1167" w:type="dxa"/>
            <w:tcBorders>
              <w:top w:val="single" w:sz="4" w:space="0" w:color="auto"/>
              <w:left w:val="single" w:sz="4" w:space="0" w:color="auto"/>
              <w:bottom w:val="single" w:sz="4" w:space="0" w:color="auto"/>
              <w:right w:val="single" w:sz="4" w:space="0" w:color="auto"/>
            </w:tcBorders>
            <w:vAlign w:val="center"/>
          </w:tcPr>
          <w:p w14:paraId="435C7A12" w14:textId="6A777509" w:rsidR="00FB5316" w:rsidRPr="0091041C" w:rsidRDefault="008B4079" w:rsidP="0091041C">
            <w:pPr>
              <w:keepNext/>
              <w:keepLines/>
              <w:jc w:val="center"/>
              <w:rPr>
                <w:rFonts w:ascii="Arial Narrow" w:eastAsia="MS Gothic" w:hAnsi="Arial Narrow"/>
                <w:bCs/>
                <w:sz w:val="20"/>
                <w:szCs w:val="20"/>
                <w:highlight w:val="darkGray"/>
              </w:rPr>
            </w:pPr>
            <w:r w:rsidRPr="001E518D">
              <w:rPr>
                <w:rFonts w:ascii="Arial Narrow" w:hAnsi="Arial Narrow" w:hint="eastAsia"/>
                <w:color w:val="777777"/>
                <w:w w:val="15"/>
                <w:sz w:val="20"/>
                <w:szCs w:val="20"/>
                <w:shd w:val="solid" w:color="000000" w:fill="000000"/>
                <w:fitText w:val="27" w:id="-760590075"/>
                <w14:textFill>
                  <w14:solidFill>
                    <w14:srgbClr w14:val="777777">
                      <w14:alpha w14:val="100000"/>
                    </w14:srgbClr>
                  </w14:solidFill>
                </w14:textFill>
              </w:rPr>
              <w:t xml:space="preserve">　</w:t>
            </w:r>
            <w:r w:rsidRPr="001E518D">
              <w:rPr>
                <w:rFonts w:ascii="Arial Narrow" w:hAnsi="Arial Narrow"/>
                <w:color w:val="777777"/>
                <w:w w:val="15"/>
                <w:sz w:val="20"/>
                <w:szCs w:val="20"/>
                <w:shd w:val="solid" w:color="000000" w:fill="000000"/>
                <w:fitText w:val="27" w:id="-760590075"/>
                <w14:textFill>
                  <w14:solidFill>
                    <w14:srgbClr w14:val="777777">
                      <w14:alpha w14:val="100000"/>
                    </w14:srgbClr>
                  </w14:solidFill>
                </w14:textFill>
              </w:rPr>
              <w:t>|</w:t>
            </w:r>
            <w:r w:rsidRPr="001E518D">
              <w:rPr>
                <w:rFonts w:ascii="Arial Narrow" w:hAnsi="Arial Narrow" w:hint="eastAsia"/>
                <w:color w:val="777777"/>
                <w:spacing w:val="-38"/>
                <w:w w:val="15"/>
                <w:sz w:val="20"/>
                <w:szCs w:val="20"/>
                <w:shd w:val="solid" w:color="000000" w:fill="000000"/>
                <w:fitText w:val="27" w:id="-760590075"/>
                <w14:textFill>
                  <w14:solidFill>
                    <w14:srgbClr w14:val="777777">
                      <w14:alpha w14:val="100000"/>
                    </w14:srgbClr>
                  </w14:solidFill>
                </w14:textFill>
              </w:rPr>
              <w:t xml:space="preserve">　</w:t>
            </w:r>
            <w:r w:rsidR="008E5641" w:rsidRPr="00830C63">
              <w:rPr>
                <w:rFonts w:ascii="Arial Narrow" w:hAnsi="Arial Narrow"/>
                <w:sz w:val="20"/>
                <w:szCs w:val="20"/>
                <w:vertAlign w:val="superscript"/>
              </w:rPr>
              <w:t>3</w:t>
            </w:r>
          </w:p>
        </w:tc>
      </w:tr>
      <w:tr w:rsidR="00066F85" w:rsidRPr="004C13BB" w14:paraId="0A3D272A" w14:textId="77777777" w:rsidTr="00FB5316">
        <w:tc>
          <w:tcPr>
            <w:tcW w:w="2015" w:type="dxa"/>
            <w:tcBorders>
              <w:top w:val="single" w:sz="4" w:space="0" w:color="auto"/>
              <w:left w:val="single" w:sz="4" w:space="0" w:color="auto"/>
              <w:bottom w:val="single" w:sz="4" w:space="0" w:color="auto"/>
              <w:right w:val="single" w:sz="4" w:space="0" w:color="auto"/>
            </w:tcBorders>
            <w:vAlign w:val="center"/>
            <w:hideMark/>
          </w:tcPr>
          <w:p w14:paraId="439BC7DC" w14:textId="703CEFD8" w:rsidR="00066F85" w:rsidRPr="004C13BB" w:rsidRDefault="00066F85" w:rsidP="0091041C">
            <w:pPr>
              <w:keepNext/>
              <w:keepLines/>
              <w:rPr>
                <w:rFonts w:ascii="Arial Narrow" w:eastAsia="MS Gothic" w:hAnsi="Arial Narrow"/>
                <w:bCs/>
                <w:sz w:val="20"/>
              </w:rPr>
            </w:pPr>
            <w:r w:rsidRPr="004C13BB">
              <w:rPr>
                <w:rFonts w:ascii="Arial Narrow" w:eastAsia="MS Gothic" w:hAnsi="Arial Narrow"/>
                <w:bCs/>
                <w:sz w:val="20"/>
              </w:rPr>
              <w:t>Impact to PBS/RPBS less copayments</w:t>
            </w:r>
            <w:r w:rsidR="00995E13">
              <w:rPr>
                <w:rFonts w:ascii="Arial Narrow" w:eastAsia="MS Gothic" w:hAnsi="Arial Narrow"/>
                <w:bCs/>
                <w:sz w:val="20"/>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A4F1CC3" w14:textId="12ED34A2" w:rsidR="00066F85" w:rsidRPr="0091041C" w:rsidRDefault="008B4079" w:rsidP="0091041C">
            <w:pPr>
              <w:keepNext/>
              <w:keepLines/>
              <w:jc w:val="center"/>
              <w:rPr>
                <w:rFonts w:ascii="Arial Narrow" w:eastAsia="MS Gothic" w:hAnsi="Arial Narrow"/>
                <w:bCs/>
                <w:sz w:val="20"/>
                <w:highlight w:val="darkGray"/>
              </w:rPr>
            </w:pPr>
            <w:r w:rsidRPr="00391444">
              <w:rPr>
                <w:rFonts w:ascii="Arial Narrow" w:eastAsia="MS Gothic" w:hAnsi="Arial Narrow" w:hint="eastAsia"/>
                <w:bCs/>
                <w:color w:val="777777"/>
                <w:w w:val="15"/>
                <w:sz w:val="20"/>
                <w:shd w:val="solid" w:color="000000" w:fill="000000"/>
                <w:fitText w:val="26" w:id="-760590074"/>
                <w14:textFill>
                  <w14:solidFill>
                    <w14:srgbClr w14:val="777777">
                      <w14:alpha w14:val="100000"/>
                    </w14:srgbClr>
                  </w14:solidFill>
                </w14:textFill>
              </w:rPr>
              <w:t xml:space="preserve">　</w:t>
            </w:r>
            <w:r w:rsidRPr="00391444">
              <w:rPr>
                <w:rFonts w:ascii="Arial Narrow" w:eastAsia="MS Gothic" w:hAnsi="Arial Narrow"/>
                <w:bCs/>
                <w:color w:val="777777"/>
                <w:w w:val="15"/>
                <w:sz w:val="20"/>
                <w:shd w:val="solid" w:color="000000" w:fill="000000"/>
                <w:fitText w:val="26" w:id="-760590074"/>
                <w14:textFill>
                  <w14:solidFill>
                    <w14:srgbClr w14:val="777777">
                      <w14:alpha w14:val="100000"/>
                    </w14:srgbClr>
                  </w14:solidFill>
                </w14:textFill>
              </w:rPr>
              <w:t>|</w:t>
            </w:r>
            <w:r w:rsidRPr="00391444">
              <w:rPr>
                <w:rFonts w:ascii="Arial Narrow" w:eastAsia="MS Gothic" w:hAnsi="Arial Narrow" w:hint="eastAsia"/>
                <w:bCs/>
                <w:color w:val="777777"/>
                <w:spacing w:val="-39"/>
                <w:w w:val="15"/>
                <w:sz w:val="20"/>
                <w:shd w:val="solid" w:color="000000" w:fill="000000"/>
                <w:fitText w:val="26" w:id="-760590074"/>
                <w14:textFill>
                  <w14:solidFill>
                    <w14:srgbClr w14:val="777777">
                      <w14:alpha w14:val="100000"/>
                    </w14:srgbClr>
                  </w14:solidFill>
                </w14:textFill>
              </w:rPr>
              <w:t xml:space="preserve">　</w:t>
            </w:r>
            <w:r w:rsidR="00866567" w:rsidRPr="0091041C">
              <w:rPr>
                <w:rFonts w:ascii="Arial Narrow" w:eastAsia="MS Gothic" w:hAnsi="Arial Narrow"/>
                <w:bCs/>
                <w:sz w:val="20"/>
                <w:vertAlign w:val="superscript"/>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580F3683" w14:textId="203A485B" w:rsidR="00066F85" w:rsidRPr="0091041C" w:rsidRDefault="008B4079" w:rsidP="0091041C">
            <w:pPr>
              <w:keepNext/>
              <w:keepLines/>
              <w:jc w:val="center"/>
              <w:rPr>
                <w:rFonts w:ascii="Arial Narrow" w:eastAsia="MS Gothic" w:hAnsi="Arial Narrow"/>
                <w:bCs/>
                <w:sz w:val="20"/>
                <w:highlight w:val="darkGray"/>
              </w:rPr>
            </w:pPr>
            <w:r w:rsidRPr="00391444">
              <w:rPr>
                <w:rFonts w:ascii="Arial Narrow" w:eastAsia="MS Gothic" w:hAnsi="Arial Narrow" w:hint="eastAsia"/>
                <w:bCs/>
                <w:color w:val="777777"/>
                <w:w w:val="15"/>
                <w:sz w:val="20"/>
                <w:shd w:val="solid" w:color="000000" w:fill="000000"/>
                <w:fitText w:val="26" w:id="-760590073"/>
                <w14:textFill>
                  <w14:solidFill>
                    <w14:srgbClr w14:val="777777">
                      <w14:alpha w14:val="100000"/>
                    </w14:srgbClr>
                  </w14:solidFill>
                </w14:textFill>
              </w:rPr>
              <w:t xml:space="preserve">　</w:t>
            </w:r>
            <w:r w:rsidRPr="00391444">
              <w:rPr>
                <w:rFonts w:ascii="Arial Narrow" w:eastAsia="MS Gothic" w:hAnsi="Arial Narrow"/>
                <w:bCs/>
                <w:color w:val="777777"/>
                <w:w w:val="15"/>
                <w:sz w:val="20"/>
                <w:shd w:val="solid" w:color="000000" w:fill="000000"/>
                <w:fitText w:val="26" w:id="-760590073"/>
                <w14:textFill>
                  <w14:solidFill>
                    <w14:srgbClr w14:val="777777">
                      <w14:alpha w14:val="100000"/>
                    </w14:srgbClr>
                  </w14:solidFill>
                </w14:textFill>
              </w:rPr>
              <w:t>|</w:t>
            </w:r>
            <w:r w:rsidRPr="00391444">
              <w:rPr>
                <w:rFonts w:ascii="Arial Narrow" w:eastAsia="MS Gothic" w:hAnsi="Arial Narrow" w:hint="eastAsia"/>
                <w:bCs/>
                <w:color w:val="777777"/>
                <w:spacing w:val="-39"/>
                <w:w w:val="15"/>
                <w:sz w:val="20"/>
                <w:shd w:val="solid" w:color="000000" w:fill="000000"/>
                <w:fitText w:val="26" w:id="-760590073"/>
                <w14:textFill>
                  <w14:solidFill>
                    <w14:srgbClr w14:val="777777">
                      <w14:alpha w14:val="100000"/>
                    </w14:srgbClr>
                  </w14:solidFill>
                </w14:textFill>
              </w:rPr>
              <w:t xml:space="preserve">　</w:t>
            </w:r>
            <w:r w:rsidR="00866567" w:rsidRPr="00830C63">
              <w:rPr>
                <w:rFonts w:ascii="Arial Narrow" w:eastAsia="MS Gothic" w:hAnsi="Arial Narrow"/>
                <w:bCs/>
                <w:sz w:val="20"/>
                <w:vertAlign w:val="superscript"/>
              </w:rPr>
              <w:t>5</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AAB18FA" w14:textId="2754C06D" w:rsidR="00066F85" w:rsidRPr="0091041C" w:rsidRDefault="008B4079" w:rsidP="0091041C">
            <w:pPr>
              <w:keepNext/>
              <w:keepLines/>
              <w:jc w:val="center"/>
              <w:rPr>
                <w:rFonts w:ascii="Arial Narrow" w:eastAsia="MS Gothic" w:hAnsi="Arial Narrow"/>
                <w:bCs/>
                <w:sz w:val="20"/>
                <w:highlight w:val="darkGray"/>
              </w:rPr>
            </w:pPr>
            <w:r w:rsidRPr="001E518D">
              <w:rPr>
                <w:rFonts w:ascii="Arial Narrow" w:eastAsia="MS Gothic" w:hAnsi="Arial Narrow" w:hint="eastAsia"/>
                <w:bCs/>
                <w:color w:val="777777"/>
                <w:w w:val="15"/>
                <w:sz w:val="20"/>
                <w:shd w:val="solid" w:color="000000" w:fill="000000"/>
                <w:fitText w:val="27" w:id="-760590072"/>
                <w14:textFill>
                  <w14:solidFill>
                    <w14:srgbClr w14:val="777777">
                      <w14:alpha w14:val="100000"/>
                    </w14:srgbClr>
                  </w14:solidFill>
                </w14:textFill>
              </w:rPr>
              <w:t xml:space="preserve">　</w:t>
            </w:r>
            <w:r w:rsidRPr="001E518D">
              <w:rPr>
                <w:rFonts w:ascii="Arial Narrow" w:eastAsia="MS Gothic" w:hAnsi="Arial Narrow"/>
                <w:bCs/>
                <w:color w:val="777777"/>
                <w:w w:val="15"/>
                <w:sz w:val="20"/>
                <w:shd w:val="solid" w:color="000000" w:fill="000000"/>
                <w:fitText w:val="27" w:id="-760590072"/>
                <w14:textFill>
                  <w14:solidFill>
                    <w14:srgbClr w14:val="777777">
                      <w14:alpha w14:val="100000"/>
                    </w14:srgbClr>
                  </w14:solidFill>
                </w14:textFill>
              </w:rPr>
              <w:t>|</w:t>
            </w:r>
            <w:r w:rsidRPr="001E518D">
              <w:rPr>
                <w:rFonts w:ascii="Arial Narrow" w:eastAsia="MS Gothic" w:hAnsi="Arial Narrow" w:hint="eastAsia"/>
                <w:bCs/>
                <w:color w:val="777777"/>
                <w:spacing w:val="-38"/>
                <w:w w:val="15"/>
                <w:sz w:val="20"/>
                <w:shd w:val="solid" w:color="000000" w:fill="000000"/>
                <w:fitText w:val="27" w:id="-760590072"/>
                <w14:textFill>
                  <w14:solidFill>
                    <w14:srgbClr w14:val="777777">
                      <w14:alpha w14:val="100000"/>
                    </w14:srgbClr>
                  </w14:solidFill>
                </w14:textFill>
              </w:rPr>
              <w:t xml:space="preserve">　</w:t>
            </w:r>
            <w:r w:rsidR="00866567" w:rsidRPr="0091041C">
              <w:rPr>
                <w:rFonts w:ascii="Arial Narrow" w:eastAsia="MS Gothic" w:hAnsi="Arial Narrow"/>
                <w:bCs/>
                <w:sz w:val="20"/>
                <w:vertAlign w:val="superscript"/>
              </w:rPr>
              <w:t>6</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0EA2368" w14:textId="751CDDDB" w:rsidR="00066F85" w:rsidRPr="0091041C" w:rsidRDefault="008B4079" w:rsidP="0091041C">
            <w:pPr>
              <w:keepNext/>
              <w:keepLines/>
              <w:jc w:val="center"/>
              <w:rPr>
                <w:rFonts w:ascii="Arial Narrow" w:eastAsia="MS Gothic" w:hAnsi="Arial Narrow"/>
                <w:bCs/>
                <w:sz w:val="20"/>
                <w:highlight w:val="darkGray"/>
              </w:rPr>
            </w:pPr>
            <w:r w:rsidRPr="001E518D">
              <w:rPr>
                <w:rFonts w:ascii="Arial Narrow" w:eastAsia="MS Gothic" w:hAnsi="Arial Narrow" w:hint="eastAsia"/>
                <w:bCs/>
                <w:color w:val="777777"/>
                <w:w w:val="15"/>
                <w:sz w:val="20"/>
                <w:shd w:val="solid" w:color="000000" w:fill="000000"/>
                <w:fitText w:val="27" w:id="-760590071"/>
                <w14:textFill>
                  <w14:solidFill>
                    <w14:srgbClr w14:val="777777">
                      <w14:alpha w14:val="100000"/>
                    </w14:srgbClr>
                  </w14:solidFill>
                </w14:textFill>
              </w:rPr>
              <w:t xml:space="preserve">　</w:t>
            </w:r>
            <w:r w:rsidRPr="001E518D">
              <w:rPr>
                <w:rFonts w:ascii="Arial Narrow" w:eastAsia="MS Gothic" w:hAnsi="Arial Narrow"/>
                <w:bCs/>
                <w:color w:val="777777"/>
                <w:w w:val="15"/>
                <w:sz w:val="20"/>
                <w:shd w:val="solid" w:color="000000" w:fill="000000"/>
                <w:fitText w:val="27" w:id="-760590071"/>
                <w14:textFill>
                  <w14:solidFill>
                    <w14:srgbClr w14:val="777777">
                      <w14:alpha w14:val="100000"/>
                    </w14:srgbClr>
                  </w14:solidFill>
                </w14:textFill>
              </w:rPr>
              <w:t>|</w:t>
            </w:r>
            <w:r w:rsidRPr="001E518D">
              <w:rPr>
                <w:rFonts w:ascii="Arial Narrow" w:eastAsia="MS Gothic" w:hAnsi="Arial Narrow" w:hint="eastAsia"/>
                <w:bCs/>
                <w:color w:val="777777"/>
                <w:spacing w:val="-38"/>
                <w:w w:val="15"/>
                <w:sz w:val="20"/>
                <w:shd w:val="solid" w:color="000000" w:fill="000000"/>
                <w:fitText w:val="27" w:id="-760590071"/>
                <w14:textFill>
                  <w14:solidFill>
                    <w14:srgbClr w14:val="777777">
                      <w14:alpha w14:val="100000"/>
                    </w14:srgbClr>
                  </w14:solidFill>
                </w14:textFill>
              </w:rPr>
              <w:t xml:space="preserve">　</w:t>
            </w:r>
            <w:r w:rsidR="00C926A7" w:rsidRPr="0091041C">
              <w:rPr>
                <w:rFonts w:ascii="Arial Narrow" w:eastAsia="MS Gothic" w:hAnsi="Arial Narrow"/>
                <w:bCs/>
                <w:sz w:val="20"/>
                <w:vertAlign w:val="superscript"/>
              </w:rPr>
              <w:t>7</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15D3EE5" w14:textId="4B747B4D" w:rsidR="00066F85" w:rsidRPr="0091041C" w:rsidRDefault="008B4079" w:rsidP="0091041C">
            <w:pPr>
              <w:keepNext/>
              <w:keepLines/>
              <w:jc w:val="center"/>
              <w:rPr>
                <w:rFonts w:ascii="Arial Narrow" w:eastAsia="MS Gothic" w:hAnsi="Arial Narrow"/>
                <w:bCs/>
                <w:sz w:val="20"/>
                <w:highlight w:val="darkGray"/>
              </w:rPr>
            </w:pPr>
            <w:r w:rsidRPr="001E518D">
              <w:rPr>
                <w:rFonts w:ascii="Arial Narrow" w:eastAsia="MS Gothic" w:hAnsi="Arial Narrow" w:hint="eastAsia"/>
                <w:bCs/>
                <w:color w:val="777777"/>
                <w:w w:val="15"/>
                <w:sz w:val="20"/>
                <w:shd w:val="solid" w:color="000000" w:fill="000000"/>
                <w:fitText w:val="27" w:id="-760590070"/>
                <w14:textFill>
                  <w14:solidFill>
                    <w14:srgbClr w14:val="777777">
                      <w14:alpha w14:val="100000"/>
                    </w14:srgbClr>
                  </w14:solidFill>
                </w14:textFill>
              </w:rPr>
              <w:t xml:space="preserve">　</w:t>
            </w:r>
            <w:r w:rsidRPr="001E518D">
              <w:rPr>
                <w:rFonts w:ascii="Arial Narrow" w:eastAsia="MS Gothic" w:hAnsi="Arial Narrow"/>
                <w:bCs/>
                <w:color w:val="777777"/>
                <w:w w:val="15"/>
                <w:sz w:val="20"/>
                <w:shd w:val="solid" w:color="000000" w:fill="000000"/>
                <w:fitText w:val="27" w:id="-760590070"/>
                <w14:textFill>
                  <w14:solidFill>
                    <w14:srgbClr w14:val="777777">
                      <w14:alpha w14:val="100000"/>
                    </w14:srgbClr>
                  </w14:solidFill>
                </w14:textFill>
              </w:rPr>
              <w:t>|</w:t>
            </w:r>
            <w:r w:rsidRPr="001E518D">
              <w:rPr>
                <w:rFonts w:ascii="Arial Narrow" w:eastAsia="MS Gothic" w:hAnsi="Arial Narrow" w:hint="eastAsia"/>
                <w:bCs/>
                <w:color w:val="777777"/>
                <w:spacing w:val="-38"/>
                <w:w w:val="15"/>
                <w:sz w:val="20"/>
                <w:shd w:val="solid" w:color="000000" w:fill="000000"/>
                <w:fitText w:val="27" w:id="-760590070"/>
                <w14:textFill>
                  <w14:solidFill>
                    <w14:srgbClr w14:val="777777">
                      <w14:alpha w14:val="100000"/>
                    </w14:srgbClr>
                  </w14:solidFill>
                </w14:textFill>
              </w:rPr>
              <w:t xml:space="preserve">　</w:t>
            </w:r>
            <w:r w:rsidR="00C926A7" w:rsidRPr="00830C63">
              <w:rPr>
                <w:rFonts w:ascii="Arial Narrow" w:eastAsia="MS Gothic" w:hAnsi="Arial Narrow"/>
                <w:bCs/>
                <w:sz w:val="20"/>
                <w:vertAlign w:val="superscript"/>
              </w:rPr>
              <w:t>7</w:t>
            </w:r>
          </w:p>
        </w:tc>
        <w:tc>
          <w:tcPr>
            <w:tcW w:w="1167" w:type="dxa"/>
            <w:tcBorders>
              <w:top w:val="single" w:sz="4" w:space="0" w:color="auto"/>
              <w:left w:val="single" w:sz="4" w:space="0" w:color="auto"/>
              <w:bottom w:val="single" w:sz="4" w:space="0" w:color="auto"/>
              <w:right w:val="single" w:sz="4" w:space="0" w:color="auto"/>
            </w:tcBorders>
            <w:vAlign w:val="center"/>
            <w:hideMark/>
          </w:tcPr>
          <w:p w14:paraId="5142C99B" w14:textId="2159473E" w:rsidR="00066F85" w:rsidRPr="0091041C" w:rsidRDefault="008B4079" w:rsidP="0091041C">
            <w:pPr>
              <w:keepNext/>
              <w:keepLines/>
              <w:jc w:val="center"/>
              <w:rPr>
                <w:rFonts w:ascii="Arial Narrow" w:eastAsia="MS Gothic" w:hAnsi="Arial Narrow"/>
                <w:bCs/>
                <w:sz w:val="20"/>
                <w:highlight w:val="darkGray"/>
              </w:rPr>
            </w:pPr>
            <w:r w:rsidRPr="001E518D">
              <w:rPr>
                <w:rFonts w:ascii="Arial Narrow" w:eastAsia="MS Gothic" w:hAnsi="Arial Narrow" w:hint="eastAsia"/>
                <w:bCs/>
                <w:color w:val="777777"/>
                <w:w w:val="15"/>
                <w:sz w:val="20"/>
                <w:shd w:val="solid" w:color="000000" w:fill="000000"/>
                <w:fitText w:val="27" w:id="-760590069"/>
                <w14:textFill>
                  <w14:solidFill>
                    <w14:srgbClr w14:val="777777">
                      <w14:alpha w14:val="100000"/>
                    </w14:srgbClr>
                  </w14:solidFill>
                </w14:textFill>
              </w:rPr>
              <w:t xml:space="preserve">　</w:t>
            </w:r>
            <w:r w:rsidRPr="001E518D">
              <w:rPr>
                <w:rFonts w:ascii="Arial Narrow" w:eastAsia="MS Gothic" w:hAnsi="Arial Narrow"/>
                <w:bCs/>
                <w:color w:val="777777"/>
                <w:w w:val="15"/>
                <w:sz w:val="20"/>
                <w:shd w:val="solid" w:color="000000" w:fill="000000"/>
                <w:fitText w:val="27" w:id="-760590069"/>
                <w14:textFill>
                  <w14:solidFill>
                    <w14:srgbClr w14:val="777777">
                      <w14:alpha w14:val="100000"/>
                    </w14:srgbClr>
                  </w14:solidFill>
                </w14:textFill>
              </w:rPr>
              <w:t>|</w:t>
            </w:r>
            <w:r w:rsidRPr="001E518D">
              <w:rPr>
                <w:rFonts w:ascii="Arial Narrow" w:eastAsia="MS Gothic" w:hAnsi="Arial Narrow" w:hint="eastAsia"/>
                <w:bCs/>
                <w:color w:val="777777"/>
                <w:spacing w:val="-38"/>
                <w:w w:val="15"/>
                <w:sz w:val="20"/>
                <w:shd w:val="solid" w:color="000000" w:fill="000000"/>
                <w:fitText w:val="27" w:id="-760590069"/>
                <w14:textFill>
                  <w14:solidFill>
                    <w14:srgbClr w14:val="777777">
                      <w14:alpha w14:val="100000"/>
                    </w14:srgbClr>
                  </w14:solidFill>
                </w14:textFill>
              </w:rPr>
              <w:t xml:space="preserve">　</w:t>
            </w:r>
            <w:r w:rsidR="00C926A7" w:rsidRPr="0091041C">
              <w:rPr>
                <w:rFonts w:ascii="Arial Narrow" w:eastAsia="MS Gothic" w:hAnsi="Arial Narrow"/>
                <w:bCs/>
                <w:sz w:val="20"/>
                <w:vertAlign w:val="superscript"/>
              </w:rPr>
              <w:t>8</w:t>
            </w:r>
          </w:p>
        </w:tc>
      </w:tr>
      <w:tr w:rsidR="00066F85" w:rsidRPr="004C13BB" w14:paraId="0A27B344" w14:textId="77777777" w:rsidTr="00FB5316">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6714204A" w14:textId="7604F3F7" w:rsidR="00066F85" w:rsidRPr="004C13BB" w:rsidRDefault="00066F85" w:rsidP="0091041C">
            <w:pPr>
              <w:keepNext/>
              <w:keepLines/>
              <w:rPr>
                <w:rFonts w:ascii="Arial Narrow" w:eastAsia="MS Gothic" w:hAnsi="Arial Narrow"/>
                <w:b/>
                <w:sz w:val="20"/>
              </w:rPr>
            </w:pPr>
            <w:r w:rsidRPr="004C13BB">
              <w:rPr>
                <w:rFonts w:ascii="Arial Narrow" w:eastAsia="MS Gothic" w:hAnsi="Arial Narrow"/>
                <w:b/>
                <w:sz w:val="20"/>
              </w:rPr>
              <w:t xml:space="preserve">Estimated financial implications of </w:t>
            </w:r>
            <w:r w:rsidR="00E93878">
              <w:rPr>
                <w:rFonts w:ascii="Arial Narrow" w:eastAsia="MS Gothic" w:hAnsi="Arial Narrow"/>
                <w:b/>
                <w:sz w:val="20"/>
              </w:rPr>
              <w:t>DUPI</w:t>
            </w:r>
            <w:r w:rsidRPr="004C13BB">
              <w:rPr>
                <w:rFonts w:ascii="Arial Narrow" w:eastAsia="MS Gothic" w:hAnsi="Arial Narrow"/>
                <w:b/>
                <w:sz w:val="20"/>
              </w:rPr>
              <w:t xml:space="preserve"> and </w:t>
            </w:r>
            <w:r w:rsidR="006C561E">
              <w:rPr>
                <w:rFonts w:ascii="Arial Narrow" w:eastAsia="MS Gothic" w:hAnsi="Arial Narrow"/>
                <w:b/>
                <w:sz w:val="20"/>
              </w:rPr>
              <w:t>UPA</w:t>
            </w:r>
          </w:p>
        </w:tc>
      </w:tr>
      <w:tr w:rsidR="00066F85" w:rsidRPr="004C13BB" w14:paraId="49A3B192" w14:textId="77777777" w:rsidTr="00FB5316">
        <w:tc>
          <w:tcPr>
            <w:tcW w:w="2015" w:type="dxa"/>
            <w:tcBorders>
              <w:top w:val="single" w:sz="4" w:space="0" w:color="auto"/>
              <w:left w:val="single" w:sz="4" w:space="0" w:color="auto"/>
              <w:bottom w:val="single" w:sz="4" w:space="0" w:color="auto"/>
              <w:right w:val="single" w:sz="4" w:space="0" w:color="auto"/>
            </w:tcBorders>
            <w:vAlign w:val="center"/>
            <w:hideMark/>
          </w:tcPr>
          <w:p w14:paraId="3014FF43" w14:textId="1F588BCE" w:rsidR="00066F85" w:rsidRPr="004C13BB" w:rsidRDefault="00066F85" w:rsidP="0091041C">
            <w:pPr>
              <w:keepNext/>
              <w:keepLines/>
              <w:rPr>
                <w:rFonts w:ascii="Arial Narrow" w:eastAsia="MS Gothic" w:hAnsi="Arial Narrow"/>
                <w:bCs/>
                <w:sz w:val="20"/>
              </w:rPr>
            </w:pPr>
            <w:r w:rsidRPr="004C13BB">
              <w:rPr>
                <w:rFonts w:ascii="Arial Narrow" w:eastAsia="MS Gothic" w:hAnsi="Arial Narrow"/>
                <w:bCs/>
                <w:sz w:val="20"/>
              </w:rPr>
              <w:t>Impact to PBS/RPBS less copayments</w:t>
            </w:r>
            <w:r w:rsidR="00EC5E62">
              <w:rPr>
                <w:rFonts w:ascii="Arial Narrow" w:eastAsia="MS Gothic" w:hAnsi="Arial Narrow"/>
                <w:bCs/>
                <w:sz w:val="20"/>
              </w:rPr>
              <w:t xml:space="preserve"> ($)</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09172BA" w14:textId="013D7091" w:rsidR="00066F85" w:rsidRPr="0091041C" w:rsidRDefault="00066F85" w:rsidP="0091041C">
            <w:pPr>
              <w:keepNext/>
              <w:keepLines/>
              <w:jc w:val="center"/>
              <w:rPr>
                <w:rFonts w:ascii="Arial Narrow" w:eastAsia="MS Gothic" w:hAnsi="Arial Narrow"/>
                <w:bCs/>
                <w:sz w:val="20"/>
                <w:highlight w:val="darkGray"/>
              </w:rPr>
            </w:pPr>
            <w:r w:rsidRPr="00EC5E62">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4" w:id="-760590068"/>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4" w:id="-760590068"/>
                <w14:textFill>
                  <w14:solidFill>
                    <w14:srgbClr w14:val="777777">
                      <w14:alpha w14:val="100000"/>
                    </w14:srgbClr>
                  </w14:solidFill>
                </w14:textFill>
              </w:rPr>
              <w:t>|</w:t>
            </w:r>
            <w:r w:rsidR="008B4079" w:rsidRPr="001E518D">
              <w:rPr>
                <w:rFonts w:ascii="Arial Narrow" w:eastAsia="MS Gothic" w:hAnsi="Arial Narrow" w:hint="eastAsia"/>
                <w:bCs/>
                <w:color w:val="777777"/>
                <w:spacing w:val="-11"/>
                <w:w w:val="15"/>
                <w:sz w:val="20"/>
                <w:shd w:val="solid" w:color="000000" w:fill="000000"/>
                <w:fitText w:val="54" w:id="-760590068"/>
                <w14:textFill>
                  <w14:solidFill>
                    <w14:srgbClr w14:val="777777">
                      <w14:alpha w14:val="100000"/>
                    </w14:srgbClr>
                  </w14:solidFill>
                </w14:textFill>
              </w:rPr>
              <w:t xml:space="preserve">　</w:t>
            </w:r>
            <w:r w:rsidR="00E36E8B" w:rsidRPr="0091041C">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vAlign w:val="center"/>
            <w:hideMark/>
          </w:tcPr>
          <w:p w14:paraId="56EB04B0" w14:textId="0FA6ABDF" w:rsidR="00066F85" w:rsidRPr="00EC5E62" w:rsidRDefault="00066F85" w:rsidP="0091041C">
            <w:pPr>
              <w:keepNext/>
              <w:keepLines/>
              <w:jc w:val="center"/>
              <w:rPr>
                <w:rFonts w:ascii="Arial Narrow" w:eastAsia="MS Gothic" w:hAnsi="Arial Narrow"/>
                <w:bCs/>
                <w:sz w:val="20"/>
              </w:rPr>
            </w:pPr>
            <w:r w:rsidRPr="00EC5E62">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4" w:id="-760590067"/>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4" w:id="-760590067"/>
                <w14:textFill>
                  <w14:solidFill>
                    <w14:srgbClr w14:val="777777">
                      <w14:alpha w14:val="100000"/>
                    </w14:srgbClr>
                  </w14:solidFill>
                </w14:textFill>
              </w:rPr>
              <w:t>|</w:t>
            </w:r>
            <w:r w:rsidR="008B4079" w:rsidRPr="001E518D">
              <w:rPr>
                <w:rFonts w:ascii="Arial Narrow" w:eastAsia="MS Gothic" w:hAnsi="Arial Narrow" w:hint="eastAsia"/>
                <w:bCs/>
                <w:color w:val="777777"/>
                <w:spacing w:val="-11"/>
                <w:w w:val="15"/>
                <w:sz w:val="20"/>
                <w:shd w:val="solid" w:color="000000" w:fill="000000"/>
                <w:fitText w:val="54" w:id="-760590067"/>
                <w14:textFill>
                  <w14:solidFill>
                    <w14:srgbClr w14:val="777777">
                      <w14:alpha w14:val="100000"/>
                    </w14:srgbClr>
                  </w14:solidFill>
                </w14:textFill>
              </w:rPr>
              <w:t xml:space="preserve">　</w:t>
            </w:r>
            <w:r w:rsidR="00E36E8B" w:rsidRPr="00EC5E62">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11FB9D8" w14:textId="23C07B0D" w:rsidR="00066F85" w:rsidRPr="00EC5E62" w:rsidRDefault="00066F85" w:rsidP="0091041C">
            <w:pPr>
              <w:keepNext/>
              <w:keepLines/>
              <w:jc w:val="center"/>
              <w:rPr>
                <w:rFonts w:ascii="Arial Narrow" w:eastAsia="MS Gothic" w:hAnsi="Arial Narrow"/>
                <w:bCs/>
                <w:sz w:val="20"/>
              </w:rPr>
            </w:pPr>
            <w:r w:rsidRPr="00EC5E62">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66"/>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66"/>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66"/>
                <w14:textFill>
                  <w14:solidFill>
                    <w14:srgbClr w14:val="777777">
                      <w14:alpha w14:val="100000"/>
                    </w14:srgbClr>
                  </w14:solidFill>
                </w14:textFill>
              </w:rPr>
              <w:t xml:space="preserve">　</w:t>
            </w:r>
            <w:r w:rsidR="00E36E8B" w:rsidRPr="00EC5E62">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9294826" w14:textId="31499D58"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65"/>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65"/>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65"/>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FC18185" w14:textId="1C861F38"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64"/>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64"/>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64"/>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D928923" w14:textId="5481242B"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80"/>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80"/>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80"/>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r>
      <w:tr w:rsidR="00066F85" w:rsidRPr="004C13BB" w14:paraId="598C898C" w14:textId="77777777" w:rsidTr="00FB5316">
        <w:tc>
          <w:tcPr>
            <w:tcW w:w="9015" w:type="dxa"/>
            <w:gridSpan w:val="7"/>
            <w:tcBorders>
              <w:top w:val="single" w:sz="4" w:space="0" w:color="auto"/>
              <w:left w:val="single" w:sz="4" w:space="0" w:color="auto"/>
              <w:bottom w:val="single" w:sz="4" w:space="0" w:color="auto"/>
              <w:right w:val="single" w:sz="4" w:space="0" w:color="auto"/>
            </w:tcBorders>
            <w:vAlign w:val="center"/>
            <w:hideMark/>
          </w:tcPr>
          <w:p w14:paraId="27E00E2D" w14:textId="0DE88AC4" w:rsidR="00066F85" w:rsidRPr="004C13BB" w:rsidRDefault="00066F85" w:rsidP="0091041C">
            <w:pPr>
              <w:keepNext/>
              <w:keepLines/>
              <w:jc w:val="center"/>
              <w:rPr>
                <w:rFonts w:ascii="Arial Narrow" w:eastAsia="MS Gothic" w:hAnsi="Arial Narrow"/>
                <w:b/>
                <w:sz w:val="20"/>
              </w:rPr>
            </w:pPr>
            <w:r w:rsidRPr="004C13BB">
              <w:rPr>
                <w:rFonts w:ascii="Arial Narrow" w:eastAsia="MS Gothic" w:hAnsi="Arial Narrow"/>
                <w:b/>
                <w:sz w:val="20"/>
              </w:rPr>
              <w:t>Net financial implications</w:t>
            </w:r>
          </w:p>
        </w:tc>
      </w:tr>
      <w:tr w:rsidR="00066F85" w:rsidRPr="004C13BB" w14:paraId="7860F8B7" w14:textId="77777777" w:rsidTr="00FB5316">
        <w:tc>
          <w:tcPr>
            <w:tcW w:w="2015" w:type="dxa"/>
            <w:tcBorders>
              <w:top w:val="single" w:sz="4" w:space="0" w:color="auto"/>
              <w:left w:val="single" w:sz="4" w:space="0" w:color="auto"/>
              <w:bottom w:val="single" w:sz="4" w:space="0" w:color="auto"/>
              <w:right w:val="single" w:sz="4" w:space="0" w:color="auto"/>
            </w:tcBorders>
            <w:vAlign w:val="center"/>
            <w:hideMark/>
          </w:tcPr>
          <w:p w14:paraId="7F859859" w14:textId="624FE280" w:rsidR="00066F85" w:rsidRPr="004C13BB" w:rsidRDefault="00066F85" w:rsidP="0091041C">
            <w:pPr>
              <w:keepNext/>
              <w:keepLines/>
              <w:rPr>
                <w:rFonts w:ascii="Arial Narrow" w:eastAsia="MS Gothic" w:hAnsi="Arial Narrow"/>
                <w:bCs/>
                <w:sz w:val="20"/>
              </w:rPr>
            </w:pPr>
            <w:r w:rsidRPr="004C13BB">
              <w:rPr>
                <w:rFonts w:ascii="Arial Narrow" w:eastAsia="MS Gothic" w:hAnsi="Arial Narrow"/>
                <w:bCs/>
                <w:sz w:val="20"/>
              </w:rPr>
              <w:t>Net impact to PBS/RPBS</w:t>
            </w:r>
            <w:r w:rsidR="004A1EF4">
              <w:rPr>
                <w:rFonts w:ascii="Arial Narrow" w:eastAsia="MS Gothic" w:hAnsi="Arial Narrow"/>
                <w:bCs/>
                <w:sz w:val="20"/>
              </w:rPr>
              <w:t xml:space="preserve"> ($)</w:t>
            </w:r>
          </w:p>
        </w:tc>
        <w:tc>
          <w:tcPr>
            <w:tcW w:w="1167" w:type="dxa"/>
            <w:tcBorders>
              <w:top w:val="single" w:sz="4" w:space="0" w:color="auto"/>
              <w:left w:val="single" w:sz="4" w:space="0" w:color="auto"/>
              <w:bottom w:val="single" w:sz="4" w:space="0" w:color="auto"/>
              <w:right w:val="single" w:sz="4" w:space="0" w:color="auto"/>
            </w:tcBorders>
            <w:hideMark/>
          </w:tcPr>
          <w:p w14:paraId="43327C07" w14:textId="2EA201DA"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4" w:id="-760590079"/>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4" w:id="-760590079"/>
                <w14:textFill>
                  <w14:solidFill>
                    <w14:srgbClr w14:val="777777">
                      <w14:alpha w14:val="100000"/>
                    </w14:srgbClr>
                  </w14:solidFill>
                </w14:textFill>
              </w:rPr>
              <w:t>|</w:t>
            </w:r>
            <w:r w:rsidR="008B4079" w:rsidRPr="001E518D">
              <w:rPr>
                <w:rFonts w:ascii="Arial Narrow" w:eastAsia="MS Gothic" w:hAnsi="Arial Narrow" w:hint="eastAsia"/>
                <w:bCs/>
                <w:color w:val="777777"/>
                <w:spacing w:val="-11"/>
                <w:w w:val="15"/>
                <w:sz w:val="20"/>
                <w:shd w:val="solid" w:color="000000" w:fill="000000"/>
                <w:fitText w:val="54" w:id="-760590079"/>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hideMark/>
          </w:tcPr>
          <w:p w14:paraId="02CCEF64" w14:textId="33239F26"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4" w:id="-760590078"/>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4" w:id="-760590078"/>
                <w14:textFill>
                  <w14:solidFill>
                    <w14:srgbClr w14:val="777777">
                      <w14:alpha w14:val="100000"/>
                    </w14:srgbClr>
                  </w14:solidFill>
                </w14:textFill>
              </w:rPr>
              <w:t>|</w:t>
            </w:r>
            <w:r w:rsidR="008B4079" w:rsidRPr="001E518D">
              <w:rPr>
                <w:rFonts w:ascii="Arial Narrow" w:eastAsia="MS Gothic" w:hAnsi="Arial Narrow" w:hint="eastAsia"/>
                <w:bCs/>
                <w:color w:val="777777"/>
                <w:spacing w:val="-11"/>
                <w:w w:val="15"/>
                <w:sz w:val="20"/>
                <w:shd w:val="solid" w:color="000000" w:fill="000000"/>
                <w:fitText w:val="54" w:id="-760590078"/>
                <w14:textFill>
                  <w14:solidFill>
                    <w14:srgbClr w14:val="777777">
                      <w14:alpha w14:val="100000"/>
                    </w14:srgbClr>
                  </w14:solidFill>
                </w14:textFill>
              </w:rPr>
              <w:t xml:space="preserve">　</w:t>
            </w:r>
            <w:r w:rsidR="003B3189" w:rsidRPr="00830C63">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hideMark/>
          </w:tcPr>
          <w:p w14:paraId="0B087073" w14:textId="5D3F9BFE"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7"/>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7"/>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7"/>
                <w14:textFill>
                  <w14:solidFill>
                    <w14:srgbClr w14:val="777777">
                      <w14:alpha w14:val="100000"/>
                    </w14:srgbClr>
                  </w14:solidFill>
                </w14:textFill>
              </w:rPr>
              <w:t xml:space="preserve">　</w:t>
            </w:r>
            <w:r w:rsidR="003B3189"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hideMark/>
          </w:tcPr>
          <w:p w14:paraId="5DCEAA32" w14:textId="636CEE39"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6"/>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6"/>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6"/>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hideMark/>
          </w:tcPr>
          <w:p w14:paraId="5C641665" w14:textId="72200740"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5"/>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5"/>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5"/>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hideMark/>
          </w:tcPr>
          <w:p w14:paraId="06BC143C" w14:textId="472D3BB5"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4"/>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4"/>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4"/>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r>
      <w:tr w:rsidR="00066F85" w:rsidRPr="004C13BB" w14:paraId="039225BF" w14:textId="77777777" w:rsidTr="00FB5316">
        <w:tc>
          <w:tcPr>
            <w:tcW w:w="2015" w:type="dxa"/>
            <w:tcBorders>
              <w:top w:val="single" w:sz="4" w:space="0" w:color="auto"/>
              <w:left w:val="single" w:sz="4" w:space="0" w:color="auto"/>
              <w:bottom w:val="single" w:sz="4" w:space="0" w:color="auto"/>
              <w:right w:val="single" w:sz="4" w:space="0" w:color="auto"/>
            </w:tcBorders>
            <w:vAlign w:val="center"/>
            <w:hideMark/>
          </w:tcPr>
          <w:p w14:paraId="3B328A27" w14:textId="779B42C0" w:rsidR="00066F85" w:rsidRPr="004A1EF4" w:rsidRDefault="00066F85" w:rsidP="0091041C">
            <w:pPr>
              <w:keepNext/>
              <w:keepLines/>
              <w:rPr>
                <w:rFonts w:ascii="Arial Narrow" w:eastAsia="MS Gothic" w:hAnsi="Arial Narrow"/>
                <w:bCs/>
                <w:sz w:val="20"/>
              </w:rPr>
            </w:pPr>
            <w:r w:rsidRPr="004C13BB">
              <w:rPr>
                <w:rFonts w:ascii="Arial Narrow" w:eastAsia="MS Gothic" w:hAnsi="Arial Narrow"/>
                <w:bCs/>
                <w:sz w:val="20"/>
              </w:rPr>
              <w:t>Revised</w:t>
            </w:r>
            <w:r w:rsidR="00392BEA" w:rsidRPr="004C13BB">
              <w:rPr>
                <w:rFonts w:ascii="Arial Narrow" w:eastAsia="MS Gothic" w:hAnsi="Arial Narrow"/>
                <w:bCs/>
                <w:sz w:val="20"/>
                <w:vertAlign w:val="superscript"/>
              </w:rPr>
              <w:t>a</w:t>
            </w:r>
            <w:r w:rsidR="004A1EF4">
              <w:rPr>
                <w:rFonts w:ascii="Arial Narrow" w:eastAsia="MS Gothic" w:hAnsi="Arial Narrow"/>
                <w:bCs/>
                <w:sz w:val="20"/>
                <w:vertAlign w:val="superscript"/>
              </w:rPr>
              <w:t xml:space="preserve"> </w:t>
            </w:r>
            <w:r w:rsidR="004A1EF4">
              <w:rPr>
                <w:rFonts w:ascii="Arial Narrow" w:eastAsia="MS Gothic" w:hAnsi="Arial Narrow"/>
                <w:bCs/>
                <w:sz w:val="20"/>
              </w:rPr>
              <w:t>($)</w:t>
            </w:r>
          </w:p>
        </w:tc>
        <w:tc>
          <w:tcPr>
            <w:tcW w:w="1167" w:type="dxa"/>
            <w:tcBorders>
              <w:top w:val="single" w:sz="4" w:space="0" w:color="auto"/>
              <w:left w:val="single" w:sz="4" w:space="0" w:color="auto"/>
              <w:bottom w:val="single" w:sz="4" w:space="0" w:color="auto"/>
              <w:right w:val="single" w:sz="4" w:space="0" w:color="auto"/>
            </w:tcBorders>
            <w:hideMark/>
          </w:tcPr>
          <w:p w14:paraId="1CEAD5CF" w14:textId="7F52597C" w:rsidR="00066F85" w:rsidRPr="0091041C" w:rsidRDefault="008B4079" w:rsidP="0091041C">
            <w:pPr>
              <w:keepNext/>
              <w:keepLines/>
              <w:jc w:val="center"/>
              <w:rPr>
                <w:rFonts w:ascii="Arial Narrow" w:eastAsia="MS Gothic" w:hAnsi="Arial Narrow"/>
                <w:bCs/>
                <w:sz w:val="20"/>
                <w:highlight w:val="darkGray"/>
              </w:rPr>
            </w:pPr>
            <w:r w:rsidRPr="00391444">
              <w:rPr>
                <w:rFonts w:ascii="Arial Narrow" w:eastAsia="MS Gothic" w:hAnsi="Arial Narrow" w:hint="eastAsia"/>
                <w:bCs/>
                <w:color w:val="777777"/>
                <w:w w:val="15"/>
                <w:sz w:val="20"/>
                <w:shd w:val="solid" w:color="000000" w:fill="000000"/>
                <w:fitText w:val="26" w:id="-760590073"/>
                <w14:textFill>
                  <w14:solidFill>
                    <w14:srgbClr w14:val="777777">
                      <w14:alpha w14:val="100000"/>
                    </w14:srgbClr>
                  </w14:solidFill>
                </w14:textFill>
              </w:rPr>
              <w:t xml:space="preserve">　</w:t>
            </w:r>
            <w:r w:rsidRPr="00391444">
              <w:rPr>
                <w:rFonts w:ascii="Arial Narrow" w:eastAsia="MS Gothic" w:hAnsi="Arial Narrow"/>
                <w:bCs/>
                <w:color w:val="777777"/>
                <w:w w:val="15"/>
                <w:sz w:val="20"/>
                <w:shd w:val="solid" w:color="000000" w:fill="000000"/>
                <w:fitText w:val="26" w:id="-760590073"/>
                <w14:textFill>
                  <w14:solidFill>
                    <w14:srgbClr w14:val="777777">
                      <w14:alpha w14:val="100000"/>
                    </w14:srgbClr>
                  </w14:solidFill>
                </w14:textFill>
              </w:rPr>
              <w:t>|</w:t>
            </w:r>
            <w:r w:rsidRPr="00391444">
              <w:rPr>
                <w:rFonts w:ascii="Arial Narrow" w:eastAsia="MS Gothic" w:hAnsi="Arial Narrow" w:hint="eastAsia"/>
                <w:bCs/>
                <w:color w:val="777777"/>
                <w:spacing w:val="-39"/>
                <w:w w:val="15"/>
                <w:sz w:val="20"/>
                <w:shd w:val="solid" w:color="000000" w:fill="000000"/>
                <w:fitText w:val="26" w:id="-760590073"/>
                <w14:textFill>
                  <w14:solidFill>
                    <w14:srgbClr w14:val="777777">
                      <w14:alpha w14:val="100000"/>
                    </w14:srgbClr>
                  </w14:solidFill>
                </w14:textFill>
              </w:rPr>
              <w:t xml:space="preserve">　</w:t>
            </w:r>
            <w:r w:rsidR="00413639" w:rsidRPr="0091041C">
              <w:rPr>
                <w:rFonts w:ascii="Arial Narrow" w:eastAsia="MS Gothic" w:hAnsi="Arial Narrow"/>
                <w:bCs/>
                <w:sz w:val="20"/>
                <w:vertAlign w:val="superscript"/>
              </w:rPr>
              <w:t>5</w:t>
            </w:r>
          </w:p>
        </w:tc>
        <w:tc>
          <w:tcPr>
            <w:tcW w:w="1167" w:type="dxa"/>
            <w:tcBorders>
              <w:top w:val="single" w:sz="4" w:space="0" w:color="auto"/>
              <w:left w:val="single" w:sz="4" w:space="0" w:color="auto"/>
              <w:bottom w:val="single" w:sz="4" w:space="0" w:color="auto"/>
              <w:right w:val="single" w:sz="4" w:space="0" w:color="auto"/>
            </w:tcBorders>
            <w:hideMark/>
          </w:tcPr>
          <w:p w14:paraId="78191F4B" w14:textId="00399EAA" w:rsidR="00066F85" w:rsidRPr="004A1EF4" w:rsidRDefault="00066F85" w:rsidP="0091041C">
            <w:pPr>
              <w:keepNext/>
              <w:keepLines/>
              <w:jc w:val="center"/>
              <w:rPr>
                <w:rFonts w:ascii="Arial Narrow" w:eastAsia="MS Gothic" w:hAnsi="Arial Narrow"/>
                <w:bCs/>
                <w:sz w:val="20"/>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4" w:id="-760590072"/>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4" w:id="-760590072"/>
                <w14:textFill>
                  <w14:solidFill>
                    <w14:srgbClr w14:val="777777">
                      <w14:alpha w14:val="100000"/>
                    </w14:srgbClr>
                  </w14:solidFill>
                </w14:textFill>
              </w:rPr>
              <w:t>|</w:t>
            </w:r>
            <w:r w:rsidR="008B4079" w:rsidRPr="001E518D">
              <w:rPr>
                <w:rFonts w:ascii="Arial Narrow" w:eastAsia="MS Gothic" w:hAnsi="Arial Narrow" w:hint="eastAsia"/>
                <w:bCs/>
                <w:color w:val="777777"/>
                <w:spacing w:val="-11"/>
                <w:w w:val="15"/>
                <w:sz w:val="20"/>
                <w:shd w:val="solid" w:color="000000" w:fill="000000"/>
                <w:fitText w:val="54" w:id="-760590072"/>
                <w14:textFill>
                  <w14:solidFill>
                    <w14:srgbClr w14:val="777777">
                      <w14:alpha w14:val="100000"/>
                    </w14:srgbClr>
                  </w14:solidFill>
                </w14:textFill>
              </w:rPr>
              <w:t xml:space="preserve">　</w:t>
            </w:r>
            <w:r w:rsidR="00E36E8B" w:rsidRPr="004A1EF4">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hideMark/>
          </w:tcPr>
          <w:p w14:paraId="76D269D1" w14:textId="5EE2CDD3"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1"/>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1"/>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1"/>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hideMark/>
          </w:tcPr>
          <w:p w14:paraId="01327496" w14:textId="6407E585"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70"/>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70"/>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70"/>
                <w14:textFill>
                  <w14:solidFill>
                    <w14:srgbClr w14:val="777777">
                      <w14:alpha w14:val="100000"/>
                    </w14:srgbClr>
                  </w14:solidFill>
                </w14:textFill>
              </w:rPr>
              <w:t xml:space="preserve">　</w:t>
            </w:r>
            <w:r w:rsidR="00E36E8B" w:rsidRPr="00830C63">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hideMark/>
          </w:tcPr>
          <w:p w14:paraId="07AF4323" w14:textId="69DB6B1A"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69"/>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69"/>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69"/>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hideMark/>
          </w:tcPr>
          <w:p w14:paraId="69AF425F" w14:textId="2A4D9A41" w:rsidR="00066F85" w:rsidRPr="0091041C" w:rsidRDefault="00066F85" w:rsidP="0091041C">
            <w:pPr>
              <w:keepNext/>
              <w:keepLines/>
              <w:jc w:val="center"/>
              <w:rPr>
                <w:rFonts w:ascii="Arial Narrow" w:eastAsia="MS Gothic" w:hAnsi="Arial Narrow"/>
                <w:bCs/>
                <w:sz w:val="20"/>
                <w:highlight w:val="darkGray"/>
              </w:rPr>
            </w:pPr>
            <w:r w:rsidRPr="004A1EF4">
              <w:rPr>
                <w:rFonts w:ascii="Arial Narrow" w:eastAsia="MS Gothic" w:hAnsi="Arial Narrow"/>
                <w:bCs/>
                <w:sz w:val="20"/>
              </w:rPr>
              <w:t>-</w:t>
            </w:r>
            <w:r w:rsidR="008B4079" w:rsidRPr="001E518D">
              <w:rPr>
                <w:rFonts w:ascii="Arial Narrow" w:eastAsia="MS Gothic" w:hAnsi="Arial Narrow" w:hint="eastAsia"/>
                <w:bCs/>
                <w:color w:val="777777"/>
                <w:w w:val="15"/>
                <w:sz w:val="20"/>
                <w:shd w:val="solid" w:color="000000" w:fill="000000"/>
                <w:fitText w:val="53" w:id="-760590068"/>
                <w14:textFill>
                  <w14:solidFill>
                    <w14:srgbClr w14:val="777777">
                      <w14:alpha w14:val="100000"/>
                    </w14:srgbClr>
                  </w14:solidFill>
                </w14:textFill>
              </w:rPr>
              <w:t xml:space="preserve">　</w:t>
            </w:r>
            <w:r w:rsidR="008B4079" w:rsidRPr="001E518D">
              <w:rPr>
                <w:rFonts w:ascii="Arial Narrow" w:eastAsia="MS Gothic" w:hAnsi="Arial Narrow"/>
                <w:bCs/>
                <w:color w:val="777777"/>
                <w:w w:val="15"/>
                <w:sz w:val="20"/>
                <w:shd w:val="solid" w:color="000000" w:fill="000000"/>
                <w:fitText w:val="53" w:id="-760590068"/>
                <w14:textFill>
                  <w14:solidFill>
                    <w14:srgbClr w14:val="777777">
                      <w14:alpha w14:val="100000"/>
                    </w14:srgbClr>
                  </w14:solidFill>
                </w14:textFill>
              </w:rPr>
              <w:t>|</w:t>
            </w:r>
            <w:r w:rsidR="008B4079" w:rsidRPr="001E518D">
              <w:rPr>
                <w:rFonts w:ascii="Arial Narrow" w:eastAsia="MS Gothic" w:hAnsi="Arial Narrow" w:hint="eastAsia"/>
                <w:bCs/>
                <w:color w:val="777777"/>
                <w:spacing w:val="-12"/>
                <w:w w:val="15"/>
                <w:sz w:val="20"/>
                <w:shd w:val="solid" w:color="000000" w:fill="000000"/>
                <w:fitText w:val="53" w:id="-760590068"/>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r>
      <w:tr w:rsidR="001A5850" w:rsidRPr="00E574CC" w14:paraId="26ECE251" w14:textId="77777777" w:rsidTr="00FB5316">
        <w:tc>
          <w:tcPr>
            <w:tcW w:w="2015" w:type="dxa"/>
            <w:tcBorders>
              <w:top w:val="single" w:sz="4" w:space="0" w:color="auto"/>
              <w:left w:val="single" w:sz="4" w:space="0" w:color="auto"/>
              <w:bottom w:val="single" w:sz="4" w:space="0" w:color="auto"/>
              <w:right w:val="single" w:sz="4" w:space="0" w:color="auto"/>
            </w:tcBorders>
            <w:vAlign w:val="center"/>
          </w:tcPr>
          <w:p w14:paraId="62ABBFBD" w14:textId="58112B85" w:rsidR="001A5850" w:rsidRPr="004A1EF4" w:rsidRDefault="001A5850" w:rsidP="0091041C">
            <w:pPr>
              <w:keepNext/>
              <w:keepLines/>
              <w:rPr>
                <w:rFonts w:ascii="Arial Narrow" w:eastAsia="MS Gothic" w:hAnsi="Arial Narrow"/>
                <w:bCs/>
                <w:iCs/>
                <w:sz w:val="20"/>
              </w:rPr>
            </w:pPr>
            <w:r w:rsidRPr="00E574CC">
              <w:rPr>
                <w:rFonts w:ascii="Arial Narrow" w:eastAsia="MS Gothic" w:hAnsi="Arial Narrow"/>
                <w:bCs/>
                <w:iCs/>
                <w:sz w:val="20"/>
              </w:rPr>
              <w:t xml:space="preserve">PSCR </w:t>
            </w:r>
            <w:proofErr w:type="spellStart"/>
            <w:r w:rsidRPr="00E574CC">
              <w:rPr>
                <w:rFonts w:ascii="Arial Narrow" w:eastAsia="MS Gothic" w:hAnsi="Arial Narrow"/>
                <w:bCs/>
                <w:iCs/>
                <w:sz w:val="20"/>
              </w:rPr>
              <w:t>revised</w:t>
            </w:r>
            <w:r w:rsidRPr="00E574CC">
              <w:rPr>
                <w:rFonts w:ascii="Arial Narrow" w:eastAsia="MS Gothic" w:hAnsi="Arial Narrow"/>
                <w:bCs/>
                <w:iCs/>
                <w:sz w:val="20"/>
                <w:vertAlign w:val="superscript"/>
              </w:rPr>
              <w:t>b</w:t>
            </w:r>
            <w:proofErr w:type="spellEnd"/>
            <w:r w:rsidR="004A1EF4">
              <w:rPr>
                <w:rFonts w:ascii="Arial Narrow" w:eastAsia="MS Gothic" w:hAnsi="Arial Narrow"/>
                <w:bCs/>
                <w:iCs/>
                <w:sz w:val="20"/>
              </w:rPr>
              <w:t xml:space="preserve"> ($)</w:t>
            </w:r>
          </w:p>
        </w:tc>
        <w:tc>
          <w:tcPr>
            <w:tcW w:w="1167" w:type="dxa"/>
            <w:tcBorders>
              <w:top w:val="single" w:sz="4" w:space="0" w:color="auto"/>
              <w:left w:val="single" w:sz="4" w:space="0" w:color="auto"/>
              <w:bottom w:val="single" w:sz="4" w:space="0" w:color="auto"/>
              <w:right w:val="single" w:sz="4" w:space="0" w:color="auto"/>
            </w:tcBorders>
          </w:tcPr>
          <w:p w14:paraId="71E7B3E9" w14:textId="25A38D1D" w:rsidR="001A5850" w:rsidRPr="0091041C" w:rsidRDefault="001A5850" w:rsidP="0091041C">
            <w:pPr>
              <w:keepNext/>
              <w:keepLines/>
              <w:jc w:val="center"/>
              <w:rPr>
                <w:rFonts w:ascii="Arial Narrow" w:eastAsia="MS Gothic" w:hAnsi="Arial Narrow"/>
                <w:bCs/>
                <w:iCs/>
                <w:sz w:val="20"/>
                <w:highlight w:val="darkGray"/>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4" w:id="-760590067"/>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4" w:id="-760590067"/>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1"/>
                <w:w w:val="15"/>
                <w:sz w:val="20"/>
                <w:shd w:val="solid" w:color="000000" w:fill="000000"/>
                <w:fitText w:val="54" w:id="-760590067"/>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tcPr>
          <w:p w14:paraId="60EDF451" w14:textId="0CAFF3DA" w:rsidR="001A5850" w:rsidRPr="004A1EF4" w:rsidRDefault="001A5850" w:rsidP="0091041C">
            <w:pPr>
              <w:keepNext/>
              <w:keepLines/>
              <w:jc w:val="center"/>
              <w:rPr>
                <w:rFonts w:ascii="Arial Narrow" w:eastAsia="MS Gothic" w:hAnsi="Arial Narrow"/>
                <w:bCs/>
                <w:iCs/>
                <w:sz w:val="20"/>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4" w:id="-760590066"/>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4" w:id="-760590066"/>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1"/>
                <w:w w:val="15"/>
                <w:sz w:val="20"/>
                <w:shd w:val="solid" w:color="000000" w:fill="000000"/>
                <w:fitText w:val="54" w:id="-760590066"/>
                <w14:textFill>
                  <w14:solidFill>
                    <w14:srgbClr w14:val="777777">
                      <w14:alpha w14:val="100000"/>
                    </w14:srgbClr>
                  </w14:solidFill>
                </w14:textFill>
              </w:rPr>
              <w:t xml:space="preserve">　</w:t>
            </w:r>
            <w:r w:rsidR="00670321" w:rsidRPr="004A1EF4">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tcPr>
          <w:p w14:paraId="23C2BF3D" w14:textId="47D6A755" w:rsidR="001A5850" w:rsidRPr="004A1EF4" w:rsidRDefault="001A5850" w:rsidP="0091041C">
            <w:pPr>
              <w:keepNext/>
              <w:keepLines/>
              <w:jc w:val="center"/>
              <w:rPr>
                <w:rFonts w:ascii="Arial Narrow" w:eastAsia="MS Gothic" w:hAnsi="Arial Narrow"/>
                <w:bCs/>
                <w:iCs/>
                <w:sz w:val="20"/>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3" w:id="-760590065"/>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3" w:id="-760590065"/>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2"/>
                <w:w w:val="15"/>
                <w:sz w:val="20"/>
                <w:shd w:val="solid" w:color="000000" w:fill="000000"/>
                <w:fitText w:val="53" w:id="-760590065"/>
                <w14:textFill>
                  <w14:solidFill>
                    <w14:srgbClr w14:val="777777">
                      <w14:alpha w14:val="100000"/>
                    </w14:srgbClr>
                  </w14:solidFill>
                </w14:textFill>
              </w:rPr>
              <w:t xml:space="preserve">　</w:t>
            </w:r>
            <w:r w:rsidR="00670321" w:rsidRPr="004A1EF4">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tcPr>
          <w:p w14:paraId="012F4BA6" w14:textId="4C0D30ED" w:rsidR="001A5850" w:rsidRPr="0091041C" w:rsidRDefault="001A5850" w:rsidP="0091041C">
            <w:pPr>
              <w:keepNext/>
              <w:keepLines/>
              <w:jc w:val="center"/>
              <w:rPr>
                <w:rFonts w:ascii="Arial Narrow" w:eastAsia="MS Gothic" w:hAnsi="Arial Narrow"/>
                <w:bCs/>
                <w:iCs/>
                <w:sz w:val="20"/>
                <w:highlight w:val="darkGray"/>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3" w:id="-760590064"/>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3" w:id="-760590064"/>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2"/>
                <w:w w:val="15"/>
                <w:sz w:val="20"/>
                <w:shd w:val="solid" w:color="000000" w:fill="000000"/>
                <w:fitText w:val="53" w:id="-760590064"/>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c>
          <w:tcPr>
            <w:tcW w:w="1166" w:type="dxa"/>
            <w:tcBorders>
              <w:top w:val="single" w:sz="4" w:space="0" w:color="auto"/>
              <w:left w:val="single" w:sz="4" w:space="0" w:color="auto"/>
              <w:bottom w:val="single" w:sz="4" w:space="0" w:color="auto"/>
              <w:right w:val="single" w:sz="4" w:space="0" w:color="auto"/>
            </w:tcBorders>
          </w:tcPr>
          <w:p w14:paraId="0E75D388" w14:textId="47F0682D" w:rsidR="001A5850" w:rsidRPr="0091041C" w:rsidRDefault="001A5850" w:rsidP="0091041C">
            <w:pPr>
              <w:keepNext/>
              <w:keepLines/>
              <w:jc w:val="center"/>
              <w:rPr>
                <w:rFonts w:ascii="Arial Narrow" w:eastAsia="MS Gothic" w:hAnsi="Arial Narrow"/>
                <w:bCs/>
                <w:iCs/>
                <w:sz w:val="20"/>
                <w:highlight w:val="darkGray"/>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3" w:id="-760590080"/>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3" w:id="-760590080"/>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2"/>
                <w:w w:val="15"/>
                <w:sz w:val="20"/>
                <w:shd w:val="solid" w:color="000000" w:fill="000000"/>
                <w:fitText w:val="53" w:id="-760590080"/>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c>
          <w:tcPr>
            <w:tcW w:w="1167" w:type="dxa"/>
            <w:tcBorders>
              <w:top w:val="single" w:sz="4" w:space="0" w:color="auto"/>
              <w:left w:val="single" w:sz="4" w:space="0" w:color="auto"/>
              <w:bottom w:val="single" w:sz="4" w:space="0" w:color="auto"/>
              <w:right w:val="single" w:sz="4" w:space="0" w:color="auto"/>
            </w:tcBorders>
          </w:tcPr>
          <w:p w14:paraId="5940D309" w14:textId="4632B4F0" w:rsidR="001A5850" w:rsidRPr="0091041C" w:rsidRDefault="001A5850" w:rsidP="0091041C">
            <w:pPr>
              <w:keepNext/>
              <w:keepLines/>
              <w:jc w:val="center"/>
              <w:rPr>
                <w:rFonts w:ascii="Arial Narrow" w:eastAsia="MS Gothic" w:hAnsi="Arial Narrow"/>
                <w:bCs/>
                <w:iCs/>
                <w:sz w:val="20"/>
                <w:highlight w:val="darkGray"/>
              </w:rPr>
            </w:pPr>
            <w:r w:rsidRPr="004A1EF4">
              <w:rPr>
                <w:rFonts w:ascii="Arial Narrow" w:eastAsia="MS Gothic" w:hAnsi="Arial Narrow"/>
                <w:bCs/>
                <w:iCs/>
                <w:sz w:val="20"/>
              </w:rPr>
              <w:t>-</w:t>
            </w:r>
            <w:r w:rsidR="008B4079" w:rsidRPr="001E518D">
              <w:rPr>
                <w:rFonts w:ascii="Arial Narrow" w:eastAsia="MS Gothic" w:hAnsi="Arial Narrow" w:hint="eastAsia"/>
                <w:bCs/>
                <w:iCs/>
                <w:color w:val="777777"/>
                <w:w w:val="15"/>
                <w:sz w:val="20"/>
                <w:shd w:val="solid" w:color="000000" w:fill="000000"/>
                <w:fitText w:val="53" w:id="-760590079"/>
                <w14:textFill>
                  <w14:solidFill>
                    <w14:srgbClr w14:val="777777">
                      <w14:alpha w14:val="100000"/>
                    </w14:srgbClr>
                  </w14:solidFill>
                </w14:textFill>
              </w:rPr>
              <w:t xml:space="preserve">　</w:t>
            </w:r>
            <w:r w:rsidR="008B4079" w:rsidRPr="001E518D">
              <w:rPr>
                <w:rFonts w:ascii="Arial Narrow" w:eastAsia="MS Gothic" w:hAnsi="Arial Narrow"/>
                <w:bCs/>
                <w:iCs/>
                <w:color w:val="777777"/>
                <w:w w:val="15"/>
                <w:sz w:val="20"/>
                <w:shd w:val="solid" w:color="000000" w:fill="000000"/>
                <w:fitText w:val="53" w:id="-760590079"/>
                <w14:textFill>
                  <w14:solidFill>
                    <w14:srgbClr w14:val="777777">
                      <w14:alpha w14:val="100000"/>
                    </w14:srgbClr>
                  </w14:solidFill>
                </w14:textFill>
              </w:rPr>
              <w:t>|</w:t>
            </w:r>
            <w:r w:rsidR="008B4079" w:rsidRPr="001E518D">
              <w:rPr>
                <w:rFonts w:ascii="Arial Narrow" w:eastAsia="MS Gothic" w:hAnsi="Arial Narrow" w:hint="eastAsia"/>
                <w:bCs/>
                <w:iCs/>
                <w:color w:val="777777"/>
                <w:spacing w:val="-12"/>
                <w:w w:val="15"/>
                <w:sz w:val="20"/>
                <w:shd w:val="solid" w:color="000000" w:fill="000000"/>
                <w:fitText w:val="53" w:id="-760590079"/>
                <w14:textFill>
                  <w14:solidFill>
                    <w14:srgbClr w14:val="777777">
                      <w14:alpha w14:val="100000"/>
                    </w14:srgbClr>
                  </w14:solidFill>
                </w14:textFill>
              </w:rPr>
              <w:t xml:space="preserve">　</w:t>
            </w:r>
            <w:r w:rsidR="00670321" w:rsidRPr="00830C63">
              <w:rPr>
                <w:rFonts w:ascii="Arial Narrow" w:eastAsia="MS Gothic" w:hAnsi="Arial Narrow"/>
                <w:bCs/>
                <w:sz w:val="20"/>
                <w:vertAlign w:val="superscript"/>
              </w:rPr>
              <w:t>9</w:t>
            </w:r>
          </w:p>
        </w:tc>
      </w:tr>
    </w:tbl>
    <w:p w14:paraId="4308F79E" w14:textId="2E1997E4" w:rsidR="00304AB4" w:rsidRDefault="001B3286" w:rsidP="0091041C">
      <w:pPr>
        <w:pStyle w:val="TableFigureFooter"/>
        <w:keepNext/>
      </w:pPr>
      <w:r>
        <w:t>Source: Table compiled during evaluation from Excel workbook “</w:t>
      </w:r>
      <w:r w:rsidR="00E93878">
        <w:t>ABRO</w:t>
      </w:r>
      <w:r>
        <w:t xml:space="preserve"> UCM”</w:t>
      </w:r>
    </w:p>
    <w:p w14:paraId="18BEC97C" w14:textId="1EFAB49B" w:rsidR="00066F85" w:rsidRPr="004C13BB" w:rsidRDefault="00066F85" w:rsidP="0091041C">
      <w:pPr>
        <w:pStyle w:val="TableFigureFooter"/>
        <w:keepNext/>
        <w:snapToGrid w:val="0"/>
        <w:spacing w:after="0"/>
        <w:rPr>
          <w:b/>
          <w:sz w:val="20"/>
          <w:szCs w:val="16"/>
        </w:rPr>
      </w:pPr>
      <w:r>
        <w:t>PBS = Pharmaceutical Benefits Scheme; RPBS = Repatriation Pharmaceutical Benefits Scheme</w:t>
      </w:r>
    </w:p>
    <w:p w14:paraId="1BD6A619" w14:textId="7E32F33B" w:rsidR="00392BEA" w:rsidRPr="00070C35" w:rsidRDefault="00EC74BC" w:rsidP="0091041C">
      <w:pPr>
        <w:keepNext/>
        <w:keepLines/>
        <w:snapToGrid w:val="0"/>
        <w:spacing w:after="120"/>
        <w:contextualSpacing/>
        <w:rPr>
          <w:rFonts w:ascii="Arial Narrow" w:hAnsi="Arial Narrow"/>
          <w:sz w:val="18"/>
          <w:szCs w:val="22"/>
        </w:rPr>
      </w:pPr>
      <w:r w:rsidRPr="00EC74BC">
        <w:rPr>
          <w:rFonts w:ascii="Arial Narrow" w:hAnsi="Arial Narrow"/>
          <w:sz w:val="18"/>
          <w:szCs w:val="22"/>
          <w:vertAlign w:val="superscript"/>
        </w:rPr>
        <w:t>a</w:t>
      </w:r>
      <w:r w:rsidR="00392BEA" w:rsidRPr="00070C35">
        <w:rPr>
          <w:rFonts w:ascii="Arial Narrow" w:hAnsi="Arial Narrow"/>
          <w:sz w:val="18"/>
          <w:szCs w:val="22"/>
        </w:rPr>
        <w:t xml:space="preserve"> </w:t>
      </w:r>
      <w:r w:rsidR="00454C71">
        <w:rPr>
          <w:rFonts w:ascii="Arial Narrow" w:hAnsi="Arial Narrow"/>
          <w:sz w:val="18"/>
          <w:szCs w:val="22"/>
        </w:rPr>
        <w:t xml:space="preserve">Values </w:t>
      </w:r>
      <w:r w:rsidR="00392BEA" w:rsidRPr="00070C35">
        <w:rPr>
          <w:rFonts w:ascii="Arial Narrow" w:hAnsi="Arial Narrow"/>
          <w:sz w:val="18"/>
          <w:szCs w:val="22"/>
        </w:rPr>
        <w:t xml:space="preserve">were </w:t>
      </w:r>
      <w:r w:rsidR="00454C71">
        <w:rPr>
          <w:rFonts w:ascii="Arial Narrow" w:hAnsi="Arial Narrow"/>
          <w:sz w:val="18"/>
          <w:szCs w:val="22"/>
        </w:rPr>
        <w:t>corrected</w:t>
      </w:r>
      <w:r w:rsidR="00454C71" w:rsidRPr="00070C35">
        <w:rPr>
          <w:rFonts w:ascii="Arial Narrow" w:hAnsi="Arial Narrow"/>
          <w:sz w:val="18"/>
          <w:szCs w:val="22"/>
        </w:rPr>
        <w:t xml:space="preserve"> </w:t>
      </w:r>
      <w:r w:rsidR="00392BEA" w:rsidRPr="00070C35">
        <w:rPr>
          <w:rFonts w:ascii="Arial Narrow" w:hAnsi="Arial Narrow"/>
          <w:sz w:val="18"/>
          <w:szCs w:val="22"/>
        </w:rPr>
        <w:t>during the evaluation based on the following changes: updated current market script volumes to cover FY 2023-24; addition of 78 grandfathered patients receiving continuing treatment; updated script equivalence between proposed and affected medicines; updated fees and mark-ups for proposed and affected medicines to reflect 1 Jul 2024 values.</w:t>
      </w:r>
    </w:p>
    <w:p w14:paraId="7B056C39" w14:textId="77777777" w:rsidR="00212DF0" w:rsidRDefault="001A5850" w:rsidP="0091041C">
      <w:pPr>
        <w:keepNext/>
        <w:keepLines/>
        <w:snapToGrid w:val="0"/>
        <w:spacing w:after="120"/>
        <w:contextualSpacing/>
        <w:rPr>
          <w:rFonts w:ascii="Arial Narrow" w:hAnsi="Arial Narrow"/>
          <w:iCs/>
          <w:sz w:val="18"/>
          <w:szCs w:val="22"/>
        </w:rPr>
      </w:pPr>
      <w:r w:rsidRPr="00E574CC">
        <w:rPr>
          <w:rFonts w:ascii="Arial Narrow" w:hAnsi="Arial Narrow"/>
          <w:iCs/>
          <w:sz w:val="18"/>
          <w:szCs w:val="22"/>
          <w:vertAlign w:val="superscript"/>
        </w:rPr>
        <w:t>b</w:t>
      </w:r>
      <w:r w:rsidRPr="00E574CC">
        <w:rPr>
          <w:rFonts w:ascii="Arial Narrow" w:hAnsi="Arial Narrow"/>
          <w:iCs/>
          <w:sz w:val="18"/>
          <w:szCs w:val="22"/>
        </w:rPr>
        <w:t xml:space="preserve"> The PSCR updated the published and effective DPMQs using updated frees and mark-ups and revised the number of repeats to align with the proposed restriction, however corrections to the number of grandfathered patients</w:t>
      </w:r>
      <w:r w:rsidR="005F44D2" w:rsidRPr="00E574CC">
        <w:rPr>
          <w:rFonts w:ascii="Arial Narrow" w:hAnsi="Arial Narrow"/>
          <w:iCs/>
          <w:sz w:val="18"/>
          <w:szCs w:val="22"/>
        </w:rPr>
        <w:t xml:space="preserve"> and scripts and corrections to the script equivalence were not applied</w:t>
      </w:r>
      <w:r w:rsidRPr="00E574CC">
        <w:rPr>
          <w:rFonts w:ascii="Arial Narrow" w:hAnsi="Arial Narrow"/>
          <w:iCs/>
          <w:sz w:val="18"/>
          <w:szCs w:val="22"/>
        </w:rPr>
        <w:t>.</w:t>
      </w:r>
    </w:p>
    <w:p w14:paraId="7C35E282" w14:textId="3AD98675" w:rsidR="00212DF0" w:rsidRPr="00212DF0" w:rsidRDefault="00212DF0" w:rsidP="0091041C">
      <w:pPr>
        <w:keepNext/>
        <w:keepLines/>
        <w:snapToGrid w:val="0"/>
        <w:spacing w:after="120"/>
        <w:contextualSpacing/>
        <w:rPr>
          <w:rFonts w:ascii="Arial Narrow" w:hAnsi="Arial Narrow"/>
          <w:iCs/>
          <w:sz w:val="18"/>
          <w:szCs w:val="22"/>
        </w:rPr>
      </w:pPr>
      <w:r w:rsidRPr="00212DF0">
        <w:rPr>
          <w:rFonts w:ascii="Arial Narrow" w:hAnsi="Arial Narrow"/>
          <w:iCs/>
          <w:sz w:val="18"/>
          <w:szCs w:val="22"/>
        </w:rPr>
        <w:t>The redacted values correspond to the following ranges:</w:t>
      </w:r>
    </w:p>
    <w:p w14:paraId="7A67CD6E" w14:textId="11A8F926" w:rsidR="00B90A4D" w:rsidRDefault="00691938"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 xml:space="preserve">1 </w:t>
      </w:r>
      <w:r w:rsidRPr="00691938">
        <w:rPr>
          <w:rFonts w:ascii="Arial Narrow" w:hAnsi="Arial Narrow"/>
          <w:iCs/>
          <w:sz w:val="18"/>
          <w:szCs w:val="22"/>
        </w:rPr>
        <w:t>&lt; 500</w:t>
      </w:r>
    </w:p>
    <w:p w14:paraId="3A3F82D9" w14:textId="4B372AC4" w:rsidR="00212DF0" w:rsidRPr="00212DF0" w:rsidRDefault="00691938"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2</w:t>
      </w:r>
      <w:r w:rsidR="00212DF0" w:rsidRPr="00212DF0">
        <w:rPr>
          <w:rFonts w:ascii="Arial Narrow" w:hAnsi="Arial Narrow"/>
          <w:iCs/>
          <w:sz w:val="18"/>
          <w:szCs w:val="22"/>
        </w:rPr>
        <w:t xml:space="preserve"> 500 to &lt; 5,000</w:t>
      </w:r>
    </w:p>
    <w:p w14:paraId="318B8EC8" w14:textId="77A32A80" w:rsidR="00212DF0" w:rsidRPr="00212DF0" w:rsidRDefault="008E5641"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3</w:t>
      </w:r>
      <w:r w:rsidR="00212DF0" w:rsidRPr="00212DF0">
        <w:rPr>
          <w:rFonts w:ascii="Arial Narrow" w:hAnsi="Arial Narrow"/>
          <w:iCs/>
          <w:sz w:val="18"/>
          <w:szCs w:val="22"/>
        </w:rPr>
        <w:t xml:space="preserve"> 5,000 to &lt; 10,000</w:t>
      </w:r>
    </w:p>
    <w:p w14:paraId="51F1613A" w14:textId="4F527843" w:rsidR="00212DF0" w:rsidRDefault="008E5641"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4</w:t>
      </w:r>
      <w:r w:rsidR="00212DF0" w:rsidRPr="00212DF0">
        <w:rPr>
          <w:rFonts w:ascii="Arial Narrow" w:hAnsi="Arial Narrow"/>
          <w:iCs/>
          <w:sz w:val="18"/>
          <w:szCs w:val="22"/>
        </w:rPr>
        <w:t xml:space="preserve"> 10,000 to &lt; 20,000</w:t>
      </w:r>
    </w:p>
    <w:p w14:paraId="5D8FD9D5" w14:textId="462B3954" w:rsidR="00C554BB" w:rsidRPr="00C554BB" w:rsidRDefault="00866567"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5</w:t>
      </w:r>
      <w:r>
        <w:rPr>
          <w:rFonts w:ascii="Arial Narrow" w:hAnsi="Arial Narrow"/>
          <w:iCs/>
          <w:sz w:val="18"/>
          <w:szCs w:val="22"/>
        </w:rPr>
        <w:t xml:space="preserve"> </w:t>
      </w:r>
      <w:r w:rsidR="00C554BB" w:rsidRPr="00C554BB">
        <w:rPr>
          <w:rFonts w:ascii="Arial Narrow" w:hAnsi="Arial Narrow"/>
          <w:iCs/>
          <w:sz w:val="18"/>
          <w:szCs w:val="22"/>
        </w:rPr>
        <w:t>$0 to &lt; $10 million</w:t>
      </w:r>
    </w:p>
    <w:p w14:paraId="72A4B0FE" w14:textId="3E2EC126" w:rsidR="00C554BB" w:rsidRPr="00C554BB" w:rsidRDefault="00866567"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6</w:t>
      </w:r>
      <w:r>
        <w:rPr>
          <w:rFonts w:ascii="Arial Narrow" w:hAnsi="Arial Narrow"/>
          <w:iCs/>
          <w:sz w:val="18"/>
          <w:szCs w:val="22"/>
        </w:rPr>
        <w:t xml:space="preserve"> </w:t>
      </w:r>
      <w:r w:rsidR="00C554BB" w:rsidRPr="00C554BB">
        <w:rPr>
          <w:rFonts w:ascii="Arial Narrow" w:hAnsi="Arial Narrow"/>
          <w:iCs/>
          <w:sz w:val="18"/>
          <w:szCs w:val="22"/>
        </w:rPr>
        <w:t>$10 million to &lt; $20 million</w:t>
      </w:r>
    </w:p>
    <w:p w14:paraId="332700B4" w14:textId="3839542B" w:rsidR="00C554BB" w:rsidRPr="00C554BB" w:rsidRDefault="00F921B5" w:rsidP="0091041C">
      <w:pPr>
        <w:keepNext/>
        <w:keepLines/>
        <w:snapToGrid w:val="0"/>
        <w:spacing w:after="120"/>
        <w:contextualSpacing/>
        <w:rPr>
          <w:rFonts w:ascii="Arial Narrow" w:hAnsi="Arial Narrow"/>
          <w:iCs/>
          <w:sz w:val="18"/>
          <w:szCs w:val="22"/>
        </w:rPr>
      </w:pPr>
      <w:r w:rsidRPr="0091041C">
        <w:rPr>
          <w:rFonts w:ascii="Arial Narrow" w:hAnsi="Arial Narrow"/>
          <w:iCs/>
          <w:sz w:val="18"/>
          <w:szCs w:val="22"/>
          <w:vertAlign w:val="superscript"/>
        </w:rPr>
        <w:t>7</w:t>
      </w:r>
      <w:r>
        <w:rPr>
          <w:rFonts w:ascii="Arial Narrow" w:hAnsi="Arial Narrow"/>
          <w:iCs/>
          <w:sz w:val="18"/>
          <w:szCs w:val="22"/>
        </w:rPr>
        <w:t xml:space="preserve"> </w:t>
      </w:r>
      <w:r w:rsidR="00C554BB" w:rsidRPr="00C554BB">
        <w:rPr>
          <w:rFonts w:ascii="Arial Narrow" w:hAnsi="Arial Narrow"/>
          <w:iCs/>
          <w:sz w:val="18"/>
          <w:szCs w:val="22"/>
        </w:rPr>
        <w:t>$20 million to &lt; $30 million</w:t>
      </w:r>
    </w:p>
    <w:p w14:paraId="7331DB57" w14:textId="77777777" w:rsidR="002B7727" w:rsidRDefault="00F921B5" w:rsidP="008A7F53">
      <w:pPr>
        <w:keepNext/>
        <w:keepLines/>
        <w:snapToGrid w:val="0"/>
        <w:contextualSpacing/>
        <w:rPr>
          <w:rFonts w:ascii="Arial Narrow" w:hAnsi="Arial Narrow"/>
          <w:iCs/>
          <w:sz w:val="18"/>
          <w:szCs w:val="22"/>
        </w:rPr>
      </w:pPr>
      <w:r w:rsidRPr="0091041C">
        <w:rPr>
          <w:rFonts w:ascii="Arial Narrow" w:hAnsi="Arial Narrow"/>
          <w:iCs/>
          <w:sz w:val="18"/>
          <w:szCs w:val="22"/>
          <w:vertAlign w:val="superscript"/>
        </w:rPr>
        <w:t>8</w:t>
      </w:r>
      <w:r>
        <w:rPr>
          <w:rFonts w:ascii="Arial Narrow" w:hAnsi="Arial Narrow"/>
          <w:iCs/>
          <w:sz w:val="18"/>
          <w:szCs w:val="22"/>
        </w:rPr>
        <w:t xml:space="preserve"> </w:t>
      </w:r>
      <w:r w:rsidR="00C554BB" w:rsidRPr="00C554BB">
        <w:rPr>
          <w:rFonts w:ascii="Arial Narrow" w:hAnsi="Arial Narrow"/>
          <w:iCs/>
          <w:sz w:val="18"/>
          <w:szCs w:val="22"/>
        </w:rPr>
        <w:t>$30 million to &lt; $40 million</w:t>
      </w:r>
    </w:p>
    <w:p w14:paraId="24E2B5B5" w14:textId="77777777" w:rsidR="008A7F53" w:rsidRPr="008A7F53" w:rsidRDefault="002B7727" w:rsidP="008A7F53">
      <w:pPr>
        <w:pStyle w:val="3-BodyText"/>
        <w:numPr>
          <w:ilvl w:val="0"/>
          <w:numId w:val="0"/>
        </w:numPr>
        <w:ind w:left="720" w:hanging="720"/>
      </w:pPr>
      <w:r w:rsidRPr="0091041C">
        <w:rPr>
          <w:rFonts w:ascii="Arial Narrow" w:hAnsi="Arial Narrow"/>
          <w:iCs/>
          <w:sz w:val="18"/>
          <w:vertAlign w:val="superscript"/>
        </w:rPr>
        <w:t>9</w:t>
      </w:r>
      <w:r>
        <w:rPr>
          <w:rFonts w:ascii="Arial Narrow" w:hAnsi="Arial Narrow"/>
          <w:iCs/>
          <w:sz w:val="18"/>
        </w:rPr>
        <w:t xml:space="preserve"> </w:t>
      </w:r>
      <w:r w:rsidRPr="002B7727">
        <w:rPr>
          <w:rFonts w:ascii="Arial Narrow" w:hAnsi="Arial Narrow"/>
          <w:iCs/>
          <w:sz w:val="18"/>
        </w:rPr>
        <w:t>net cost saving</w:t>
      </w:r>
    </w:p>
    <w:p w14:paraId="5BBA8431" w14:textId="2308D511" w:rsidR="00066F85" w:rsidRPr="00070C35" w:rsidRDefault="00066F85" w:rsidP="00066F85">
      <w:pPr>
        <w:pStyle w:val="3-BodyText"/>
      </w:pPr>
      <w:r w:rsidRPr="00070C35">
        <w:t xml:space="preserve">The financial impact to the PBS/RPBS of listing </w:t>
      </w:r>
      <w:r w:rsidR="00E93878" w:rsidRPr="00070C35">
        <w:t>ABRO</w:t>
      </w:r>
      <w:r w:rsidRPr="00070C35">
        <w:t xml:space="preserve"> was estimated to be a sav</w:t>
      </w:r>
      <w:r w:rsidR="009A73FB" w:rsidRPr="00070C35">
        <w:t>ing</w:t>
      </w:r>
      <w:r w:rsidRPr="00070C35">
        <w:t xml:space="preserve"> of </w:t>
      </w:r>
      <w:r w:rsidR="00494F71" w:rsidRPr="00494F71">
        <w:t>$0</w:t>
      </w:r>
      <w:r w:rsidR="00FD5ACC">
        <w:t> </w:t>
      </w:r>
      <w:r w:rsidR="00494F71" w:rsidRPr="00494F71">
        <w:t>to</w:t>
      </w:r>
      <w:r w:rsidR="00CC65CC">
        <w:t> </w:t>
      </w:r>
      <w:r w:rsidR="00494F71" w:rsidRPr="00494F71">
        <w:t>&lt;</w:t>
      </w:r>
      <w:r w:rsidR="00CC65CC">
        <w:t> </w:t>
      </w:r>
      <w:r w:rsidR="00494F71" w:rsidRPr="00494F71">
        <w:t>$10</w:t>
      </w:r>
      <w:r w:rsidR="00CC65CC">
        <w:t> </w:t>
      </w:r>
      <w:r w:rsidR="00494F71" w:rsidRPr="00494F71">
        <w:t>million</w:t>
      </w:r>
      <w:r w:rsidR="00494F71" w:rsidRPr="00494F71" w:rsidDel="00494F71">
        <w:t xml:space="preserve"> </w:t>
      </w:r>
      <w:r w:rsidRPr="00070C35">
        <w:t>in Year 6, and a total sav</w:t>
      </w:r>
      <w:r w:rsidR="009A73FB" w:rsidRPr="00070C35">
        <w:t>ing</w:t>
      </w:r>
      <w:r w:rsidRPr="00070C35">
        <w:t xml:space="preserve"> of </w:t>
      </w:r>
      <w:r w:rsidR="00494F71" w:rsidRPr="00494F71">
        <w:t>$20</w:t>
      </w:r>
      <w:r w:rsidR="00CC65CC">
        <w:t> </w:t>
      </w:r>
      <w:r w:rsidR="00494F71" w:rsidRPr="00494F71">
        <w:t>million</w:t>
      </w:r>
      <w:r w:rsidR="00CC65CC">
        <w:t> </w:t>
      </w:r>
      <w:r w:rsidR="00494F71" w:rsidRPr="00494F71">
        <w:t>to</w:t>
      </w:r>
      <w:r w:rsidR="00CC65CC">
        <w:t> </w:t>
      </w:r>
      <w:r w:rsidR="00494F71" w:rsidRPr="00494F71">
        <w:t>&lt;</w:t>
      </w:r>
      <w:r w:rsidR="00CC65CC">
        <w:t> </w:t>
      </w:r>
      <w:r w:rsidR="00494F71" w:rsidRPr="00494F71">
        <w:t>$30</w:t>
      </w:r>
      <w:r w:rsidR="00B2709A">
        <w:t> </w:t>
      </w:r>
      <w:r w:rsidR="00494F71" w:rsidRPr="00494F71">
        <w:t>million</w:t>
      </w:r>
      <w:r w:rsidR="00494F71" w:rsidRPr="00494F71" w:rsidDel="00494F71">
        <w:t xml:space="preserve"> </w:t>
      </w:r>
      <w:r w:rsidRPr="00070C35">
        <w:t>in the first 6 years of listing</w:t>
      </w:r>
      <w:r w:rsidRPr="00070C35">
        <w:rPr>
          <w:color w:val="3366FF"/>
        </w:rPr>
        <w:t>.</w:t>
      </w:r>
      <w:r w:rsidRPr="00070C35">
        <w:t xml:space="preserve"> </w:t>
      </w:r>
    </w:p>
    <w:p w14:paraId="1D6E3620" w14:textId="03DDA45C" w:rsidR="00066F85" w:rsidRPr="00070C35" w:rsidRDefault="00066F85" w:rsidP="00066F85">
      <w:pPr>
        <w:pStyle w:val="3-BodyText"/>
      </w:pPr>
      <w:r w:rsidRPr="00070C35">
        <w:t xml:space="preserve">The </w:t>
      </w:r>
      <w:r w:rsidR="00BB27B6">
        <w:t>financial estimates in the submission and PSCR</w:t>
      </w:r>
      <w:r w:rsidRPr="00070C35">
        <w:t xml:space="preserve"> </w:t>
      </w:r>
      <w:r w:rsidR="00BB27B6">
        <w:t xml:space="preserve">were </w:t>
      </w:r>
      <w:r w:rsidRPr="00070C35">
        <w:t xml:space="preserve">underestimated because the utilisation and cost model </w:t>
      </w:r>
      <w:r w:rsidR="00BB27B6">
        <w:t>w</w:t>
      </w:r>
      <w:r w:rsidRPr="00070C35">
        <w:t xml:space="preserve">as not correctly used to generate the scripts (and hence the costs) associated with treating the grandfathered patients. This has the greatest impact in the initial years of listing where the grandfathered patients’ scripts represent a greater proportion of the total cost. </w:t>
      </w:r>
    </w:p>
    <w:p w14:paraId="281F39CD" w14:textId="1A64B014" w:rsidR="00066F85" w:rsidRPr="00070C35" w:rsidRDefault="00066F85" w:rsidP="00066F85">
      <w:pPr>
        <w:pStyle w:val="3-BodyText"/>
      </w:pPr>
      <w:r w:rsidRPr="00070C35">
        <w:t>While the submission is presented on a cost-minimisation basis</w:t>
      </w:r>
      <w:r w:rsidR="00454C71">
        <w:t xml:space="preserve"> for the 200</w:t>
      </w:r>
      <w:r w:rsidR="00B2709A">
        <w:t> </w:t>
      </w:r>
      <w:r w:rsidR="00454C71">
        <w:t xml:space="preserve">mg dose </w:t>
      </w:r>
      <w:r w:rsidR="00454C71" w:rsidRPr="00E574CC">
        <w:rPr>
          <w:iCs/>
        </w:rPr>
        <w:t>and with a cost saving proposed for the 100 mg dose</w:t>
      </w:r>
      <w:r w:rsidRPr="00070C35">
        <w:t xml:space="preserve">, the listing results </w:t>
      </w:r>
      <w:r w:rsidR="00BE318B" w:rsidRPr="00070C35">
        <w:t>i</w:t>
      </w:r>
      <w:r w:rsidRPr="00070C35">
        <w:t xml:space="preserve">n a cost in the first year due to the inclusion of grandfathered patients. As these patients are otherwise untreated (even if they have previously been treated), there are no cost offsets applied to their treatment. This results in an overall cost to the PBS/RPBS in the first year that is highly sensitive to the size of the grandfathered patient </w:t>
      </w:r>
      <w:r w:rsidRPr="00070C35">
        <w:lastRenderedPageBreak/>
        <w:t>population.</w:t>
      </w:r>
      <w:r w:rsidR="00595133" w:rsidRPr="00070C35">
        <w:t xml:space="preserve"> </w:t>
      </w:r>
      <w:r w:rsidR="00FB5316" w:rsidRPr="00070C35">
        <w:t>The submission assumed no additional growth in the market associated with the introduction of an additional treatment option.</w:t>
      </w:r>
    </w:p>
    <w:p w14:paraId="013884F1" w14:textId="365825AE" w:rsidR="00066F85" w:rsidRPr="00BB27B6" w:rsidRDefault="00066F85" w:rsidP="00066F85">
      <w:pPr>
        <w:pStyle w:val="3-BodyText"/>
        <w:rPr>
          <w:color w:val="0066FF"/>
        </w:rPr>
      </w:pPr>
      <w:r w:rsidRPr="00070C35">
        <w:t xml:space="preserve">The submission proposed a grandfathered patient population drawn from a proposed patient familiarisation program (PFP). The PFP was </w:t>
      </w:r>
      <w:r w:rsidR="004905E9" w:rsidRPr="00070C35">
        <w:t xml:space="preserve">assumed </w:t>
      </w:r>
      <w:r w:rsidRPr="00070C35">
        <w:t xml:space="preserve">to provide </w:t>
      </w:r>
      <w:r w:rsidR="00596E09">
        <w:t>&lt; 500</w:t>
      </w:r>
      <w:r w:rsidR="00596E09" w:rsidRPr="00070C35">
        <w:t xml:space="preserve"> </w:t>
      </w:r>
      <w:r w:rsidRPr="00070C35">
        <w:t xml:space="preserve">new grandfathered patients over each of the first six years of listing. These patients would continue treatment after the initial 16 weeks of treatment at a rate of 78%. The submission stated that grandfathered patients would not receive PBS-subsidised initial treatment as they would commence their treatment through the PFP. </w:t>
      </w:r>
      <w:r w:rsidR="00BB27B6">
        <w:t>The commentary considered i</w:t>
      </w:r>
      <w:r w:rsidRPr="00070C35">
        <w:t xml:space="preserve">t </w:t>
      </w:r>
      <w:r w:rsidR="00BB27B6">
        <w:t>wa</w:t>
      </w:r>
      <w:r w:rsidRPr="00070C35">
        <w:t xml:space="preserve">s unclear what the source of </w:t>
      </w:r>
      <w:r w:rsidR="00BB27B6">
        <w:t xml:space="preserve">initiating </w:t>
      </w:r>
      <w:r w:rsidRPr="00070C35">
        <w:t xml:space="preserve">grandfathered patients would be beyond the first year of listing. It is also unclear why </w:t>
      </w:r>
      <w:r w:rsidR="00B2709A">
        <w:t>&lt; 500</w:t>
      </w:r>
      <w:r w:rsidR="00596E09">
        <w:t xml:space="preserve"> </w:t>
      </w:r>
      <w:r w:rsidRPr="00070C35">
        <w:t>grandfathered patients have been included when the submission states that only continuing patients would access treatment and there is a 22% discontinuation rate between initial and continuing patients.</w:t>
      </w:r>
      <w:r w:rsidR="004124C9">
        <w:t xml:space="preserve"> </w:t>
      </w:r>
      <w:r w:rsidR="004124C9" w:rsidRPr="00E574CC">
        <w:rPr>
          <w:iCs/>
        </w:rPr>
        <w:t xml:space="preserve">The PSCR stated that the discontinuation rate for patients transitioning from non-PBS to PBS treatment in year 1 is uncertain and </w:t>
      </w:r>
      <w:r w:rsidR="00E9280F" w:rsidRPr="00E574CC">
        <w:rPr>
          <w:iCs/>
        </w:rPr>
        <w:t xml:space="preserve">acknowledged that </w:t>
      </w:r>
      <w:r w:rsidR="004124C9" w:rsidRPr="00E574CC">
        <w:rPr>
          <w:iCs/>
        </w:rPr>
        <w:t xml:space="preserve">the assumptions </w:t>
      </w:r>
      <w:r w:rsidR="00454C71" w:rsidRPr="00E574CC">
        <w:rPr>
          <w:iCs/>
        </w:rPr>
        <w:t>may</w:t>
      </w:r>
      <w:r w:rsidR="004124C9" w:rsidRPr="00E574CC">
        <w:rPr>
          <w:iCs/>
        </w:rPr>
        <w:t xml:space="preserve"> overestimat</w:t>
      </w:r>
      <w:r w:rsidR="00454C71" w:rsidRPr="00E574CC">
        <w:rPr>
          <w:iCs/>
        </w:rPr>
        <w:t>e</w:t>
      </w:r>
      <w:r w:rsidR="004124C9" w:rsidRPr="00E574CC">
        <w:rPr>
          <w:iCs/>
        </w:rPr>
        <w:t xml:space="preserve"> </w:t>
      </w:r>
      <w:r w:rsidR="00454C71" w:rsidRPr="00E574CC">
        <w:rPr>
          <w:iCs/>
        </w:rPr>
        <w:t>the</w:t>
      </w:r>
      <w:r w:rsidR="004124C9" w:rsidRPr="00E574CC">
        <w:rPr>
          <w:iCs/>
        </w:rPr>
        <w:t xml:space="preserve"> patient numbers.</w:t>
      </w:r>
    </w:p>
    <w:p w14:paraId="7F2C3A95" w14:textId="4BD197DB" w:rsidR="00BB27B6" w:rsidRPr="00070C35" w:rsidRDefault="00BB27B6" w:rsidP="00066F85">
      <w:pPr>
        <w:pStyle w:val="3-BodyText"/>
        <w:rPr>
          <w:color w:val="0066FF"/>
        </w:rPr>
      </w:pPr>
      <w:r>
        <w:t>T</w:t>
      </w:r>
      <w:r w:rsidRPr="00070C35">
        <w:t xml:space="preserve">he </w:t>
      </w:r>
      <w:r>
        <w:t xml:space="preserve">financial estimates assumed </w:t>
      </w:r>
      <w:r w:rsidRPr="00070C35">
        <w:t xml:space="preserve">that </w:t>
      </w:r>
      <w:r>
        <w:t>61-72% of ABRO scripts in each year</w:t>
      </w:r>
      <w:r w:rsidRPr="00070C35">
        <w:t xml:space="preserve"> </w:t>
      </w:r>
      <w:r>
        <w:t>would be for t</w:t>
      </w:r>
      <w:r w:rsidRPr="00070C35">
        <w:t>he 100 mg dose</w:t>
      </w:r>
      <w:r>
        <w:t xml:space="preserve"> and that </w:t>
      </w:r>
      <w:r>
        <w:rPr>
          <w:iCs/>
        </w:rPr>
        <w:t>9-13% of total ABRO scripts in each year would be for the 50 mg dose. It was unclear how the split of ABRO doses was determined.</w:t>
      </w:r>
    </w:p>
    <w:p w14:paraId="6015A395" w14:textId="2EDB6A4E" w:rsidR="00576972" w:rsidRPr="0098262F" w:rsidRDefault="00576972" w:rsidP="00606FBA">
      <w:pPr>
        <w:pStyle w:val="4-SubsectionHeading"/>
      </w:pPr>
      <w:bookmarkStart w:id="83" w:name="_Toc22897649"/>
      <w:bookmarkStart w:id="84" w:name="_Toc177558658"/>
      <w:r w:rsidRPr="0098262F">
        <w:t>Financial Management – Risk Sharing Arrangements</w:t>
      </w:r>
      <w:bookmarkEnd w:id="83"/>
      <w:bookmarkEnd w:id="84"/>
    </w:p>
    <w:p w14:paraId="2316F3D6" w14:textId="62F5C02B" w:rsidR="00066F85" w:rsidRPr="00066F85" w:rsidRDefault="00066F85" w:rsidP="00B77B1D">
      <w:pPr>
        <w:pStyle w:val="3-BodyText"/>
      </w:pPr>
      <w:r w:rsidRPr="009300DD">
        <w:t xml:space="preserve">The sponsor has indicated that they are willing to join the existing Risk Share Arrangement </w:t>
      </w:r>
      <w:r>
        <w:t xml:space="preserve">(RSA) </w:t>
      </w:r>
      <w:r w:rsidRPr="009300DD">
        <w:t>th</w:t>
      </w:r>
      <w:r>
        <w:t>at</w:t>
      </w:r>
      <w:r w:rsidRPr="009300DD">
        <w:t xml:space="preserve"> contains </w:t>
      </w:r>
      <w:r w:rsidR="00E93878">
        <w:t>DUPI</w:t>
      </w:r>
      <w:r w:rsidRPr="009300DD">
        <w:t xml:space="preserve"> and </w:t>
      </w:r>
      <w:r w:rsidR="003C4C51">
        <w:t>UPA</w:t>
      </w:r>
      <w:r w:rsidR="003C4C51" w:rsidRPr="009300DD">
        <w:t xml:space="preserve"> </w:t>
      </w:r>
      <w:r w:rsidRPr="009300DD">
        <w:t>for the treatment of severe atopic dermatitis. This RSA was the subject of a DUSC</w:t>
      </w:r>
      <w:r w:rsidR="00016741">
        <w:t xml:space="preserve"> review (September 2023) and</w:t>
      </w:r>
      <w:r w:rsidRPr="009300DD">
        <w:t xml:space="preserve"> </w:t>
      </w:r>
      <w:r w:rsidR="00016741">
        <w:t>a c</w:t>
      </w:r>
      <w:r w:rsidRPr="009300DD">
        <w:t>ost-effectiveness review of drugs for atopic dermatitis (November 2023 PBAC)</w:t>
      </w:r>
      <w:r w:rsidR="00016741">
        <w:t xml:space="preserve"> and Category 3 PBAC submissions in July 2022 and July 2023</w:t>
      </w:r>
      <w:r w:rsidRPr="009300DD">
        <w:t>.</w:t>
      </w:r>
      <w:r w:rsidRPr="00066F85">
        <w:t xml:space="preserve"> </w:t>
      </w:r>
      <w:r w:rsidR="004E6D08">
        <w:t>A delist request for DUPI was also considered in July 2024.</w:t>
      </w:r>
    </w:p>
    <w:p w14:paraId="4295173C" w14:textId="367C2240" w:rsidR="00066F85" w:rsidRPr="00070C35" w:rsidRDefault="00066F85" w:rsidP="00B77B1D">
      <w:pPr>
        <w:pStyle w:val="3-BodyText"/>
      </w:pPr>
      <w:r w:rsidRPr="00070C35">
        <w:t xml:space="preserve">The sponsor did not request any changes to the caps associated with the existing </w:t>
      </w:r>
      <w:r w:rsidR="00E93878" w:rsidRPr="00070C35">
        <w:t>DUPI</w:t>
      </w:r>
      <w:r w:rsidRPr="00070C35">
        <w:t xml:space="preserve"> / </w:t>
      </w:r>
      <w:r w:rsidR="003C4C51">
        <w:t>UPA</w:t>
      </w:r>
      <w:r w:rsidR="003C4C51" w:rsidRPr="00070C35">
        <w:t xml:space="preserve"> </w:t>
      </w:r>
      <w:r w:rsidRPr="00070C35">
        <w:t xml:space="preserve">RSA. As this listing will provide an alternative to the currently listed agents and treat the same patient populations, it </w:t>
      </w:r>
      <w:r w:rsidR="00BB27B6">
        <w:t xml:space="preserve">is </w:t>
      </w:r>
      <w:r w:rsidRPr="00070C35">
        <w:t>not expected to increase the size of the market and hence an increase in the RSA caps i</w:t>
      </w:r>
      <w:r w:rsidR="00EE38B4">
        <w:t>s</w:t>
      </w:r>
      <w:r w:rsidRPr="00070C35">
        <w:t xml:space="preserve"> not warranted. </w:t>
      </w:r>
    </w:p>
    <w:p w14:paraId="2BD56A8F" w14:textId="4DB902C4" w:rsidR="007E6D75" w:rsidRPr="00070C35" w:rsidRDefault="007E6D75" w:rsidP="0091041C">
      <w:pPr>
        <w:spacing w:after="120"/>
        <w:ind w:firstLine="709"/>
      </w:pPr>
      <w:r w:rsidRPr="00C33D30">
        <w:rPr>
          <w:i/>
        </w:rPr>
        <w:t>For more detail on PBAC’s view, see section 7 PBAC outcome.</w:t>
      </w:r>
    </w:p>
    <w:p w14:paraId="525EC561" w14:textId="77777777" w:rsidR="00490D81" w:rsidRPr="00490D81" w:rsidRDefault="00490D81" w:rsidP="00490D81">
      <w:pPr>
        <w:keepNext/>
        <w:numPr>
          <w:ilvl w:val="0"/>
          <w:numId w:val="1"/>
        </w:numPr>
        <w:spacing w:before="240" w:after="120"/>
        <w:outlineLvl w:val="0"/>
        <w:rPr>
          <w:b/>
          <w:snapToGrid w:val="0"/>
          <w:sz w:val="32"/>
          <w:szCs w:val="32"/>
        </w:rPr>
      </w:pPr>
      <w:bookmarkStart w:id="85" w:name="_Hlk76381249"/>
      <w:bookmarkStart w:id="86" w:name="_Hlk76377955"/>
      <w:r w:rsidRPr="00490D81">
        <w:rPr>
          <w:b/>
          <w:snapToGrid w:val="0"/>
          <w:sz w:val="32"/>
          <w:szCs w:val="32"/>
        </w:rPr>
        <w:t>PBAC Outcome</w:t>
      </w:r>
    </w:p>
    <w:p w14:paraId="778B6EA9" w14:textId="508A8913" w:rsidR="00490D81" w:rsidRPr="00CE2429" w:rsidRDefault="00490D81" w:rsidP="00B450BD">
      <w:pPr>
        <w:widowControl w:val="0"/>
        <w:numPr>
          <w:ilvl w:val="1"/>
          <w:numId w:val="1"/>
        </w:numPr>
        <w:spacing w:after="120"/>
        <w:rPr>
          <w:snapToGrid w:val="0"/>
          <w:lang w:val="en-GB" w:eastAsia="en-US"/>
        </w:rPr>
      </w:pPr>
      <w:r w:rsidRPr="00CE2429">
        <w:rPr>
          <w:snapToGrid w:val="0"/>
          <w:lang w:val="en-GB" w:eastAsia="en-US"/>
        </w:rPr>
        <w:t xml:space="preserve">The PBAC recommended the </w:t>
      </w:r>
      <w:r w:rsidR="00BB27B6">
        <w:rPr>
          <w:snapToGrid w:val="0"/>
          <w:lang w:val="en-GB" w:eastAsia="en-US"/>
        </w:rPr>
        <w:t xml:space="preserve">General Schedule </w:t>
      </w:r>
      <w:r w:rsidR="00A13B27" w:rsidRPr="00CE2429">
        <w:rPr>
          <w:snapToGrid w:val="0"/>
          <w:lang w:val="en-GB" w:eastAsia="en-US"/>
        </w:rPr>
        <w:t xml:space="preserve">Authority Required </w:t>
      </w:r>
      <w:r w:rsidRPr="00CE2429">
        <w:rPr>
          <w:snapToGrid w:val="0"/>
          <w:lang w:val="en-GB" w:eastAsia="en-US"/>
        </w:rPr>
        <w:t xml:space="preserve">listing of </w:t>
      </w:r>
      <w:proofErr w:type="spellStart"/>
      <w:r w:rsidR="00A13B27" w:rsidRPr="00CE2429">
        <w:rPr>
          <w:snapToGrid w:val="0"/>
          <w:lang w:val="en-GB" w:eastAsia="en-US"/>
        </w:rPr>
        <w:t>abrocitinib</w:t>
      </w:r>
      <w:proofErr w:type="spellEnd"/>
      <w:r w:rsidR="00A13B27" w:rsidRPr="00CE2429">
        <w:rPr>
          <w:snapToGrid w:val="0"/>
          <w:lang w:val="en-GB" w:eastAsia="en-US"/>
        </w:rPr>
        <w:t xml:space="preserve"> </w:t>
      </w:r>
      <w:r w:rsidR="00CE2429" w:rsidRPr="00CE2429">
        <w:rPr>
          <w:snapToGrid w:val="0"/>
          <w:lang w:val="en-GB" w:eastAsia="en-US"/>
        </w:rPr>
        <w:t xml:space="preserve">(ABRO) </w:t>
      </w:r>
      <w:r w:rsidR="00A13B27" w:rsidRPr="00CE2429">
        <w:rPr>
          <w:snapToGrid w:val="0"/>
          <w:lang w:val="en-GB" w:eastAsia="en-US"/>
        </w:rPr>
        <w:t>200 mg, 100 mg and 50 mg tablets</w:t>
      </w:r>
      <w:r w:rsidRPr="00CE2429">
        <w:rPr>
          <w:snapToGrid w:val="0"/>
          <w:lang w:val="en-GB" w:eastAsia="en-US"/>
        </w:rPr>
        <w:t xml:space="preserve"> </w:t>
      </w:r>
      <w:r w:rsidR="00CE2429" w:rsidRPr="00CE2429">
        <w:rPr>
          <w:rFonts w:eastAsiaTheme="minorHAnsi" w:cstheme="minorBidi"/>
          <w:szCs w:val="22"/>
        </w:rPr>
        <w:t xml:space="preserve">for the treatment of adult patients with chronic severe atopic dermatitis (AD). The </w:t>
      </w:r>
      <w:r w:rsidR="00AA6501">
        <w:rPr>
          <w:rFonts w:eastAsiaTheme="minorHAnsi" w:cstheme="minorBidi"/>
          <w:szCs w:val="22"/>
        </w:rPr>
        <w:t xml:space="preserve">PBAC recommended the </w:t>
      </w:r>
      <w:r w:rsidR="00CE2429" w:rsidRPr="00CE2429">
        <w:rPr>
          <w:rFonts w:eastAsiaTheme="minorHAnsi" w:cstheme="minorBidi"/>
          <w:szCs w:val="22"/>
        </w:rPr>
        <w:t xml:space="preserve">listings </w:t>
      </w:r>
      <w:r w:rsidR="00BB27B6">
        <w:rPr>
          <w:rFonts w:eastAsiaTheme="minorHAnsi" w:cstheme="minorBidi"/>
          <w:szCs w:val="22"/>
        </w:rPr>
        <w:t xml:space="preserve">(doses) </w:t>
      </w:r>
      <w:r w:rsidR="00BB27B6">
        <w:rPr>
          <w:snapToGrid w:val="0"/>
          <w:lang w:val="en-GB" w:eastAsia="en-US"/>
        </w:rPr>
        <w:t>on the basis of the following cost-effectiveness considerations</w:t>
      </w:r>
      <w:r w:rsidR="00A13B27" w:rsidRPr="00CE2429">
        <w:rPr>
          <w:snapToGrid w:val="0"/>
          <w:lang w:val="en-GB" w:eastAsia="en-US"/>
        </w:rPr>
        <w:t>:</w:t>
      </w:r>
    </w:p>
    <w:p w14:paraId="6D0D625C" w14:textId="6EAA616B" w:rsidR="00A13B27" w:rsidRDefault="00A13B27" w:rsidP="00B450BD">
      <w:pPr>
        <w:pStyle w:val="ListParagraph"/>
        <w:widowControl w:val="0"/>
        <w:numPr>
          <w:ilvl w:val="0"/>
          <w:numId w:val="23"/>
        </w:numPr>
        <w:jc w:val="both"/>
        <w:rPr>
          <w:lang w:val="en-GB" w:eastAsia="en-US"/>
        </w:rPr>
      </w:pPr>
      <w:r>
        <w:rPr>
          <w:lang w:val="en-GB" w:eastAsia="en-US"/>
        </w:rPr>
        <w:t>A</w:t>
      </w:r>
      <w:r w:rsidR="00CE2429">
        <w:rPr>
          <w:lang w:val="en-GB" w:eastAsia="en-US"/>
        </w:rPr>
        <w:t>BRO</w:t>
      </w:r>
      <w:r>
        <w:rPr>
          <w:lang w:val="en-GB" w:eastAsia="en-US"/>
        </w:rPr>
        <w:t xml:space="preserve"> 200 mg</w:t>
      </w:r>
      <w:r w:rsidR="00845403">
        <w:rPr>
          <w:lang w:val="en-GB" w:eastAsia="en-US"/>
        </w:rPr>
        <w:t xml:space="preserve"> </w:t>
      </w:r>
      <w:r>
        <w:rPr>
          <w:lang w:val="en-GB" w:eastAsia="en-US"/>
        </w:rPr>
        <w:t xml:space="preserve">was recommended </w:t>
      </w:r>
      <w:proofErr w:type="gramStart"/>
      <w:r w:rsidR="00AA6501">
        <w:rPr>
          <w:lang w:val="en-GB" w:eastAsia="en-US"/>
        </w:rPr>
        <w:t>on the basis of</w:t>
      </w:r>
      <w:proofErr w:type="gramEnd"/>
      <w:r>
        <w:rPr>
          <w:lang w:val="en-GB" w:eastAsia="en-US"/>
        </w:rPr>
        <w:t xml:space="preserve"> a cost-minimisation approach </w:t>
      </w:r>
      <w:r w:rsidR="00D4121A">
        <w:rPr>
          <w:lang w:val="en-GB" w:eastAsia="en-US"/>
        </w:rPr>
        <w:t xml:space="preserve">(CMA) </w:t>
      </w:r>
      <w:r>
        <w:rPr>
          <w:lang w:val="en-GB" w:eastAsia="en-US"/>
        </w:rPr>
        <w:t xml:space="preserve">compared to dupilumab </w:t>
      </w:r>
      <w:r w:rsidR="00CE2429">
        <w:rPr>
          <w:lang w:val="en-GB" w:eastAsia="en-US"/>
        </w:rPr>
        <w:t>(DUPI)</w:t>
      </w:r>
      <w:r w:rsidR="00BB27B6">
        <w:rPr>
          <w:lang w:val="en-GB" w:eastAsia="en-US"/>
        </w:rPr>
        <w:t xml:space="preserve">. The PBAC considered the evidence presented in the submission demonstrated that ABRO 200 mg has non-inferior efficacy compared to DUPI. The Committee considered </w:t>
      </w:r>
      <w:r w:rsidR="00845403">
        <w:rPr>
          <w:lang w:val="en-GB" w:eastAsia="en-US"/>
        </w:rPr>
        <w:t xml:space="preserve">the equi-effective doses </w:t>
      </w:r>
      <w:r w:rsidR="00BB27B6">
        <w:rPr>
          <w:lang w:val="en-GB" w:eastAsia="en-US"/>
        </w:rPr>
        <w:lastRenderedPageBreak/>
        <w:t xml:space="preserve">were </w:t>
      </w:r>
      <w:r w:rsidR="00CE2429">
        <w:rPr>
          <w:lang w:val="en-GB" w:eastAsia="en-US"/>
        </w:rPr>
        <w:t>ABRO</w:t>
      </w:r>
      <w:r w:rsidR="00845403">
        <w:rPr>
          <w:lang w:val="en-GB" w:eastAsia="en-US"/>
        </w:rPr>
        <w:t xml:space="preserve"> 200 mg </w:t>
      </w:r>
      <w:r w:rsidR="00204C6D">
        <w:rPr>
          <w:lang w:val="en-GB" w:eastAsia="en-US"/>
        </w:rPr>
        <w:t xml:space="preserve">orally once </w:t>
      </w:r>
      <w:r w:rsidR="00845403">
        <w:rPr>
          <w:lang w:val="en-GB" w:eastAsia="en-US"/>
        </w:rPr>
        <w:t xml:space="preserve">daily and </w:t>
      </w:r>
      <w:r w:rsidR="00CE2429">
        <w:rPr>
          <w:lang w:val="en-GB" w:eastAsia="en-US"/>
        </w:rPr>
        <w:t xml:space="preserve">DUPI </w:t>
      </w:r>
      <w:r w:rsidR="00D4121A">
        <w:rPr>
          <w:lang w:val="en-GB" w:eastAsia="en-US"/>
        </w:rPr>
        <w:t xml:space="preserve">600 mg </w:t>
      </w:r>
      <w:r w:rsidR="00862AA3">
        <w:rPr>
          <w:lang w:val="en-GB" w:eastAsia="en-US"/>
        </w:rPr>
        <w:t xml:space="preserve">subcutaneously </w:t>
      </w:r>
      <w:r w:rsidR="00D4121A">
        <w:rPr>
          <w:lang w:val="en-GB" w:eastAsia="en-US"/>
        </w:rPr>
        <w:t xml:space="preserve">as an initial dose then </w:t>
      </w:r>
      <w:r>
        <w:rPr>
          <w:lang w:val="en-GB" w:eastAsia="en-US"/>
        </w:rPr>
        <w:t>300 mg every 2 weeks</w:t>
      </w:r>
      <w:r w:rsidR="00D4121A">
        <w:rPr>
          <w:lang w:val="en-GB" w:eastAsia="en-US"/>
        </w:rPr>
        <w:t xml:space="preserve"> thereafter</w:t>
      </w:r>
      <w:r w:rsidR="00BB27B6">
        <w:rPr>
          <w:lang w:val="en-GB" w:eastAsia="en-US"/>
        </w:rPr>
        <w:t xml:space="preserve"> assuming equivalent drug costs over</w:t>
      </w:r>
      <w:r w:rsidR="00E34E32">
        <w:rPr>
          <w:lang w:val="en-GB" w:eastAsia="en-US"/>
        </w:rPr>
        <w:t xml:space="preserve"> </w:t>
      </w:r>
      <w:r w:rsidR="00BB27B6">
        <w:rPr>
          <w:lang w:val="en-GB" w:eastAsia="en-US"/>
        </w:rPr>
        <w:t>a</w:t>
      </w:r>
      <w:r w:rsidR="00E34E32">
        <w:rPr>
          <w:lang w:val="en-GB" w:eastAsia="en-US"/>
        </w:rPr>
        <w:t xml:space="preserve"> </w:t>
      </w:r>
      <w:r w:rsidR="00260808">
        <w:rPr>
          <w:lang w:val="en-GB" w:eastAsia="en-US"/>
        </w:rPr>
        <w:t>2-year</w:t>
      </w:r>
      <w:r w:rsidR="00BB27B6">
        <w:rPr>
          <w:lang w:val="en-GB" w:eastAsia="en-US"/>
        </w:rPr>
        <w:t xml:space="preserve"> period</w:t>
      </w:r>
      <w:r w:rsidR="00845403">
        <w:rPr>
          <w:lang w:val="en-GB" w:eastAsia="en-US"/>
        </w:rPr>
        <w:t>.</w:t>
      </w:r>
      <w:r w:rsidR="003F511A">
        <w:rPr>
          <w:lang w:val="en-GB" w:eastAsia="en-US"/>
        </w:rPr>
        <w:t xml:space="preserve"> </w:t>
      </w:r>
      <w:r w:rsidR="00AA1B48">
        <w:t>T</w:t>
      </w:r>
      <w:r w:rsidR="00AA1B48" w:rsidRPr="00725926">
        <w:rPr>
          <w:rFonts w:cstheme="minorHAnsi"/>
        </w:rPr>
        <w:t>he PBAC</w:t>
      </w:r>
      <w:r w:rsidR="00AA1B48">
        <w:rPr>
          <w:rFonts w:cstheme="minorHAnsi"/>
        </w:rPr>
        <w:t xml:space="preserve"> considered that the cost </w:t>
      </w:r>
      <w:r w:rsidR="00AA1B48" w:rsidRPr="00725926">
        <w:rPr>
          <w:rFonts w:cstheme="minorHAnsi"/>
        </w:rPr>
        <w:t xml:space="preserve">effectiveness of </w:t>
      </w:r>
      <w:proofErr w:type="spellStart"/>
      <w:r w:rsidR="00AA1B48" w:rsidRPr="00725926">
        <w:rPr>
          <w:rFonts w:cstheme="minorHAnsi"/>
        </w:rPr>
        <w:t>abrocitinib</w:t>
      </w:r>
      <w:proofErr w:type="spellEnd"/>
      <w:r w:rsidR="00AA1B48" w:rsidRPr="00725926">
        <w:rPr>
          <w:rFonts w:cstheme="minorHAnsi"/>
        </w:rPr>
        <w:t xml:space="preserve"> 200</w:t>
      </w:r>
      <w:r w:rsidR="00B450BD">
        <w:rPr>
          <w:rFonts w:cstheme="minorHAnsi"/>
        </w:rPr>
        <w:t> </w:t>
      </w:r>
      <w:r w:rsidR="00AA1B48" w:rsidRPr="00725926">
        <w:rPr>
          <w:rFonts w:cstheme="minorHAnsi"/>
        </w:rPr>
        <w:t xml:space="preserve">mg would be acceptable if it were cost-minimised to the lowest cost alternative therapy of </w:t>
      </w:r>
      <w:r w:rsidR="00AA1B48">
        <w:rPr>
          <w:rFonts w:cstheme="minorHAnsi"/>
        </w:rPr>
        <w:t>DUPI or UPA</w:t>
      </w:r>
      <w:r w:rsidR="00AA1B48" w:rsidRPr="00725926">
        <w:rPr>
          <w:rFonts w:cstheme="minorHAnsi"/>
        </w:rPr>
        <w:t>.</w:t>
      </w:r>
    </w:p>
    <w:p w14:paraId="599D9EB4" w14:textId="501B9B3C" w:rsidR="00845403" w:rsidRPr="00EA4DE9" w:rsidRDefault="00845403" w:rsidP="00B450BD">
      <w:pPr>
        <w:pStyle w:val="ListParagraph"/>
        <w:widowControl w:val="0"/>
        <w:numPr>
          <w:ilvl w:val="0"/>
          <w:numId w:val="23"/>
        </w:numPr>
        <w:jc w:val="both"/>
        <w:rPr>
          <w:lang w:val="en-GB" w:eastAsia="en-US"/>
        </w:rPr>
      </w:pPr>
      <w:r w:rsidRPr="00EA4DE9">
        <w:rPr>
          <w:lang w:val="en-GB" w:eastAsia="en-US"/>
        </w:rPr>
        <w:t>A</w:t>
      </w:r>
      <w:r w:rsidR="00CE2429" w:rsidRPr="00EA4DE9">
        <w:rPr>
          <w:lang w:val="en-GB" w:eastAsia="en-US"/>
        </w:rPr>
        <w:t>BRO</w:t>
      </w:r>
      <w:r w:rsidRPr="00EA4DE9">
        <w:rPr>
          <w:lang w:val="en-GB" w:eastAsia="en-US"/>
        </w:rPr>
        <w:t xml:space="preserve"> 100 mg was recommended </w:t>
      </w:r>
      <w:proofErr w:type="gramStart"/>
      <w:r w:rsidR="00AA6501" w:rsidRPr="00EA4DE9">
        <w:rPr>
          <w:lang w:val="en-GB" w:eastAsia="en-US"/>
        </w:rPr>
        <w:t>on the basis of</w:t>
      </w:r>
      <w:proofErr w:type="gramEnd"/>
      <w:r w:rsidRPr="00EA4DE9">
        <w:rPr>
          <w:lang w:val="en-GB" w:eastAsia="en-US"/>
        </w:rPr>
        <w:t xml:space="preserve"> a cost-utility analysis </w:t>
      </w:r>
      <w:r w:rsidR="00D4121A" w:rsidRPr="00EA4DE9">
        <w:rPr>
          <w:lang w:val="en-GB" w:eastAsia="en-US"/>
        </w:rPr>
        <w:t xml:space="preserve">(CUA) </w:t>
      </w:r>
      <w:r w:rsidRPr="00EA4DE9">
        <w:rPr>
          <w:lang w:val="en-GB" w:eastAsia="en-US"/>
        </w:rPr>
        <w:t xml:space="preserve">compared to </w:t>
      </w:r>
      <w:r w:rsidR="00CE2429" w:rsidRPr="00EA4DE9">
        <w:rPr>
          <w:lang w:val="en-GB" w:eastAsia="en-US"/>
        </w:rPr>
        <w:t>DUPI</w:t>
      </w:r>
      <w:r w:rsidR="006A1443" w:rsidRPr="00EA4DE9">
        <w:rPr>
          <w:lang w:val="en-GB" w:eastAsia="en-US"/>
        </w:rPr>
        <w:t xml:space="preserve">. </w:t>
      </w:r>
      <w:r w:rsidR="000521A7" w:rsidRPr="00EA4DE9">
        <w:rPr>
          <w:rFonts w:cstheme="minorHAnsi"/>
        </w:rPr>
        <w:t xml:space="preserve">The PBAC considered that </w:t>
      </w:r>
      <w:r w:rsidR="005D6D4D" w:rsidRPr="00EA4DE9">
        <w:rPr>
          <w:rFonts w:cstheme="minorHAnsi"/>
        </w:rPr>
        <w:t>ABRO</w:t>
      </w:r>
      <w:r w:rsidR="000521A7" w:rsidRPr="00EA4DE9">
        <w:rPr>
          <w:rFonts w:cstheme="minorHAnsi"/>
        </w:rPr>
        <w:t xml:space="preserve"> 100 mg provide</w:t>
      </w:r>
      <w:r w:rsidR="001F6AA3" w:rsidRPr="00EA4DE9">
        <w:rPr>
          <w:rFonts w:cstheme="minorHAnsi"/>
        </w:rPr>
        <w:t>s</w:t>
      </w:r>
      <w:r w:rsidR="000521A7" w:rsidRPr="00EA4DE9">
        <w:rPr>
          <w:rFonts w:cstheme="minorHAnsi"/>
        </w:rPr>
        <w:t xml:space="preserve"> a</w:t>
      </w:r>
      <w:r w:rsidR="00BB27B6" w:rsidRPr="00EA4DE9">
        <w:rPr>
          <w:rFonts w:cstheme="minorHAnsi"/>
        </w:rPr>
        <w:t>n inferior</w:t>
      </w:r>
      <w:r w:rsidR="000521A7" w:rsidRPr="00EA4DE9">
        <w:rPr>
          <w:rFonts w:cstheme="minorHAnsi"/>
        </w:rPr>
        <w:t xml:space="preserve"> clinical benefit </w:t>
      </w:r>
      <w:r w:rsidR="00BB27B6" w:rsidRPr="00EA4DE9">
        <w:rPr>
          <w:rFonts w:cstheme="minorHAnsi"/>
        </w:rPr>
        <w:t>to</w:t>
      </w:r>
      <w:r w:rsidR="000521A7" w:rsidRPr="00EA4DE9">
        <w:rPr>
          <w:rFonts w:cstheme="minorHAnsi"/>
        </w:rPr>
        <w:t xml:space="preserve"> that </w:t>
      </w:r>
      <w:r w:rsidR="001F6AA3" w:rsidRPr="00EA4DE9">
        <w:rPr>
          <w:rFonts w:cstheme="minorHAnsi"/>
        </w:rPr>
        <w:t>of</w:t>
      </w:r>
      <w:r w:rsidR="000521A7" w:rsidRPr="00EA4DE9">
        <w:rPr>
          <w:rFonts w:cstheme="minorHAnsi"/>
        </w:rPr>
        <w:t xml:space="preserve"> </w:t>
      </w:r>
      <w:r w:rsidR="005D6D4D" w:rsidRPr="00EA4DE9">
        <w:rPr>
          <w:rFonts w:cstheme="minorHAnsi"/>
        </w:rPr>
        <w:t>DUPI</w:t>
      </w:r>
      <w:r w:rsidR="000521A7" w:rsidRPr="00EA4DE9">
        <w:rPr>
          <w:rFonts w:cstheme="minorHAnsi"/>
        </w:rPr>
        <w:t xml:space="preserve"> but that it may have a place in therapy for patients </w:t>
      </w:r>
      <w:r w:rsidR="00862AA3" w:rsidRPr="00EA4DE9">
        <w:rPr>
          <w:rFonts w:cstheme="minorHAnsi"/>
        </w:rPr>
        <w:t xml:space="preserve">not responding </w:t>
      </w:r>
      <w:r w:rsidR="000521A7" w:rsidRPr="00EA4DE9">
        <w:rPr>
          <w:rFonts w:cstheme="minorHAnsi"/>
        </w:rPr>
        <w:t>to other systemic treatments</w:t>
      </w:r>
      <w:r w:rsidR="005D6D4D" w:rsidRPr="00EA4DE9">
        <w:rPr>
          <w:rFonts w:cstheme="minorHAnsi"/>
        </w:rPr>
        <w:t xml:space="preserve"> who can’t be treated with the higher ABRO 200 mg dose for safety reasons</w:t>
      </w:r>
      <w:r w:rsidR="000521A7" w:rsidRPr="00EA4DE9">
        <w:rPr>
          <w:rFonts w:cstheme="minorHAnsi"/>
        </w:rPr>
        <w:t>,</w:t>
      </w:r>
      <w:r w:rsidR="005D6D4D" w:rsidRPr="00EA4DE9">
        <w:rPr>
          <w:rFonts w:cstheme="minorHAnsi"/>
        </w:rPr>
        <w:t xml:space="preserve"> and</w:t>
      </w:r>
      <w:r w:rsidR="000521A7" w:rsidRPr="00EA4DE9">
        <w:rPr>
          <w:rFonts w:cstheme="minorHAnsi"/>
        </w:rPr>
        <w:t xml:space="preserve"> </w:t>
      </w:r>
      <w:r w:rsidR="005D6D4D" w:rsidRPr="00EA4DE9">
        <w:rPr>
          <w:rFonts w:cstheme="minorHAnsi"/>
        </w:rPr>
        <w:t>for patients who are responding to ABRO 200 mg and who want to down titrate to the lowest effective maintenance dose (as recommended in the ABRO Product Information (PI)).</w:t>
      </w:r>
      <w:r w:rsidR="000521A7" w:rsidRPr="00EA4DE9">
        <w:rPr>
          <w:rFonts w:cstheme="minorHAnsi"/>
        </w:rPr>
        <w:t xml:space="preserve"> </w:t>
      </w:r>
      <w:r w:rsidR="006A1443" w:rsidRPr="00EA4DE9">
        <w:rPr>
          <w:lang w:val="en-GB" w:eastAsia="en-US"/>
        </w:rPr>
        <w:t xml:space="preserve">The Committee considered </w:t>
      </w:r>
      <w:r w:rsidR="00204C6D" w:rsidRPr="00EA4DE9">
        <w:rPr>
          <w:lang w:val="en-GB" w:eastAsia="en-US"/>
        </w:rPr>
        <w:t xml:space="preserve">that ABRO 100 mg orally once daily </w:t>
      </w:r>
      <w:r w:rsidR="006A1443" w:rsidRPr="00EA4DE9">
        <w:rPr>
          <w:lang w:val="en-GB" w:eastAsia="en-US"/>
        </w:rPr>
        <w:t>wo</w:t>
      </w:r>
      <w:r w:rsidRPr="00EA4DE9">
        <w:rPr>
          <w:lang w:val="en-GB" w:eastAsia="en-US"/>
        </w:rPr>
        <w:t xml:space="preserve">uld be cost-effective at a price that resulted in the cost saving per quality adjusted life year foregone </w:t>
      </w:r>
      <w:r w:rsidR="00204C6D" w:rsidRPr="00EA4DE9">
        <w:rPr>
          <w:lang w:val="en-GB" w:eastAsia="en-US"/>
        </w:rPr>
        <w:t>of</w:t>
      </w:r>
      <w:r w:rsidRPr="00EA4DE9">
        <w:rPr>
          <w:lang w:val="en-GB" w:eastAsia="en-US"/>
        </w:rPr>
        <w:t xml:space="preserve"> </w:t>
      </w:r>
      <w:r w:rsidR="00EA4DE9" w:rsidRPr="00EA4DE9">
        <w:rPr>
          <w:lang w:val="en-GB" w:eastAsia="en-US"/>
        </w:rPr>
        <w:t>$75,000</w:t>
      </w:r>
      <w:r w:rsidR="008524D0">
        <w:rPr>
          <w:lang w:val="en-GB" w:eastAsia="en-US"/>
        </w:rPr>
        <w:t> </w:t>
      </w:r>
      <w:r w:rsidR="00EA4DE9" w:rsidRPr="00EA4DE9">
        <w:rPr>
          <w:lang w:val="en-GB" w:eastAsia="en-US"/>
        </w:rPr>
        <w:t xml:space="preserve">to &lt; $95,000 </w:t>
      </w:r>
      <w:r w:rsidRPr="00EA4DE9">
        <w:rPr>
          <w:lang w:val="en-GB" w:eastAsia="en-US"/>
        </w:rPr>
        <w:t>or more</w:t>
      </w:r>
      <w:r w:rsidR="00204C6D" w:rsidRPr="00EA4DE9">
        <w:rPr>
          <w:lang w:val="en-GB" w:eastAsia="en-US"/>
        </w:rPr>
        <w:t xml:space="preserve"> compared to DUPI</w:t>
      </w:r>
      <w:r w:rsidRPr="00EA4DE9">
        <w:rPr>
          <w:lang w:val="en-GB" w:eastAsia="en-US"/>
        </w:rPr>
        <w:t>.</w:t>
      </w:r>
    </w:p>
    <w:p w14:paraId="7C8A57E7" w14:textId="68DACDB0" w:rsidR="00845403" w:rsidRPr="00A13B27" w:rsidRDefault="00845403" w:rsidP="00B450BD">
      <w:pPr>
        <w:pStyle w:val="ListParagraph"/>
        <w:widowControl w:val="0"/>
        <w:numPr>
          <w:ilvl w:val="0"/>
          <w:numId w:val="23"/>
        </w:numPr>
        <w:jc w:val="both"/>
        <w:rPr>
          <w:lang w:val="en-GB" w:eastAsia="en-US"/>
        </w:rPr>
      </w:pPr>
      <w:r>
        <w:rPr>
          <w:lang w:val="en-GB" w:eastAsia="en-US"/>
        </w:rPr>
        <w:t>A</w:t>
      </w:r>
      <w:r w:rsidR="00CE2429">
        <w:rPr>
          <w:lang w:val="en-GB" w:eastAsia="en-US"/>
        </w:rPr>
        <w:t>BRO</w:t>
      </w:r>
      <w:r>
        <w:rPr>
          <w:lang w:val="en-GB" w:eastAsia="en-US"/>
        </w:rPr>
        <w:t xml:space="preserve"> 50 mg was recommended based on the Committee’s consideration that the 50 mg strength </w:t>
      </w:r>
      <w:r w:rsidR="00AB48AF">
        <w:rPr>
          <w:lang w:val="en-GB" w:eastAsia="en-US"/>
        </w:rPr>
        <w:t xml:space="preserve">of ABRO </w:t>
      </w:r>
      <w:r>
        <w:rPr>
          <w:lang w:val="en-GB" w:eastAsia="en-US"/>
        </w:rPr>
        <w:t xml:space="preserve">would be cost-effective at the same price per mg </w:t>
      </w:r>
      <w:r w:rsidR="00E116BF">
        <w:rPr>
          <w:lang w:val="en-GB" w:eastAsia="en-US"/>
        </w:rPr>
        <w:t xml:space="preserve">as </w:t>
      </w:r>
      <w:r w:rsidR="00AB48AF">
        <w:rPr>
          <w:lang w:val="en-GB" w:eastAsia="en-US"/>
        </w:rPr>
        <w:t xml:space="preserve">the </w:t>
      </w:r>
      <w:r>
        <w:rPr>
          <w:lang w:val="en-GB" w:eastAsia="en-US"/>
        </w:rPr>
        <w:t>100 mg</w:t>
      </w:r>
      <w:r w:rsidR="00AB48AF">
        <w:rPr>
          <w:lang w:val="en-GB" w:eastAsia="en-US"/>
        </w:rPr>
        <w:t xml:space="preserve"> strength</w:t>
      </w:r>
      <w:r w:rsidR="005D6D4D">
        <w:rPr>
          <w:lang w:val="en-GB" w:eastAsia="en-US"/>
        </w:rPr>
        <w:t xml:space="preserve">, </w:t>
      </w:r>
      <w:r w:rsidR="00862AA3">
        <w:rPr>
          <w:lang w:val="en-GB" w:eastAsia="en-US"/>
        </w:rPr>
        <w:t xml:space="preserve">noting </w:t>
      </w:r>
      <w:r w:rsidR="005D6D4D">
        <w:rPr>
          <w:lang w:val="en-GB" w:eastAsia="en-US"/>
        </w:rPr>
        <w:t xml:space="preserve">that </w:t>
      </w:r>
      <w:r w:rsidR="00862AA3">
        <w:rPr>
          <w:lang w:val="en-GB" w:eastAsia="en-US"/>
        </w:rPr>
        <w:t>the</w:t>
      </w:r>
      <w:r w:rsidR="005D6D4D">
        <w:rPr>
          <w:lang w:val="en-GB" w:eastAsia="en-US"/>
        </w:rPr>
        <w:t xml:space="preserve"> 50 mg dose </w:t>
      </w:r>
      <w:r w:rsidR="00862AA3">
        <w:rPr>
          <w:lang w:val="en-GB" w:eastAsia="en-US"/>
        </w:rPr>
        <w:t>i</w:t>
      </w:r>
      <w:r w:rsidR="005D6D4D">
        <w:rPr>
          <w:lang w:val="en-GB" w:eastAsia="en-US"/>
        </w:rPr>
        <w:t xml:space="preserve">s recommended for patients with moderate to severe renal impairment, or for </w:t>
      </w:r>
      <w:r w:rsidR="00862AA3">
        <w:rPr>
          <w:lang w:val="en-GB" w:eastAsia="en-US"/>
        </w:rPr>
        <w:t xml:space="preserve">those </w:t>
      </w:r>
      <w:r w:rsidR="005D6D4D">
        <w:rPr>
          <w:lang w:val="en-GB" w:eastAsia="en-US"/>
        </w:rPr>
        <w:t xml:space="preserve">taking </w:t>
      </w:r>
      <w:r w:rsidR="005D6D4D">
        <w:t>strong inhibitors of cytochrome P450 (CYP) 2C19</w:t>
      </w:r>
      <w:r>
        <w:rPr>
          <w:lang w:val="en-GB" w:eastAsia="en-US"/>
        </w:rPr>
        <w:t xml:space="preserve">. </w:t>
      </w:r>
      <w:r w:rsidR="00BB27B6">
        <w:rPr>
          <w:lang w:val="en-GB" w:eastAsia="en-US"/>
        </w:rPr>
        <w:t>The PBAC noted that no evidence for the 50 mg ABRO dose was presented in the submission.</w:t>
      </w:r>
    </w:p>
    <w:p w14:paraId="12D2BA12" w14:textId="10E4C936" w:rsidR="00CE2429" w:rsidRDefault="00DC4774" w:rsidP="00B450BD">
      <w:pPr>
        <w:widowControl w:val="0"/>
        <w:numPr>
          <w:ilvl w:val="1"/>
          <w:numId w:val="1"/>
        </w:numPr>
        <w:spacing w:after="120"/>
        <w:rPr>
          <w:snapToGrid w:val="0"/>
          <w:lang w:val="en-GB" w:eastAsia="en-US"/>
        </w:rPr>
      </w:pPr>
      <w:r>
        <w:rPr>
          <w:snapToGrid w:val="0"/>
          <w:lang w:val="en-GB" w:eastAsia="en-US"/>
        </w:rPr>
        <w:t>The</w:t>
      </w:r>
      <w:r w:rsidR="00AB41E8">
        <w:rPr>
          <w:snapToGrid w:val="0"/>
          <w:lang w:val="en-GB" w:eastAsia="en-US"/>
        </w:rPr>
        <w:t xml:space="preserve"> PBAC </w:t>
      </w:r>
      <w:r w:rsidR="00E116BF">
        <w:rPr>
          <w:snapToGrid w:val="0"/>
          <w:lang w:val="en-GB" w:eastAsia="en-US"/>
        </w:rPr>
        <w:t>acknowledged the clinical need for additional treatments for severe AD</w:t>
      </w:r>
      <w:r w:rsidR="00D4121A">
        <w:rPr>
          <w:snapToGrid w:val="0"/>
          <w:lang w:val="en-GB" w:eastAsia="en-US"/>
        </w:rPr>
        <w:t xml:space="preserve">, noting the consumer comments that </w:t>
      </w:r>
      <w:r w:rsidR="005A0207">
        <w:rPr>
          <w:snapToGrid w:val="0"/>
          <w:lang w:val="en-GB" w:eastAsia="en-US"/>
        </w:rPr>
        <w:t>there was an example of a</w:t>
      </w:r>
      <w:r w:rsidR="001F6AA3">
        <w:rPr>
          <w:snapToGrid w:val="0"/>
          <w:lang w:val="en-GB" w:eastAsia="en-US"/>
        </w:rPr>
        <w:t xml:space="preserve"> p</w:t>
      </w:r>
      <w:r w:rsidR="00D4121A">
        <w:rPr>
          <w:snapToGrid w:val="0"/>
          <w:lang w:val="en-GB" w:eastAsia="en-US"/>
        </w:rPr>
        <w:t>atient who had not respond</w:t>
      </w:r>
      <w:r w:rsidR="00BB27B6">
        <w:rPr>
          <w:snapToGrid w:val="0"/>
          <w:lang w:val="en-GB" w:eastAsia="en-US"/>
        </w:rPr>
        <w:t>ed</w:t>
      </w:r>
      <w:r w:rsidR="00D4121A">
        <w:rPr>
          <w:snapToGrid w:val="0"/>
          <w:lang w:val="en-GB" w:eastAsia="en-US"/>
        </w:rPr>
        <w:t xml:space="preserve"> to DUPI obtain</w:t>
      </w:r>
      <w:r w:rsidR="00281E9A">
        <w:rPr>
          <w:snapToGrid w:val="0"/>
          <w:lang w:val="en-GB" w:eastAsia="en-US"/>
        </w:rPr>
        <w:t>ing</w:t>
      </w:r>
      <w:r w:rsidR="00D4121A">
        <w:rPr>
          <w:snapToGrid w:val="0"/>
          <w:lang w:val="en-GB" w:eastAsia="en-US"/>
        </w:rPr>
        <w:t xml:space="preserve"> </w:t>
      </w:r>
      <w:r w:rsidR="001F6AA3">
        <w:rPr>
          <w:snapToGrid w:val="0"/>
          <w:lang w:val="en-GB" w:eastAsia="en-US"/>
        </w:rPr>
        <w:t>significant</w:t>
      </w:r>
      <w:r w:rsidR="00D4121A">
        <w:rPr>
          <w:snapToGrid w:val="0"/>
          <w:lang w:val="en-GB" w:eastAsia="en-US"/>
        </w:rPr>
        <w:t xml:space="preserve"> benefit from ABRO. The Committee</w:t>
      </w:r>
      <w:r w:rsidR="00E116BF">
        <w:rPr>
          <w:snapToGrid w:val="0"/>
          <w:lang w:val="en-GB" w:eastAsia="en-US"/>
        </w:rPr>
        <w:t xml:space="preserve"> </w:t>
      </w:r>
      <w:r w:rsidR="00AB41E8">
        <w:rPr>
          <w:snapToGrid w:val="0"/>
          <w:lang w:val="en-GB" w:eastAsia="en-US"/>
        </w:rPr>
        <w:t>considered there was a modest clinical need</w:t>
      </w:r>
      <w:r>
        <w:rPr>
          <w:snapToGrid w:val="0"/>
          <w:lang w:val="en-GB" w:eastAsia="en-US"/>
        </w:rPr>
        <w:t xml:space="preserve"> for </w:t>
      </w:r>
      <w:r w:rsidR="00CE2429">
        <w:rPr>
          <w:snapToGrid w:val="0"/>
          <w:lang w:val="en-GB" w:eastAsia="en-US"/>
        </w:rPr>
        <w:t>ABRO</w:t>
      </w:r>
      <w:r>
        <w:rPr>
          <w:snapToGrid w:val="0"/>
          <w:lang w:val="en-GB" w:eastAsia="en-US"/>
        </w:rPr>
        <w:t xml:space="preserve">, noting that it had a different mode of administration to </w:t>
      </w:r>
      <w:r w:rsidR="00E116BF">
        <w:rPr>
          <w:snapToGrid w:val="0"/>
          <w:lang w:val="en-GB" w:eastAsia="en-US"/>
        </w:rPr>
        <w:t>DUPI</w:t>
      </w:r>
      <w:r w:rsidR="006A1443">
        <w:rPr>
          <w:snapToGrid w:val="0"/>
          <w:lang w:val="en-GB" w:eastAsia="en-US"/>
        </w:rPr>
        <w:t xml:space="preserve"> and </w:t>
      </w:r>
      <w:r w:rsidR="00020D2A">
        <w:rPr>
          <w:snapToGrid w:val="0"/>
          <w:lang w:val="en-GB" w:eastAsia="en-US"/>
        </w:rPr>
        <w:t>that</w:t>
      </w:r>
      <w:r w:rsidR="00191FFD">
        <w:rPr>
          <w:snapToGrid w:val="0"/>
          <w:lang w:val="en-GB" w:eastAsia="en-US"/>
        </w:rPr>
        <w:t xml:space="preserve"> it may be</w:t>
      </w:r>
      <w:r w:rsidR="00E116BF">
        <w:rPr>
          <w:snapToGrid w:val="0"/>
          <w:lang w:val="en-GB" w:eastAsia="en-US"/>
        </w:rPr>
        <w:t xml:space="preserve"> </w:t>
      </w:r>
      <w:r w:rsidR="00BB27B6">
        <w:rPr>
          <w:snapToGrid w:val="0"/>
          <w:lang w:val="en-GB" w:eastAsia="en-US"/>
        </w:rPr>
        <w:t xml:space="preserve">particularly </w:t>
      </w:r>
      <w:r w:rsidR="00E116BF">
        <w:rPr>
          <w:snapToGrid w:val="0"/>
          <w:lang w:val="en-GB" w:eastAsia="en-US"/>
        </w:rPr>
        <w:t>valued by</w:t>
      </w:r>
      <w:r w:rsidR="00AB41E8">
        <w:rPr>
          <w:snapToGrid w:val="0"/>
          <w:lang w:val="en-GB" w:eastAsia="en-US"/>
        </w:rPr>
        <w:t xml:space="preserve"> patients who </w:t>
      </w:r>
      <w:r w:rsidR="004731E5">
        <w:rPr>
          <w:snapToGrid w:val="0"/>
          <w:lang w:val="en-GB" w:eastAsia="en-US"/>
        </w:rPr>
        <w:t>fail</w:t>
      </w:r>
      <w:r w:rsidR="00AB41E8">
        <w:rPr>
          <w:snapToGrid w:val="0"/>
          <w:lang w:val="en-GB" w:eastAsia="en-US"/>
        </w:rPr>
        <w:t xml:space="preserve"> to respond to</w:t>
      </w:r>
      <w:r w:rsidR="00E116BF">
        <w:rPr>
          <w:snapToGrid w:val="0"/>
          <w:lang w:val="en-GB" w:eastAsia="en-US"/>
        </w:rPr>
        <w:t xml:space="preserve">, or </w:t>
      </w:r>
      <w:r w:rsidR="00BB27B6">
        <w:rPr>
          <w:snapToGrid w:val="0"/>
          <w:lang w:val="en-GB" w:eastAsia="en-US"/>
        </w:rPr>
        <w:t xml:space="preserve">do not </w:t>
      </w:r>
      <w:r w:rsidR="00E116BF">
        <w:rPr>
          <w:snapToGrid w:val="0"/>
          <w:lang w:val="en-GB" w:eastAsia="en-US"/>
        </w:rPr>
        <w:t xml:space="preserve">tolerate, </w:t>
      </w:r>
      <w:r>
        <w:rPr>
          <w:snapToGrid w:val="0"/>
          <w:lang w:val="en-GB" w:eastAsia="en-US"/>
        </w:rPr>
        <w:t xml:space="preserve">other </w:t>
      </w:r>
      <w:r w:rsidR="00191FFD">
        <w:rPr>
          <w:snapToGrid w:val="0"/>
          <w:lang w:val="en-GB" w:eastAsia="en-US"/>
        </w:rPr>
        <w:t xml:space="preserve">systemic </w:t>
      </w:r>
      <w:r>
        <w:rPr>
          <w:snapToGrid w:val="0"/>
          <w:lang w:val="en-GB" w:eastAsia="en-US"/>
        </w:rPr>
        <w:t>therapies</w:t>
      </w:r>
      <w:r w:rsidR="00BB27B6">
        <w:rPr>
          <w:snapToGrid w:val="0"/>
          <w:lang w:val="en-GB" w:eastAsia="en-US"/>
        </w:rPr>
        <w:t xml:space="preserve"> for AD</w:t>
      </w:r>
      <w:r w:rsidR="00AB41E8">
        <w:rPr>
          <w:snapToGrid w:val="0"/>
          <w:lang w:val="en-GB" w:eastAsia="en-US"/>
        </w:rPr>
        <w:t xml:space="preserve">. </w:t>
      </w:r>
    </w:p>
    <w:p w14:paraId="6DD34533" w14:textId="3E8D93C5" w:rsidR="00490D81" w:rsidRPr="00490D81" w:rsidRDefault="00CE2429" w:rsidP="00B450BD">
      <w:pPr>
        <w:widowControl w:val="0"/>
        <w:numPr>
          <w:ilvl w:val="1"/>
          <w:numId w:val="1"/>
        </w:numPr>
        <w:spacing w:after="120"/>
        <w:rPr>
          <w:snapToGrid w:val="0"/>
          <w:lang w:val="en-GB" w:eastAsia="en-US"/>
        </w:rPr>
      </w:pPr>
      <w:r>
        <w:rPr>
          <w:snapToGrid w:val="0"/>
          <w:lang w:val="en-GB" w:eastAsia="en-US"/>
        </w:rPr>
        <w:t>The PBAC noted that u</w:t>
      </w:r>
      <w:r w:rsidR="00D07B87" w:rsidRPr="00D07B87">
        <w:rPr>
          <w:snapToGrid w:val="0"/>
          <w:lang w:val="en-GB" w:eastAsia="en-US"/>
        </w:rPr>
        <w:t>nder the proposed listing</w:t>
      </w:r>
      <w:r>
        <w:rPr>
          <w:snapToGrid w:val="0"/>
          <w:lang w:val="en-GB" w:eastAsia="en-US"/>
        </w:rPr>
        <w:t xml:space="preserve">, sequential use of PBS listed therapies for severe atopic dermatitis would be permitted and that the </w:t>
      </w:r>
      <w:r w:rsidR="00D07B87" w:rsidRPr="00D07B87">
        <w:rPr>
          <w:snapToGrid w:val="0"/>
          <w:lang w:val="en-GB" w:eastAsia="en-US"/>
        </w:rPr>
        <w:t xml:space="preserve">most appropriate sequence for their use has not been determined. </w:t>
      </w:r>
      <w:r>
        <w:rPr>
          <w:snapToGrid w:val="0"/>
          <w:lang w:val="en-GB" w:eastAsia="en-US"/>
        </w:rPr>
        <w:t xml:space="preserve">The PBAC noted that both DUPI and upadacitinib (UPA) are listed on the PBS and considered it reasonable that </w:t>
      </w:r>
      <w:r w:rsidR="00D07B87" w:rsidRPr="00D07B87">
        <w:rPr>
          <w:snapToGrid w:val="0"/>
          <w:lang w:val="en-GB" w:eastAsia="en-US"/>
        </w:rPr>
        <w:t>ABRO should be available as a first-line option along with DUPI and UPA.</w:t>
      </w:r>
    </w:p>
    <w:p w14:paraId="0B42A42A" w14:textId="2F906303" w:rsidR="00CE7193" w:rsidRDefault="00CE7193" w:rsidP="00B450BD">
      <w:pPr>
        <w:widowControl w:val="0"/>
        <w:numPr>
          <w:ilvl w:val="1"/>
          <w:numId w:val="1"/>
        </w:numPr>
        <w:spacing w:after="120"/>
        <w:rPr>
          <w:snapToGrid w:val="0"/>
          <w:lang w:val="en-GB" w:eastAsia="en-US"/>
        </w:rPr>
      </w:pPr>
      <w:r>
        <w:rPr>
          <w:snapToGrid w:val="0"/>
          <w:lang w:val="en-GB" w:eastAsia="en-US"/>
        </w:rPr>
        <w:t xml:space="preserve">The PBAC noted that the proposed restrictions, in terms of disease severity and treatment response were consistent with those for DUPI and UPA, and </w:t>
      </w:r>
      <w:r w:rsidR="00BB27B6">
        <w:rPr>
          <w:snapToGrid w:val="0"/>
          <w:lang w:val="en-GB" w:eastAsia="en-US"/>
        </w:rPr>
        <w:t xml:space="preserve">considered </w:t>
      </w:r>
      <w:r>
        <w:rPr>
          <w:snapToGrid w:val="0"/>
          <w:lang w:val="en-GB" w:eastAsia="en-US"/>
        </w:rPr>
        <w:t xml:space="preserve">this was </w:t>
      </w:r>
      <w:r w:rsidR="001F6AA3">
        <w:rPr>
          <w:snapToGrid w:val="0"/>
          <w:lang w:val="en-GB" w:eastAsia="en-US"/>
        </w:rPr>
        <w:t>appropriate</w:t>
      </w:r>
      <w:r>
        <w:rPr>
          <w:snapToGrid w:val="0"/>
          <w:lang w:val="en-GB" w:eastAsia="en-US"/>
        </w:rPr>
        <w:t xml:space="preserve">. </w:t>
      </w:r>
      <w:r w:rsidR="00BB27B6">
        <w:rPr>
          <w:snapToGrid w:val="0"/>
          <w:lang w:val="en-GB" w:eastAsia="en-US"/>
        </w:rPr>
        <w:t>The PBAC considered it was reasonable to include restrictions allowing treatment with ABRO for patients with severe AD of the hands/face only, consistent with the existing listings for DUPI and UPA.</w:t>
      </w:r>
      <w:r>
        <w:rPr>
          <w:snapToGrid w:val="0"/>
          <w:lang w:val="en-GB" w:eastAsia="en-US"/>
        </w:rPr>
        <w:t xml:space="preserve"> </w:t>
      </w:r>
    </w:p>
    <w:p w14:paraId="3DF9690F" w14:textId="4E1F32D9" w:rsidR="006E75E2" w:rsidRPr="00CA4E45" w:rsidRDefault="006E75E2" w:rsidP="00B450BD">
      <w:pPr>
        <w:widowControl w:val="0"/>
        <w:numPr>
          <w:ilvl w:val="1"/>
          <w:numId w:val="1"/>
        </w:numPr>
        <w:spacing w:after="120"/>
        <w:rPr>
          <w:rFonts w:cstheme="minorHAnsi"/>
          <w:snapToGrid w:val="0"/>
          <w:lang w:val="en-GB" w:eastAsia="en-US"/>
        </w:rPr>
      </w:pPr>
      <w:r w:rsidRPr="00CA4E45">
        <w:rPr>
          <w:rFonts w:cstheme="minorHAnsi"/>
          <w:snapToGrid w:val="0"/>
          <w:lang w:val="en-GB" w:eastAsia="en-US"/>
        </w:rPr>
        <w:t xml:space="preserve">The PBAC noted that the submission proposed </w:t>
      </w:r>
      <w:r w:rsidR="00036A30" w:rsidRPr="00CA4E45">
        <w:rPr>
          <w:rFonts w:cstheme="minorHAnsi"/>
          <w:snapToGrid w:val="0"/>
          <w:lang w:val="en-GB" w:eastAsia="en-US"/>
        </w:rPr>
        <w:t>a</w:t>
      </w:r>
      <w:r w:rsidRPr="00513E34">
        <w:rPr>
          <w:rFonts w:cstheme="minorHAnsi"/>
        </w:rPr>
        <w:t xml:space="preserve"> maximum quantity </w:t>
      </w:r>
      <w:r w:rsidR="00036A30" w:rsidRPr="00513E34">
        <w:rPr>
          <w:rFonts w:cstheme="minorHAnsi"/>
        </w:rPr>
        <w:t xml:space="preserve">of </w:t>
      </w:r>
      <w:r w:rsidRPr="00513E34">
        <w:rPr>
          <w:rFonts w:cstheme="minorHAnsi"/>
        </w:rPr>
        <w:t>1 pack of 28</w:t>
      </w:r>
      <w:r w:rsidR="008524D0">
        <w:rPr>
          <w:rFonts w:cstheme="minorHAnsi"/>
        </w:rPr>
        <w:t> </w:t>
      </w:r>
      <w:r w:rsidRPr="00513E34">
        <w:rPr>
          <w:rFonts w:cstheme="minorHAnsi"/>
        </w:rPr>
        <w:t xml:space="preserve">units </w:t>
      </w:r>
      <w:r w:rsidR="00036A30" w:rsidRPr="00513E34">
        <w:rPr>
          <w:rFonts w:cstheme="minorHAnsi"/>
        </w:rPr>
        <w:t xml:space="preserve">of either ABRO 200 mg, 100 mg or 50 mg </w:t>
      </w:r>
      <w:r w:rsidRPr="00513E34">
        <w:rPr>
          <w:rFonts w:cstheme="minorHAnsi"/>
        </w:rPr>
        <w:t>with 3 repeats</w:t>
      </w:r>
      <w:r w:rsidR="00036A30" w:rsidRPr="00513E34">
        <w:rPr>
          <w:rFonts w:cstheme="minorHAnsi"/>
        </w:rPr>
        <w:t xml:space="preserve"> for initial treatment</w:t>
      </w:r>
      <w:r w:rsidRPr="00513E34">
        <w:rPr>
          <w:rFonts w:cstheme="minorHAnsi"/>
        </w:rPr>
        <w:t xml:space="preserve">, </w:t>
      </w:r>
      <w:r w:rsidR="00036A30" w:rsidRPr="00513E34">
        <w:rPr>
          <w:rFonts w:cstheme="minorHAnsi"/>
        </w:rPr>
        <w:t xml:space="preserve">allowing for </w:t>
      </w:r>
      <w:r w:rsidR="001F6AA3" w:rsidRPr="00513E34">
        <w:rPr>
          <w:rFonts w:cstheme="minorHAnsi"/>
        </w:rPr>
        <w:t xml:space="preserve">up to </w:t>
      </w:r>
      <w:r w:rsidR="00036A30" w:rsidRPr="00513E34">
        <w:rPr>
          <w:rFonts w:cstheme="minorHAnsi"/>
        </w:rPr>
        <w:t xml:space="preserve">16 weeks of treatment </w:t>
      </w:r>
      <w:r w:rsidRPr="00513E34">
        <w:rPr>
          <w:rFonts w:cstheme="minorHAnsi"/>
        </w:rPr>
        <w:t xml:space="preserve">to assess whether the patient achieves the required response </w:t>
      </w:r>
      <w:r w:rsidR="00E835DB" w:rsidRPr="00513E34">
        <w:rPr>
          <w:rFonts w:cstheme="minorHAnsi"/>
        </w:rPr>
        <w:t>for</w:t>
      </w:r>
      <w:r w:rsidRPr="00513E34">
        <w:rPr>
          <w:rFonts w:cstheme="minorHAnsi"/>
        </w:rPr>
        <w:t xml:space="preserve"> </w:t>
      </w:r>
      <w:r w:rsidR="00D76F0E" w:rsidRPr="00513E34">
        <w:rPr>
          <w:rFonts w:cstheme="minorHAnsi"/>
        </w:rPr>
        <w:t>continuation</w:t>
      </w:r>
      <w:r w:rsidRPr="00513E34">
        <w:rPr>
          <w:rFonts w:cstheme="minorHAnsi"/>
        </w:rPr>
        <w:t xml:space="preserve">. </w:t>
      </w:r>
      <w:r w:rsidR="00E835DB" w:rsidRPr="00513E34">
        <w:rPr>
          <w:rFonts w:cstheme="minorHAnsi"/>
        </w:rPr>
        <w:t>The PBAC noted that a</w:t>
      </w:r>
      <w:r w:rsidRPr="00513E34">
        <w:rPr>
          <w:rFonts w:cstheme="minorHAnsi"/>
        </w:rPr>
        <w:t xml:space="preserve">ssessment of response at </w:t>
      </w:r>
      <w:r w:rsidRPr="00513E34">
        <w:rPr>
          <w:rFonts w:cstheme="minorHAnsi"/>
        </w:rPr>
        <w:lastRenderedPageBreak/>
        <w:t>16 weeks was consistent with the economic analys</w:t>
      </w:r>
      <w:r w:rsidR="00D07B87" w:rsidRPr="00513E34">
        <w:rPr>
          <w:rFonts w:cstheme="minorHAnsi"/>
        </w:rPr>
        <w:t>es</w:t>
      </w:r>
      <w:r w:rsidR="00E835DB" w:rsidRPr="00513E34">
        <w:rPr>
          <w:rFonts w:cstheme="minorHAnsi"/>
        </w:rPr>
        <w:t xml:space="preserve"> and considered </w:t>
      </w:r>
      <w:r w:rsidR="00E116BF" w:rsidRPr="00513E34">
        <w:rPr>
          <w:rFonts w:cstheme="minorHAnsi"/>
        </w:rPr>
        <w:t xml:space="preserve">the number of </w:t>
      </w:r>
      <w:r w:rsidR="00E835DB" w:rsidRPr="00513E34">
        <w:rPr>
          <w:rFonts w:cstheme="minorHAnsi"/>
        </w:rPr>
        <w:t>repeats to be appropriate</w:t>
      </w:r>
      <w:r w:rsidRPr="00513E34">
        <w:rPr>
          <w:rFonts w:cstheme="minorHAnsi"/>
        </w:rPr>
        <w:t>.</w:t>
      </w:r>
    </w:p>
    <w:p w14:paraId="2E784BCE" w14:textId="23080B14" w:rsidR="0069715C" w:rsidRPr="001F6AA3" w:rsidRDefault="00CA4F6E" w:rsidP="00B450BD">
      <w:pPr>
        <w:widowControl w:val="0"/>
        <w:numPr>
          <w:ilvl w:val="1"/>
          <w:numId w:val="1"/>
        </w:numPr>
        <w:spacing w:after="120"/>
        <w:rPr>
          <w:snapToGrid w:val="0"/>
          <w:lang w:val="en-GB" w:eastAsia="en-US"/>
        </w:rPr>
      </w:pPr>
      <w:r>
        <w:rPr>
          <w:rFonts w:eastAsiaTheme="minorHAnsi" w:cstheme="minorBidi"/>
          <w:szCs w:val="22"/>
        </w:rPr>
        <w:t xml:space="preserve">The PBAC noted that </w:t>
      </w:r>
      <w:r w:rsidR="00D537DF">
        <w:rPr>
          <w:rFonts w:eastAsiaTheme="minorHAnsi" w:cstheme="minorBidi"/>
          <w:szCs w:val="22"/>
        </w:rPr>
        <w:t xml:space="preserve">the submission stated that </w:t>
      </w:r>
      <w:r>
        <w:rPr>
          <w:rFonts w:eastAsiaTheme="minorHAnsi" w:cstheme="minorBidi"/>
          <w:szCs w:val="22"/>
        </w:rPr>
        <w:t xml:space="preserve">ABRO 100 mg once daily </w:t>
      </w:r>
      <w:r w:rsidR="00D537DF">
        <w:rPr>
          <w:rFonts w:eastAsiaTheme="minorHAnsi" w:cstheme="minorBidi"/>
          <w:szCs w:val="22"/>
        </w:rPr>
        <w:t>is</w:t>
      </w:r>
      <w:r>
        <w:rPr>
          <w:rFonts w:eastAsiaTheme="minorHAnsi" w:cstheme="minorBidi"/>
          <w:szCs w:val="22"/>
        </w:rPr>
        <w:t xml:space="preserve"> the preferred dose for most patients</w:t>
      </w:r>
      <w:r w:rsidR="001F6AA3">
        <w:rPr>
          <w:rFonts w:eastAsiaTheme="minorHAnsi" w:cstheme="minorBidi"/>
          <w:szCs w:val="22"/>
        </w:rPr>
        <w:t xml:space="preserve"> and that it is the recommended maintenance dose. The submission stated </w:t>
      </w:r>
      <w:r>
        <w:rPr>
          <w:rFonts w:eastAsiaTheme="minorHAnsi" w:cstheme="minorBidi"/>
          <w:szCs w:val="22"/>
        </w:rPr>
        <w:t xml:space="preserve">that </w:t>
      </w:r>
      <w:r w:rsidR="001F6AA3">
        <w:rPr>
          <w:rFonts w:eastAsiaTheme="minorHAnsi" w:cstheme="minorBidi"/>
          <w:szCs w:val="22"/>
        </w:rPr>
        <w:t xml:space="preserve">the 200 mg once daily dose </w:t>
      </w:r>
      <w:r>
        <w:rPr>
          <w:rFonts w:eastAsiaTheme="minorHAnsi" w:cstheme="minorBidi"/>
          <w:szCs w:val="22"/>
        </w:rPr>
        <w:t xml:space="preserve">may be appropriate for patients with a high disease burden who are not at high risk of </w:t>
      </w:r>
      <w:r w:rsidR="00D537DF">
        <w:rPr>
          <w:rFonts w:eastAsiaTheme="minorHAnsi" w:cstheme="minorBidi"/>
          <w:szCs w:val="22"/>
        </w:rPr>
        <w:t>venous thromboembolism (</w:t>
      </w:r>
      <w:r>
        <w:rPr>
          <w:rFonts w:eastAsiaTheme="minorHAnsi" w:cstheme="minorBidi"/>
          <w:szCs w:val="22"/>
        </w:rPr>
        <w:t>VTE</w:t>
      </w:r>
      <w:r w:rsidR="00D537DF">
        <w:rPr>
          <w:rFonts w:eastAsiaTheme="minorHAnsi" w:cstheme="minorBidi"/>
          <w:szCs w:val="22"/>
        </w:rPr>
        <w:t>)</w:t>
      </w:r>
      <w:r>
        <w:rPr>
          <w:rFonts w:eastAsiaTheme="minorHAnsi" w:cstheme="minorBidi"/>
          <w:szCs w:val="22"/>
        </w:rPr>
        <w:t xml:space="preserve">, </w:t>
      </w:r>
      <w:r w:rsidR="00D537DF">
        <w:rPr>
          <w:rFonts w:eastAsiaTheme="minorHAnsi" w:cstheme="minorBidi"/>
          <w:szCs w:val="22"/>
        </w:rPr>
        <w:t>a major cardiovascular event (</w:t>
      </w:r>
      <w:r>
        <w:rPr>
          <w:rFonts w:eastAsiaTheme="minorHAnsi" w:cstheme="minorBidi"/>
          <w:szCs w:val="22"/>
        </w:rPr>
        <w:t>MACE</w:t>
      </w:r>
      <w:r w:rsidR="00D537DF">
        <w:rPr>
          <w:rFonts w:eastAsiaTheme="minorHAnsi" w:cstheme="minorBidi"/>
          <w:szCs w:val="22"/>
        </w:rPr>
        <w:t>)</w:t>
      </w:r>
      <w:r>
        <w:rPr>
          <w:rFonts w:eastAsiaTheme="minorHAnsi" w:cstheme="minorBidi"/>
          <w:szCs w:val="22"/>
        </w:rPr>
        <w:t xml:space="preserve"> </w:t>
      </w:r>
      <w:r w:rsidR="00D537DF">
        <w:rPr>
          <w:rFonts w:eastAsiaTheme="minorHAnsi" w:cstheme="minorBidi"/>
          <w:szCs w:val="22"/>
        </w:rPr>
        <w:t>or</w:t>
      </w:r>
      <w:r>
        <w:rPr>
          <w:rFonts w:eastAsiaTheme="minorHAnsi" w:cstheme="minorBidi"/>
          <w:szCs w:val="22"/>
        </w:rPr>
        <w:t xml:space="preserve"> malignancy, </w:t>
      </w:r>
      <w:r w:rsidR="001F6AA3">
        <w:rPr>
          <w:rFonts w:eastAsiaTheme="minorHAnsi" w:cstheme="minorBidi"/>
          <w:szCs w:val="22"/>
        </w:rPr>
        <w:t>with patients decreasing to 100</w:t>
      </w:r>
      <w:r>
        <w:rPr>
          <w:rFonts w:eastAsiaTheme="minorHAnsi" w:cstheme="minorBidi"/>
          <w:szCs w:val="22"/>
        </w:rPr>
        <w:t xml:space="preserve"> mg once daily upon disease control. </w:t>
      </w:r>
      <w:r w:rsidR="0069715C" w:rsidRPr="00513E34">
        <w:rPr>
          <w:rFonts w:cstheme="minorHAnsi"/>
        </w:rPr>
        <w:t>The PBAC noted that</w:t>
      </w:r>
      <w:r w:rsidRPr="00513E34">
        <w:rPr>
          <w:rFonts w:cstheme="minorHAnsi"/>
        </w:rPr>
        <w:t xml:space="preserve"> ABRO 50 mg once daily is the dose recommended for patients taking strong inhibitors of cytochrome P450 (CYP) 2C19 and/or patients with moderate or severe renal impairment</w:t>
      </w:r>
      <w:r w:rsidR="001F6AA3" w:rsidRPr="00513E34">
        <w:rPr>
          <w:rFonts w:cstheme="minorHAnsi"/>
        </w:rPr>
        <w:t xml:space="preserve">. </w:t>
      </w:r>
      <w:r w:rsidR="0069715C" w:rsidRPr="00513E34">
        <w:rPr>
          <w:rFonts w:cstheme="minorHAnsi"/>
        </w:rPr>
        <w:t>The PBAC considered it reasonable t</w:t>
      </w:r>
      <w:r w:rsidR="00D537DF" w:rsidRPr="00513E34">
        <w:rPr>
          <w:rFonts w:cstheme="minorHAnsi"/>
        </w:rPr>
        <w:t xml:space="preserve">hat a range of </w:t>
      </w:r>
      <w:r w:rsidR="0069715C" w:rsidRPr="00513E34">
        <w:rPr>
          <w:rFonts w:cstheme="minorHAnsi"/>
        </w:rPr>
        <w:t>strengths</w:t>
      </w:r>
      <w:r w:rsidR="00D537DF" w:rsidRPr="00513E34">
        <w:rPr>
          <w:rFonts w:cstheme="minorHAnsi"/>
        </w:rPr>
        <w:t xml:space="preserve"> of ABRO should be</w:t>
      </w:r>
      <w:r w:rsidR="0069715C" w:rsidRPr="00513E34">
        <w:rPr>
          <w:rFonts w:cstheme="minorHAnsi"/>
        </w:rPr>
        <w:t xml:space="preserve"> available, </w:t>
      </w:r>
      <w:r w:rsidR="00D537DF" w:rsidRPr="00513E34">
        <w:rPr>
          <w:rFonts w:cstheme="minorHAnsi"/>
        </w:rPr>
        <w:t xml:space="preserve">noting that </w:t>
      </w:r>
      <w:r w:rsidR="0069715C" w:rsidRPr="00513E34">
        <w:rPr>
          <w:rFonts w:cstheme="minorHAnsi"/>
        </w:rPr>
        <w:t>the ABRO Product Information states that the tablets should not be split or crushed</w:t>
      </w:r>
      <w:r w:rsidR="00D537DF" w:rsidRPr="00513E34">
        <w:rPr>
          <w:rFonts w:cstheme="minorHAnsi"/>
        </w:rPr>
        <w:t>.</w:t>
      </w:r>
    </w:p>
    <w:p w14:paraId="7257BAC5" w14:textId="1DEE97CF" w:rsidR="00204C6D" w:rsidRPr="00204C6D" w:rsidRDefault="00CE2429" w:rsidP="00B450BD">
      <w:pPr>
        <w:widowControl w:val="0"/>
        <w:numPr>
          <w:ilvl w:val="1"/>
          <w:numId w:val="1"/>
        </w:numPr>
        <w:spacing w:after="120"/>
        <w:rPr>
          <w:snapToGrid w:val="0"/>
        </w:rPr>
      </w:pPr>
      <w:r>
        <w:rPr>
          <w:snapToGrid w:val="0"/>
          <w:lang w:val="en-GB" w:eastAsia="en-US"/>
        </w:rPr>
        <w:t xml:space="preserve">The </w:t>
      </w:r>
      <w:r w:rsidR="00204C6D">
        <w:rPr>
          <w:snapToGrid w:val="0"/>
          <w:lang w:val="en-GB" w:eastAsia="en-US"/>
        </w:rPr>
        <w:t xml:space="preserve">PBAC noted the </w:t>
      </w:r>
      <w:r>
        <w:rPr>
          <w:snapToGrid w:val="0"/>
          <w:lang w:val="en-GB" w:eastAsia="en-US"/>
        </w:rPr>
        <w:t xml:space="preserve">submission nominated DUPI </w:t>
      </w:r>
      <w:r w:rsidR="001F6AA3">
        <w:rPr>
          <w:snapToGrid w:val="0"/>
          <w:lang w:val="en-GB" w:eastAsia="en-US"/>
        </w:rPr>
        <w:t xml:space="preserve">600 mg subcutaneously as an initial dose followed by </w:t>
      </w:r>
      <w:r w:rsidR="00204C6D">
        <w:rPr>
          <w:snapToGrid w:val="0"/>
          <w:lang w:val="en-GB" w:eastAsia="en-US"/>
        </w:rPr>
        <w:t>300 mg every 2 weeks</w:t>
      </w:r>
      <w:r w:rsidR="001F6AA3">
        <w:rPr>
          <w:snapToGrid w:val="0"/>
          <w:lang w:val="en-GB" w:eastAsia="en-US"/>
        </w:rPr>
        <w:t xml:space="preserve"> thereafter</w:t>
      </w:r>
      <w:r w:rsidR="00204C6D">
        <w:rPr>
          <w:snapToGrid w:val="0"/>
          <w:lang w:val="en-GB" w:eastAsia="en-US"/>
        </w:rPr>
        <w:t xml:space="preserve"> </w:t>
      </w:r>
      <w:r>
        <w:rPr>
          <w:snapToGrid w:val="0"/>
          <w:lang w:val="en-GB" w:eastAsia="en-US"/>
        </w:rPr>
        <w:t xml:space="preserve">as the </w:t>
      </w:r>
      <w:r w:rsidR="00E116BF">
        <w:rPr>
          <w:snapToGrid w:val="0"/>
          <w:lang w:val="en-GB" w:eastAsia="en-US"/>
        </w:rPr>
        <w:t xml:space="preserve">main </w:t>
      </w:r>
      <w:r>
        <w:rPr>
          <w:snapToGrid w:val="0"/>
          <w:lang w:val="en-GB" w:eastAsia="en-US"/>
        </w:rPr>
        <w:t>comparator</w:t>
      </w:r>
      <w:r w:rsidR="00445E1B">
        <w:rPr>
          <w:snapToGrid w:val="0"/>
          <w:lang w:val="en-GB" w:eastAsia="en-US"/>
        </w:rPr>
        <w:t>,</w:t>
      </w:r>
      <w:r w:rsidR="00E116BF">
        <w:rPr>
          <w:snapToGrid w:val="0"/>
          <w:lang w:val="en-GB" w:eastAsia="en-US"/>
        </w:rPr>
        <w:t xml:space="preserve"> </w:t>
      </w:r>
      <w:r w:rsidR="00445E1B">
        <w:rPr>
          <w:snapToGrid w:val="0"/>
          <w:lang w:val="en-GB" w:eastAsia="en-US"/>
        </w:rPr>
        <w:t xml:space="preserve">as it is the treatment most likely to be replaced by ABRO, </w:t>
      </w:r>
      <w:r w:rsidR="00E116BF">
        <w:rPr>
          <w:snapToGrid w:val="0"/>
          <w:lang w:val="en-GB" w:eastAsia="en-US"/>
        </w:rPr>
        <w:t xml:space="preserve">and UPA </w:t>
      </w:r>
      <w:r w:rsidR="00204C6D">
        <w:rPr>
          <w:snapToGrid w:val="0"/>
          <w:lang w:val="en-GB" w:eastAsia="en-US"/>
        </w:rPr>
        <w:t xml:space="preserve">(15 mg and 30 mg, taken once orally daily) </w:t>
      </w:r>
      <w:r w:rsidR="00E116BF">
        <w:rPr>
          <w:snapToGrid w:val="0"/>
          <w:lang w:val="en-GB" w:eastAsia="en-US"/>
        </w:rPr>
        <w:t>as a supplementary comparator</w:t>
      </w:r>
      <w:r>
        <w:rPr>
          <w:snapToGrid w:val="0"/>
          <w:lang w:val="en-GB" w:eastAsia="en-US"/>
        </w:rPr>
        <w:t xml:space="preserve">. </w:t>
      </w:r>
      <w:r w:rsidR="00204C6D" w:rsidRPr="00513E34">
        <w:rPr>
          <w:rFonts w:cstheme="minorHAnsi"/>
        </w:rPr>
        <w:t>The PBAC recalled that UPA was recommended for severe AD on a cost-minimisation basis to DUPI, following its July</w:t>
      </w:r>
      <w:r w:rsidR="008524D0">
        <w:rPr>
          <w:rFonts w:cstheme="minorHAnsi"/>
        </w:rPr>
        <w:t> </w:t>
      </w:r>
      <w:r w:rsidR="00204C6D" w:rsidRPr="00513E34">
        <w:rPr>
          <w:rFonts w:cstheme="minorHAnsi"/>
        </w:rPr>
        <w:t>2021 meeting. The PBAC considered that the nominated comparators were appropriate.</w:t>
      </w:r>
    </w:p>
    <w:p w14:paraId="536901CA" w14:textId="6124C982" w:rsidR="0094445D" w:rsidRPr="00C106EE" w:rsidRDefault="00AB48AF" w:rsidP="0091041C">
      <w:pPr>
        <w:numPr>
          <w:ilvl w:val="1"/>
          <w:numId w:val="6"/>
        </w:numPr>
        <w:spacing w:after="120"/>
        <w:rPr>
          <w:snapToGrid w:val="0"/>
          <w:lang w:val="en-GB" w:eastAsia="en-US"/>
        </w:rPr>
      </w:pPr>
      <w:r>
        <w:rPr>
          <w:snapToGrid w:val="0"/>
          <w:lang w:val="en-GB" w:eastAsia="en-US"/>
        </w:rPr>
        <w:t xml:space="preserve">The PBAC noted </w:t>
      </w:r>
      <w:r w:rsidR="001F6AA3">
        <w:rPr>
          <w:snapToGrid w:val="0"/>
          <w:lang w:val="en-GB" w:eastAsia="en-US"/>
        </w:rPr>
        <w:t xml:space="preserve">that </w:t>
      </w:r>
      <w:r>
        <w:rPr>
          <w:snapToGrid w:val="0"/>
          <w:lang w:val="en-GB" w:eastAsia="en-US"/>
        </w:rPr>
        <w:t xml:space="preserve">the submission was </w:t>
      </w:r>
      <w:r w:rsidR="0094445D">
        <w:rPr>
          <w:snapToGrid w:val="0"/>
          <w:lang w:val="en-GB" w:eastAsia="en-US"/>
        </w:rPr>
        <w:t xml:space="preserve">primarily </w:t>
      </w:r>
      <w:r>
        <w:rPr>
          <w:snapToGrid w:val="0"/>
          <w:lang w:val="en-GB" w:eastAsia="en-US"/>
        </w:rPr>
        <w:t xml:space="preserve">based on </w:t>
      </w:r>
      <w:r w:rsidR="002547FB">
        <w:rPr>
          <w:snapToGrid w:val="0"/>
          <w:lang w:val="en-GB" w:eastAsia="en-US"/>
        </w:rPr>
        <w:t>two head-to-head randomised controlled trials</w:t>
      </w:r>
      <w:r w:rsidR="0094445D">
        <w:rPr>
          <w:snapToGrid w:val="0"/>
          <w:lang w:val="en-GB" w:eastAsia="en-US"/>
        </w:rPr>
        <w:t xml:space="preserve"> </w:t>
      </w:r>
      <w:r w:rsidR="002547FB">
        <w:rPr>
          <w:snapToGrid w:val="0"/>
          <w:lang w:val="en-GB" w:eastAsia="en-US"/>
        </w:rPr>
        <w:t xml:space="preserve">comparing ABRO </w:t>
      </w:r>
      <w:r w:rsidR="0094445D">
        <w:rPr>
          <w:snapToGrid w:val="0"/>
          <w:lang w:val="en-GB" w:eastAsia="en-US"/>
        </w:rPr>
        <w:t xml:space="preserve">200 mg once daily </w:t>
      </w:r>
      <w:r w:rsidR="002547FB">
        <w:rPr>
          <w:snapToGrid w:val="0"/>
          <w:lang w:val="en-GB" w:eastAsia="en-US"/>
        </w:rPr>
        <w:t>to DUPI</w:t>
      </w:r>
      <w:r w:rsidR="0094445D">
        <w:rPr>
          <w:snapToGrid w:val="0"/>
          <w:lang w:val="en-GB" w:eastAsia="en-US"/>
        </w:rPr>
        <w:t xml:space="preserve"> 300 mg every 2 weeks (J</w:t>
      </w:r>
      <w:r w:rsidR="002547FB">
        <w:rPr>
          <w:snapToGrid w:val="0"/>
          <w:lang w:val="en-GB" w:eastAsia="en-US"/>
        </w:rPr>
        <w:t>ADE COMPARE and JADE DARE</w:t>
      </w:r>
      <w:r w:rsidR="0094445D">
        <w:rPr>
          <w:snapToGrid w:val="0"/>
          <w:lang w:val="en-GB" w:eastAsia="en-US"/>
        </w:rPr>
        <w:t xml:space="preserve">), and one head-to-head RCT comparing ABRO 100 mg once daily to DUPI </w:t>
      </w:r>
      <w:r w:rsidR="001F6AA3">
        <w:rPr>
          <w:snapToGrid w:val="0"/>
          <w:lang w:val="en-GB" w:eastAsia="en-US"/>
        </w:rPr>
        <w:t>3</w:t>
      </w:r>
      <w:r w:rsidR="0094445D">
        <w:rPr>
          <w:snapToGrid w:val="0"/>
          <w:lang w:val="en-GB" w:eastAsia="en-US"/>
        </w:rPr>
        <w:t>00 mg every 2 weeks (JADE COMPARE), in patients with moderate to severe AD</w:t>
      </w:r>
      <w:r w:rsidR="00CE7193">
        <w:rPr>
          <w:snapToGrid w:val="0"/>
          <w:lang w:val="en-GB" w:eastAsia="en-US"/>
        </w:rPr>
        <w:t xml:space="preserve">, and that </w:t>
      </w:r>
      <w:r w:rsidR="000521A7" w:rsidRPr="00697002">
        <w:rPr>
          <w:rFonts w:eastAsiaTheme="minorHAnsi" w:cstheme="minorBidi"/>
          <w:szCs w:val="22"/>
        </w:rPr>
        <w:t>supplementary</w:t>
      </w:r>
      <w:r w:rsidR="0094445D" w:rsidRPr="00697002">
        <w:rPr>
          <w:rFonts w:eastAsiaTheme="minorHAnsi" w:cstheme="minorBidi"/>
          <w:szCs w:val="22"/>
        </w:rPr>
        <w:t xml:space="preserve"> evidence from two non-comparative ABRO studies, JADE REGIMEN and JADE EXTEND</w:t>
      </w:r>
      <w:r w:rsidR="0094445D">
        <w:rPr>
          <w:rFonts w:eastAsiaTheme="minorHAnsi" w:cstheme="minorBidi"/>
          <w:szCs w:val="22"/>
        </w:rPr>
        <w:t xml:space="preserve"> was also provided. </w:t>
      </w:r>
    </w:p>
    <w:p w14:paraId="2A53AFB5" w14:textId="32FB7595" w:rsidR="00445E1B" w:rsidRPr="00BB27B6" w:rsidRDefault="002236FA" w:rsidP="0091041C">
      <w:pPr>
        <w:numPr>
          <w:ilvl w:val="1"/>
          <w:numId w:val="6"/>
        </w:numPr>
        <w:spacing w:after="120"/>
        <w:rPr>
          <w:snapToGrid w:val="0"/>
          <w:lang w:val="en-GB" w:eastAsia="en-US"/>
        </w:rPr>
      </w:pPr>
      <w:r>
        <w:rPr>
          <w:snapToGrid w:val="0"/>
          <w:lang w:val="en-GB" w:eastAsia="en-US"/>
        </w:rPr>
        <w:t xml:space="preserve">The PBAC noted the submission relied on the results </w:t>
      </w:r>
      <w:r w:rsidR="0094445D">
        <w:rPr>
          <w:snapToGrid w:val="0"/>
          <w:lang w:val="en-GB" w:eastAsia="en-US"/>
        </w:rPr>
        <w:t xml:space="preserve">of post hoc subgroup </w:t>
      </w:r>
      <w:r w:rsidR="002C0D09">
        <w:rPr>
          <w:snapToGrid w:val="0"/>
          <w:lang w:val="en-GB" w:eastAsia="en-US"/>
        </w:rPr>
        <w:t>analyses of</w:t>
      </w:r>
      <w:r w:rsidR="0047335B">
        <w:rPr>
          <w:snapToGrid w:val="0"/>
          <w:lang w:val="en-GB" w:eastAsia="en-US"/>
        </w:rPr>
        <w:t xml:space="preserve"> patients with severe AD (defined as IGA=4 at baseline) </w:t>
      </w:r>
      <w:r>
        <w:rPr>
          <w:snapToGrid w:val="0"/>
          <w:lang w:val="en-GB" w:eastAsia="en-US"/>
        </w:rPr>
        <w:t xml:space="preserve">from </w:t>
      </w:r>
      <w:r w:rsidR="0094445D">
        <w:rPr>
          <w:snapToGrid w:val="0"/>
          <w:lang w:val="en-GB" w:eastAsia="en-US"/>
        </w:rPr>
        <w:t xml:space="preserve">JADE COMPARE </w:t>
      </w:r>
      <w:r w:rsidR="002C0D09">
        <w:rPr>
          <w:snapToGrid w:val="0"/>
          <w:lang w:val="en-GB" w:eastAsia="en-US"/>
        </w:rPr>
        <w:t xml:space="preserve">(for ABRO 100 mg) </w:t>
      </w:r>
      <w:r w:rsidR="0094445D">
        <w:rPr>
          <w:snapToGrid w:val="0"/>
          <w:lang w:val="en-GB" w:eastAsia="en-US"/>
        </w:rPr>
        <w:t xml:space="preserve">and </w:t>
      </w:r>
      <w:r w:rsidR="00AD6556">
        <w:rPr>
          <w:snapToGrid w:val="0"/>
          <w:lang w:val="en-GB" w:eastAsia="en-US"/>
        </w:rPr>
        <w:t xml:space="preserve">from the pooled results from </w:t>
      </w:r>
      <w:r w:rsidR="0094445D">
        <w:rPr>
          <w:snapToGrid w:val="0"/>
          <w:lang w:val="en-GB" w:eastAsia="en-US"/>
        </w:rPr>
        <w:t>JADE DARE</w:t>
      </w:r>
      <w:r>
        <w:rPr>
          <w:snapToGrid w:val="0"/>
          <w:lang w:val="en-GB" w:eastAsia="en-US"/>
        </w:rPr>
        <w:t xml:space="preserve"> </w:t>
      </w:r>
      <w:r w:rsidR="002C0D09">
        <w:rPr>
          <w:snapToGrid w:val="0"/>
          <w:lang w:val="en-GB" w:eastAsia="en-US"/>
        </w:rPr>
        <w:t xml:space="preserve">and JADE COMPARE (for ABRO 200 mg) </w:t>
      </w:r>
      <w:r>
        <w:rPr>
          <w:snapToGrid w:val="0"/>
          <w:lang w:val="en-GB" w:eastAsia="en-US"/>
        </w:rPr>
        <w:t xml:space="preserve">to inform the clinical claim, economic analyses and financial estimates. </w:t>
      </w:r>
      <w:r w:rsidR="001F270E" w:rsidRPr="00513E34">
        <w:rPr>
          <w:rFonts w:cstheme="minorHAnsi"/>
          <w:snapToGrid w:val="0"/>
          <w:lang w:val="en-GB" w:eastAsia="en-US"/>
        </w:rPr>
        <w:t xml:space="preserve">While the PBAC noted that the number of patients in these subgroups was small, </w:t>
      </w:r>
      <w:r w:rsidR="00BB27B6" w:rsidRPr="00513E34">
        <w:rPr>
          <w:rFonts w:cstheme="minorHAnsi"/>
          <w:snapToGrid w:val="0"/>
          <w:lang w:val="en-GB" w:eastAsia="en-US"/>
        </w:rPr>
        <w:t xml:space="preserve">data provided in the </w:t>
      </w:r>
      <w:r w:rsidR="00AD6556" w:rsidRPr="00513E34">
        <w:rPr>
          <w:rFonts w:cstheme="minorHAnsi"/>
          <w:snapToGrid w:val="0"/>
          <w:lang w:val="en-GB" w:eastAsia="en-US"/>
        </w:rPr>
        <w:t>PSCR</w:t>
      </w:r>
      <w:r w:rsidR="00BB27B6" w:rsidRPr="00513E34">
        <w:rPr>
          <w:rFonts w:cstheme="minorHAnsi"/>
          <w:snapToGrid w:val="0"/>
          <w:lang w:val="en-GB" w:eastAsia="en-US"/>
        </w:rPr>
        <w:t xml:space="preserve"> </w:t>
      </w:r>
      <w:r w:rsidR="0038795A" w:rsidRPr="00513E34">
        <w:rPr>
          <w:rFonts w:cstheme="minorHAnsi"/>
          <w:snapToGrid w:val="0"/>
          <w:lang w:val="en-GB" w:eastAsia="en-US"/>
        </w:rPr>
        <w:t>showed</w:t>
      </w:r>
      <w:r w:rsidR="001F270E" w:rsidRPr="00513E34">
        <w:rPr>
          <w:rFonts w:cstheme="minorHAnsi"/>
          <w:snapToGrid w:val="0"/>
          <w:lang w:val="en-GB" w:eastAsia="en-US"/>
        </w:rPr>
        <w:t xml:space="preserve"> the groups were well balanced, </w:t>
      </w:r>
      <w:r w:rsidR="00BB27B6" w:rsidRPr="00513E34">
        <w:rPr>
          <w:rFonts w:cstheme="minorHAnsi"/>
          <w:snapToGrid w:val="0"/>
          <w:lang w:val="en-GB" w:eastAsia="en-US"/>
        </w:rPr>
        <w:t>and likely to be representative of the results for the severe AD subgroup for DUPI (defined by an IGA of 4 and EASI&gt;20).  As such, t</w:t>
      </w:r>
      <w:r w:rsidR="001F270E" w:rsidRPr="00513E34">
        <w:rPr>
          <w:rFonts w:cstheme="minorHAnsi"/>
          <w:snapToGrid w:val="0"/>
          <w:lang w:val="en-GB" w:eastAsia="en-US"/>
        </w:rPr>
        <w:t xml:space="preserve">he Committee considered that the risk of bias </w:t>
      </w:r>
      <w:r w:rsidR="00AD6556" w:rsidRPr="00513E34">
        <w:rPr>
          <w:rFonts w:cstheme="minorHAnsi"/>
          <w:snapToGrid w:val="0"/>
          <w:lang w:val="en-GB" w:eastAsia="en-US"/>
        </w:rPr>
        <w:t xml:space="preserve">associated with the use of the subgroups </w:t>
      </w:r>
      <w:r w:rsidR="001F270E" w:rsidRPr="00513E34">
        <w:rPr>
          <w:rFonts w:cstheme="minorHAnsi"/>
          <w:snapToGrid w:val="0"/>
          <w:lang w:val="en-GB" w:eastAsia="en-US"/>
        </w:rPr>
        <w:t>was reduced.</w:t>
      </w:r>
    </w:p>
    <w:p w14:paraId="42066440" w14:textId="7897B1D8" w:rsidR="00FD6789" w:rsidRPr="00CE7193" w:rsidRDefault="00FD6789" w:rsidP="00B450BD">
      <w:pPr>
        <w:pStyle w:val="3-BodyText"/>
        <w:rPr>
          <w:snapToGrid w:val="0"/>
          <w:lang w:val="en-GB" w:eastAsia="en-US"/>
        </w:rPr>
      </w:pPr>
      <w:r w:rsidRPr="00CE7193">
        <w:rPr>
          <w:snapToGrid w:val="0"/>
          <w:lang w:val="en-GB" w:eastAsia="en-US"/>
        </w:rPr>
        <w:t>The PBAC noted the clinical claims for efficacy of ABRO were based on the results of the composite endpoint of EASI50 and DLQI</w:t>
      </w:r>
      <w:r w:rsidRPr="00CE7193">
        <w:rPr>
          <w:rFonts w:cstheme="minorHAnsi"/>
          <w:snapToGrid w:val="0"/>
          <w:lang w:val="en-GB" w:eastAsia="en-US"/>
        </w:rPr>
        <w:t>≥</w:t>
      </w:r>
      <w:r w:rsidRPr="00CE7193">
        <w:rPr>
          <w:snapToGrid w:val="0"/>
          <w:lang w:val="en-GB" w:eastAsia="en-US"/>
        </w:rPr>
        <w:t>4 response rate</w:t>
      </w:r>
      <w:r>
        <w:rPr>
          <w:snapToGrid w:val="0"/>
          <w:lang w:val="en-GB" w:eastAsia="en-US"/>
        </w:rPr>
        <w:t>,</w:t>
      </w:r>
      <w:r w:rsidRPr="00FD6789">
        <w:rPr>
          <w:snapToGrid w:val="0"/>
          <w:lang w:val="en-GB" w:eastAsia="en-US"/>
        </w:rPr>
        <w:t xml:space="preserve"> </w:t>
      </w:r>
      <w:r>
        <w:rPr>
          <w:snapToGrid w:val="0"/>
          <w:lang w:val="en-GB" w:eastAsia="en-US"/>
        </w:rPr>
        <w:t>which was not a prespecified outcome in either of the head-to-head trials</w:t>
      </w:r>
      <w:r w:rsidRPr="00CE7193">
        <w:rPr>
          <w:snapToGrid w:val="0"/>
          <w:lang w:val="en-GB" w:eastAsia="en-US"/>
        </w:rPr>
        <w:t xml:space="preserve">. </w:t>
      </w:r>
      <w:r w:rsidR="00CE7193">
        <w:t xml:space="preserve">The PBAC noted the endpoints in JADE COMPARE were EASI75, as well as IGA response, </w:t>
      </w:r>
      <w:r w:rsidR="005641AE">
        <w:t xml:space="preserve">and in JADE DARE a 4 point or more improvement in the Peak </w:t>
      </w:r>
      <w:proofErr w:type="spellStart"/>
      <w:r w:rsidR="005641AE">
        <w:t>Pruritis</w:t>
      </w:r>
      <w:proofErr w:type="spellEnd"/>
      <w:r w:rsidR="005641AE">
        <w:t xml:space="preserve"> Numerical Rating Scale (PP-NRS4) and at least 90% improvement in the EASI score</w:t>
      </w:r>
      <w:r w:rsidR="00BB27B6">
        <w:t xml:space="preserve"> (EASI90)</w:t>
      </w:r>
      <w:r w:rsidR="00CE7193">
        <w:t xml:space="preserve">. </w:t>
      </w:r>
      <w:r w:rsidRPr="00CE7193">
        <w:rPr>
          <w:snapToGrid w:val="0"/>
          <w:lang w:val="en-GB" w:eastAsia="en-US"/>
        </w:rPr>
        <w:t xml:space="preserve">The PBAC agreed with the </w:t>
      </w:r>
      <w:r w:rsidRPr="00CE7193">
        <w:rPr>
          <w:snapToGrid w:val="0"/>
          <w:lang w:val="en-GB" w:eastAsia="en-US"/>
        </w:rPr>
        <w:lastRenderedPageBreak/>
        <w:t xml:space="preserve">submission that </w:t>
      </w:r>
      <w:r w:rsidR="00BB27B6" w:rsidRPr="00CE7193">
        <w:rPr>
          <w:snapToGrid w:val="0"/>
          <w:lang w:val="en-GB" w:eastAsia="en-US"/>
        </w:rPr>
        <w:t>the composite endpoint of EASI50 and DLQI</w:t>
      </w:r>
      <w:r w:rsidR="00BB27B6" w:rsidRPr="00CE7193">
        <w:rPr>
          <w:rFonts w:cstheme="minorHAnsi"/>
          <w:snapToGrid w:val="0"/>
          <w:lang w:val="en-GB" w:eastAsia="en-US"/>
        </w:rPr>
        <w:t>≥</w:t>
      </w:r>
      <w:r w:rsidR="00BB27B6" w:rsidRPr="00CE7193">
        <w:rPr>
          <w:snapToGrid w:val="0"/>
          <w:lang w:val="en-GB" w:eastAsia="en-US"/>
        </w:rPr>
        <w:t>4</w:t>
      </w:r>
      <w:r w:rsidRPr="00CE7193">
        <w:rPr>
          <w:snapToGrid w:val="0"/>
          <w:lang w:val="en-GB" w:eastAsia="en-US"/>
        </w:rPr>
        <w:t xml:space="preserve"> was </w:t>
      </w:r>
      <w:r w:rsidR="00BB27B6">
        <w:rPr>
          <w:snapToGrid w:val="0"/>
          <w:lang w:val="en-GB" w:eastAsia="en-US"/>
        </w:rPr>
        <w:t>an appropriate outcome for the basis of the clinical claim</w:t>
      </w:r>
      <w:r w:rsidRPr="00CE7193">
        <w:rPr>
          <w:snapToGrid w:val="0"/>
          <w:lang w:val="en-GB" w:eastAsia="en-US"/>
        </w:rPr>
        <w:t xml:space="preserve"> as it is consistent with the continuing criteria for PBS listings of systemic treatments for whole body severe AD. </w:t>
      </w:r>
    </w:p>
    <w:p w14:paraId="7C75D4B9" w14:textId="3BF65CE4" w:rsidR="00FD6789" w:rsidRDefault="00BB27B6" w:rsidP="00B450BD">
      <w:pPr>
        <w:pStyle w:val="3-BodyText"/>
        <w:rPr>
          <w:snapToGrid w:val="0"/>
          <w:lang w:val="en-GB" w:eastAsia="en-US"/>
        </w:rPr>
      </w:pPr>
      <w:bookmarkStart w:id="87" w:name="_Ref183087255"/>
      <w:r>
        <w:rPr>
          <w:snapToGrid w:val="0"/>
          <w:lang w:val="en-GB" w:eastAsia="en-US"/>
        </w:rPr>
        <w:t>T</w:t>
      </w:r>
      <w:r w:rsidR="00FD6789">
        <w:rPr>
          <w:snapToGrid w:val="0"/>
          <w:lang w:val="en-GB" w:eastAsia="en-US"/>
        </w:rPr>
        <w:t>he submission chose a timepoint of 16 weeks</w:t>
      </w:r>
      <w:r>
        <w:rPr>
          <w:snapToGrid w:val="0"/>
          <w:lang w:val="en-GB" w:eastAsia="en-US"/>
        </w:rPr>
        <w:t xml:space="preserve"> for assessment of response, which the PBAC considered was</w:t>
      </w:r>
      <w:r w:rsidRPr="00BB27B6">
        <w:rPr>
          <w:snapToGrid w:val="0"/>
          <w:lang w:val="en-GB" w:eastAsia="en-US"/>
        </w:rPr>
        <w:t xml:space="preserve"> </w:t>
      </w:r>
      <w:r>
        <w:rPr>
          <w:snapToGrid w:val="0"/>
          <w:lang w:val="en-GB" w:eastAsia="en-US"/>
        </w:rPr>
        <w:t>reasonable as it aligned with assessment of response in the PBS restrictions for other systemic therapies for severe AD</w:t>
      </w:r>
      <w:r w:rsidR="00FD6789">
        <w:rPr>
          <w:snapToGrid w:val="0"/>
          <w:lang w:val="en-GB" w:eastAsia="en-US"/>
        </w:rPr>
        <w:t xml:space="preserve">. The PBAC noted that </w:t>
      </w:r>
      <w:r w:rsidR="00FD6789" w:rsidRPr="00070C35">
        <w:t>the relative effectiveness of ABRO versus DUPI varies over time due to differences in time to onset of treatment response</w:t>
      </w:r>
      <w:r>
        <w:t>,</w:t>
      </w:r>
      <w:r w:rsidR="00FD6789" w:rsidRPr="00070C35">
        <w:t xml:space="preserve"> and plateauing of treatment response.</w:t>
      </w:r>
      <w:r w:rsidR="00FD6789">
        <w:rPr>
          <w:snapToGrid w:val="0"/>
          <w:lang w:val="en-GB" w:eastAsia="en-US"/>
        </w:rPr>
        <w:t xml:space="preserve"> </w:t>
      </w:r>
      <w:r>
        <w:rPr>
          <w:snapToGrid w:val="0"/>
          <w:lang w:val="en-GB" w:eastAsia="en-US"/>
        </w:rPr>
        <w:t>T</w:t>
      </w:r>
      <w:r w:rsidR="00FD6789">
        <w:rPr>
          <w:snapToGrid w:val="0"/>
          <w:lang w:val="en-GB" w:eastAsia="en-US"/>
        </w:rPr>
        <w:t xml:space="preserve">he PBAC noted that </w:t>
      </w:r>
      <w:r>
        <w:rPr>
          <w:snapToGrid w:val="0"/>
          <w:lang w:val="en-GB" w:eastAsia="en-US"/>
        </w:rPr>
        <w:t>based on EASI75 response (Figure 1), IGA (</w:t>
      </w:r>
      <w:r>
        <w:rPr>
          <w:snapToGrid w:val="0"/>
          <w:lang w:val="en-GB" w:eastAsia="en-US"/>
        </w:rPr>
        <w:fldChar w:fldCharType="begin" w:fldLock="1"/>
      </w:r>
      <w:r>
        <w:rPr>
          <w:snapToGrid w:val="0"/>
          <w:lang w:val="en-GB" w:eastAsia="en-US"/>
        </w:rPr>
        <w:instrText xml:space="preserve"> REF _Ref176799124 \h  \* MERGEFORMAT </w:instrText>
      </w:r>
      <w:r>
        <w:rPr>
          <w:snapToGrid w:val="0"/>
          <w:lang w:val="en-GB" w:eastAsia="en-US"/>
        </w:rPr>
      </w:r>
      <w:r>
        <w:rPr>
          <w:snapToGrid w:val="0"/>
          <w:lang w:val="en-GB" w:eastAsia="en-US"/>
        </w:rPr>
        <w:fldChar w:fldCharType="separate"/>
      </w:r>
      <w:r w:rsidR="004F2A70" w:rsidRPr="004F2A70">
        <w:rPr>
          <w:snapToGrid w:val="0"/>
          <w:lang w:val="en-GB" w:eastAsia="en-US"/>
        </w:rPr>
        <w:t>Figure 2</w:t>
      </w:r>
      <w:r>
        <w:rPr>
          <w:snapToGrid w:val="0"/>
          <w:lang w:val="en-GB" w:eastAsia="en-US"/>
        </w:rPr>
        <w:fldChar w:fldCharType="end"/>
      </w:r>
      <w:r>
        <w:rPr>
          <w:snapToGrid w:val="0"/>
          <w:lang w:val="en-GB" w:eastAsia="en-US"/>
        </w:rPr>
        <w:t xml:space="preserve">) and also </w:t>
      </w:r>
      <w:r>
        <w:t>PP-NRS4</w:t>
      </w:r>
      <w:r>
        <w:rPr>
          <w:snapToGrid w:val="0"/>
          <w:lang w:val="en-GB" w:eastAsia="en-US"/>
        </w:rPr>
        <w:t xml:space="preserve">, </w:t>
      </w:r>
      <w:r w:rsidR="00FD6789">
        <w:rPr>
          <w:snapToGrid w:val="0"/>
          <w:lang w:val="en-GB" w:eastAsia="en-US"/>
        </w:rPr>
        <w:t>a higher proportion of patients responded to ABRO 200 mg by Week 8 compared to ABRO 100 mg and DUPI 300 mg</w:t>
      </w:r>
      <w:r>
        <w:rPr>
          <w:snapToGrid w:val="0"/>
          <w:lang w:val="en-GB" w:eastAsia="en-US"/>
        </w:rPr>
        <w:t>. However</w:t>
      </w:r>
      <w:r w:rsidR="00FD6789">
        <w:rPr>
          <w:snapToGrid w:val="0"/>
          <w:lang w:val="en-GB" w:eastAsia="en-US"/>
        </w:rPr>
        <w:t xml:space="preserve">, the number of responders to DUPI increased from Week 8 to Week 16, while the number of responders to ABRO 200 mg and </w:t>
      </w:r>
      <w:r>
        <w:rPr>
          <w:snapToGrid w:val="0"/>
          <w:lang w:val="en-GB" w:eastAsia="en-US"/>
        </w:rPr>
        <w:t>100 </w:t>
      </w:r>
      <w:r w:rsidR="00FD6789">
        <w:rPr>
          <w:snapToGrid w:val="0"/>
          <w:lang w:val="en-GB" w:eastAsia="en-US"/>
        </w:rPr>
        <w:t>mg appeared to plateau.</w:t>
      </w:r>
      <w:bookmarkEnd w:id="87"/>
      <w:r w:rsidR="00FD6789">
        <w:rPr>
          <w:snapToGrid w:val="0"/>
          <w:lang w:val="en-GB" w:eastAsia="en-US"/>
        </w:rPr>
        <w:t xml:space="preserve"> </w:t>
      </w:r>
    </w:p>
    <w:p w14:paraId="31E9E3FF" w14:textId="6E94C709" w:rsidR="008D2F26" w:rsidRPr="0081292A" w:rsidRDefault="004E3CAA" w:rsidP="00B450BD">
      <w:pPr>
        <w:pStyle w:val="3-BodyText"/>
        <w:rPr>
          <w:snapToGrid w:val="0"/>
          <w:lang w:val="en-GB" w:eastAsia="en-US"/>
        </w:rPr>
      </w:pPr>
      <w:r w:rsidRPr="0081292A">
        <w:rPr>
          <w:snapToGrid w:val="0"/>
          <w:lang w:val="en-GB" w:eastAsia="en-US"/>
        </w:rPr>
        <w:t xml:space="preserve">The PBAC noted </w:t>
      </w:r>
      <w:r w:rsidR="00130E44" w:rsidRPr="0081292A">
        <w:rPr>
          <w:snapToGrid w:val="0"/>
          <w:lang w:val="en-GB" w:eastAsia="en-US"/>
        </w:rPr>
        <w:t>there was</w:t>
      </w:r>
      <w:r w:rsidRPr="0081292A">
        <w:rPr>
          <w:snapToGrid w:val="0"/>
          <w:lang w:val="en-GB" w:eastAsia="en-US"/>
        </w:rPr>
        <w:t xml:space="preserve"> no statistically significant difference between ABRO </w:t>
      </w:r>
      <w:r w:rsidR="00BB27B6" w:rsidRPr="0081292A">
        <w:rPr>
          <w:snapToGrid w:val="0"/>
          <w:lang w:val="en-GB" w:eastAsia="en-US"/>
        </w:rPr>
        <w:t>200 </w:t>
      </w:r>
      <w:r w:rsidRPr="0081292A">
        <w:rPr>
          <w:snapToGrid w:val="0"/>
          <w:lang w:val="en-GB" w:eastAsia="en-US"/>
        </w:rPr>
        <w:t>mg and DUPI 300 mg</w:t>
      </w:r>
      <w:r w:rsidR="00130E44" w:rsidRPr="0081292A">
        <w:rPr>
          <w:snapToGrid w:val="0"/>
          <w:lang w:val="en-GB" w:eastAsia="en-US"/>
        </w:rPr>
        <w:t xml:space="preserve"> with respect to the proportion of patients</w:t>
      </w:r>
      <w:r w:rsidR="005641AE" w:rsidRPr="0081292A">
        <w:rPr>
          <w:snapToGrid w:val="0"/>
          <w:lang w:val="en-GB" w:eastAsia="en-US"/>
        </w:rPr>
        <w:t xml:space="preserve"> with severe AD</w:t>
      </w:r>
      <w:r w:rsidR="00130E44" w:rsidRPr="0081292A">
        <w:rPr>
          <w:snapToGrid w:val="0"/>
          <w:lang w:val="en-GB" w:eastAsia="en-US"/>
        </w:rPr>
        <w:t xml:space="preserve"> who met the composite endpoint of EASI50 and DLQI</w:t>
      </w:r>
      <w:r w:rsidR="00130E44" w:rsidRPr="0081292A">
        <w:rPr>
          <w:rFonts w:cstheme="minorHAnsi"/>
          <w:snapToGrid w:val="0"/>
          <w:lang w:val="en-GB" w:eastAsia="en-US"/>
        </w:rPr>
        <w:t>≥</w:t>
      </w:r>
      <w:r w:rsidR="00130E44" w:rsidRPr="0081292A">
        <w:rPr>
          <w:snapToGrid w:val="0"/>
          <w:lang w:val="en-GB" w:eastAsia="en-US"/>
        </w:rPr>
        <w:t xml:space="preserve">4 response at 16 weeks </w:t>
      </w:r>
      <w:r w:rsidR="005641AE" w:rsidRPr="0081292A">
        <w:rPr>
          <w:snapToGrid w:val="0"/>
          <w:lang w:val="en-GB" w:eastAsia="en-US"/>
        </w:rPr>
        <w:t xml:space="preserve">based on the pooled dataset </w:t>
      </w:r>
      <w:r w:rsidRPr="0081292A">
        <w:rPr>
          <w:snapToGrid w:val="0"/>
          <w:lang w:val="en-GB" w:eastAsia="en-US"/>
        </w:rPr>
        <w:t>(</w:t>
      </w:r>
      <w:r w:rsidR="0081292A" w:rsidRPr="00070C35">
        <w:t>RD: 11.5% [95% CI: -0.9, 22.1]</w:t>
      </w:r>
      <w:r w:rsidR="0081292A">
        <w:t xml:space="preserve"> </w:t>
      </w:r>
      <w:r w:rsidRPr="0081292A">
        <w:rPr>
          <w:snapToGrid w:val="0"/>
          <w:lang w:val="en-GB" w:eastAsia="en-US"/>
        </w:rPr>
        <w:t xml:space="preserve">in patients </w:t>
      </w:r>
      <w:r w:rsidR="008D2F26" w:rsidRPr="0081292A">
        <w:rPr>
          <w:snapToGrid w:val="0"/>
          <w:lang w:val="en-GB" w:eastAsia="en-US"/>
        </w:rPr>
        <w:t xml:space="preserve">with </w:t>
      </w:r>
      <w:r w:rsidRPr="0081292A">
        <w:rPr>
          <w:snapToGrid w:val="0"/>
          <w:lang w:val="en-GB" w:eastAsia="en-US"/>
        </w:rPr>
        <w:t>no prior</w:t>
      </w:r>
      <w:r w:rsidR="009255FC" w:rsidRPr="0081292A">
        <w:rPr>
          <w:snapToGrid w:val="0"/>
          <w:lang w:val="en-GB" w:eastAsia="en-US"/>
        </w:rPr>
        <w:t xml:space="preserve"> </w:t>
      </w:r>
      <w:r w:rsidR="009255FC" w:rsidRPr="0081292A">
        <w:rPr>
          <w:iCs/>
        </w:rPr>
        <w:t>immunomodulatory therapy</w:t>
      </w:r>
      <w:r w:rsidRPr="0081292A">
        <w:rPr>
          <w:snapToGrid w:val="0"/>
          <w:lang w:val="en-GB" w:eastAsia="en-US"/>
        </w:rPr>
        <w:t xml:space="preserve"> </w:t>
      </w:r>
      <w:r w:rsidR="009255FC" w:rsidRPr="0081292A">
        <w:rPr>
          <w:snapToGrid w:val="0"/>
          <w:lang w:val="en-GB" w:eastAsia="en-US"/>
        </w:rPr>
        <w:t>(</w:t>
      </w:r>
      <w:r w:rsidRPr="0081292A">
        <w:rPr>
          <w:snapToGrid w:val="0"/>
          <w:lang w:val="en-GB" w:eastAsia="en-US"/>
        </w:rPr>
        <w:t>IMM</w:t>
      </w:r>
      <w:r w:rsidR="009255FC" w:rsidRPr="0081292A">
        <w:rPr>
          <w:snapToGrid w:val="0"/>
          <w:lang w:val="en-GB" w:eastAsia="en-US"/>
        </w:rPr>
        <w:t>)</w:t>
      </w:r>
      <w:r w:rsidRPr="0081292A">
        <w:rPr>
          <w:snapToGrid w:val="0"/>
          <w:lang w:val="en-GB" w:eastAsia="en-US"/>
        </w:rPr>
        <w:t xml:space="preserve"> and </w:t>
      </w:r>
      <w:r w:rsidR="0081292A">
        <w:rPr>
          <w:snapToGrid w:val="0"/>
          <w:lang w:val="en-GB" w:eastAsia="en-US"/>
        </w:rPr>
        <w:t xml:space="preserve">RD: </w:t>
      </w:r>
      <w:r w:rsidR="0081292A" w:rsidRPr="0081292A">
        <w:rPr>
          <w:snapToGrid w:val="0"/>
          <w:lang w:eastAsia="en-US"/>
        </w:rPr>
        <w:t>1.5</w:t>
      </w:r>
      <w:r w:rsidR="0081292A">
        <w:rPr>
          <w:snapToGrid w:val="0"/>
          <w:lang w:eastAsia="en-US"/>
        </w:rPr>
        <w:t>%</w:t>
      </w:r>
      <w:r w:rsidR="0081292A" w:rsidRPr="0081292A">
        <w:rPr>
          <w:snapToGrid w:val="0"/>
          <w:lang w:eastAsia="en-US"/>
        </w:rPr>
        <w:t xml:space="preserve"> [</w:t>
      </w:r>
      <w:r w:rsidR="0081292A">
        <w:rPr>
          <w:snapToGrid w:val="0"/>
          <w:lang w:eastAsia="en-US"/>
        </w:rPr>
        <w:t xml:space="preserve">95% CI: </w:t>
      </w:r>
      <w:r w:rsidR="0081292A" w:rsidRPr="0081292A">
        <w:rPr>
          <w:snapToGrid w:val="0"/>
          <w:lang w:eastAsia="en-US"/>
        </w:rPr>
        <w:t xml:space="preserve">-9.5, 12.5] </w:t>
      </w:r>
      <w:r w:rsidRPr="0081292A">
        <w:rPr>
          <w:snapToGrid w:val="0"/>
          <w:lang w:val="en-GB" w:eastAsia="en-US"/>
        </w:rPr>
        <w:t>in patients with prior IMM).</w:t>
      </w:r>
      <w:r w:rsidR="002B4652" w:rsidRPr="0091041C">
        <w:rPr>
          <w:rFonts w:eastAsia="Times New Roman" w:cstheme="minorHAnsi"/>
          <w:snapToGrid w:val="0"/>
          <w:szCs w:val="24"/>
          <w:vertAlign w:val="superscript"/>
          <w:lang w:val="en-GB" w:eastAsia="en-US"/>
        </w:rPr>
        <w:footnoteReference w:id="7"/>
      </w:r>
      <w:r w:rsidRPr="0081292A">
        <w:rPr>
          <w:snapToGrid w:val="0"/>
          <w:lang w:val="en-GB" w:eastAsia="en-US"/>
        </w:rPr>
        <w:t xml:space="preserve"> For the comparison between ABRO 100 mg and DUPI 300 mg, the </w:t>
      </w:r>
      <w:r w:rsidR="005641AE" w:rsidRPr="0081292A">
        <w:rPr>
          <w:snapToGrid w:val="0"/>
          <w:lang w:val="en-GB" w:eastAsia="en-US"/>
        </w:rPr>
        <w:t>PBAC</w:t>
      </w:r>
      <w:r w:rsidRPr="0081292A">
        <w:rPr>
          <w:snapToGrid w:val="0"/>
          <w:lang w:val="en-GB" w:eastAsia="en-US"/>
        </w:rPr>
        <w:t xml:space="preserve"> noted that the results</w:t>
      </w:r>
      <w:r w:rsidR="00130E44" w:rsidRPr="0081292A">
        <w:rPr>
          <w:snapToGrid w:val="0"/>
          <w:lang w:val="en-GB" w:eastAsia="en-US"/>
        </w:rPr>
        <w:t xml:space="preserve"> for the composite endpoint</w:t>
      </w:r>
      <w:r w:rsidR="008D2F26" w:rsidRPr="0081292A">
        <w:rPr>
          <w:snapToGrid w:val="0"/>
          <w:lang w:val="en-GB" w:eastAsia="en-US"/>
        </w:rPr>
        <w:t xml:space="preserve"> </w:t>
      </w:r>
      <w:r w:rsidR="00BB27B6" w:rsidRPr="0081292A">
        <w:rPr>
          <w:snapToGrid w:val="0"/>
          <w:lang w:val="en-GB" w:eastAsia="en-US"/>
        </w:rPr>
        <w:t xml:space="preserve">suggested </w:t>
      </w:r>
      <w:r w:rsidR="008D2F26" w:rsidRPr="0081292A">
        <w:rPr>
          <w:snapToGrid w:val="0"/>
          <w:lang w:val="en-GB" w:eastAsia="en-US"/>
        </w:rPr>
        <w:t xml:space="preserve">that </w:t>
      </w:r>
      <w:r w:rsidRPr="0081292A">
        <w:rPr>
          <w:snapToGrid w:val="0"/>
          <w:lang w:val="en-GB" w:eastAsia="en-US"/>
        </w:rPr>
        <w:t xml:space="preserve">ABRO 100 mg was inferior to DUPI 300 mg (RD=-5.8, 95%CI: -22.8, 11.3 in patients with no prior IMM and RD=-15.7, 95%CI: -45.3, 13.9 in patients with prior IMM). </w:t>
      </w:r>
      <w:r w:rsidR="00BB27B6" w:rsidRPr="0081292A">
        <w:rPr>
          <w:snapToGrid w:val="0"/>
          <w:lang w:val="en-GB" w:eastAsia="en-US"/>
        </w:rPr>
        <w:t xml:space="preserve">The PBAC noted that interpretation of the results from these comparisons was limited by the </w:t>
      </w:r>
      <w:r w:rsidR="00BB27B6" w:rsidRPr="00347481">
        <w:t>post hoc</w:t>
      </w:r>
      <w:r w:rsidR="00BB27B6" w:rsidRPr="00070C35">
        <w:t xml:space="preserve"> nature of the analyses in small subgroups.</w:t>
      </w:r>
    </w:p>
    <w:p w14:paraId="420E29AA" w14:textId="551C5D8B" w:rsidR="004F7C1F" w:rsidRDefault="004F7C1F" w:rsidP="00B450BD">
      <w:pPr>
        <w:pStyle w:val="3-BodyText"/>
        <w:rPr>
          <w:snapToGrid w:val="0"/>
          <w:lang w:val="en-GB" w:eastAsia="en-US"/>
        </w:rPr>
      </w:pPr>
      <w:r>
        <w:rPr>
          <w:snapToGrid w:val="0"/>
          <w:lang w:val="en-GB" w:eastAsia="en-US"/>
        </w:rPr>
        <w:t xml:space="preserve">The PBAC noted </w:t>
      </w:r>
      <w:r w:rsidR="00B263D1">
        <w:rPr>
          <w:snapToGrid w:val="0"/>
          <w:lang w:val="en-GB" w:eastAsia="en-US"/>
        </w:rPr>
        <w:t>that the pre-PBAC Response stated that</w:t>
      </w:r>
      <w:r w:rsidR="00AA1B48">
        <w:rPr>
          <w:snapToGrid w:val="0"/>
          <w:lang w:val="en-GB" w:eastAsia="en-US"/>
        </w:rPr>
        <w:t>,</w:t>
      </w:r>
      <w:r w:rsidR="00B263D1">
        <w:rPr>
          <w:snapToGrid w:val="0"/>
          <w:lang w:val="en-GB" w:eastAsia="en-US"/>
        </w:rPr>
        <w:t xml:space="preserve"> </w:t>
      </w:r>
      <w:r w:rsidR="00AA1B48">
        <w:rPr>
          <w:snapToGrid w:val="0"/>
          <w:lang w:val="en-GB" w:eastAsia="en-US"/>
        </w:rPr>
        <w:t xml:space="preserve">in the intended population for the 50 mg dose (patients with renal impairment or on strong CYP2C19 inhibitors), </w:t>
      </w:r>
      <w:r w:rsidR="00B263D1">
        <w:rPr>
          <w:snapToGrid w:val="0"/>
          <w:lang w:val="en-GB" w:eastAsia="en-US"/>
        </w:rPr>
        <w:t xml:space="preserve">the effect of  ABRO 50 mg on a patient’s AD is likely to be higher than the same dose in patients without moderate to severe renal impairment, or a pharmacokinetic interaction due </w:t>
      </w:r>
      <w:r w:rsidR="000B14EF">
        <w:rPr>
          <w:snapToGrid w:val="0"/>
          <w:lang w:val="en-GB" w:eastAsia="en-US"/>
        </w:rPr>
        <w:t>concomitant intake of</w:t>
      </w:r>
      <w:r w:rsidR="00B263D1">
        <w:rPr>
          <w:snapToGrid w:val="0"/>
          <w:lang w:val="en-GB" w:eastAsia="en-US"/>
        </w:rPr>
        <w:t xml:space="preserve"> strong </w:t>
      </w:r>
      <w:r w:rsidR="000B14EF">
        <w:rPr>
          <w:snapToGrid w:val="0"/>
          <w:lang w:val="en-GB" w:eastAsia="en-US"/>
        </w:rPr>
        <w:t xml:space="preserve">CYP2C19 </w:t>
      </w:r>
      <w:r w:rsidR="00B263D1">
        <w:rPr>
          <w:snapToGrid w:val="0"/>
          <w:lang w:val="en-GB" w:eastAsia="en-US"/>
        </w:rPr>
        <w:t xml:space="preserve">inhibitors, but considered </w:t>
      </w:r>
      <w:r>
        <w:rPr>
          <w:snapToGrid w:val="0"/>
          <w:lang w:val="en-GB" w:eastAsia="en-US"/>
        </w:rPr>
        <w:t xml:space="preserve">that </w:t>
      </w:r>
      <w:r w:rsidR="00B263D1">
        <w:rPr>
          <w:snapToGrid w:val="0"/>
          <w:lang w:val="en-GB" w:eastAsia="en-US"/>
        </w:rPr>
        <w:t xml:space="preserve">in the absence of </w:t>
      </w:r>
      <w:r>
        <w:rPr>
          <w:snapToGrid w:val="0"/>
          <w:lang w:val="en-GB" w:eastAsia="en-US"/>
        </w:rPr>
        <w:t xml:space="preserve">clinical evidence it was not possible to make a </w:t>
      </w:r>
      <w:r w:rsidR="000B14EF">
        <w:rPr>
          <w:snapToGrid w:val="0"/>
          <w:lang w:val="en-GB" w:eastAsia="en-US"/>
        </w:rPr>
        <w:t>determination</w:t>
      </w:r>
      <w:r>
        <w:rPr>
          <w:snapToGrid w:val="0"/>
          <w:lang w:val="en-GB" w:eastAsia="en-US"/>
        </w:rPr>
        <w:t xml:space="preserve"> regarding </w:t>
      </w:r>
      <w:r w:rsidR="00B263D1">
        <w:rPr>
          <w:snapToGrid w:val="0"/>
          <w:lang w:val="en-GB" w:eastAsia="en-US"/>
        </w:rPr>
        <w:t xml:space="preserve">the </w:t>
      </w:r>
      <w:r>
        <w:rPr>
          <w:snapToGrid w:val="0"/>
          <w:lang w:val="en-GB" w:eastAsia="en-US"/>
        </w:rPr>
        <w:t xml:space="preserve">comparative effectiveness </w:t>
      </w:r>
      <w:r w:rsidR="00B263D1">
        <w:rPr>
          <w:snapToGrid w:val="0"/>
          <w:lang w:val="en-GB" w:eastAsia="en-US"/>
        </w:rPr>
        <w:t xml:space="preserve">of ABRO 50 mg </w:t>
      </w:r>
      <w:r>
        <w:rPr>
          <w:snapToGrid w:val="0"/>
          <w:lang w:val="en-GB" w:eastAsia="en-US"/>
        </w:rPr>
        <w:t>versus DUPI.</w:t>
      </w:r>
    </w:p>
    <w:p w14:paraId="179A6A2F" w14:textId="068B34D0" w:rsidR="00D15871" w:rsidRPr="000B14EF" w:rsidRDefault="002E2891" w:rsidP="00D547C7">
      <w:pPr>
        <w:pStyle w:val="3-BodyText"/>
        <w:rPr>
          <w:snapToGrid w:val="0"/>
          <w:lang w:val="en-GB" w:eastAsia="en-US"/>
        </w:rPr>
      </w:pPr>
      <w:bookmarkStart w:id="88" w:name="_Ref183088059"/>
      <w:r w:rsidRPr="000B14EF">
        <w:rPr>
          <w:snapToGrid w:val="0"/>
          <w:lang w:val="en-GB" w:eastAsia="en-US"/>
        </w:rPr>
        <w:t xml:space="preserve">The PBAC noted that </w:t>
      </w:r>
      <w:r w:rsidR="00D15871" w:rsidRPr="000B14EF">
        <w:rPr>
          <w:snapToGrid w:val="0"/>
          <w:lang w:val="en-GB" w:eastAsia="en-US"/>
        </w:rPr>
        <w:t>based on the evidence presented in the submission</w:t>
      </w:r>
      <w:r w:rsidR="000B14EF" w:rsidRPr="000B14EF">
        <w:rPr>
          <w:snapToGrid w:val="0"/>
          <w:lang w:val="en-GB" w:eastAsia="en-US"/>
        </w:rPr>
        <w:t>,</w:t>
      </w:r>
      <w:r w:rsidR="00D15871" w:rsidRPr="000B14EF">
        <w:rPr>
          <w:snapToGrid w:val="0"/>
          <w:lang w:val="en-GB" w:eastAsia="en-US"/>
        </w:rPr>
        <w:t xml:space="preserve"> </w:t>
      </w:r>
      <w:r w:rsidRPr="000B14EF">
        <w:rPr>
          <w:snapToGrid w:val="0"/>
          <w:lang w:val="en-GB" w:eastAsia="en-US"/>
        </w:rPr>
        <w:t xml:space="preserve">ABRO </w:t>
      </w:r>
      <w:r w:rsidR="00BB27B6" w:rsidRPr="000B14EF">
        <w:rPr>
          <w:snapToGrid w:val="0"/>
          <w:lang w:val="en-GB" w:eastAsia="en-US"/>
        </w:rPr>
        <w:t>200</w:t>
      </w:r>
      <w:r w:rsidR="00BB27B6">
        <w:rPr>
          <w:snapToGrid w:val="0"/>
          <w:lang w:val="en-GB" w:eastAsia="en-US"/>
        </w:rPr>
        <w:t> </w:t>
      </w:r>
      <w:r w:rsidRPr="000B14EF">
        <w:rPr>
          <w:snapToGrid w:val="0"/>
          <w:lang w:val="en-GB" w:eastAsia="en-US"/>
        </w:rPr>
        <w:t xml:space="preserve">mg had a differing and potentially poorer safety profile to DUPI, with patients treated with ABRO 200 mg experiencing higher rates of herpes simplex, herpes zoster, folliculitis, nausea, acne, and laboratory abnormalities, as well as numerically higher rates of adverse events overall compared to DUPI. The PBAC noted that rates of conjunctivitis were higher with DUPI. </w:t>
      </w:r>
      <w:r w:rsidR="00D14AAD" w:rsidRPr="000B14EF">
        <w:rPr>
          <w:snapToGrid w:val="0"/>
          <w:lang w:val="en-GB" w:eastAsia="en-US"/>
        </w:rPr>
        <w:t xml:space="preserve">The PBAC noted that long-term comparative </w:t>
      </w:r>
      <w:r w:rsidR="00D14AAD" w:rsidRPr="000B14EF">
        <w:rPr>
          <w:snapToGrid w:val="0"/>
          <w:lang w:val="en-GB" w:eastAsia="en-US"/>
        </w:rPr>
        <w:lastRenderedPageBreak/>
        <w:t>safety data is lacking for ABRO and considered that a</w:t>
      </w:r>
      <w:r w:rsidR="00B41687" w:rsidRPr="000B14EF">
        <w:rPr>
          <w:snapToGrid w:val="0"/>
          <w:lang w:val="en-GB" w:eastAsia="en-US"/>
        </w:rPr>
        <w:t xml:space="preserve">lthough additional safety data was provided in the PSCR </w:t>
      </w:r>
      <w:r w:rsidR="00D14AAD" w:rsidRPr="000B14EF">
        <w:rPr>
          <w:snapToGrid w:val="0"/>
          <w:lang w:val="en-GB" w:eastAsia="en-US"/>
        </w:rPr>
        <w:t>that it was difficult to draw conclusions from the data given the lack of matching</w:t>
      </w:r>
      <w:r w:rsidR="00B41687" w:rsidRPr="000B14EF">
        <w:rPr>
          <w:snapToGrid w:val="0"/>
          <w:lang w:val="en-GB" w:eastAsia="en-US"/>
        </w:rPr>
        <w:t>.</w:t>
      </w:r>
      <w:bookmarkEnd w:id="88"/>
      <w:r w:rsidR="00B41687" w:rsidRPr="000B14EF">
        <w:rPr>
          <w:snapToGrid w:val="0"/>
          <w:lang w:val="en-GB" w:eastAsia="en-US"/>
        </w:rPr>
        <w:t xml:space="preserve"> </w:t>
      </w:r>
    </w:p>
    <w:p w14:paraId="2D4819CB" w14:textId="6542A608" w:rsidR="00BB27B6" w:rsidRDefault="00BB27B6" w:rsidP="00BB27B6">
      <w:pPr>
        <w:pStyle w:val="3-BodyText"/>
        <w:rPr>
          <w:snapToGrid w:val="0"/>
          <w:lang w:val="en-GB" w:eastAsia="en-US"/>
        </w:rPr>
      </w:pPr>
      <w:r w:rsidRPr="00917FFB">
        <w:t xml:space="preserve">Overall, the PBAC considered that the clinical claim of inferior comparative effectiveness for </w:t>
      </w:r>
      <w:r>
        <w:t>ABRO 100 mg</w:t>
      </w:r>
      <w:r w:rsidRPr="00917FFB">
        <w:t xml:space="preserve"> </w:t>
      </w:r>
      <w:r>
        <w:t xml:space="preserve">once daily </w:t>
      </w:r>
      <w:r w:rsidRPr="00917FFB">
        <w:t xml:space="preserve">versus DUPI </w:t>
      </w:r>
      <w:r>
        <w:t xml:space="preserve">300 mg every 2 weeks </w:t>
      </w:r>
      <w:r w:rsidRPr="00917FFB">
        <w:t xml:space="preserve">was reasonable, </w:t>
      </w:r>
      <w:r>
        <w:t>with th</w:t>
      </w:r>
      <w:r w:rsidRPr="00917FFB">
        <w:t xml:space="preserve">e magnitude of the reduction in response </w:t>
      </w:r>
      <w:r>
        <w:t xml:space="preserve">being </w:t>
      </w:r>
      <w:r w:rsidRPr="00917FFB">
        <w:t>u</w:t>
      </w:r>
      <w:r w:rsidRPr="000D2978">
        <w:t>ncertain</w:t>
      </w:r>
      <w:r>
        <w:t xml:space="preserve">. </w:t>
      </w:r>
      <w:r w:rsidRPr="000B14EF">
        <w:rPr>
          <w:snapToGrid w:val="0"/>
          <w:lang w:val="en-GB" w:eastAsia="en-US"/>
        </w:rPr>
        <w:t>The PBAC considered that the clinical claim of non-inferior safety between ABRO 100 mg and DUPI was reasonably supported by the evidence presented in the submission.</w:t>
      </w:r>
      <w:r>
        <w:rPr>
          <w:snapToGrid w:val="0"/>
          <w:lang w:val="en-GB" w:eastAsia="en-US"/>
        </w:rPr>
        <w:t xml:space="preserve"> </w:t>
      </w:r>
      <w:r>
        <w:t>The PBAC considered the clinical claim of non-inferior comparative effectiveness for ABRO 200 mg once daily versus DUPI 300 mg every 2 weeks was reasonable.</w:t>
      </w:r>
      <w:r w:rsidRPr="004F7C1F">
        <w:rPr>
          <w:snapToGrid w:val="0"/>
          <w:lang w:val="en-GB" w:eastAsia="en-US"/>
        </w:rPr>
        <w:t xml:space="preserve"> </w:t>
      </w:r>
      <w:r>
        <w:rPr>
          <w:snapToGrid w:val="0"/>
          <w:lang w:val="en-GB" w:eastAsia="en-US"/>
        </w:rPr>
        <w:t>T</w:t>
      </w:r>
      <w:r w:rsidRPr="000B14EF">
        <w:rPr>
          <w:snapToGrid w:val="0"/>
          <w:lang w:val="en-GB" w:eastAsia="en-US"/>
        </w:rPr>
        <w:t xml:space="preserve">he PBAC considered that the evidence presented in the submission did not adequately support the claim of non-inferior safety between ABRO 200 mg and DUPI, and that overall that ABRO 200 mg appears to have inferior safety to DUPI. </w:t>
      </w:r>
      <w:r w:rsidRPr="00BB27B6">
        <w:rPr>
          <w:snapToGrid w:val="0"/>
          <w:lang w:eastAsia="en-US"/>
        </w:rPr>
        <w:t xml:space="preserve">The PBAC considered there was a possible minor added benefit for </w:t>
      </w:r>
      <w:r>
        <w:rPr>
          <w:snapToGrid w:val="0"/>
          <w:lang w:eastAsia="en-US"/>
        </w:rPr>
        <w:t>ABRO 20</w:t>
      </w:r>
      <w:r w:rsidRPr="00BB27B6">
        <w:rPr>
          <w:snapToGrid w:val="0"/>
          <w:lang w:eastAsia="en-US"/>
        </w:rPr>
        <w:t>0 mg compared with DUPI 300 mg in terms of faster onset of response</w:t>
      </w:r>
      <w:r>
        <w:rPr>
          <w:snapToGrid w:val="0"/>
          <w:lang w:eastAsia="en-US"/>
        </w:rPr>
        <w:t xml:space="preserve"> (as noted in para </w:t>
      </w:r>
      <w:r>
        <w:rPr>
          <w:snapToGrid w:val="0"/>
          <w:lang w:eastAsia="en-US"/>
        </w:rPr>
        <w:fldChar w:fldCharType="begin" w:fldLock="1"/>
      </w:r>
      <w:r>
        <w:rPr>
          <w:snapToGrid w:val="0"/>
          <w:lang w:eastAsia="en-US"/>
        </w:rPr>
        <w:instrText xml:space="preserve"> REF _Ref183087255 \r \h </w:instrText>
      </w:r>
      <w:r>
        <w:rPr>
          <w:snapToGrid w:val="0"/>
          <w:lang w:eastAsia="en-US"/>
        </w:rPr>
      </w:r>
      <w:r>
        <w:rPr>
          <w:snapToGrid w:val="0"/>
          <w:lang w:eastAsia="en-US"/>
        </w:rPr>
        <w:fldChar w:fldCharType="separate"/>
      </w:r>
      <w:r w:rsidR="004F2A70">
        <w:rPr>
          <w:snapToGrid w:val="0"/>
          <w:lang w:eastAsia="en-US"/>
        </w:rPr>
        <w:t>7.11</w:t>
      </w:r>
      <w:r>
        <w:rPr>
          <w:snapToGrid w:val="0"/>
          <w:lang w:eastAsia="en-US"/>
        </w:rPr>
        <w:fldChar w:fldCharType="end"/>
      </w:r>
      <w:r>
        <w:rPr>
          <w:snapToGrid w:val="0"/>
          <w:lang w:eastAsia="en-US"/>
        </w:rPr>
        <w:t>)</w:t>
      </w:r>
      <w:r w:rsidRPr="00BB27B6">
        <w:rPr>
          <w:snapToGrid w:val="0"/>
          <w:lang w:eastAsia="en-US"/>
        </w:rPr>
        <w:t>. The PBAC considered that this benefit was offset by an increase in treatment related adverse events</w:t>
      </w:r>
      <w:r>
        <w:rPr>
          <w:snapToGrid w:val="0"/>
          <w:lang w:eastAsia="en-US"/>
        </w:rPr>
        <w:t>.</w:t>
      </w:r>
    </w:p>
    <w:p w14:paraId="4D6FC949" w14:textId="48E865D6" w:rsidR="00EC1192" w:rsidRDefault="00EC1192" w:rsidP="00445E1B">
      <w:pPr>
        <w:pStyle w:val="3-BodyText"/>
        <w:rPr>
          <w:snapToGrid w:val="0"/>
          <w:lang w:val="en-GB" w:eastAsia="en-US"/>
        </w:rPr>
      </w:pPr>
      <w:r>
        <w:rPr>
          <w:snapToGrid w:val="0"/>
          <w:lang w:val="en-GB" w:eastAsia="en-US"/>
        </w:rPr>
        <w:t xml:space="preserve">The PBAC noted that the submission presented a CMA of ABRO 200 mg versus DUPI 300 mg and a CUA of ABRO 100 mg versus DUPI 300 mg. The PBAC considered the </w:t>
      </w:r>
      <w:r w:rsidR="00BF13E3">
        <w:rPr>
          <w:snapToGrid w:val="0"/>
          <w:lang w:val="en-GB" w:eastAsia="en-US"/>
        </w:rPr>
        <w:t xml:space="preserve">submission’s </w:t>
      </w:r>
      <w:r w:rsidR="000B14EF">
        <w:rPr>
          <w:snapToGrid w:val="0"/>
          <w:lang w:val="en-GB" w:eastAsia="en-US"/>
        </w:rPr>
        <w:t>presentation of</w:t>
      </w:r>
      <w:r w:rsidR="00BF13E3">
        <w:rPr>
          <w:snapToGrid w:val="0"/>
          <w:lang w:val="en-GB" w:eastAsia="en-US"/>
        </w:rPr>
        <w:t xml:space="preserve"> a separate CMA and CUA fo</w:t>
      </w:r>
      <w:r>
        <w:rPr>
          <w:snapToGrid w:val="0"/>
          <w:lang w:val="en-GB" w:eastAsia="en-US"/>
        </w:rPr>
        <w:t xml:space="preserve">r the two </w:t>
      </w:r>
      <w:r w:rsidR="00BF13E3">
        <w:rPr>
          <w:snapToGrid w:val="0"/>
          <w:lang w:val="en-GB" w:eastAsia="en-US"/>
        </w:rPr>
        <w:t xml:space="preserve">ABRO </w:t>
      </w:r>
      <w:r>
        <w:rPr>
          <w:snapToGrid w:val="0"/>
          <w:lang w:val="en-GB" w:eastAsia="en-US"/>
        </w:rPr>
        <w:t xml:space="preserve">strengths did not </w:t>
      </w:r>
      <w:r w:rsidR="000B14EF">
        <w:rPr>
          <w:snapToGrid w:val="0"/>
          <w:lang w:val="en-GB" w:eastAsia="en-US"/>
        </w:rPr>
        <w:t xml:space="preserve">allow for </w:t>
      </w:r>
      <w:r>
        <w:rPr>
          <w:snapToGrid w:val="0"/>
          <w:lang w:val="en-GB" w:eastAsia="en-US"/>
        </w:rPr>
        <w:t>the way that ABRO is likely to be used in clinical practice</w:t>
      </w:r>
      <w:r w:rsidR="000B14EF">
        <w:rPr>
          <w:snapToGrid w:val="0"/>
          <w:lang w:val="en-GB" w:eastAsia="en-US"/>
        </w:rPr>
        <w:t xml:space="preserve"> to be adequately modelled and assessed</w:t>
      </w:r>
      <w:r>
        <w:rPr>
          <w:snapToGrid w:val="0"/>
          <w:lang w:val="en-GB" w:eastAsia="en-US"/>
        </w:rPr>
        <w:t xml:space="preserve">. The PBAC noted </w:t>
      </w:r>
      <w:r w:rsidR="000B14EF">
        <w:rPr>
          <w:snapToGrid w:val="0"/>
          <w:lang w:val="en-GB" w:eastAsia="en-US"/>
        </w:rPr>
        <w:t xml:space="preserve">that </w:t>
      </w:r>
      <w:r>
        <w:rPr>
          <w:snapToGrid w:val="0"/>
          <w:lang w:val="en-GB" w:eastAsia="en-US"/>
        </w:rPr>
        <w:t xml:space="preserve">the pre-PBAC Response </w:t>
      </w:r>
      <w:r w:rsidR="00CF0A29">
        <w:rPr>
          <w:snapToGrid w:val="0"/>
          <w:lang w:val="en-GB" w:eastAsia="en-US"/>
        </w:rPr>
        <w:t xml:space="preserve"> </w:t>
      </w:r>
      <w:r>
        <w:rPr>
          <w:snapToGrid w:val="0"/>
          <w:lang w:val="en-GB" w:eastAsia="en-US"/>
        </w:rPr>
        <w:t xml:space="preserve">stated that </w:t>
      </w:r>
      <w:r w:rsidR="00CF0A29">
        <w:rPr>
          <w:snapToGrid w:val="0"/>
          <w:lang w:val="en-GB" w:eastAsia="en-US"/>
        </w:rPr>
        <w:t>an economic model that captured all clinical scenarios would be complex and inherently uncertain given the scenarios would not align with evidence from ABRO clinical trial program. Without data to inform the rates of</w:t>
      </w:r>
      <w:r w:rsidR="00447CFD">
        <w:rPr>
          <w:snapToGrid w:val="0"/>
          <w:lang w:val="en-GB" w:eastAsia="en-US"/>
        </w:rPr>
        <w:t xml:space="preserve">, and responses to, </w:t>
      </w:r>
      <w:r w:rsidR="00CF0A29">
        <w:rPr>
          <w:snapToGrid w:val="0"/>
          <w:lang w:val="en-GB" w:eastAsia="en-US"/>
        </w:rPr>
        <w:t xml:space="preserve">up and down titration of ABRO, the PBAC </w:t>
      </w:r>
      <w:r w:rsidR="00BF13E3">
        <w:rPr>
          <w:snapToGrid w:val="0"/>
          <w:lang w:val="en-GB" w:eastAsia="en-US"/>
        </w:rPr>
        <w:t xml:space="preserve">agreed with </w:t>
      </w:r>
      <w:r w:rsidR="00CF0A29">
        <w:rPr>
          <w:snapToGrid w:val="0"/>
          <w:lang w:val="en-GB" w:eastAsia="en-US"/>
        </w:rPr>
        <w:t xml:space="preserve">the ESC’s advice that the direction of bias would be unclear. On balance, the PBAC </w:t>
      </w:r>
      <w:r>
        <w:rPr>
          <w:snapToGrid w:val="0"/>
          <w:lang w:val="en-GB" w:eastAsia="en-US"/>
        </w:rPr>
        <w:t xml:space="preserve">considered that pragmatically, the submission’s approach </w:t>
      </w:r>
      <w:r w:rsidR="00CF0A29">
        <w:rPr>
          <w:snapToGrid w:val="0"/>
          <w:lang w:val="en-GB" w:eastAsia="en-US"/>
        </w:rPr>
        <w:t xml:space="preserve">to present separate models, while not preferable, </w:t>
      </w:r>
      <w:r>
        <w:rPr>
          <w:snapToGrid w:val="0"/>
          <w:lang w:val="en-GB" w:eastAsia="en-US"/>
        </w:rPr>
        <w:t>was reasonable</w:t>
      </w:r>
      <w:r w:rsidR="00BB27B6">
        <w:rPr>
          <w:snapToGrid w:val="0"/>
          <w:lang w:val="en-GB" w:eastAsia="en-US"/>
        </w:rPr>
        <w:t xml:space="preserve"> in this context</w:t>
      </w:r>
      <w:r>
        <w:rPr>
          <w:snapToGrid w:val="0"/>
          <w:lang w:val="en-GB" w:eastAsia="en-US"/>
        </w:rPr>
        <w:t>.</w:t>
      </w:r>
    </w:p>
    <w:p w14:paraId="19150577" w14:textId="71279756" w:rsidR="009B431F" w:rsidRPr="00070C35" w:rsidRDefault="009B431F" w:rsidP="009B431F">
      <w:pPr>
        <w:pStyle w:val="3-BodyText"/>
        <w:rPr>
          <w:b/>
          <w:bCs/>
          <w:color w:val="0066FF"/>
        </w:rPr>
      </w:pPr>
      <w:r>
        <w:rPr>
          <w:snapToGrid w:val="0"/>
          <w:lang w:val="en-GB" w:eastAsia="en-US"/>
        </w:rPr>
        <w:t xml:space="preserve">The PBAC noted that the submission presented a CMA over 2 years </w:t>
      </w:r>
      <w:r w:rsidR="00E76162">
        <w:rPr>
          <w:snapToGrid w:val="0"/>
          <w:lang w:val="en-GB" w:eastAsia="en-US"/>
        </w:rPr>
        <w:t>comparing</w:t>
      </w:r>
      <w:r>
        <w:rPr>
          <w:snapToGrid w:val="0"/>
          <w:lang w:val="en-GB" w:eastAsia="en-US"/>
        </w:rPr>
        <w:t xml:space="preserve"> ABRO 200 mg once daily </w:t>
      </w:r>
      <w:r w:rsidR="00E76162">
        <w:rPr>
          <w:snapToGrid w:val="0"/>
          <w:lang w:val="en-GB" w:eastAsia="en-US"/>
        </w:rPr>
        <w:t>to</w:t>
      </w:r>
      <w:r>
        <w:rPr>
          <w:snapToGrid w:val="0"/>
          <w:lang w:val="en-GB" w:eastAsia="en-US"/>
        </w:rPr>
        <w:t xml:space="preserve"> DUPI </w:t>
      </w:r>
      <w:r w:rsidR="00E76162">
        <w:rPr>
          <w:snapToGrid w:val="0"/>
          <w:lang w:val="en-GB" w:eastAsia="en-US"/>
        </w:rPr>
        <w:t xml:space="preserve">600 mg subcutaneously as an initial dose and </w:t>
      </w:r>
      <w:r>
        <w:rPr>
          <w:snapToGrid w:val="0"/>
          <w:lang w:val="en-GB" w:eastAsia="en-US"/>
        </w:rPr>
        <w:t xml:space="preserve">300 mg every 2 weeks </w:t>
      </w:r>
      <w:r w:rsidR="00E76162">
        <w:rPr>
          <w:snapToGrid w:val="0"/>
          <w:lang w:val="en-GB" w:eastAsia="en-US"/>
        </w:rPr>
        <w:t>thereafter</w:t>
      </w:r>
      <w:r>
        <w:rPr>
          <w:snapToGrid w:val="0"/>
          <w:lang w:val="en-GB" w:eastAsia="en-US"/>
        </w:rPr>
        <w:t xml:space="preserve">. </w:t>
      </w:r>
      <w:r w:rsidR="00BB27B6">
        <w:rPr>
          <w:snapToGrid w:val="0"/>
          <w:lang w:val="en-GB" w:eastAsia="en-US"/>
        </w:rPr>
        <w:t xml:space="preserve">The PBAC noted that this approach </w:t>
      </w:r>
      <w:r w:rsidR="00BB27B6" w:rsidRPr="00070C35">
        <w:t xml:space="preserve">was consistent with </w:t>
      </w:r>
      <w:r w:rsidR="00BB27B6">
        <w:t>that</w:t>
      </w:r>
      <w:r w:rsidR="00BB27B6" w:rsidRPr="00070C35">
        <w:t xml:space="preserve"> </w:t>
      </w:r>
      <w:r w:rsidR="00BB27B6" w:rsidRPr="00E574CC">
        <w:rPr>
          <w:iCs/>
        </w:rPr>
        <w:t>accepted by the PBAC</w:t>
      </w:r>
      <w:r w:rsidR="00BB27B6" w:rsidRPr="00070C35">
        <w:t xml:space="preserve"> for the comparison of </w:t>
      </w:r>
      <w:r w:rsidR="00BB27B6">
        <w:t>UPA</w:t>
      </w:r>
      <w:r w:rsidR="00BB27B6" w:rsidRPr="00070C35">
        <w:t xml:space="preserve"> 15 mg</w:t>
      </w:r>
      <w:r w:rsidR="00BB27B6">
        <w:t xml:space="preserve"> </w:t>
      </w:r>
      <w:r w:rsidR="00BB27B6" w:rsidRPr="00E574CC">
        <w:rPr>
          <w:iCs/>
        </w:rPr>
        <w:t>or 30 mg</w:t>
      </w:r>
      <w:r w:rsidR="00BB27B6" w:rsidRPr="00070C35">
        <w:t xml:space="preserve"> v</w:t>
      </w:r>
      <w:r w:rsidR="00BB27B6">
        <w:t>ersu</w:t>
      </w:r>
      <w:r w:rsidR="00BB27B6" w:rsidRPr="00070C35">
        <w:t>s DUPI 300</w:t>
      </w:r>
      <w:r w:rsidR="008524D0">
        <w:t> </w:t>
      </w:r>
      <w:r w:rsidR="00BB27B6" w:rsidRPr="00070C35">
        <w:t xml:space="preserve">mg </w:t>
      </w:r>
      <w:r w:rsidR="00BB27B6">
        <w:t>every 2 weeks</w:t>
      </w:r>
      <w:r w:rsidR="00BB27B6" w:rsidRPr="00070C35">
        <w:t xml:space="preserve"> (</w:t>
      </w:r>
      <w:r w:rsidR="00BB27B6" w:rsidRPr="00D4121A">
        <w:t xml:space="preserve">para 6.53 and 9.1, UPA </w:t>
      </w:r>
      <w:r w:rsidR="00BB27B6" w:rsidRPr="00BD1E99">
        <w:t>PSD</w:t>
      </w:r>
      <w:r w:rsidR="00BB27B6" w:rsidRPr="00D4121A">
        <w:t xml:space="preserve">, July 2021 PBAC meeting </w:t>
      </w:r>
      <w:r w:rsidR="00BB27B6" w:rsidRPr="00D4121A">
        <w:rPr>
          <w:iCs/>
        </w:rPr>
        <w:t>and addendum</w:t>
      </w:r>
      <w:r w:rsidR="00BB27B6" w:rsidRPr="00D4121A">
        <w:t>)</w:t>
      </w:r>
      <w:r w:rsidR="00BB27B6">
        <w:t xml:space="preserve">. </w:t>
      </w:r>
      <w:r>
        <w:rPr>
          <w:snapToGrid w:val="0"/>
          <w:lang w:val="en-GB" w:eastAsia="en-US"/>
        </w:rPr>
        <w:t>The Committee noted that the CMA had not accounted for the cost of adverse events</w:t>
      </w:r>
      <w:r w:rsidR="00D4121A">
        <w:rPr>
          <w:snapToGrid w:val="0"/>
          <w:lang w:val="en-GB" w:eastAsia="en-US"/>
        </w:rPr>
        <w:t xml:space="preserve"> or routine monitoring </w:t>
      </w:r>
      <w:r w:rsidR="00535E5D">
        <w:rPr>
          <w:snapToGrid w:val="0"/>
          <w:lang w:val="en-GB" w:eastAsia="en-US"/>
        </w:rPr>
        <w:t>(</w:t>
      </w:r>
      <w:r w:rsidR="00E76162">
        <w:rPr>
          <w:snapToGrid w:val="0"/>
          <w:lang w:val="en-GB" w:eastAsia="en-US"/>
        </w:rPr>
        <w:t xml:space="preserve">i.e., </w:t>
      </w:r>
      <w:r w:rsidR="00535E5D">
        <w:rPr>
          <w:snapToGrid w:val="0"/>
          <w:lang w:val="en-GB" w:eastAsia="en-US"/>
        </w:rPr>
        <w:t xml:space="preserve">complete blood count, </w:t>
      </w:r>
      <w:r w:rsidR="00E76162">
        <w:rPr>
          <w:snapToGrid w:val="0"/>
          <w:lang w:val="en-GB" w:eastAsia="en-US"/>
        </w:rPr>
        <w:t xml:space="preserve">and </w:t>
      </w:r>
      <w:r w:rsidR="00535E5D">
        <w:rPr>
          <w:snapToGrid w:val="0"/>
          <w:lang w:val="en-GB" w:eastAsia="en-US"/>
        </w:rPr>
        <w:t>lipids)</w:t>
      </w:r>
      <w:r>
        <w:rPr>
          <w:snapToGrid w:val="0"/>
          <w:lang w:val="en-GB" w:eastAsia="en-US"/>
        </w:rPr>
        <w:t xml:space="preserve">. </w:t>
      </w:r>
      <w:r w:rsidR="00BB27B6">
        <w:t xml:space="preserve">The PBAC </w:t>
      </w:r>
      <w:r w:rsidR="00BB27B6">
        <w:rPr>
          <w:snapToGrid w:val="0"/>
          <w:lang w:val="en-GB" w:eastAsia="en-US"/>
        </w:rPr>
        <w:t>considered the exclusion of AEs was reasonable as</w:t>
      </w:r>
      <w:r>
        <w:rPr>
          <w:snapToGrid w:val="0"/>
          <w:lang w:val="en-GB" w:eastAsia="en-US"/>
        </w:rPr>
        <w:t xml:space="preserve"> patients who could not tolerate the 200</w:t>
      </w:r>
      <w:r w:rsidR="00536FF3">
        <w:rPr>
          <w:snapToGrid w:val="0"/>
          <w:lang w:val="en-GB" w:eastAsia="en-US"/>
        </w:rPr>
        <w:t> </w:t>
      </w:r>
      <w:r>
        <w:rPr>
          <w:snapToGrid w:val="0"/>
          <w:lang w:val="en-GB" w:eastAsia="en-US"/>
        </w:rPr>
        <w:t xml:space="preserve">mg dose </w:t>
      </w:r>
      <w:r w:rsidR="00E76162">
        <w:rPr>
          <w:snapToGrid w:val="0"/>
          <w:lang w:val="en-GB" w:eastAsia="en-US"/>
        </w:rPr>
        <w:t xml:space="preserve">of ABRO </w:t>
      </w:r>
      <w:r>
        <w:rPr>
          <w:snapToGrid w:val="0"/>
          <w:lang w:val="en-GB" w:eastAsia="en-US"/>
        </w:rPr>
        <w:t>were likely to have their dose reduced to 100 mg, as per the dosing recommendations in the ABRO PI</w:t>
      </w:r>
      <w:r w:rsidRPr="00D4121A">
        <w:t>.</w:t>
      </w:r>
      <w:r w:rsidRPr="00070C35">
        <w:t xml:space="preserve"> </w:t>
      </w:r>
      <w:r w:rsidR="00E76162">
        <w:t>Overall, t</w:t>
      </w:r>
      <w:r w:rsidR="000E0506" w:rsidRPr="00725926">
        <w:rPr>
          <w:rFonts w:cstheme="minorHAnsi"/>
        </w:rPr>
        <w:t>he PBAC</w:t>
      </w:r>
      <w:r w:rsidR="000E0506">
        <w:rPr>
          <w:rFonts w:cstheme="minorHAnsi"/>
        </w:rPr>
        <w:t xml:space="preserve"> considered the that the cost </w:t>
      </w:r>
      <w:r w:rsidR="000E0506" w:rsidRPr="00725926">
        <w:rPr>
          <w:rFonts w:cstheme="minorHAnsi"/>
        </w:rPr>
        <w:t xml:space="preserve">effectiveness of </w:t>
      </w:r>
      <w:proofErr w:type="spellStart"/>
      <w:r w:rsidR="000E0506" w:rsidRPr="00725926">
        <w:rPr>
          <w:rFonts w:cstheme="minorHAnsi"/>
        </w:rPr>
        <w:t>abrocitinib</w:t>
      </w:r>
      <w:proofErr w:type="spellEnd"/>
      <w:r w:rsidR="000E0506" w:rsidRPr="00725926">
        <w:rPr>
          <w:rFonts w:cstheme="minorHAnsi"/>
        </w:rPr>
        <w:t xml:space="preserve"> 200 mg would be acceptable if it were cost-minimised to the lowest cost alternative therapy of </w:t>
      </w:r>
      <w:r w:rsidR="000E0506">
        <w:rPr>
          <w:rFonts w:cstheme="minorHAnsi"/>
        </w:rPr>
        <w:t>DUPI or UPA</w:t>
      </w:r>
      <w:r w:rsidR="003027BC">
        <w:rPr>
          <w:rFonts w:cstheme="minorHAnsi"/>
        </w:rPr>
        <w:t>, using the previously accepted equi-effective doses for DUPI and UPA (para 9.1 UPA PSD, addendum to July</w:t>
      </w:r>
      <w:r w:rsidR="00536FF3">
        <w:rPr>
          <w:rFonts w:cstheme="minorHAnsi"/>
        </w:rPr>
        <w:t> </w:t>
      </w:r>
      <w:r w:rsidR="003027BC">
        <w:rPr>
          <w:rFonts w:cstheme="minorHAnsi"/>
        </w:rPr>
        <w:t>2021 PBAC meeting</w:t>
      </w:r>
      <w:r w:rsidR="000E0506" w:rsidRPr="00725926">
        <w:rPr>
          <w:rFonts w:cstheme="minorHAnsi"/>
        </w:rPr>
        <w:t>.</w:t>
      </w:r>
    </w:p>
    <w:p w14:paraId="2A71FB4B" w14:textId="2861B400" w:rsidR="00BB27B6" w:rsidRPr="00BC77F5" w:rsidRDefault="00BF13E3" w:rsidP="00FA33E3">
      <w:pPr>
        <w:pStyle w:val="3-BodyText"/>
        <w:rPr>
          <w:snapToGrid w:val="0"/>
          <w:lang w:val="en-GB" w:eastAsia="en-US"/>
        </w:rPr>
      </w:pPr>
      <w:r w:rsidRPr="00BC77F5">
        <w:rPr>
          <w:snapToGrid w:val="0"/>
          <w:lang w:val="en-GB" w:eastAsia="en-US"/>
        </w:rPr>
        <w:lastRenderedPageBreak/>
        <w:t xml:space="preserve">The PBAC considered that </w:t>
      </w:r>
      <w:proofErr w:type="gramStart"/>
      <w:r w:rsidR="00BB27B6" w:rsidRPr="00BC77F5">
        <w:rPr>
          <w:snapToGrid w:val="0"/>
          <w:lang w:val="en-GB" w:eastAsia="en-US"/>
        </w:rPr>
        <w:t>the majority of</w:t>
      </w:r>
      <w:proofErr w:type="gramEnd"/>
      <w:r w:rsidR="00BB27B6" w:rsidRPr="00BC77F5">
        <w:rPr>
          <w:snapToGrid w:val="0"/>
          <w:lang w:val="en-GB" w:eastAsia="en-US"/>
        </w:rPr>
        <w:t xml:space="preserve"> </w:t>
      </w:r>
      <w:r w:rsidRPr="00BC77F5">
        <w:rPr>
          <w:snapToGrid w:val="0"/>
          <w:lang w:val="en-GB" w:eastAsia="en-US"/>
        </w:rPr>
        <w:t xml:space="preserve">patients would be treated with ABRO </w:t>
      </w:r>
      <w:r w:rsidR="00BB27B6" w:rsidRPr="00BC77F5">
        <w:rPr>
          <w:snapToGrid w:val="0"/>
          <w:lang w:val="en-GB" w:eastAsia="en-US"/>
        </w:rPr>
        <w:t>100 </w:t>
      </w:r>
      <w:r w:rsidRPr="00BC77F5">
        <w:rPr>
          <w:snapToGrid w:val="0"/>
          <w:lang w:val="en-GB" w:eastAsia="en-US"/>
        </w:rPr>
        <w:t>mg, given the safety profile of the 200 mg strength (see para</w:t>
      </w:r>
      <w:r w:rsidR="00BB27B6" w:rsidRPr="00BC77F5">
        <w:rPr>
          <w:snapToGrid w:val="0"/>
          <w:lang w:val="en-GB" w:eastAsia="en-US"/>
        </w:rPr>
        <w:t xml:space="preserve"> </w:t>
      </w:r>
      <w:r w:rsidR="00BB27B6" w:rsidRPr="00BC77F5">
        <w:rPr>
          <w:snapToGrid w:val="0"/>
          <w:lang w:val="en-GB" w:eastAsia="en-US"/>
        </w:rPr>
        <w:fldChar w:fldCharType="begin" w:fldLock="1"/>
      </w:r>
      <w:r w:rsidR="00BB27B6" w:rsidRPr="00BC77F5">
        <w:rPr>
          <w:snapToGrid w:val="0"/>
          <w:lang w:val="en-GB" w:eastAsia="en-US"/>
        </w:rPr>
        <w:instrText xml:space="preserve"> REF _Ref183088059 \r \h </w:instrText>
      </w:r>
      <w:r w:rsidR="00BB27B6" w:rsidRPr="00BC77F5">
        <w:rPr>
          <w:snapToGrid w:val="0"/>
          <w:lang w:val="en-GB" w:eastAsia="en-US"/>
        </w:rPr>
      </w:r>
      <w:r w:rsidR="00BB27B6" w:rsidRPr="00BC77F5">
        <w:rPr>
          <w:snapToGrid w:val="0"/>
          <w:lang w:val="en-GB" w:eastAsia="en-US"/>
        </w:rPr>
        <w:fldChar w:fldCharType="separate"/>
      </w:r>
      <w:r w:rsidR="004F2A70" w:rsidRPr="00BC77F5">
        <w:rPr>
          <w:snapToGrid w:val="0"/>
          <w:lang w:val="en-GB" w:eastAsia="en-US"/>
        </w:rPr>
        <w:t>7.14</w:t>
      </w:r>
      <w:r w:rsidR="00BB27B6" w:rsidRPr="00BC77F5">
        <w:rPr>
          <w:snapToGrid w:val="0"/>
          <w:lang w:val="en-GB" w:eastAsia="en-US"/>
        </w:rPr>
        <w:fldChar w:fldCharType="end"/>
      </w:r>
      <w:r w:rsidRPr="00BC77F5">
        <w:rPr>
          <w:snapToGrid w:val="0"/>
          <w:lang w:val="en-GB" w:eastAsia="en-US"/>
        </w:rPr>
        <w:t>) and the dosing recommendations in the ABRO PI. The Committee noted that given ABRO 100 mg</w:t>
      </w:r>
      <w:r w:rsidR="00880F45" w:rsidRPr="00BC77F5">
        <w:rPr>
          <w:snapToGrid w:val="0"/>
          <w:lang w:val="en-GB" w:eastAsia="en-US"/>
        </w:rPr>
        <w:t xml:space="preserve"> once daily </w:t>
      </w:r>
      <w:proofErr w:type="gramStart"/>
      <w:r w:rsidR="00BB27B6" w:rsidRPr="00BC77F5">
        <w:rPr>
          <w:snapToGrid w:val="0"/>
          <w:lang w:val="en-GB" w:eastAsia="en-US"/>
        </w:rPr>
        <w:t xml:space="preserve">was considered </w:t>
      </w:r>
      <w:r w:rsidR="00E76162" w:rsidRPr="00BC77F5">
        <w:rPr>
          <w:snapToGrid w:val="0"/>
          <w:lang w:val="en-GB" w:eastAsia="en-US"/>
        </w:rPr>
        <w:t>to be</w:t>
      </w:r>
      <w:proofErr w:type="gramEnd"/>
      <w:r w:rsidRPr="00BC77F5">
        <w:rPr>
          <w:snapToGrid w:val="0"/>
          <w:lang w:val="en-GB" w:eastAsia="en-US"/>
        </w:rPr>
        <w:t xml:space="preserve"> inferior to DUPI 300 mg every 2 weeks</w:t>
      </w:r>
      <w:r w:rsidR="00E76162" w:rsidRPr="00BC77F5">
        <w:rPr>
          <w:snapToGrid w:val="0"/>
          <w:lang w:val="en-GB" w:eastAsia="en-US"/>
        </w:rPr>
        <w:t xml:space="preserve"> (para</w:t>
      </w:r>
      <w:r w:rsidR="00312539">
        <w:rPr>
          <w:snapToGrid w:val="0"/>
          <w:lang w:val="en-GB" w:eastAsia="en-US"/>
        </w:rPr>
        <w:t xml:space="preserve"> </w:t>
      </w:r>
      <w:r w:rsidR="00E76162" w:rsidRPr="00BC77F5">
        <w:rPr>
          <w:snapToGrid w:val="0"/>
          <w:lang w:val="en-GB" w:eastAsia="en-US"/>
        </w:rPr>
        <w:t>7.14)</w:t>
      </w:r>
      <w:r w:rsidRPr="00BC77F5">
        <w:rPr>
          <w:snapToGrid w:val="0"/>
          <w:lang w:val="en-GB" w:eastAsia="en-US"/>
        </w:rPr>
        <w:t xml:space="preserve">, </w:t>
      </w:r>
      <w:r w:rsidR="00E76162" w:rsidRPr="00BC77F5">
        <w:rPr>
          <w:snapToGrid w:val="0"/>
          <w:lang w:val="en-GB" w:eastAsia="en-US"/>
        </w:rPr>
        <w:t xml:space="preserve">it was appropriate for </w:t>
      </w:r>
      <w:r w:rsidR="00BB27B6" w:rsidRPr="00BC77F5">
        <w:rPr>
          <w:snapToGrid w:val="0"/>
          <w:lang w:val="en-GB" w:eastAsia="en-US"/>
        </w:rPr>
        <w:t xml:space="preserve">the submission </w:t>
      </w:r>
      <w:r w:rsidR="00E76162" w:rsidRPr="00BC77F5">
        <w:rPr>
          <w:snapToGrid w:val="0"/>
          <w:lang w:val="en-GB" w:eastAsia="en-US"/>
        </w:rPr>
        <w:t xml:space="preserve">to have presented a CUA. The Committee noted the CUA had a 5-year time horizon, which </w:t>
      </w:r>
      <w:r w:rsidR="00BB27B6" w:rsidRPr="00BC77F5">
        <w:rPr>
          <w:snapToGrid w:val="0"/>
          <w:lang w:val="en-GB" w:eastAsia="en-US"/>
        </w:rPr>
        <w:t xml:space="preserve">it considered </w:t>
      </w:r>
      <w:r w:rsidR="00E76162" w:rsidRPr="00BC77F5">
        <w:rPr>
          <w:snapToGrid w:val="0"/>
          <w:lang w:val="en-GB" w:eastAsia="en-US"/>
        </w:rPr>
        <w:t>was reasonable</w:t>
      </w:r>
      <w:r w:rsidR="00BB27B6" w:rsidRPr="00BC77F5">
        <w:rPr>
          <w:snapToGrid w:val="0"/>
          <w:lang w:val="en-GB" w:eastAsia="en-US"/>
        </w:rPr>
        <w:t>. B</w:t>
      </w:r>
      <w:r w:rsidR="00E76162" w:rsidRPr="00BC77F5">
        <w:rPr>
          <w:snapToGrid w:val="0"/>
          <w:lang w:val="en-GB" w:eastAsia="en-US"/>
        </w:rPr>
        <w:t xml:space="preserve">ased </w:t>
      </w:r>
      <w:r w:rsidR="00067F5B" w:rsidRPr="00BC77F5">
        <w:rPr>
          <w:snapToGrid w:val="0"/>
          <w:lang w:val="en-GB" w:eastAsia="en-US"/>
        </w:rPr>
        <w:t xml:space="preserve">on </w:t>
      </w:r>
      <w:r w:rsidR="00BB27B6" w:rsidRPr="00BC77F5">
        <w:rPr>
          <w:snapToGrid w:val="0"/>
          <w:lang w:val="en-GB" w:eastAsia="en-US"/>
        </w:rPr>
        <w:t>16</w:t>
      </w:r>
      <w:r w:rsidR="00067F5B" w:rsidRPr="00BC77F5">
        <w:rPr>
          <w:snapToGrid w:val="0"/>
          <w:lang w:val="en-GB" w:eastAsia="en-US"/>
        </w:rPr>
        <w:t>-</w:t>
      </w:r>
      <w:r w:rsidR="00BB27B6" w:rsidRPr="00BC77F5">
        <w:rPr>
          <w:snapToGrid w:val="0"/>
          <w:lang w:val="en-GB" w:eastAsia="en-US"/>
        </w:rPr>
        <w:t>week response rates of</w:t>
      </w:r>
      <w:r w:rsidR="00E76162" w:rsidRPr="00BC77F5">
        <w:rPr>
          <w:snapToGrid w:val="0"/>
          <w:lang w:val="en-GB" w:eastAsia="en-US"/>
        </w:rPr>
        <w:t xml:space="preserve"> 65.7% for ABRO 100 mg and 71.4% for DUPI 300 mg </w:t>
      </w:r>
      <w:r w:rsidR="00BB27B6" w:rsidRPr="00BC77F5">
        <w:rPr>
          <w:snapToGrid w:val="0"/>
          <w:lang w:val="en-GB" w:eastAsia="en-US"/>
        </w:rPr>
        <w:t xml:space="preserve">(in patients without prior use of systemic </w:t>
      </w:r>
      <w:r w:rsidR="00AA1B48" w:rsidRPr="00BC77F5">
        <w:rPr>
          <w:snapToGrid w:val="0"/>
          <w:lang w:val="en-GB" w:eastAsia="en-US"/>
        </w:rPr>
        <w:t>IMM</w:t>
      </w:r>
      <w:r w:rsidR="00BB27B6" w:rsidRPr="00BC77F5">
        <w:rPr>
          <w:snapToGrid w:val="0"/>
          <w:lang w:val="en-GB" w:eastAsia="en-US"/>
        </w:rPr>
        <w:t xml:space="preserve">) </w:t>
      </w:r>
      <w:r w:rsidRPr="00BC77F5">
        <w:rPr>
          <w:snapToGrid w:val="0"/>
          <w:lang w:val="en-GB" w:eastAsia="en-US"/>
        </w:rPr>
        <w:t xml:space="preserve">the model </w:t>
      </w:r>
      <w:r w:rsidR="00E76162" w:rsidRPr="00BC77F5">
        <w:rPr>
          <w:snapToGrid w:val="0"/>
          <w:lang w:val="en-GB" w:eastAsia="en-US"/>
        </w:rPr>
        <w:t>estimated a base case</w:t>
      </w:r>
      <w:r w:rsidRPr="00BC77F5">
        <w:rPr>
          <w:snapToGrid w:val="0"/>
          <w:lang w:val="en-GB" w:eastAsia="en-US"/>
        </w:rPr>
        <w:t xml:space="preserve"> cost saving per QALY foregone</w:t>
      </w:r>
      <w:r w:rsidR="00880F45" w:rsidRPr="00BC77F5">
        <w:rPr>
          <w:snapToGrid w:val="0"/>
          <w:lang w:val="en-GB" w:eastAsia="en-US"/>
        </w:rPr>
        <w:t xml:space="preserve"> of</w:t>
      </w:r>
      <w:bookmarkStart w:id="89" w:name="_Hlk185328305"/>
      <w:r w:rsidR="008A7F53">
        <w:rPr>
          <w:snapToGrid w:val="0"/>
          <w:lang w:val="en-GB" w:eastAsia="en-US"/>
        </w:rPr>
        <w:t xml:space="preserve"> </w:t>
      </w:r>
      <w:r w:rsidR="00BC77F5" w:rsidRPr="00BC77F5">
        <w:rPr>
          <w:snapToGrid w:val="0"/>
          <w:lang w:val="en-GB" w:eastAsia="en-US"/>
        </w:rPr>
        <w:t>$75,000 to &lt; $95,000</w:t>
      </w:r>
      <w:bookmarkEnd w:id="89"/>
      <w:r w:rsidRPr="00BC77F5">
        <w:rPr>
          <w:snapToGrid w:val="0"/>
          <w:lang w:val="en-GB" w:eastAsia="en-US"/>
        </w:rPr>
        <w:t>.</w:t>
      </w:r>
      <w:r w:rsidR="00952857" w:rsidRPr="0091041C">
        <w:rPr>
          <w:rFonts w:eastAsia="Times New Roman" w:cstheme="minorHAnsi"/>
          <w:snapToGrid w:val="0"/>
          <w:szCs w:val="24"/>
          <w:vertAlign w:val="superscript"/>
          <w:lang w:val="en-GB" w:eastAsia="en-US"/>
        </w:rPr>
        <w:footnoteReference w:id="8"/>
      </w:r>
      <w:r w:rsidR="00880F45" w:rsidRPr="00BC77F5">
        <w:rPr>
          <w:snapToGrid w:val="0"/>
          <w:lang w:val="en-GB" w:eastAsia="en-US"/>
        </w:rPr>
        <w:t xml:space="preserve"> </w:t>
      </w:r>
    </w:p>
    <w:p w14:paraId="25EA83D5" w14:textId="52D6F295" w:rsidR="00BB27B6" w:rsidRPr="004806EB" w:rsidRDefault="00880F45" w:rsidP="00327B68">
      <w:pPr>
        <w:pStyle w:val="3-BodyText"/>
        <w:rPr>
          <w:snapToGrid w:val="0"/>
          <w:lang w:val="en-GB" w:eastAsia="en-US"/>
        </w:rPr>
      </w:pPr>
      <w:r w:rsidRPr="004806EB">
        <w:rPr>
          <w:snapToGrid w:val="0"/>
          <w:lang w:val="en-GB" w:eastAsia="en-US"/>
        </w:rPr>
        <w:t xml:space="preserve">The Committee considered the magnitude of the difference in response at 16 weeks </w:t>
      </w:r>
      <w:r w:rsidR="00E76162" w:rsidRPr="004806EB">
        <w:rPr>
          <w:snapToGrid w:val="0"/>
          <w:lang w:val="en-GB" w:eastAsia="en-US"/>
        </w:rPr>
        <w:t xml:space="preserve">used in the model </w:t>
      </w:r>
      <w:r w:rsidR="00A40D38" w:rsidRPr="004806EB">
        <w:rPr>
          <w:snapToGrid w:val="0"/>
          <w:lang w:val="en-GB" w:eastAsia="en-US"/>
        </w:rPr>
        <w:t>to be</w:t>
      </w:r>
      <w:r w:rsidRPr="004806EB">
        <w:rPr>
          <w:snapToGrid w:val="0"/>
          <w:lang w:val="en-GB" w:eastAsia="en-US"/>
        </w:rPr>
        <w:t xml:space="preserve"> uncertain given the limitations </w:t>
      </w:r>
      <w:r w:rsidR="00A40D38" w:rsidRPr="004806EB">
        <w:rPr>
          <w:snapToGrid w:val="0"/>
          <w:lang w:val="en-GB" w:eastAsia="en-US"/>
        </w:rPr>
        <w:t xml:space="preserve">associated with </w:t>
      </w:r>
      <w:r w:rsidRPr="004806EB">
        <w:rPr>
          <w:snapToGrid w:val="0"/>
          <w:lang w:val="en-GB" w:eastAsia="en-US"/>
        </w:rPr>
        <w:t>the post hoc analysis of the composite endpoint of EASI75 and DLQI</w:t>
      </w:r>
      <w:r w:rsidR="00A40D38" w:rsidRPr="004806EB">
        <w:rPr>
          <w:rFonts w:cstheme="minorHAnsi"/>
          <w:snapToGrid w:val="0"/>
          <w:lang w:val="en-GB" w:eastAsia="en-US"/>
        </w:rPr>
        <w:t>≥</w:t>
      </w:r>
      <w:r w:rsidR="00A40D38" w:rsidRPr="004806EB">
        <w:rPr>
          <w:snapToGrid w:val="0"/>
          <w:lang w:val="en-GB" w:eastAsia="en-US"/>
        </w:rPr>
        <w:t xml:space="preserve">4 in the small subset of the overall ITT population in JADE </w:t>
      </w:r>
      <w:r w:rsidR="003F7D8F" w:rsidRPr="004806EB">
        <w:rPr>
          <w:snapToGrid w:val="0"/>
          <w:lang w:val="en-GB" w:eastAsia="en-US"/>
        </w:rPr>
        <w:t>COMPARE</w:t>
      </w:r>
      <w:r w:rsidR="00A40D38" w:rsidRPr="004806EB">
        <w:rPr>
          <w:snapToGrid w:val="0"/>
          <w:lang w:val="en-GB" w:eastAsia="en-US"/>
        </w:rPr>
        <w:t xml:space="preserve"> with severe AD</w:t>
      </w:r>
      <w:r w:rsidR="005C5AB4" w:rsidRPr="004806EB">
        <w:rPr>
          <w:snapToGrid w:val="0"/>
          <w:lang w:val="en-GB" w:eastAsia="en-US"/>
        </w:rPr>
        <w:t xml:space="preserve">. </w:t>
      </w:r>
      <w:r w:rsidR="005121A5" w:rsidRPr="004806EB">
        <w:rPr>
          <w:snapToGrid w:val="0"/>
          <w:lang w:val="en-GB" w:eastAsia="en-US"/>
        </w:rPr>
        <w:t>The Committee noted that the difference in response with DUPI was greater in the subgroup of patients with prior systemic immunosuppressants (64.3% for ABRO 100 mg versus 80.0% for DUPI 300 mg (see Table 5</w:t>
      </w:r>
      <w:r w:rsidR="00067F5B" w:rsidRPr="004806EB">
        <w:rPr>
          <w:snapToGrid w:val="0"/>
          <w:lang w:val="en-GB" w:eastAsia="en-US"/>
        </w:rPr>
        <w:t>)</w:t>
      </w:r>
      <w:r w:rsidR="005121A5" w:rsidRPr="004806EB">
        <w:rPr>
          <w:snapToGrid w:val="0"/>
          <w:lang w:val="en-GB" w:eastAsia="en-US"/>
        </w:rPr>
        <w:t xml:space="preserve">) and that the model estimated a lower cost saving per QALY foregone of </w:t>
      </w:r>
      <w:r w:rsidR="004806EB" w:rsidRPr="004806EB">
        <w:rPr>
          <w:snapToGrid w:val="0"/>
          <w:lang w:val="en-GB" w:eastAsia="en-US"/>
        </w:rPr>
        <w:t xml:space="preserve">$45,000 to &lt; $55,000 </w:t>
      </w:r>
      <w:r w:rsidR="005121A5" w:rsidRPr="004806EB">
        <w:rPr>
          <w:snapToGrid w:val="0"/>
          <w:lang w:val="en-GB" w:eastAsia="en-US"/>
        </w:rPr>
        <w:t xml:space="preserve">for this subgroup, </w:t>
      </w:r>
      <w:r w:rsidR="00BB27B6" w:rsidRPr="004806EB">
        <w:rPr>
          <w:snapToGrid w:val="0"/>
          <w:lang w:val="en-GB" w:eastAsia="en-US"/>
        </w:rPr>
        <w:t>but considered that this analyses was likely to be unreliable due to the small number of patients included in the subgroup.</w:t>
      </w:r>
    </w:p>
    <w:p w14:paraId="35770A88" w14:textId="2E9187FE" w:rsidR="00BB27B6" w:rsidRPr="00E82853" w:rsidRDefault="002A3B1B" w:rsidP="00742082">
      <w:pPr>
        <w:pStyle w:val="3-BodyText"/>
        <w:rPr>
          <w:snapToGrid w:val="0"/>
          <w:lang w:val="en-GB" w:eastAsia="en-US"/>
        </w:rPr>
      </w:pPr>
      <w:r w:rsidRPr="00E82853">
        <w:rPr>
          <w:snapToGrid w:val="0"/>
          <w:lang w:val="en-GB" w:eastAsia="en-US"/>
        </w:rPr>
        <w:t xml:space="preserve">The PBAC noted that the </w:t>
      </w:r>
      <w:r w:rsidR="009558CF" w:rsidRPr="00E82853">
        <w:rPr>
          <w:snapToGrid w:val="0"/>
          <w:lang w:val="en-GB" w:eastAsia="en-US"/>
        </w:rPr>
        <w:t>ICER</w:t>
      </w:r>
      <w:r w:rsidRPr="00E82853">
        <w:rPr>
          <w:snapToGrid w:val="0"/>
          <w:lang w:val="en-GB" w:eastAsia="en-US"/>
        </w:rPr>
        <w:t xml:space="preserve"> for ABRO 100 mg was sensitive to the rate of discontinuation </w:t>
      </w:r>
      <w:r w:rsidR="009558CF" w:rsidRPr="00E82853">
        <w:rPr>
          <w:snapToGrid w:val="0"/>
          <w:lang w:val="en-GB" w:eastAsia="en-US"/>
        </w:rPr>
        <w:t>for both therapies</w:t>
      </w:r>
      <w:r w:rsidRPr="00E82853">
        <w:rPr>
          <w:snapToGrid w:val="0"/>
          <w:lang w:val="en-GB" w:eastAsia="en-US"/>
        </w:rPr>
        <w:t xml:space="preserve"> after 16 weeks and to the length of time </w:t>
      </w:r>
      <w:r w:rsidR="009558CF" w:rsidRPr="00E82853">
        <w:rPr>
          <w:snapToGrid w:val="0"/>
          <w:lang w:val="en-GB" w:eastAsia="en-US"/>
        </w:rPr>
        <w:t>before</w:t>
      </w:r>
      <w:r w:rsidRPr="00E82853">
        <w:rPr>
          <w:snapToGrid w:val="0"/>
          <w:lang w:val="en-GB" w:eastAsia="en-US"/>
        </w:rPr>
        <w:t xml:space="preserve"> patients </w:t>
      </w:r>
      <w:r w:rsidR="009558CF" w:rsidRPr="00E82853">
        <w:rPr>
          <w:snapToGrid w:val="0"/>
          <w:lang w:val="en-GB" w:eastAsia="en-US"/>
        </w:rPr>
        <w:t>lost</w:t>
      </w:r>
      <w:r w:rsidRPr="00E82853">
        <w:rPr>
          <w:snapToGrid w:val="0"/>
          <w:lang w:val="en-GB" w:eastAsia="en-US"/>
        </w:rPr>
        <w:t xml:space="preserve"> response (treatment waning). The Committee noted that there was </w:t>
      </w:r>
      <w:r w:rsidR="009558CF" w:rsidRPr="00E82853">
        <w:rPr>
          <w:snapToGrid w:val="0"/>
          <w:lang w:val="en-GB" w:eastAsia="en-US"/>
        </w:rPr>
        <w:t>less of a cost saving</w:t>
      </w:r>
      <w:r w:rsidRPr="00E82853">
        <w:rPr>
          <w:snapToGrid w:val="0"/>
          <w:lang w:val="en-GB" w:eastAsia="en-US"/>
        </w:rPr>
        <w:t xml:space="preserve"> </w:t>
      </w:r>
      <w:r w:rsidR="00E82853" w:rsidRPr="00E82853">
        <w:rPr>
          <w:snapToGrid w:val="0"/>
          <w:lang w:val="en-GB" w:eastAsia="en-US"/>
        </w:rPr>
        <w:t xml:space="preserve">$45,000 to &lt; $55,000 </w:t>
      </w:r>
      <w:r w:rsidR="009558CF" w:rsidRPr="00E82853">
        <w:rPr>
          <w:snapToGrid w:val="0"/>
          <w:lang w:val="en-GB" w:eastAsia="en-US"/>
        </w:rPr>
        <w:t>per QALY foregone</w:t>
      </w:r>
      <w:r w:rsidR="00BB27B6" w:rsidRPr="00E82853">
        <w:rPr>
          <w:snapToGrid w:val="0"/>
          <w:lang w:val="en-GB" w:eastAsia="en-US"/>
        </w:rPr>
        <w:t>)</w:t>
      </w:r>
      <w:r w:rsidR="009558CF" w:rsidRPr="00E82853">
        <w:rPr>
          <w:snapToGrid w:val="0"/>
          <w:lang w:val="en-GB" w:eastAsia="en-US"/>
        </w:rPr>
        <w:t xml:space="preserve"> </w:t>
      </w:r>
      <w:r w:rsidRPr="00E82853">
        <w:rPr>
          <w:snapToGrid w:val="0"/>
          <w:lang w:val="en-GB" w:eastAsia="en-US"/>
        </w:rPr>
        <w:t xml:space="preserve">when </w:t>
      </w:r>
      <w:r w:rsidR="009558CF" w:rsidRPr="00E82853">
        <w:rPr>
          <w:snapToGrid w:val="0"/>
          <w:lang w:val="en-GB" w:eastAsia="en-US"/>
        </w:rPr>
        <w:t xml:space="preserve">the model assumed </w:t>
      </w:r>
      <w:r w:rsidRPr="00E82853">
        <w:rPr>
          <w:snapToGrid w:val="0"/>
          <w:lang w:val="en-GB" w:eastAsia="en-US"/>
        </w:rPr>
        <w:t xml:space="preserve">treatment waning was </w:t>
      </w:r>
      <w:r w:rsidR="007C5D32" w:rsidRPr="00E82853">
        <w:rPr>
          <w:snapToGrid w:val="0"/>
          <w:lang w:val="en-GB" w:eastAsia="en-US"/>
        </w:rPr>
        <w:t>higher for ABRO 100 mg</w:t>
      </w:r>
      <w:r w:rsidR="00453AA7" w:rsidRPr="00E82853">
        <w:rPr>
          <w:snapToGrid w:val="0"/>
          <w:lang w:val="en-GB" w:eastAsia="en-US"/>
        </w:rPr>
        <w:t xml:space="preserve"> than for DUPI </w:t>
      </w:r>
      <w:r w:rsidR="00126D79" w:rsidRPr="00E82853">
        <w:rPr>
          <w:snapToGrid w:val="0"/>
          <w:lang w:val="en-GB" w:eastAsia="en-US"/>
        </w:rPr>
        <w:t xml:space="preserve">as presented in </w:t>
      </w:r>
      <w:r w:rsidR="00067F5B" w:rsidRPr="00E82853">
        <w:rPr>
          <w:snapToGrid w:val="0"/>
          <w:lang w:val="en-GB" w:eastAsia="en-US"/>
        </w:rPr>
        <w:t>Table 13</w:t>
      </w:r>
      <w:r w:rsidR="00126D79" w:rsidRPr="00E82853">
        <w:rPr>
          <w:snapToGrid w:val="0"/>
          <w:lang w:val="en-GB" w:eastAsia="en-US"/>
        </w:rPr>
        <w:t>. Further</w:t>
      </w:r>
      <w:r w:rsidR="007C5D32" w:rsidRPr="00E82853">
        <w:rPr>
          <w:snapToGrid w:val="0"/>
          <w:lang w:val="en-GB" w:eastAsia="en-US"/>
        </w:rPr>
        <w:t xml:space="preserve">, </w:t>
      </w:r>
      <w:r w:rsidR="00126D79" w:rsidRPr="00E82853">
        <w:rPr>
          <w:snapToGrid w:val="0"/>
          <w:lang w:val="en-GB" w:eastAsia="en-US"/>
        </w:rPr>
        <w:t xml:space="preserve">the PBAC noted that </w:t>
      </w:r>
      <w:r w:rsidR="007C5D32" w:rsidRPr="00E82853">
        <w:rPr>
          <w:snapToGrid w:val="0"/>
          <w:lang w:val="en-GB" w:eastAsia="en-US"/>
        </w:rPr>
        <w:t>when a lower rate of discontinuation for DUPI was modelled (</w:t>
      </w:r>
      <w:r w:rsidR="00BB27B6" w:rsidRPr="00E82853">
        <w:rPr>
          <w:snapToGrid w:val="0"/>
          <w:lang w:val="en-GB" w:eastAsia="en-US"/>
        </w:rPr>
        <w:t xml:space="preserve">5% </w:t>
      </w:r>
      <w:r w:rsidR="00126D79" w:rsidRPr="00E82853">
        <w:rPr>
          <w:snapToGrid w:val="0"/>
          <w:lang w:val="en-GB" w:eastAsia="en-US"/>
        </w:rPr>
        <w:t>rather than</w:t>
      </w:r>
      <w:r w:rsidR="007C5D32" w:rsidRPr="00E82853">
        <w:rPr>
          <w:snapToGrid w:val="0"/>
          <w:lang w:val="en-GB" w:eastAsia="en-US"/>
        </w:rPr>
        <w:t xml:space="preserve"> the rate of 6.3% for both DUPI and ABRO 100 mg</w:t>
      </w:r>
      <w:r w:rsidR="00126D79" w:rsidRPr="00E82853">
        <w:rPr>
          <w:snapToGrid w:val="0"/>
          <w:lang w:val="en-GB" w:eastAsia="en-US"/>
        </w:rPr>
        <w:t xml:space="preserve"> </w:t>
      </w:r>
      <w:r w:rsidR="009558CF" w:rsidRPr="00E82853">
        <w:rPr>
          <w:snapToGrid w:val="0"/>
          <w:lang w:val="en-GB" w:eastAsia="en-US"/>
        </w:rPr>
        <w:t xml:space="preserve">used </w:t>
      </w:r>
      <w:r w:rsidR="00126D79" w:rsidRPr="00E82853">
        <w:rPr>
          <w:snapToGrid w:val="0"/>
          <w:lang w:val="en-GB" w:eastAsia="en-US"/>
        </w:rPr>
        <w:t>in the base case</w:t>
      </w:r>
      <w:r w:rsidR="007C5D32" w:rsidRPr="00E82853">
        <w:rPr>
          <w:snapToGrid w:val="0"/>
          <w:lang w:val="en-GB" w:eastAsia="en-US"/>
        </w:rPr>
        <w:t xml:space="preserve">) the cost saving per QALY foregone </w:t>
      </w:r>
      <w:r w:rsidR="00126D79" w:rsidRPr="00E82853">
        <w:rPr>
          <w:snapToGrid w:val="0"/>
          <w:lang w:val="en-GB" w:eastAsia="en-US"/>
        </w:rPr>
        <w:t xml:space="preserve">was also </w:t>
      </w:r>
      <w:r w:rsidR="009558CF" w:rsidRPr="00E82853">
        <w:rPr>
          <w:snapToGrid w:val="0"/>
          <w:lang w:val="en-GB" w:eastAsia="en-US"/>
        </w:rPr>
        <w:t>less</w:t>
      </w:r>
      <w:r w:rsidR="00126D79" w:rsidRPr="00E82853">
        <w:rPr>
          <w:snapToGrid w:val="0"/>
          <w:lang w:val="en-GB" w:eastAsia="en-US"/>
        </w:rPr>
        <w:t xml:space="preserve"> than in the base case (</w:t>
      </w:r>
      <w:r w:rsidR="0022437D" w:rsidRPr="0022437D">
        <w:rPr>
          <w:snapToGrid w:val="0"/>
          <w:lang w:val="en-GB" w:eastAsia="en-US"/>
        </w:rPr>
        <w:t>$75,000 to &lt; $95,000</w:t>
      </w:r>
      <w:r w:rsidR="00126D79" w:rsidRPr="00E82853">
        <w:rPr>
          <w:snapToGrid w:val="0"/>
          <w:lang w:val="en-GB" w:eastAsia="en-US"/>
        </w:rPr>
        <w:t xml:space="preserve"> </w:t>
      </w:r>
      <w:r w:rsidR="00BB27B6" w:rsidRPr="00E82853">
        <w:rPr>
          <w:snapToGrid w:val="0"/>
          <w:lang w:val="en-GB" w:eastAsia="en-US"/>
        </w:rPr>
        <w:t>per QALY foregone</w:t>
      </w:r>
      <w:r w:rsidR="00126D79" w:rsidRPr="00E82853">
        <w:rPr>
          <w:snapToGrid w:val="0"/>
          <w:lang w:val="en-GB" w:eastAsia="en-US"/>
        </w:rPr>
        <w:t>)</w:t>
      </w:r>
      <w:r w:rsidRPr="00E82853">
        <w:rPr>
          <w:snapToGrid w:val="0"/>
          <w:lang w:val="en-GB" w:eastAsia="en-US"/>
        </w:rPr>
        <w:t>.</w:t>
      </w:r>
      <w:r w:rsidR="007C5D32" w:rsidRPr="00E82853">
        <w:rPr>
          <w:snapToGrid w:val="0"/>
          <w:lang w:val="en-GB" w:eastAsia="en-US"/>
        </w:rPr>
        <w:t xml:space="preserve"> The PBAC considered </w:t>
      </w:r>
      <w:r w:rsidR="00126D79" w:rsidRPr="00E82853">
        <w:rPr>
          <w:snapToGrid w:val="0"/>
          <w:lang w:val="en-GB" w:eastAsia="en-US"/>
        </w:rPr>
        <w:t>both treatment waning and discontinuation to be uncertain</w:t>
      </w:r>
      <w:r w:rsidR="00453AA7" w:rsidRPr="00E82853">
        <w:rPr>
          <w:snapToGrid w:val="0"/>
          <w:lang w:val="en-GB" w:eastAsia="en-US"/>
        </w:rPr>
        <w:t xml:space="preserve"> but noted that longer term data for ABRO 100 mg (48 weeks in JADE EXTEND) and DUPI (42 weeks as reported in </w:t>
      </w:r>
      <w:r w:rsidR="00453AA7" w:rsidRPr="00E82853">
        <w:rPr>
          <w:snapToGrid w:val="0"/>
          <w:lang w:eastAsia="en-US"/>
        </w:rPr>
        <w:t xml:space="preserve">Table 16, DUPI PSD, March 2020 PBAC meeting) suggest the discontinuation and treatment waning is greater for ABRO than for DUPI. The PBAC considered that the assumption of the same rate of discontinuation and treatment waning after 16 weeks for DUPI and ABRO was not justified and considered that the economic model should apply differential rates as per the multivariate </w:t>
      </w:r>
      <w:r w:rsidR="00453AA7" w:rsidRPr="00E82853">
        <w:rPr>
          <w:snapToGrid w:val="0"/>
          <w:lang w:val="en-GB" w:eastAsia="en-US"/>
        </w:rPr>
        <w:t xml:space="preserve">sensitivity analysis in </w:t>
      </w:r>
      <w:r w:rsidR="00453AA7" w:rsidRPr="00E82853">
        <w:rPr>
          <w:snapToGrid w:val="0"/>
          <w:lang w:val="en-GB" w:eastAsia="en-US"/>
        </w:rPr>
        <w:fldChar w:fldCharType="begin" w:fldLock="1"/>
      </w:r>
      <w:r w:rsidR="00453AA7" w:rsidRPr="00E82853">
        <w:rPr>
          <w:snapToGrid w:val="0"/>
          <w:lang w:val="en-GB" w:eastAsia="en-US"/>
        </w:rPr>
        <w:instrText xml:space="preserve"> REF _Ref183088812 \h </w:instrText>
      </w:r>
      <w:r w:rsidR="00453AA7" w:rsidRPr="00E82853">
        <w:rPr>
          <w:snapToGrid w:val="0"/>
          <w:lang w:val="en-GB" w:eastAsia="en-US"/>
        </w:rPr>
      </w:r>
      <w:r w:rsidR="00453AA7" w:rsidRPr="00E82853">
        <w:rPr>
          <w:snapToGrid w:val="0"/>
          <w:lang w:val="en-GB" w:eastAsia="en-US"/>
        </w:rPr>
        <w:fldChar w:fldCharType="separate"/>
      </w:r>
      <w:r w:rsidR="004F2A70" w:rsidRPr="00070C35">
        <w:t xml:space="preserve">Table </w:t>
      </w:r>
      <w:r w:rsidR="004F2A70">
        <w:rPr>
          <w:noProof/>
        </w:rPr>
        <w:t>13</w:t>
      </w:r>
      <w:r w:rsidR="00453AA7" w:rsidRPr="00E82853">
        <w:rPr>
          <w:snapToGrid w:val="0"/>
          <w:lang w:val="en-GB" w:eastAsia="en-US"/>
        </w:rPr>
        <w:fldChar w:fldCharType="end"/>
      </w:r>
      <w:r w:rsidR="00453AA7" w:rsidRPr="00E82853">
        <w:rPr>
          <w:snapToGrid w:val="0"/>
          <w:lang w:eastAsia="en-US"/>
        </w:rPr>
        <w:t>.</w:t>
      </w:r>
      <w:r w:rsidR="00126D79" w:rsidRPr="00E82853">
        <w:rPr>
          <w:snapToGrid w:val="0"/>
          <w:lang w:val="en-GB" w:eastAsia="en-US"/>
        </w:rPr>
        <w:t xml:space="preserve"> </w:t>
      </w:r>
    </w:p>
    <w:p w14:paraId="36D697E9" w14:textId="40695730" w:rsidR="002A3B1B" w:rsidRPr="00BB27B6" w:rsidRDefault="001001CD" w:rsidP="00817C39">
      <w:pPr>
        <w:pStyle w:val="3-BodyText"/>
        <w:rPr>
          <w:snapToGrid w:val="0"/>
          <w:lang w:val="en-GB" w:eastAsia="en-US"/>
        </w:rPr>
      </w:pPr>
      <w:r w:rsidRPr="005C5AB4">
        <w:rPr>
          <w:snapToGrid w:val="0"/>
          <w:lang w:val="en-GB" w:eastAsia="en-US"/>
        </w:rPr>
        <w:t xml:space="preserve">The PBAC recalled that in its </w:t>
      </w:r>
      <w:r>
        <w:rPr>
          <w:snapToGrid w:val="0"/>
          <w:lang w:val="en-GB" w:eastAsia="en-US"/>
        </w:rPr>
        <w:t>consideration of</w:t>
      </w:r>
      <w:r w:rsidRPr="005C5AB4">
        <w:rPr>
          <w:snapToGrid w:val="0"/>
          <w:lang w:val="en-GB" w:eastAsia="en-US"/>
        </w:rPr>
        <w:t xml:space="preserve"> baricitinib</w:t>
      </w:r>
      <w:r>
        <w:rPr>
          <w:snapToGrid w:val="0"/>
          <w:lang w:val="en-GB" w:eastAsia="en-US"/>
        </w:rPr>
        <w:t xml:space="preserve"> for the same indication that it had stated that “the </w:t>
      </w:r>
      <w:r w:rsidRPr="00853F7A">
        <w:rPr>
          <w:bCs/>
          <w:snapToGrid w:val="0"/>
        </w:rPr>
        <w:t>t</w:t>
      </w:r>
      <w:r w:rsidRPr="00917FFB">
        <w:t xml:space="preserve">he literature suggests higher willingness to accept (WTA) for </w:t>
      </w:r>
      <w:r w:rsidRPr="00917FFB">
        <w:lastRenderedPageBreak/>
        <w:t>south west quadrant ICERs</w:t>
      </w:r>
      <w:r>
        <w:t xml:space="preserve"> (where </w:t>
      </w:r>
      <w:r w:rsidRPr="00853F7A">
        <w:t>treatments are less effective and less costly)</w:t>
      </w:r>
      <w:r w:rsidRPr="00917FFB">
        <w:t xml:space="preserve"> compared to willingness to pay (WTP) for north east quadrant ICERs</w:t>
      </w:r>
      <w:r>
        <w:t xml:space="preserve"> (where </w:t>
      </w:r>
      <w:r w:rsidRPr="002E21C0">
        <w:t xml:space="preserve">treatments are </w:t>
      </w:r>
      <w:r>
        <w:t>more</w:t>
      </w:r>
      <w:r w:rsidRPr="002E21C0">
        <w:t xml:space="preserve"> effective and </w:t>
      </w:r>
      <w:r>
        <w:t>more</w:t>
      </w:r>
      <w:r w:rsidRPr="002E21C0">
        <w:t xml:space="preserve"> costly</w:t>
      </w:r>
      <w:r>
        <w:t xml:space="preserve">)” </w:t>
      </w:r>
      <w:r>
        <w:rPr>
          <w:snapToGrid w:val="0"/>
          <w:lang w:val="en-GB" w:eastAsia="en-US"/>
        </w:rPr>
        <w:t xml:space="preserve">(para 7.13, </w:t>
      </w:r>
      <w:r w:rsidRPr="008330AE">
        <w:rPr>
          <w:snapToGrid w:val="0"/>
          <w:lang w:val="en-GB" w:eastAsia="en-US"/>
        </w:rPr>
        <w:t>baricitinib PSD</w:t>
      </w:r>
      <w:r>
        <w:rPr>
          <w:snapToGrid w:val="0"/>
          <w:lang w:val="en-GB" w:eastAsia="en-US"/>
        </w:rPr>
        <w:t xml:space="preserve">, July 2021 PBAC meeting) </w:t>
      </w:r>
      <w:r>
        <w:t xml:space="preserve">and in that context, the PBAC considered that a cost saving per QALY foregone of </w:t>
      </w:r>
      <w:r w:rsidR="0022437D" w:rsidRPr="0022437D">
        <w:t>$75,000 to &lt; $95,000</w:t>
      </w:r>
      <w:r w:rsidR="0030294C">
        <w:t xml:space="preserve"> </w:t>
      </w:r>
      <w:r>
        <w:t>would be reasonable for ABRO 100 mg.</w:t>
      </w:r>
      <w:r>
        <w:rPr>
          <w:snapToGrid w:val="0"/>
          <w:lang w:val="en-GB" w:eastAsia="en-US"/>
        </w:rPr>
        <w:t xml:space="preserve"> T</w:t>
      </w:r>
      <w:r w:rsidR="00126D79" w:rsidRPr="00BB27B6">
        <w:rPr>
          <w:snapToGrid w:val="0"/>
          <w:lang w:val="en-GB" w:eastAsia="en-US"/>
        </w:rPr>
        <w:t xml:space="preserve">he PBAC considered that </w:t>
      </w:r>
      <w:r w:rsidR="007C5D32" w:rsidRPr="00BB27B6">
        <w:rPr>
          <w:snapToGrid w:val="0"/>
          <w:lang w:val="en-GB" w:eastAsia="en-US"/>
        </w:rPr>
        <w:t xml:space="preserve">ABRO 100 mg </w:t>
      </w:r>
      <w:r w:rsidR="00BB27B6">
        <w:rPr>
          <w:snapToGrid w:val="0"/>
          <w:lang w:val="en-GB" w:eastAsia="en-US"/>
        </w:rPr>
        <w:t>w</w:t>
      </w:r>
      <w:r w:rsidR="007C5D32" w:rsidRPr="00BB27B6">
        <w:rPr>
          <w:snapToGrid w:val="0"/>
          <w:lang w:val="en-GB" w:eastAsia="en-US"/>
        </w:rPr>
        <w:t xml:space="preserve">ould be considered cost-effective </w:t>
      </w:r>
      <w:r w:rsidR="007C5D32" w:rsidRPr="00BB27B6">
        <w:rPr>
          <w:lang w:val="en-GB" w:eastAsia="en-US"/>
        </w:rPr>
        <w:t xml:space="preserve">at a price that resulted in </w:t>
      </w:r>
      <w:r w:rsidR="00126D79" w:rsidRPr="00BB27B6">
        <w:rPr>
          <w:lang w:val="en-GB" w:eastAsia="en-US"/>
        </w:rPr>
        <w:t>a</w:t>
      </w:r>
      <w:r w:rsidR="007C5D32" w:rsidRPr="00BB27B6">
        <w:rPr>
          <w:lang w:val="en-GB" w:eastAsia="en-US"/>
        </w:rPr>
        <w:t xml:space="preserve"> cost saving per quality adjusted life year foregone of </w:t>
      </w:r>
      <w:r w:rsidR="0022437D" w:rsidRPr="0022437D">
        <w:rPr>
          <w:lang w:val="en-GB" w:eastAsia="en-US"/>
        </w:rPr>
        <w:t>$75,000</w:t>
      </w:r>
      <w:r w:rsidR="0030294C">
        <w:rPr>
          <w:lang w:val="en-GB" w:eastAsia="en-US"/>
        </w:rPr>
        <w:t> </w:t>
      </w:r>
      <w:r w:rsidR="0022437D" w:rsidRPr="0022437D">
        <w:rPr>
          <w:lang w:val="en-GB" w:eastAsia="en-US"/>
        </w:rPr>
        <w:t>to</w:t>
      </w:r>
      <w:r w:rsidR="0030294C">
        <w:rPr>
          <w:lang w:val="en-GB" w:eastAsia="en-US"/>
        </w:rPr>
        <w:t> </w:t>
      </w:r>
      <w:r w:rsidR="0022437D" w:rsidRPr="0022437D">
        <w:rPr>
          <w:lang w:val="en-GB" w:eastAsia="en-US"/>
        </w:rPr>
        <w:t>&lt;</w:t>
      </w:r>
      <w:r w:rsidR="0030294C">
        <w:rPr>
          <w:lang w:val="en-GB" w:eastAsia="en-US"/>
        </w:rPr>
        <w:t> </w:t>
      </w:r>
      <w:r w:rsidR="0022437D" w:rsidRPr="0022437D">
        <w:rPr>
          <w:lang w:val="en-GB" w:eastAsia="en-US"/>
        </w:rPr>
        <w:t>$95,000</w:t>
      </w:r>
      <w:r w:rsidR="0030294C">
        <w:rPr>
          <w:lang w:val="en-GB" w:eastAsia="en-US"/>
        </w:rPr>
        <w:t xml:space="preserve"> </w:t>
      </w:r>
      <w:r w:rsidR="007C5D32" w:rsidRPr="00BB27B6">
        <w:rPr>
          <w:lang w:val="en-GB" w:eastAsia="en-US"/>
        </w:rPr>
        <w:t xml:space="preserve">or more compared to DUPI 300 mg based on </w:t>
      </w:r>
      <w:r w:rsidR="00126D79" w:rsidRPr="00BB27B6">
        <w:rPr>
          <w:lang w:val="en-GB" w:eastAsia="en-US"/>
        </w:rPr>
        <w:t xml:space="preserve">use of the </w:t>
      </w:r>
      <w:r w:rsidR="007C5D32" w:rsidRPr="00BB27B6">
        <w:rPr>
          <w:lang w:val="en-GB" w:eastAsia="en-US"/>
        </w:rPr>
        <w:t xml:space="preserve">treatment waning and discontinuation parameters in the CUA </w:t>
      </w:r>
      <w:r w:rsidR="008B10FC" w:rsidRPr="00BB27B6">
        <w:rPr>
          <w:lang w:val="en-GB" w:eastAsia="en-US"/>
        </w:rPr>
        <w:t xml:space="preserve">sensitivity analyses </w:t>
      </w:r>
      <w:r w:rsidR="007C5D32" w:rsidRPr="00BB27B6">
        <w:rPr>
          <w:lang w:val="en-GB" w:eastAsia="en-US"/>
        </w:rPr>
        <w:t xml:space="preserve">presented in </w:t>
      </w:r>
      <w:r w:rsidR="00BB27B6" w:rsidRPr="00BB27B6">
        <w:rPr>
          <w:lang w:val="en-GB" w:eastAsia="en-US"/>
        </w:rPr>
        <w:fldChar w:fldCharType="begin" w:fldLock="1"/>
      </w:r>
      <w:r w:rsidR="00BB27B6" w:rsidRPr="00BB27B6">
        <w:rPr>
          <w:lang w:val="en-GB" w:eastAsia="en-US"/>
        </w:rPr>
        <w:instrText xml:space="preserve"> REF _Ref183088812 \h </w:instrText>
      </w:r>
      <w:r w:rsidR="00BB27B6" w:rsidRPr="00BB27B6">
        <w:rPr>
          <w:lang w:val="en-GB" w:eastAsia="en-US"/>
        </w:rPr>
      </w:r>
      <w:r w:rsidR="00BB27B6" w:rsidRPr="00BB27B6">
        <w:rPr>
          <w:lang w:val="en-GB" w:eastAsia="en-US"/>
        </w:rPr>
        <w:fldChar w:fldCharType="separate"/>
      </w:r>
      <w:r w:rsidR="004F2A70" w:rsidRPr="00070C35">
        <w:t xml:space="preserve">Table </w:t>
      </w:r>
      <w:r w:rsidR="004F2A70">
        <w:rPr>
          <w:noProof/>
        </w:rPr>
        <w:t>13</w:t>
      </w:r>
      <w:r w:rsidR="00BB27B6" w:rsidRPr="00BB27B6">
        <w:rPr>
          <w:lang w:val="en-GB" w:eastAsia="en-US"/>
        </w:rPr>
        <w:fldChar w:fldCharType="end"/>
      </w:r>
      <w:r w:rsidR="00BB27B6">
        <w:rPr>
          <w:lang w:val="en-GB" w:eastAsia="en-US"/>
        </w:rPr>
        <w:t xml:space="preserve"> </w:t>
      </w:r>
      <w:r w:rsidR="007C5D32" w:rsidRPr="00BB27B6">
        <w:rPr>
          <w:lang w:val="en-GB" w:eastAsia="en-US"/>
        </w:rPr>
        <w:t>(</w:t>
      </w:r>
      <w:r w:rsidR="008B10FC" w:rsidRPr="00BB27B6">
        <w:rPr>
          <w:lang w:val="en-GB" w:eastAsia="en-US"/>
        </w:rPr>
        <w:t xml:space="preserve">i.e., </w:t>
      </w:r>
      <w:r w:rsidR="007C5D32" w:rsidRPr="00BB27B6">
        <w:rPr>
          <w:lang w:val="en-GB" w:eastAsia="en-US"/>
        </w:rPr>
        <w:t>multivariate analyses 1+2)</w:t>
      </w:r>
      <w:r w:rsidR="007C5D32" w:rsidRPr="00BB27B6">
        <w:rPr>
          <w:snapToGrid w:val="0"/>
          <w:lang w:val="en-GB" w:eastAsia="en-US"/>
        </w:rPr>
        <w:t>.</w:t>
      </w:r>
      <w:r w:rsidR="00126D79" w:rsidRPr="00BB27B6">
        <w:rPr>
          <w:snapToGrid w:val="0"/>
          <w:lang w:val="en-GB" w:eastAsia="en-US"/>
        </w:rPr>
        <w:t xml:space="preserve"> </w:t>
      </w:r>
      <w:r w:rsidR="00402B9C" w:rsidRPr="00BB27B6">
        <w:rPr>
          <w:snapToGrid w:val="0"/>
          <w:lang w:val="en-GB" w:eastAsia="en-US"/>
        </w:rPr>
        <w:t xml:space="preserve">The PBAC </w:t>
      </w:r>
      <w:r w:rsidR="00502C9F" w:rsidRPr="00BB27B6">
        <w:rPr>
          <w:snapToGrid w:val="0"/>
          <w:lang w:val="en-GB" w:eastAsia="en-US"/>
        </w:rPr>
        <w:t>noted</w:t>
      </w:r>
      <w:r w:rsidR="006825A5" w:rsidRPr="00BB27B6">
        <w:rPr>
          <w:snapToGrid w:val="0"/>
          <w:lang w:val="en-GB" w:eastAsia="en-US"/>
        </w:rPr>
        <w:t xml:space="preserve"> that </w:t>
      </w:r>
      <w:r w:rsidR="005A21F3">
        <w:rPr>
          <w:snapToGrid w:val="0"/>
          <w:lang w:val="en-GB" w:eastAsia="en-US"/>
        </w:rPr>
        <w:t>the resulting price</w:t>
      </w:r>
      <w:r w:rsidR="006825A5" w:rsidRPr="00BB27B6">
        <w:rPr>
          <w:snapToGrid w:val="0"/>
          <w:lang w:val="en-GB" w:eastAsia="en-US"/>
        </w:rPr>
        <w:t xml:space="preserve"> was in general alignment with the clinical evidence</w:t>
      </w:r>
      <w:r w:rsidR="00502C9F" w:rsidRPr="00BB27B6">
        <w:rPr>
          <w:snapToGrid w:val="0"/>
          <w:lang w:val="en-GB" w:eastAsia="en-US"/>
        </w:rPr>
        <w:t>, which</w:t>
      </w:r>
      <w:r w:rsidR="006825A5" w:rsidRPr="00BB27B6">
        <w:rPr>
          <w:snapToGrid w:val="0"/>
          <w:lang w:val="en-GB" w:eastAsia="en-US"/>
        </w:rPr>
        <w:t xml:space="preserve"> suggested the dose response </w:t>
      </w:r>
      <w:r w:rsidR="00502C9F" w:rsidRPr="00BB27B6">
        <w:rPr>
          <w:snapToGrid w:val="0"/>
          <w:lang w:val="en-GB" w:eastAsia="en-US"/>
        </w:rPr>
        <w:t xml:space="preserve">between ABRO 100 mg and ABRO 200 mg </w:t>
      </w:r>
      <w:r w:rsidR="006825A5" w:rsidRPr="00BB27B6">
        <w:rPr>
          <w:snapToGrid w:val="0"/>
          <w:lang w:val="en-GB" w:eastAsia="en-US"/>
        </w:rPr>
        <w:t xml:space="preserve">was not linear </w:t>
      </w:r>
      <w:r w:rsidR="00402B9C" w:rsidRPr="00BB27B6">
        <w:rPr>
          <w:snapToGrid w:val="0"/>
          <w:lang w:val="en-GB" w:eastAsia="en-US"/>
        </w:rPr>
        <w:t>(</w:t>
      </w:r>
      <w:r w:rsidR="00502C9F" w:rsidRPr="00BB27B6">
        <w:rPr>
          <w:snapToGrid w:val="0"/>
          <w:lang w:val="en-GB" w:eastAsia="en-US"/>
        </w:rPr>
        <w:t xml:space="preserve">see </w:t>
      </w:r>
      <w:r>
        <w:rPr>
          <w:snapToGrid w:val="0"/>
          <w:lang w:val="en-GB" w:eastAsia="en-US"/>
        </w:rPr>
        <w:fldChar w:fldCharType="begin" w:fldLock="1"/>
      </w:r>
      <w:r w:rsidRPr="001001CD">
        <w:rPr>
          <w:snapToGrid w:val="0"/>
          <w:lang w:val="en-GB" w:eastAsia="en-US"/>
        </w:rPr>
        <w:instrText xml:space="preserve"> REF _Ref176724585 \h  \* MERGEFORMAT </w:instrText>
      </w:r>
      <w:r>
        <w:rPr>
          <w:snapToGrid w:val="0"/>
          <w:lang w:val="en-GB" w:eastAsia="en-US"/>
        </w:rPr>
      </w:r>
      <w:r>
        <w:rPr>
          <w:snapToGrid w:val="0"/>
          <w:lang w:val="en-GB" w:eastAsia="en-US"/>
        </w:rPr>
        <w:fldChar w:fldCharType="separate"/>
      </w:r>
      <w:r w:rsidR="004F2A70" w:rsidRPr="004F2A70">
        <w:rPr>
          <w:snapToGrid w:val="0"/>
          <w:lang w:val="en-GB" w:eastAsia="en-US"/>
        </w:rPr>
        <w:t>Table 5</w:t>
      </w:r>
      <w:r>
        <w:rPr>
          <w:snapToGrid w:val="0"/>
          <w:lang w:val="en-GB" w:eastAsia="en-US"/>
        </w:rPr>
        <w:fldChar w:fldCharType="end"/>
      </w:r>
      <w:r>
        <w:rPr>
          <w:snapToGrid w:val="0"/>
          <w:lang w:val="en-GB" w:eastAsia="en-US"/>
        </w:rPr>
        <w:t xml:space="preserve"> </w:t>
      </w:r>
      <w:r w:rsidR="006825A5" w:rsidRPr="00BB27B6">
        <w:rPr>
          <w:snapToGrid w:val="0"/>
          <w:lang w:val="en-GB" w:eastAsia="en-US"/>
        </w:rPr>
        <w:t>and</w:t>
      </w:r>
      <w:r>
        <w:rPr>
          <w:snapToGrid w:val="0"/>
          <w:lang w:val="en-GB" w:eastAsia="en-US"/>
        </w:rPr>
        <w:t xml:space="preserve"> </w:t>
      </w:r>
      <w:r>
        <w:rPr>
          <w:snapToGrid w:val="0"/>
          <w:lang w:val="en-GB" w:eastAsia="en-US"/>
        </w:rPr>
        <w:fldChar w:fldCharType="begin" w:fldLock="1"/>
      </w:r>
      <w:r>
        <w:rPr>
          <w:snapToGrid w:val="0"/>
          <w:lang w:val="en-GB" w:eastAsia="en-US"/>
        </w:rPr>
        <w:instrText xml:space="preserve"> REF _Ref176799105 \h  \* MERGEFORMAT </w:instrText>
      </w:r>
      <w:r>
        <w:rPr>
          <w:snapToGrid w:val="0"/>
          <w:lang w:val="en-GB" w:eastAsia="en-US"/>
        </w:rPr>
      </w:r>
      <w:r>
        <w:rPr>
          <w:snapToGrid w:val="0"/>
          <w:lang w:val="en-GB" w:eastAsia="en-US"/>
        </w:rPr>
        <w:fldChar w:fldCharType="separate"/>
      </w:r>
      <w:r w:rsidR="004F2A70" w:rsidRPr="004F2A70">
        <w:rPr>
          <w:snapToGrid w:val="0"/>
          <w:lang w:val="en-GB" w:eastAsia="en-US"/>
        </w:rPr>
        <w:t>Figure 1</w:t>
      </w:r>
      <w:r>
        <w:rPr>
          <w:snapToGrid w:val="0"/>
          <w:lang w:val="en-GB" w:eastAsia="en-US"/>
        </w:rPr>
        <w:fldChar w:fldCharType="end"/>
      </w:r>
      <w:r w:rsidR="00402B9C" w:rsidRPr="00BB27B6">
        <w:rPr>
          <w:snapToGrid w:val="0"/>
          <w:lang w:val="en-GB" w:eastAsia="en-US"/>
        </w:rPr>
        <w:t>).</w:t>
      </w:r>
    </w:p>
    <w:p w14:paraId="5EDE1758" w14:textId="26C2BACA" w:rsidR="00D66639" w:rsidRDefault="00D66639" w:rsidP="00445E1B">
      <w:pPr>
        <w:pStyle w:val="3-BodyText"/>
        <w:rPr>
          <w:snapToGrid w:val="0"/>
          <w:lang w:val="en-GB" w:eastAsia="en-US"/>
        </w:rPr>
      </w:pPr>
      <w:r>
        <w:rPr>
          <w:snapToGrid w:val="0"/>
          <w:lang w:val="en-GB" w:eastAsia="en-US"/>
        </w:rPr>
        <w:t xml:space="preserve">The PBAC noted that </w:t>
      </w:r>
      <w:r w:rsidR="00D549CD">
        <w:rPr>
          <w:snapToGrid w:val="0"/>
          <w:lang w:val="en-GB" w:eastAsia="en-US"/>
        </w:rPr>
        <w:t xml:space="preserve">the submission provided </w:t>
      </w:r>
      <w:r>
        <w:rPr>
          <w:snapToGrid w:val="0"/>
          <w:lang w:val="en-GB" w:eastAsia="en-US"/>
        </w:rPr>
        <w:t xml:space="preserve">no comparative clinical efficacy or safety data for ABRO 50 mg versus DUPI 300 mg and that </w:t>
      </w:r>
      <w:r w:rsidR="00B734B6">
        <w:rPr>
          <w:snapToGrid w:val="0"/>
          <w:lang w:val="en-GB" w:eastAsia="en-US"/>
        </w:rPr>
        <w:t>according to</w:t>
      </w:r>
      <w:r w:rsidR="004F7C1F">
        <w:rPr>
          <w:snapToGrid w:val="0"/>
          <w:lang w:val="en-GB" w:eastAsia="en-US"/>
        </w:rPr>
        <w:t xml:space="preserve"> </w:t>
      </w:r>
      <w:r>
        <w:rPr>
          <w:snapToGrid w:val="0"/>
          <w:lang w:val="en-GB" w:eastAsia="en-US"/>
        </w:rPr>
        <w:t>the ABRO Product Informatio</w:t>
      </w:r>
      <w:r w:rsidR="00B734B6">
        <w:rPr>
          <w:snapToGrid w:val="0"/>
          <w:lang w:val="en-GB" w:eastAsia="en-US"/>
        </w:rPr>
        <w:t xml:space="preserve">n, </w:t>
      </w:r>
      <w:r w:rsidR="004F7C1F">
        <w:rPr>
          <w:snapToGrid w:val="0"/>
          <w:lang w:val="en-GB" w:eastAsia="en-US"/>
        </w:rPr>
        <w:t xml:space="preserve">the tablets </w:t>
      </w:r>
      <w:r w:rsidR="00B734B6">
        <w:rPr>
          <w:snapToGrid w:val="0"/>
          <w:lang w:val="en-GB" w:eastAsia="en-US"/>
        </w:rPr>
        <w:t xml:space="preserve">should not </w:t>
      </w:r>
      <w:r w:rsidR="004F7C1F">
        <w:rPr>
          <w:snapToGrid w:val="0"/>
          <w:lang w:val="en-GB" w:eastAsia="en-US"/>
        </w:rPr>
        <w:t xml:space="preserve">be split </w:t>
      </w:r>
      <w:r>
        <w:rPr>
          <w:snapToGrid w:val="0"/>
          <w:lang w:val="en-GB" w:eastAsia="en-US"/>
        </w:rPr>
        <w:t xml:space="preserve">to obtain a smaller dose. In the absence of clinical evidence, the Committee considered that it would be reasonable for the 50 mg strength </w:t>
      </w:r>
      <w:r w:rsidR="0049728E">
        <w:rPr>
          <w:snapToGrid w:val="0"/>
          <w:lang w:val="en-GB" w:eastAsia="en-US"/>
        </w:rPr>
        <w:t xml:space="preserve">of ABRO </w:t>
      </w:r>
      <w:r>
        <w:rPr>
          <w:snapToGrid w:val="0"/>
          <w:lang w:val="en-GB" w:eastAsia="en-US"/>
        </w:rPr>
        <w:t xml:space="preserve">to be listed at the same price per mg as the 100 mg strength. </w:t>
      </w:r>
    </w:p>
    <w:p w14:paraId="112B4D87" w14:textId="244295B8" w:rsidR="00D97B0F" w:rsidRPr="007A13EC" w:rsidRDefault="00B41982" w:rsidP="001406B5">
      <w:pPr>
        <w:pStyle w:val="3-BodyText"/>
        <w:rPr>
          <w:snapToGrid w:val="0"/>
          <w:lang w:val="en-GB" w:eastAsia="en-US"/>
        </w:rPr>
      </w:pPr>
      <w:bookmarkStart w:id="90" w:name="_Hlk183457950"/>
      <w:r w:rsidRPr="007A13EC">
        <w:rPr>
          <w:snapToGrid w:val="0"/>
          <w:lang w:val="en-GB" w:eastAsia="en-US"/>
        </w:rPr>
        <w:t xml:space="preserve">The PBAC noted that the submission estimated a </w:t>
      </w:r>
      <w:r w:rsidR="002536BA" w:rsidRPr="007A13EC">
        <w:rPr>
          <w:snapToGrid w:val="0"/>
          <w:lang w:val="en-GB" w:eastAsia="en-US"/>
        </w:rPr>
        <w:t>net increase in cost to the PBS</w:t>
      </w:r>
      <w:r w:rsidRPr="007A13EC">
        <w:rPr>
          <w:snapToGrid w:val="0"/>
          <w:lang w:val="en-GB" w:eastAsia="en-US"/>
        </w:rPr>
        <w:t xml:space="preserve"> in the first year of listing </w:t>
      </w:r>
      <w:r w:rsidR="002536BA" w:rsidRPr="007A13EC">
        <w:rPr>
          <w:snapToGrid w:val="0"/>
          <w:lang w:val="en-GB" w:eastAsia="en-US"/>
        </w:rPr>
        <w:t xml:space="preserve">due to grandfathering of </w:t>
      </w:r>
      <w:r w:rsidRPr="007A13EC">
        <w:rPr>
          <w:snapToGrid w:val="0"/>
          <w:lang w:val="en-GB" w:eastAsia="en-US"/>
        </w:rPr>
        <w:t>patients enrolled in a patient familiarisation program.</w:t>
      </w:r>
      <w:r w:rsidR="007A13EC" w:rsidRPr="007A13EC">
        <w:rPr>
          <w:snapToGrid w:val="0"/>
          <w:lang w:val="en-GB" w:eastAsia="en-US"/>
        </w:rPr>
        <w:t xml:space="preserve"> The submission assumed these patients were not captured in the market share approach. The PBAC considered </w:t>
      </w:r>
      <w:r w:rsidR="004E6D08">
        <w:rPr>
          <w:snapToGrid w:val="0"/>
          <w:lang w:val="en-GB" w:eastAsia="en-US"/>
        </w:rPr>
        <w:t>inclusion of</w:t>
      </w:r>
      <w:r w:rsidR="007A13EC" w:rsidRPr="007A13EC">
        <w:rPr>
          <w:snapToGrid w:val="0"/>
          <w:lang w:val="en-GB" w:eastAsia="en-US"/>
        </w:rPr>
        <w:t xml:space="preserve"> grandfather patients </w:t>
      </w:r>
      <w:r w:rsidR="004E6D08">
        <w:rPr>
          <w:snapToGrid w:val="0"/>
          <w:lang w:val="en-GB" w:eastAsia="en-US"/>
        </w:rPr>
        <w:t xml:space="preserve">in year 1 of the estimates, </w:t>
      </w:r>
      <w:r w:rsidR="007A13EC" w:rsidRPr="007A13EC">
        <w:rPr>
          <w:snapToGrid w:val="0"/>
          <w:lang w:val="en-GB" w:eastAsia="en-US"/>
        </w:rPr>
        <w:t>in addition to the market share values</w:t>
      </w:r>
      <w:r w:rsidR="004E6D08">
        <w:rPr>
          <w:snapToGrid w:val="0"/>
          <w:lang w:val="en-GB" w:eastAsia="en-US"/>
        </w:rPr>
        <w:t>,</w:t>
      </w:r>
      <w:r w:rsidR="0081292A">
        <w:rPr>
          <w:snapToGrid w:val="0"/>
          <w:lang w:val="en-GB" w:eastAsia="en-US"/>
        </w:rPr>
        <w:t xml:space="preserve"> </w:t>
      </w:r>
      <w:r w:rsidR="004E6D08">
        <w:rPr>
          <w:snapToGrid w:val="0"/>
          <w:lang w:val="en-GB" w:eastAsia="en-US"/>
        </w:rPr>
        <w:t xml:space="preserve">was not consistent with the assumption of no additional growth in the </w:t>
      </w:r>
      <w:proofErr w:type="gramStart"/>
      <w:r w:rsidR="004E6D08">
        <w:rPr>
          <w:snapToGrid w:val="0"/>
          <w:lang w:val="en-GB" w:eastAsia="en-US"/>
        </w:rPr>
        <w:t>market</w:t>
      </w:r>
      <w:r w:rsidR="007A13EC" w:rsidRPr="007A13EC">
        <w:rPr>
          <w:snapToGrid w:val="0"/>
          <w:lang w:val="en-GB" w:eastAsia="en-US"/>
        </w:rPr>
        <w:t xml:space="preserve">, </w:t>
      </w:r>
      <w:r w:rsidR="004E6D08">
        <w:rPr>
          <w:snapToGrid w:val="0"/>
          <w:lang w:val="en-GB" w:eastAsia="en-US"/>
        </w:rPr>
        <w:t>but</w:t>
      </w:r>
      <w:proofErr w:type="gramEnd"/>
      <w:r w:rsidR="004E6D08">
        <w:rPr>
          <w:snapToGrid w:val="0"/>
          <w:lang w:val="en-GB" w:eastAsia="en-US"/>
        </w:rPr>
        <w:t xml:space="preserve"> noted</w:t>
      </w:r>
      <w:r w:rsidR="004E6D08" w:rsidRPr="007A13EC">
        <w:rPr>
          <w:snapToGrid w:val="0"/>
          <w:lang w:val="en-GB" w:eastAsia="en-US"/>
        </w:rPr>
        <w:t xml:space="preserve"> </w:t>
      </w:r>
      <w:r w:rsidR="007A13EC" w:rsidRPr="007A13EC">
        <w:rPr>
          <w:snapToGrid w:val="0"/>
          <w:lang w:val="en-GB" w:eastAsia="en-US"/>
        </w:rPr>
        <w:t>that the net financial impact was minimal.</w:t>
      </w:r>
      <w:r w:rsidRPr="007A13EC">
        <w:rPr>
          <w:snapToGrid w:val="0"/>
          <w:lang w:val="en-GB" w:eastAsia="en-US"/>
        </w:rPr>
        <w:t xml:space="preserve"> </w:t>
      </w:r>
      <w:r w:rsidR="00D549CD" w:rsidRPr="007A13EC">
        <w:rPr>
          <w:snapToGrid w:val="0"/>
          <w:lang w:val="en-GB" w:eastAsia="en-US"/>
        </w:rPr>
        <w:t xml:space="preserve">The Committee </w:t>
      </w:r>
      <w:r w:rsidR="007A13EC" w:rsidRPr="007A13EC">
        <w:rPr>
          <w:snapToGrid w:val="0"/>
          <w:lang w:val="en-GB" w:eastAsia="en-US"/>
        </w:rPr>
        <w:t xml:space="preserve">noted </w:t>
      </w:r>
      <w:r w:rsidR="00D549CD" w:rsidRPr="007A13EC">
        <w:rPr>
          <w:snapToGrid w:val="0"/>
          <w:lang w:val="en-GB" w:eastAsia="en-US"/>
        </w:rPr>
        <w:t xml:space="preserve">that the listing of ABRO </w:t>
      </w:r>
      <w:r w:rsidR="007A13EC" w:rsidRPr="007A13EC">
        <w:rPr>
          <w:snapToGrid w:val="0"/>
          <w:lang w:val="en-GB" w:eastAsia="en-US"/>
        </w:rPr>
        <w:t xml:space="preserve">was estimated to </w:t>
      </w:r>
      <w:r w:rsidR="00D549CD" w:rsidRPr="007A13EC">
        <w:rPr>
          <w:snapToGrid w:val="0"/>
          <w:lang w:val="en-GB" w:eastAsia="en-US"/>
        </w:rPr>
        <w:t>be cost saving to the PBS</w:t>
      </w:r>
      <w:r w:rsidR="002536BA" w:rsidRPr="007A13EC">
        <w:rPr>
          <w:snapToGrid w:val="0"/>
          <w:lang w:val="en-GB" w:eastAsia="en-US"/>
        </w:rPr>
        <w:t xml:space="preserve">, </w:t>
      </w:r>
      <w:r w:rsidR="007A13EC" w:rsidRPr="007A13EC">
        <w:rPr>
          <w:snapToGrid w:val="0"/>
          <w:lang w:val="en-GB" w:eastAsia="en-US"/>
        </w:rPr>
        <w:t>because</w:t>
      </w:r>
      <w:r w:rsidR="00D549CD" w:rsidRPr="007A13EC">
        <w:rPr>
          <w:snapToGrid w:val="0"/>
          <w:lang w:val="en-GB" w:eastAsia="en-US"/>
        </w:rPr>
        <w:t xml:space="preserve"> </w:t>
      </w:r>
      <w:r w:rsidR="002536BA" w:rsidRPr="007A13EC">
        <w:rPr>
          <w:snapToGrid w:val="0"/>
          <w:lang w:val="en-GB" w:eastAsia="en-US"/>
        </w:rPr>
        <w:t xml:space="preserve">listing of </w:t>
      </w:r>
      <w:r w:rsidR="00D97B0F" w:rsidRPr="007A13EC">
        <w:rPr>
          <w:snapToGrid w:val="0"/>
          <w:lang w:val="en-GB" w:eastAsia="en-US"/>
        </w:rPr>
        <w:t xml:space="preserve">ABRO 100 mg </w:t>
      </w:r>
      <w:r w:rsidR="002536BA" w:rsidRPr="007A13EC">
        <w:rPr>
          <w:snapToGrid w:val="0"/>
          <w:lang w:val="en-GB" w:eastAsia="en-US"/>
        </w:rPr>
        <w:t>would be associated with a lower co</w:t>
      </w:r>
      <w:r w:rsidR="00D549CD" w:rsidRPr="007A13EC">
        <w:rPr>
          <w:snapToGrid w:val="0"/>
          <w:lang w:val="en-GB" w:eastAsia="en-US"/>
        </w:rPr>
        <w:t xml:space="preserve">st </w:t>
      </w:r>
      <w:r w:rsidR="002536BA" w:rsidRPr="007A13EC">
        <w:rPr>
          <w:snapToGrid w:val="0"/>
          <w:lang w:val="en-GB" w:eastAsia="en-US"/>
        </w:rPr>
        <w:t xml:space="preserve">to the PBS than </w:t>
      </w:r>
      <w:r w:rsidR="00D97B0F" w:rsidRPr="007A13EC">
        <w:rPr>
          <w:snapToGrid w:val="0"/>
          <w:lang w:val="en-GB" w:eastAsia="en-US"/>
        </w:rPr>
        <w:t xml:space="preserve">DUPI 300 mg (based on </w:t>
      </w:r>
      <w:r w:rsidR="00D549CD" w:rsidRPr="007A13EC">
        <w:rPr>
          <w:snapToGrid w:val="0"/>
          <w:lang w:val="en-GB" w:eastAsia="en-US"/>
        </w:rPr>
        <w:t xml:space="preserve">a determination of </w:t>
      </w:r>
      <w:r w:rsidR="00D97B0F" w:rsidRPr="007A13EC">
        <w:rPr>
          <w:snapToGrid w:val="0"/>
          <w:lang w:val="en-GB" w:eastAsia="en-US"/>
        </w:rPr>
        <w:t>inferior comparative effectiveness</w:t>
      </w:r>
      <w:r w:rsidR="002536BA" w:rsidRPr="007A13EC">
        <w:rPr>
          <w:snapToGrid w:val="0"/>
          <w:lang w:val="en-GB" w:eastAsia="en-US"/>
        </w:rPr>
        <w:t xml:space="preserve"> and QALYs foregone</w:t>
      </w:r>
      <w:r w:rsidR="00D97B0F" w:rsidRPr="007A13EC">
        <w:rPr>
          <w:snapToGrid w:val="0"/>
          <w:lang w:val="en-GB" w:eastAsia="en-US"/>
        </w:rPr>
        <w:t>)</w:t>
      </w:r>
      <w:r w:rsidR="002536BA" w:rsidRPr="007A13EC">
        <w:rPr>
          <w:snapToGrid w:val="0"/>
          <w:lang w:val="en-GB" w:eastAsia="en-US"/>
        </w:rPr>
        <w:t>, and a price for ABRO 200</w:t>
      </w:r>
      <w:r w:rsidR="0030294C">
        <w:rPr>
          <w:snapToGrid w:val="0"/>
          <w:lang w:val="en-GB" w:eastAsia="en-US"/>
        </w:rPr>
        <w:t> </w:t>
      </w:r>
      <w:r w:rsidR="002536BA" w:rsidRPr="007A13EC">
        <w:rPr>
          <w:snapToGrid w:val="0"/>
          <w:lang w:val="en-GB" w:eastAsia="en-US"/>
        </w:rPr>
        <w:t>mg that would be cost-neutral</w:t>
      </w:r>
      <w:r w:rsidR="00D97B0F" w:rsidRPr="007A13EC">
        <w:rPr>
          <w:snapToGrid w:val="0"/>
          <w:lang w:val="en-GB" w:eastAsia="en-US"/>
        </w:rPr>
        <w:t>.</w:t>
      </w:r>
      <w:r w:rsidR="007A13EC" w:rsidRPr="007A13EC">
        <w:rPr>
          <w:snapToGrid w:val="0"/>
          <w:lang w:val="en-GB" w:eastAsia="en-US"/>
        </w:rPr>
        <w:t xml:space="preserve"> </w:t>
      </w:r>
      <w:r w:rsidR="007A13EC" w:rsidRPr="007A13EC">
        <w:rPr>
          <w:snapToGrid w:val="0"/>
          <w:lang w:eastAsia="en-US"/>
        </w:rPr>
        <w:t xml:space="preserve">The submission assumed no additional growth in the market associated with the introduction of an additional treatment option. </w:t>
      </w:r>
      <w:r w:rsidR="007A13EC" w:rsidRPr="007A13EC">
        <w:rPr>
          <w:snapToGrid w:val="0"/>
          <w:lang w:val="en-GB" w:eastAsia="en-US"/>
        </w:rPr>
        <w:t>The PBAC noted that cost savings would be reduced if sequential use results in any growth in the market.</w:t>
      </w:r>
    </w:p>
    <w:bookmarkEnd w:id="90"/>
    <w:p w14:paraId="79F1DF62" w14:textId="17773CFB" w:rsidR="00AA1B48" w:rsidRPr="00070C35" w:rsidRDefault="00B41982" w:rsidP="00AA1B48">
      <w:pPr>
        <w:pStyle w:val="3-BodyText"/>
      </w:pPr>
      <w:r>
        <w:rPr>
          <w:snapToGrid w:val="0"/>
          <w:lang w:val="en-GB" w:eastAsia="en-US"/>
        </w:rPr>
        <w:t>The PBAC noted the sponsor had indicated they were willing to join the existing Risk Sharing Arrangement for systemic treatments for severe AD</w:t>
      </w:r>
      <w:r w:rsidR="00AA1B48">
        <w:rPr>
          <w:snapToGrid w:val="0"/>
          <w:lang w:val="en-GB" w:eastAsia="en-US"/>
        </w:rPr>
        <w:t xml:space="preserve">. </w:t>
      </w:r>
      <w:r w:rsidR="00AA1B48" w:rsidRPr="00070C35">
        <w:t xml:space="preserve">The sponsor did not request any changes to the caps associated with the existing DUPI / </w:t>
      </w:r>
      <w:r w:rsidR="00AA1B48">
        <w:t>UPA</w:t>
      </w:r>
      <w:r w:rsidR="00AA1B48" w:rsidRPr="00070C35">
        <w:t xml:space="preserve"> RSA. As this listing will provide an alternative to the currently listed agents </w:t>
      </w:r>
      <w:r w:rsidR="00AA1B48">
        <w:t>and the submission assumed no growth in the market from the addition of ABRO</w:t>
      </w:r>
      <w:r w:rsidR="00AA1B48" w:rsidRPr="00070C35">
        <w:t xml:space="preserve">, </w:t>
      </w:r>
      <w:r w:rsidR="00AA1B48">
        <w:t>the PBAC considered an</w:t>
      </w:r>
      <w:r w:rsidR="00AA1B48" w:rsidRPr="00070C35">
        <w:t xml:space="preserve"> increase in the RSA caps i</w:t>
      </w:r>
      <w:r w:rsidR="00AA1B48">
        <w:t>s</w:t>
      </w:r>
      <w:r w:rsidR="00AA1B48" w:rsidRPr="00070C35">
        <w:t xml:space="preserve"> not warranted. </w:t>
      </w:r>
    </w:p>
    <w:p w14:paraId="03AB9C42" w14:textId="7875F37B" w:rsidR="00515CE1" w:rsidRDefault="00515CE1" w:rsidP="00445E1B">
      <w:pPr>
        <w:pStyle w:val="3-BodyText"/>
        <w:rPr>
          <w:bCs/>
          <w:snapToGrid w:val="0"/>
          <w:lang w:val="en-GB" w:eastAsia="en-US"/>
        </w:rPr>
      </w:pPr>
      <w:r>
        <w:rPr>
          <w:bCs/>
          <w:snapToGrid w:val="0"/>
          <w:lang w:val="en-GB" w:eastAsia="en-US"/>
        </w:rPr>
        <w:t>The PBAC recommended that ABRO should not be treated as interchangeable on an individual patient basis with DUPI or UPA.</w:t>
      </w:r>
    </w:p>
    <w:p w14:paraId="0FF2E2F2" w14:textId="58AD192C" w:rsidR="00490D81" w:rsidRDefault="00490D81" w:rsidP="00445E1B">
      <w:pPr>
        <w:pStyle w:val="3-BodyText"/>
        <w:rPr>
          <w:bCs/>
          <w:snapToGrid w:val="0"/>
          <w:lang w:val="en-GB" w:eastAsia="en-US"/>
        </w:rPr>
      </w:pPr>
      <w:r w:rsidRPr="00490D81">
        <w:rPr>
          <w:bCs/>
          <w:snapToGrid w:val="0"/>
          <w:lang w:val="en-GB" w:eastAsia="en-US"/>
        </w:rPr>
        <w:lastRenderedPageBreak/>
        <w:t xml:space="preserve">The PBAC advised that </w:t>
      </w:r>
      <w:r w:rsidR="00AB48AF">
        <w:rPr>
          <w:bCs/>
          <w:snapToGrid w:val="0"/>
          <w:lang w:val="en-GB" w:eastAsia="en-US"/>
        </w:rPr>
        <w:t>ABRO</w:t>
      </w:r>
      <w:r w:rsidRPr="00490D81">
        <w:rPr>
          <w:bCs/>
          <w:snapToGrid w:val="0"/>
          <w:lang w:val="en-GB" w:eastAsia="en-US"/>
        </w:rPr>
        <w:t xml:space="preserve"> is not suitable for prescribing by nurse practitioners. </w:t>
      </w:r>
    </w:p>
    <w:p w14:paraId="15807C2F" w14:textId="1A347B55" w:rsidR="00515CE1" w:rsidRPr="00490D81" w:rsidRDefault="00515CE1" w:rsidP="00445E1B">
      <w:pPr>
        <w:pStyle w:val="3-BodyText"/>
        <w:rPr>
          <w:bCs/>
          <w:snapToGrid w:val="0"/>
          <w:lang w:val="en-GB" w:eastAsia="en-US"/>
        </w:rPr>
      </w:pPr>
      <w:r>
        <w:rPr>
          <w:bCs/>
          <w:snapToGrid w:val="0"/>
          <w:lang w:val="en-GB" w:eastAsia="en-US"/>
        </w:rPr>
        <w:t>The PBAC recommended that the Early Supply Rule should apply for continuing treatment only.</w:t>
      </w:r>
    </w:p>
    <w:p w14:paraId="1E0072E6" w14:textId="4268A211" w:rsidR="00490D81" w:rsidRPr="00445717" w:rsidRDefault="00490D81" w:rsidP="00445E1B">
      <w:pPr>
        <w:pStyle w:val="3-BodyText"/>
        <w:rPr>
          <w:rFonts w:cs="Times New Roman"/>
          <w:b/>
          <w:bCs/>
          <w:lang w:val="en-GB" w:eastAsia="en-US"/>
        </w:rPr>
      </w:pPr>
      <w:r w:rsidRPr="00445717">
        <w:rPr>
          <w:rFonts w:cstheme="minorHAnsi"/>
          <w:lang w:val="en-GB" w:eastAsia="en-US"/>
        </w:rPr>
        <w:t xml:space="preserve">The PBAC noted that because </w:t>
      </w:r>
      <w:r w:rsidR="00AB48AF">
        <w:rPr>
          <w:rFonts w:cstheme="minorHAnsi"/>
          <w:lang w:val="en-GB" w:eastAsia="en-US"/>
        </w:rPr>
        <w:t>ABRO</w:t>
      </w:r>
      <w:r w:rsidRPr="00445717">
        <w:rPr>
          <w:rFonts w:cstheme="minorHAnsi"/>
          <w:lang w:val="en-GB" w:eastAsia="en-US"/>
        </w:rPr>
        <w:t xml:space="preserve"> is not expected to provide a substantial</w:t>
      </w:r>
      <w:r w:rsidRPr="00445717">
        <w:rPr>
          <w:rFonts w:cs="Times New Roman"/>
          <w:bCs/>
          <w:lang w:val="en-GB" w:eastAsia="en-US"/>
        </w:rPr>
        <w:t xml:space="preserve"> and clinically relevant improvement in efficacy, or reduction of toxicity, over </w:t>
      </w:r>
      <w:r w:rsidR="00445717">
        <w:rPr>
          <w:rFonts w:cs="Times New Roman"/>
          <w:bCs/>
          <w:lang w:val="en-GB" w:eastAsia="en-US"/>
        </w:rPr>
        <w:t>dupilumab</w:t>
      </w:r>
      <w:r w:rsidRPr="00445717">
        <w:rPr>
          <w:rFonts w:cs="Times New Roman"/>
          <w:bCs/>
          <w:lang w:val="en-GB" w:eastAsia="en-US"/>
        </w:rPr>
        <w:t xml:space="preserve">, or not expected to address a high and urgent unmet clinical need given the presence of an alternative therapy, the criteria prescribed by the </w:t>
      </w:r>
      <w:r w:rsidRPr="00445717">
        <w:rPr>
          <w:rFonts w:cs="Times New Roman"/>
          <w:bCs/>
          <w:i/>
          <w:lang w:val="en-GB" w:eastAsia="en-US"/>
        </w:rPr>
        <w:t>National Health (Pharmaceuticals and Vaccines – Cost Recovery) Regulations 2022</w:t>
      </w:r>
      <w:r w:rsidRPr="00445717">
        <w:rPr>
          <w:rFonts w:cs="Times New Roman"/>
          <w:bCs/>
          <w:lang w:val="en-GB" w:eastAsia="en-US"/>
        </w:rPr>
        <w:t xml:space="preserve"> for Pricing Pathway A were not met.</w:t>
      </w:r>
    </w:p>
    <w:p w14:paraId="3DF3BD35" w14:textId="77777777" w:rsidR="00445717" w:rsidRDefault="00490D81" w:rsidP="00445E1B">
      <w:pPr>
        <w:pStyle w:val="3-BodyText"/>
        <w:rPr>
          <w:bCs/>
          <w:snapToGrid w:val="0"/>
          <w:lang w:val="en-GB" w:eastAsia="en-US"/>
        </w:rPr>
      </w:pPr>
      <w:r w:rsidRPr="00490D81">
        <w:rPr>
          <w:bCs/>
          <w:snapToGrid w:val="0"/>
          <w:lang w:val="en-GB" w:eastAsia="en-US"/>
        </w:rPr>
        <w:t>The PBAC noted that this submission is not eligible for an Independent Review</w:t>
      </w:r>
      <w:r w:rsidR="00445717">
        <w:rPr>
          <w:bCs/>
          <w:snapToGrid w:val="0"/>
          <w:lang w:val="en-GB" w:eastAsia="en-US"/>
        </w:rPr>
        <w:t xml:space="preserve"> as it received a positive recommendation</w:t>
      </w:r>
      <w:r w:rsidRPr="00490D81">
        <w:rPr>
          <w:bCs/>
          <w:snapToGrid w:val="0"/>
          <w:lang w:val="en-GB" w:eastAsia="en-US"/>
        </w:rPr>
        <w:t xml:space="preserve">. </w:t>
      </w:r>
    </w:p>
    <w:p w14:paraId="3A978EA2" w14:textId="77777777" w:rsidR="00490D81" w:rsidRPr="00490D81" w:rsidRDefault="00490D81" w:rsidP="00490D81">
      <w:pPr>
        <w:spacing w:before="240"/>
        <w:rPr>
          <w:b/>
          <w:bCs/>
          <w:snapToGrid w:val="0"/>
          <w:lang w:val="en-GB" w:eastAsia="en-US"/>
        </w:rPr>
      </w:pPr>
      <w:r w:rsidRPr="00490D81">
        <w:rPr>
          <w:b/>
          <w:bCs/>
          <w:snapToGrid w:val="0"/>
          <w:lang w:val="en-GB" w:eastAsia="en-US"/>
        </w:rPr>
        <w:t>Outcome:</w:t>
      </w:r>
    </w:p>
    <w:p w14:paraId="6347BB7C" w14:textId="452247B2" w:rsidR="00490D81" w:rsidRPr="00490D81" w:rsidRDefault="00490D81" w:rsidP="00490D81">
      <w:pPr>
        <w:spacing w:after="120"/>
        <w:rPr>
          <w:bCs/>
          <w:snapToGrid w:val="0"/>
          <w:lang w:val="en-GB" w:eastAsia="en-US"/>
        </w:rPr>
      </w:pPr>
      <w:r w:rsidRPr="00490D81">
        <w:rPr>
          <w:bCs/>
          <w:snapToGrid w:val="0"/>
          <w:lang w:val="en-GB" w:eastAsia="en-US"/>
        </w:rPr>
        <w:t>Recommended</w:t>
      </w:r>
    </w:p>
    <w:bookmarkEnd w:id="85"/>
    <w:p w14:paraId="63F6DE27" w14:textId="12DE0A5B" w:rsidR="00490D81" w:rsidRPr="00490D81" w:rsidRDefault="00490D81" w:rsidP="00445E1B">
      <w:pPr>
        <w:pStyle w:val="2-SectionHeading"/>
        <w:rPr>
          <w:b w:val="0"/>
        </w:rPr>
      </w:pPr>
      <w:r w:rsidRPr="00490D81">
        <w:t>Recommended listing</w:t>
      </w:r>
    </w:p>
    <w:p w14:paraId="1D257B0A" w14:textId="1D417866" w:rsidR="00490D81" w:rsidRPr="00445717" w:rsidRDefault="00445717" w:rsidP="00445E1B">
      <w:pPr>
        <w:pStyle w:val="3-BodyText"/>
        <w:rPr>
          <w:b/>
          <w:bCs/>
          <w:snapToGrid w:val="0"/>
          <w:lang w:eastAsia="en-US"/>
        </w:rPr>
      </w:pPr>
      <w:r>
        <w:rPr>
          <w:bCs/>
          <w:snapToGrid w:val="0"/>
          <w:lang w:eastAsia="en-US"/>
        </w:rPr>
        <w:t xml:space="preserve">Add </w:t>
      </w:r>
      <w:r w:rsidR="00490D81" w:rsidRPr="00445717">
        <w:rPr>
          <w:bCs/>
          <w:snapToGrid w:val="0"/>
          <w:lang w:eastAsia="en-US"/>
        </w:rPr>
        <w:t>new item: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1838"/>
        <w:gridCol w:w="1275"/>
        <w:gridCol w:w="1276"/>
        <w:gridCol w:w="1276"/>
        <w:gridCol w:w="992"/>
        <w:gridCol w:w="997"/>
      </w:tblGrid>
      <w:tr w:rsidR="00633FA0" w:rsidRPr="007E6D75" w14:paraId="22191D8B" w14:textId="77777777" w:rsidTr="004F1495">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2BB87168" w14:textId="77777777" w:rsidR="00633FA0" w:rsidRPr="005D6375" w:rsidRDefault="00633FA0" w:rsidP="00CC1644">
            <w:pPr>
              <w:ind w:left="-57"/>
              <w:rPr>
                <w:rFonts w:ascii="Arial Narrow" w:hAnsi="Arial Narrow"/>
                <w:b/>
                <w:bCs/>
                <w:sz w:val="20"/>
                <w:szCs w:val="20"/>
              </w:rPr>
            </w:pPr>
            <w:bookmarkStart w:id="91" w:name="_Hlk182306270"/>
            <w:bookmarkEnd w:id="86"/>
            <w:r w:rsidRPr="005D6375">
              <w:rPr>
                <w:rFonts w:ascii="Arial Narrow" w:hAnsi="Arial Narrow"/>
                <w:b/>
                <w:bCs/>
                <w:sz w:val="20"/>
                <w:szCs w:val="20"/>
              </w:rPr>
              <w:t>MEDICINAL PRODUCT</w:t>
            </w:r>
          </w:p>
          <w:p w14:paraId="5DE3749A" w14:textId="77777777" w:rsidR="00633FA0" w:rsidRPr="005D6375" w:rsidRDefault="00633FA0" w:rsidP="00CC1644">
            <w:pPr>
              <w:ind w:left="-57"/>
              <w:rPr>
                <w:rFonts w:ascii="Arial Narrow" w:hAnsi="Arial Narrow"/>
                <w:b/>
                <w:sz w:val="20"/>
                <w:szCs w:val="20"/>
              </w:rPr>
            </w:pPr>
            <w:r w:rsidRPr="005D6375">
              <w:rPr>
                <w:rFonts w:ascii="Arial Narrow" w:hAnsi="Arial Narrow"/>
                <w:b/>
                <w:bCs/>
                <w:sz w:val="20"/>
                <w:szCs w:val="20"/>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79FD1F45"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7EA58669"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Max. qty packs</w:t>
            </w:r>
          </w:p>
        </w:tc>
        <w:tc>
          <w:tcPr>
            <w:tcW w:w="1276" w:type="dxa"/>
            <w:tcBorders>
              <w:top w:val="single" w:sz="4" w:space="0" w:color="auto"/>
              <w:left w:val="single" w:sz="4" w:space="0" w:color="auto"/>
              <w:bottom w:val="single" w:sz="4" w:space="0" w:color="auto"/>
              <w:right w:val="single" w:sz="4" w:space="0" w:color="auto"/>
            </w:tcBorders>
            <w:hideMark/>
          </w:tcPr>
          <w:p w14:paraId="2F225D29"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Max. qty units</w:t>
            </w:r>
          </w:p>
        </w:tc>
        <w:tc>
          <w:tcPr>
            <w:tcW w:w="992" w:type="dxa"/>
            <w:tcBorders>
              <w:top w:val="single" w:sz="4" w:space="0" w:color="auto"/>
              <w:left w:val="single" w:sz="4" w:space="0" w:color="auto"/>
              <w:bottom w:val="single" w:sz="4" w:space="0" w:color="auto"/>
              <w:right w:val="single" w:sz="4" w:space="0" w:color="auto"/>
            </w:tcBorders>
            <w:hideMark/>
          </w:tcPr>
          <w:p w14:paraId="545CC0D7"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№.of Rpts</w:t>
            </w:r>
          </w:p>
        </w:tc>
        <w:tc>
          <w:tcPr>
            <w:tcW w:w="997" w:type="dxa"/>
            <w:tcBorders>
              <w:top w:val="single" w:sz="4" w:space="0" w:color="auto"/>
              <w:left w:val="single" w:sz="4" w:space="0" w:color="auto"/>
              <w:bottom w:val="single" w:sz="4" w:space="0" w:color="auto"/>
              <w:right w:val="single" w:sz="4" w:space="0" w:color="auto"/>
            </w:tcBorders>
            <w:hideMark/>
          </w:tcPr>
          <w:p w14:paraId="055ED4DF" w14:textId="77777777" w:rsidR="00633FA0" w:rsidRPr="005D6375" w:rsidRDefault="00633FA0" w:rsidP="00CC1644">
            <w:pPr>
              <w:rPr>
                <w:rFonts w:ascii="Arial Narrow" w:hAnsi="Arial Narrow"/>
                <w:b/>
                <w:sz w:val="20"/>
                <w:szCs w:val="20"/>
                <w:lang w:val="fr-FR"/>
              </w:rPr>
            </w:pPr>
            <w:r w:rsidRPr="005D6375">
              <w:rPr>
                <w:rFonts w:ascii="Arial Narrow" w:hAnsi="Arial Narrow"/>
                <w:b/>
                <w:sz w:val="20"/>
                <w:szCs w:val="20"/>
              </w:rPr>
              <w:t>Available brands</w:t>
            </w:r>
          </w:p>
        </w:tc>
      </w:tr>
      <w:tr w:rsidR="00633FA0" w:rsidRPr="007E6D75" w14:paraId="68229D3C" w14:textId="77777777" w:rsidTr="004F1495">
        <w:trPr>
          <w:cantSplit/>
          <w:trHeight w:val="20"/>
        </w:trPr>
        <w:tc>
          <w:tcPr>
            <w:tcW w:w="9072" w:type="dxa"/>
            <w:gridSpan w:val="8"/>
            <w:tcBorders>
              <w:top w:val="single" w:sz="4" w:space="0" w:color="auto"/>
              <w:left w:val="single" w:sz="4" w:space="0" w:color="auto"/>
              <w:bottom w:val="single" w:sz="4" w:space="0" w:color="auto"/>
              <w:right w:val="single" w:sz="4" w:space="0" w:color="auto"/>
            </w:tcBorders>
            <w:hideMark/>
          </w:tcPr>
          <w:p w14:paraId="388F2F9E" w14:textId="77777777" w:rsidR="00633FA0" w:rsidRPr="005D6375" w:rsidRDefault="00633FA0" w:rsidP="00CC1644">
            <w:pPr>
              <w:ind w:left="-57"/>
              <w:rPr>
                <w:rFonts w:ascii="Arial Narrow" w:hAnsi="Arial Narrow"/>
                <w:sz w:val="20"/>
                <w:szCs w:val="20"/>
              </w:rPr>
            </w:pPr>
            <w:r w:rsidRPr="005D6375">
              <w:rPr>
                <w:rFonts w:ascii="Arial Narrow" w:hAnsi="Arial Narrow"/>
                <w:sz w:val="20"/>
                <w:szCs w:val="20"/>
              </w:rPr>
              <w:t xml:space="preserve">ABROCITINIB  </w:t>
            </w:r>
          </w:p>
        </w:tc>
      </w:tr>
      <w:tr w:rsidR="00633FA0" w:rsidRPr="007E6D75" w14:paraId="3052AC56" w14:textId="77777777" w:rsidTr="004F1495">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12F6E2A9" w14:textId="77777777" w:rsidR="00633FA0" w:rsidRPr="005D6375" w:rsidRDefault="00633FA0" w:rsidP="00CC1644">
            <w:pPr>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200 mg tablet, 28 </w:t>
            </w:r>
          </w:p>
        </w:tc>
        <w:tc>
          <w:tcPr>
            <w:tcW w:w="1275" w:type="dxa"/>
            <w:tcBorders>
              <w:top w:val="single" w:sz="4" w:space="0" w:color="auto"/>
              <w:left w:val="single" w:sz="4" w:space="0" w:color="auto"/>
              <w:bottom w:val="single" w:sz="4" w:space="0" w:color="auto"/>
              <w:right w:val="single" w:sz="4" w:space="0" w:color="auto"/>
            </w:tcBorders>
            <w:hideMark/>
          </w:tcPr>
          <w:p w14:paraId="24623B66"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hideMark/>
          </w:tcPr>
          <w:p w14:paraId="678D6EE6"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37E46C42"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14:paraId="5119FFBC"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3</w:t>
            </w:r>
          </w:p>
        </w:tc>
        <w:tc>
          <w:tcPr>
            <w:tcW w:w="997" w:type="dxa"/>
            <w:tcBorders>
              <w:top w:val="single" w:sz="4" w:space="0" w:color="auto"/>
              <w:left w:val="single" w:sz="4" w:space="0" w:color="auto"/>
              <w:bottom w:val="single" w:sz="4" w:space="0" w:color="auto"/>
              <w:right w:val="single" w:sz="4" w:space="0" w:color="auto"/>
            </w:tcBorders>
            <w:hideMark/>
          </w:tcPr>
          <w:p w14:paraId="6D74AE61" w14:textId="77777777" w:rsidR="00633FA0" w:rsidRPr="005D6375" w:rsidRDefault="00633FA0" w:rsidP="00CC1644">
            <w:pPr>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73F23005" w14:textId="77777777" w:rsidTr="004F1495">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6EAA24B3" w14:textId="77777777" w:rsidR="00633FA0" w:rsidRPr="005D6375" w:rsidRDefault="00633FA0" w:rsidP="00CC1644">
            <w:pPr>
              <w:keepNext/>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100 mg tablet, 28 </w:t>
            </w:r>
          </w:p>
        </w:tc>
        <w:tc>
          <w:tcPr>
            <w:tcW w:w="1275" w:type="dxa"/>
            <w:tcBorders>
              <w:top w:val="single" w:sz="4" w:space="0" w:color="auto"/>
              <w:left w:val="single" w:sz="4" w:space="0" w:color="auto"/>
              <w:bottom w:val="single" w:sz="4" w:space="0" w:color="auto"/>
              <w:right w:val="single" w:sz="4" w:space="0" w:color="auto"/>
            </w:tcBorders>
            <w:hideMark/>
          </w:tcPr>
          <w:p w14:paraId="104ECF7B"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hideMark/>
          </w:tcPr>
          <w:p w14:paraId="3A7A5D41"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0358499A"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14:paraId="6D0C5B41"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3</w:t>
            </w:r>
          </w:p>
        </w:tc>
        <w:tc>
          <w:tcPr>
            <w:tcW w:w="997" w:type="dxa"/>
            <w:tcBorders>
              <w:top w:val="single" w:sz="4" w:space="0" w:color="auto"/>
              <w:left w:val="single" w:sz="4" w:space="0" w:color="auto"/>
              <w:bottom w:val="single" w:sz="4" w:space="0" w:color="auto"/>
              <w:right w:val="single" w:sz="4" w:space="0" w:color="auto"/>
            </w:tcBorders>
            <w:hideMark/>
          </w:tcPr>
          <w:p w14:paraId="0E15C34E" w14:textId="77777777" w:rsidR="00633FA0" w:rsidRPr="005D6375" w:rsidRDefault="00633FA0" w:rsidP="00CC1644">
            <w:pPr>
              <w:keepNext/>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2CF0715B" w14:textId="77777777" w:rsidTr="004F1495">
        <w:trPr>
          <w:cantSplit/>
          <w:trHeight w:val="20"/>
        </w:trPr>
        <w:tc>
          <w:tcPr>
            <w:tcW w:w="3256" w:type="dxa"/>
            <w:gridSpan w:val="3"/>
            <w:tcBorders>
              <w:top w:val="single" w:sz="4" w:space="0" w:color="auto"/>
              <w:left w:val="single" w:sz="4" w:space="0" w:color="auto"/>
              <w:bottom w:val="single" w:sz="4" w:space="0" w:color="auto"/>
              <w:right w:val="single" w:sz="4" w:space="0" w:color="auto"/>
            </w:tcBorders>
          </w:tcPr>
          <w:p w14:paraId="2D2921DC" w14:textId="77777777" w:rsidR="00633FA0" w:rsidRPr="005D6375" w:rsidRDefault="00633FA0" w:rsidP="00CC1644">
            <w:pPr>
              <w:keepNext/>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50 mg tablet, 28 </w:t>
            </w:r>
          </w:p>
        </w:tc>
        <w:tc>
          <w:tcPr>
            <w:tcW w:w="1275" w:type="dxa"/>
            <w:tcBorders>
              <w:top w:val="single" w:sz="4" w:space="0" w:color="auto"/>
              <w:left w:val="single" w:sz="4" w:space="0" w:color="auto"/>
              <w:bottom w:val="single" w:sz="4" w:space="0" w:color="auto"/>
              <w:right w:val="single" w:sz="4" w:space="0" w:color="auto"/>
            </w:tcBorders>
          </w:tcPr>
          <w:p w14:paraId="1E04BA15"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tcPr>
          <w:p w14:paraId="36638435"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22D3B129"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tcPr>
          <w:p w14:paraId="2E402572"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3</w:t>
            </w:r>
          </w:p>
        </w:tc>
        <w:tc>
          <w:tcPr>
            <w:tcW w:w="997" w:type="dxa"/>
            <w:tcBorders>
              <w:top w:val="single" w:sz="4" w:space="0" w:color="auto"/>
              <w:left w:val="single" w:sz="4" w:space="0" w:color="auto"/>
              <w:bottom w:val="single" w:sz="4" w:space="0" w:color="auto"/>
              <w:right w:val="single" w:sz="4" w:space="0" w:color="auto"/>
            </w:tcBorders>
          </w:tcPr>
          <w:p w14:paraId="6DE95F0D" w14:textId="77777777" w:rsidR="00633FA0" w:rsidRPr="005D6375" w:rsidRDefault="00633FA0" w:rsidP="00CC1644">
            <w:pPr>
              <w:keepNext/>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2F8FCACF" w14:textId="77777777" w:rsidTr="004F1495">
        <w:trPr>
          <w:cantSplit/>
          <w:trHeight w:val="20"/>
        </w:trPr>
        <w:tc>
          <w:tcPr>
            <w:tcW w:w="4531" w:type="dxa"/>
            <w:gridSpan w:val="4"/>
            <w:tcBorders>
              <w:top w:val="single" w:sz="4" w:space="0" w:color="auto"/>
              <w:left w:val="single" w:sz="4" w:space="0" w:color="auto"/>
              <w:bottom w:val="single" w:sz="4" w:space="0" w:color="auto"/>
              <w:right w:val="single" w:sz="4" w:space="0" w:color="auto"/>
            </w:tcBorders>
          </w:tcPr>
          <w:p w14:paraId="1F397ED0" w14:textId="77777777" w:rsidR="00633FA0" w:rsidRPr="005D6375" w:rsidRDefault="00633FA0" w:rsidP="00CC1644">
            <w:pPr>
              <w:keepNext/>
              <w:jc w:val="center"/>
              <w:rPr>
                <w:rFonts w:ascii="Arial Narrow" w:hAnsi="Arial Narrow"/>
                <w:sz w:val="20"/>
                <w:szCs w:val="20"/>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7BC2A15D" w14:textId="77777777" w:rsidR="00633FA0" w:rsidRPr="005D6375" w:rsidRDefault="00633FA0" w:rsidP="00CC1644">
            <w:pPr>
              <w:keepNext/>
              <w:jc w:val="center"/>
              <w:rPr>
                <w:rFonts w:ascii="Arial Narrow" w:hAnsi="Arial Narrow"/>
                <w:sz w:val="20"/>
                <w:szCs w:val="20"/>
              </w:rPr>
            </w:pPr>
            <w:proofErr w:type="spellStart"/>
            <w:r w:rsidRPr="005D6375">
              <w:rPr>
                <w:rFonts w:ascii="Arial Narrow" w:hAnsi="Arial Narrow"/>
                <w:sz w:val="20"/>
                <w:szCs w:val="20"/>
              </w:rPr>
              <w:t>Max.qty</w:t>
            </w:r>
            <w:proofErr w:type="spellEnd"/>
            <w:r w:rsidRPr="005D6375">
              <w:rPr>
                <w:rFonts w:ascii="Arial Narrow" w:hAnsi="Arial Narrow"/>
                <w:sz w:val="20"/>
                <w:szCs w:val="20"/>
              </w:rPr>
              <w:t xml:space="preserve"> (packs) multiplier = 1</w:t>
            </w:r>
          </w:p>
          <w:p w14:paraId="74B568A4"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Repeat increases: nil</w:t>
            </w:r>
          </w:p>
        </w:tc>
        <w:tc>
          <w:tcPr>
            <w:tcW w:w="997" w:type="dxa"/>
            <w:tcBorders>
              <w:top w:val="single" w:sz="4" w:space="0" w:color="auto"/>
              <w:left w:val="single" w:sz="4" w:space="0" w:color="auto"/>
              <w:bottom w:val="single" w:sz="4" w:space="0" w:color="auto"/>
              <w:right w:val="single" w:sz="4" w:space="0" w:color="auto"/>
            </w:tcBorders>
          </w:tcPr>
          <w:p w14:paraId="6E7C3F28" w14:textId="77777777" w:rsidR="00633FA0" w:rsidRPr="005D6375" w:rsidRDefault="00633FA0" w:rsidP="00CC1644">
            <w:pPr>
              <w:keepNext/>
              <w:rPr>
                <w:rFonts w:ascii="Arial Narrow" w:hAnsi="Arial Narrow"/>
                <w:sz w:val="20"/>
                <w:szCs w:val="20"/>
              </w:rPr>
            </w:pPr>
          </w:p>
        </w:tc>
      </w:tr>
      <w:tr w:rsidR="00633FA0" w:rsidRPr="007E6D75" w14:paraId="2E90E2D0"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64229E" w14:textId="77777777" w:rsidR="00633FA0" w:rsidRPr="005D6375" w:rsidRDefault="00633FA0" w:rsidP="00CC1644">
            <w:pPr>
              <w:rPr>
                <w:rFonts w:ascii="Arial Narrow" w:hAnsi="Arial Narrow"/>
                <w:b/>
                <w:sz w:val="20"/>
                <w:szCs w:val="20"/>
              </w:rPr>
            </w:pPr>
          </w:p>
        </w:tc>
      </w:tr>
      <w:tr w:rsidR="00633FA0" w:rsidRPr="007E6D75" w14:paraId="3582DE0D"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5A101F" w14:textId="77777777" w:rsidR="00633FA0" w:rsidRPr="005D6375" w:rsidRDefault="00633FA0" w:rsidP="00CC1644">
            <w:pPr>
              <w:ind w:left="57"/>
              <w:rPr>
                <w:rFonts w:ascii="Arial Narrow" w:hAnsi="Arial Narrow"/>
                <w:b/>
                <w:sz w:val="20"/>
                <w:szCs w:val="20"/>
              </w:rPr>
            </w:pPr>
          </w:p>
          <w:p w14:paraId="25291E79" w14:textId="77777777" w:rsidR="00633FA0" w:rsidRPr="005D6375" w:rsidRDefault="00633FA0" w:rsidP="00CC1644">
            <w:pPr>
              <w:ind w:left="57"/>
              <w:rPr>
                <w:rFonts w:ascii="Arial Narrow" w:hAnsi="Arial Narrow"/>
                <w:b/>
                <w:sz w:val="20"/>
                <w:szCs w:val="20"/>
              </w:rPr>
            </w:pPr>
            <w:r w:rsidRPr="005D6375">
              <w:rPr>
                <w:rFonts w:ascii="Arial Narrow" w:hAnsi="Arial Narrow"/>
                <w:b/>
                <w:sz w:val="20"/>
                <w:szCs w:val="20"/>
              </w:rPr>
              <w:t>Restriction Summary [New] / Treatment of Concept: [New]</w:t>
            </w:r>
          </w:p>
        </w:tc>
      </w:tr>
      <w:tr w:rsidR="00633FA0" w:rsidRPr="007E6D75" w14:paraId="144E2770" w14:textId="77777777" w:rsidTr="004F1495">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85F5A86" w14:textId="1368130C" w:rsidR="00633FA0" w:rsidRPr="007B3DFC" w:rsidRDefault="00633FA0" w:rsidP="00CC1644">
            <w:pPr>
              <w:jc w:val="center"/>
              <w:rPr>
                <w:rFonts w:ascii="Arial Narrow" w:hAnsi="Arial Narrow"/>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2089AA" w14:textId="77777777" w:rsidR="00633FA0" w:rsidRPr="007B3DFC" w:rsidRDefault="00633FA0" w:rsidP="00CC1644">
            <w:pPr>
              <w:rPr>
                <w:rFonts w:ascii="Arial Narrow" w:hAnsi="Arial Narrow"/>
                <w:sz w:val="20"/>
                <w:szCs w:val="20"/>
              </w:rPr>
            </w:pPr>
            <w:r w:rsidRPr="007B3DFC">
              <w:rPr>
                <w:rFonts w:ascii="Arial Narrow" w:hAnsi="Arial Narrow"/>
                <w:b/>
                <w:sz w:val="20"/>
                <w:szCs w:val="20"/>
              </w:rPr>
              <w:t xml:space="preserve">Category / Program:   </w:t>
            </w:r>
            <w:r w:rsidRPr="007B3DFC">
              <w:rPr>
                <w:rFonts w:ascii="Arial Narrow" w:hAnsi="Arial Narrow"/>
                <w:sz w:val="20"/>
                <w:szCs w:val="20"/>
              </w:rPr>
              <w:t xml:space="preserve">GENERAL – General Schedule (Code GE) </w:t>
            </w:r>
          </w:p>
        </w:tc>
      </w:tr>
      <w:tr w:rsidR="00633FA0" w:rsidRPr="007E6D75" w14:paraId="2C52B0A1" w14:textId="77777777" w:rsidTr="004F1495">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54B9DBA" w14:textId="77777777" w:rsidR="00633FA0" w:rsidRPr="007B3DFC" w:rsidRDefault="00633FA0" w:rsidP="00CC1644">
            <w:pPr>
              <w:rPr>
                <w:rFonts w:ascii="Arial Narrow" w:hAnsi="Arial Narrow"/>
                <w:sz w:val="20"/>
                <w:szCs w:val="20"/>
                <w:lang w:eastAsia="en-US"/>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EE983A" w14:textId="77777777" w:rsidR="00633FA0" w:rsidRPr="007B3DFC" w:rsidRDefault="00633FA0" w:rsidP="00CC1644">
            <w:pPr>
              <w:rPr>
                <w:rFonts w:ascii="Arial Narrow" w:hAnsi="Arial Narrow"/>
                <w:b/>
                <w:sz w:val="20"/>
                <w:szCs w:val="20"/>
              </w:rPr>
            </w:pPr>
            <w:r w:rsidRPr="007B3DFC">
              <w:rPr>
                <w:rFonts w:ascii="Arial Narrow" w:hAnsi="Arial Narrow"/>
                <w:b/>
                <w:sz w:val="20"/>
                <w:szCs w:val="20"/>
              </w:rPr>
              <w:t xml:space="preserve">Prescriber type: </w:t>
            </w:r>
            <w:r w:rsidRPr="007B3DFC">
              <w:rPr>
                <w:rFonts w:ascii="Arial Narrow" w:hAnsi="Arial Narrow"/>
                <w:sz w:val="20"/>
                <w:szCs w:val="20"/>
              </w:rPr>
              <w:t xml:space="preserve"> </w:t>
            </w:r>
            <w:r w:rsidRPr="007B3DFC">
              <w:rPr>
                <w:rFonts w:ascii="Arial Narrow" w:hAnsi="Arial Narrow"/>
                <w:sz w:val="20"/>
                <w:szCs w:val="20"/>
              </w:rPr>
              <w:fldChar w:fldCharType="begin" w:fldLock="1">
                <w:ffData>
                  <w:name w:val=""/>
                  <w:enabled/>
                  <w:calcOnExit w:val="0"/>
                  <w:checkBox>
                    <w:sizeAuto/>
                    <w:default w:val="1"/>
                  </w:checkBox>
                </w:ffData>
              </w:fldChar>
            </w:r>
            <w:r w:rsidRPr="007B3DFC">
              <w:rPr>
                <w:rFonts w:ascii="Arial Narrow" w:hAnsi="Arial Narrow"/>
                <w:sz w:val="20"/>
                <w:szCs w:val="20"/>
              </w:rPr>
              <w:instrText xml:space="preserve"> FORMCHECKBOX </w:instrText>
            </w:r>
            <w:r w:rsidRPr="007B3DFC">
              <w:rPr>
                <w:rFonts w:ascii="Arial Narrow" w:hAnsi="Arial Narrow"/>
                <w:sz w:val="20"/>
                <w:szCs w:val="20"/>
              </w:rPr>
            </w:r>
            <w:r w:rsidRPr="007B3DFC">
              <w:rPr>
                <w:rFonts w:ascii="Arial Narrow" w:hAnsi="Arial Narrow"/>
                <w:sz w:val="20"/>
                <w:szCs w:val="20"/>
              </w:rPr>
              <w:fldChar w:fldCharType="separate"/>
            </w:r>
            <w:r w:rsidRPr="007B3DFC">
              <w:rPr>
                <w:rFonts w:ascii="Arial Narrow" w:hAnsi="Arial Narrow"/>
                <w:sz w:val="20"/>
                <w:szCs w:val="20"/>
              </w:rPr>
              <w:fldChar w:fldCharType="end"/>
            </w:r>
            <w:r w:rsidRPr="007B3DFC">
              <w:rPr>
                <w:rFonts w:ascii="Arial Narrow" w:hAnsi="Arial Narrow"/>
                <w:sz w:val="20"/>
                <w:szCs w:val="20"/>
              </w:rPr>
              <w:t xml:space="preserve"> Medical Practitioners    </w:t>
            </w:r>
          </w:p>
        </w:tc>
      </w:tr>
      <w:tr w:rsidR="00633FA0" w:rsidRPr="007E6D75" w14:paraId="495FA0C0" w14:textId="77777777" w:rsidTr="004F1495">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7B4ED5DE" w14:textId="77777777" w:rsidR="00633FA0" w:rsidRPr="007B3DFC" w:rsidRDefault="00633FA0" w:rsidP="00CC1644">
            <w:pPr>
              <w:rPr>
                <w:rFonts w:ascii="Arial Narrow" w:hAnsi="Arial Narrow"/>
                <w:sz w:val="20"/>
                <w:szCs w:val="20"/>
                <w:lang w:eastAsia="en-US"/>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6FAD7F" w14:textId="541709C1" w:rsidR="00633FA0" w:rsidRPr="007B3DFC" w:rsidRDefault="00633FA0" w:rsidP="00CC1644">
            <w:pPr>
              <w:rPr>
                <w:rFonts w:ascii="Arial Narrow" w:eastAsia="Calibri" w:hAnsi="Arial Narrow"/>
                <w:color w:val="FF00FF"/>
                <w:sz w:val="20"/>
                <w:szCs w:val="20"/>
              </w:rPr>
            </w:pPr>
            <w:r w:rsidRPr="007B3DFC">
              <w:rPr>
                <w:rFonts w:ascii="Arial Narrow" w:hAnsi="Arial Narrow"/>
                <w:b/>
                <w:sz w:val="20"/>
                <w:szCs w:val="20"/>
              </w:rPr>
              <w:t xml:space="preserve">Restriction type: </w:t>
            </w:r>
            <w:r w:rsidRPr="007B3DFC">
              <w:rPr>
                <w:rFonts w:ascii="Arial Narrow" w:eastAsia="Calibri" w:hAnsi="Arial Narrow"/>
                <w:color w:val="FF00FF"/>
                <w:sz w:val="20"/>
                <w:szCs w:val="20"/>
              </w:rPr>
              <w:t xml:space="preserve"> </w:t>
            </w:r>
            <w:r w:rsidRPr="007B3DFC">
              <w:rPr>
                <w:rFonts w:ascii="Arial Narrow" w:eastAsia="Calibri" w:hAnsi="Arial Narrow" w:cs="Arial"/>
                <w:sz w:val="20"/>
                <w:szCs w:val="20"/>
              </w:rPr>
              <w:fldChar w:fldCharType="begin" w:fldLock="1">
                <w:ffData>
                  <w:name w:val="Check3"/>
                  <w:enabled/>
                  <w:calcOnExit w:val="0"/>
                  <w:checkBox>
                    <w:sizeAuto/>
                    <w:default w:val="1"/>
                  </w:checkBox>
                </w:ffData>
              </w:fldChar>
            </w:r>
            <w:r w:rsidRPr="007B3DFC">
              <w:rPr>
                <w:rFonts w:ascii="Arial Narrow" w:eastAsia="Calibri" w:hAnsi="Arial Narrow"/>
                <w:sz w:val="20"/>
                <w:szCs w:val="20"/>
              </w:rPr>
              <w:instrText xml:space="preserve"> FORMCHECKBOX </w:instrText>
            </w:r>
            <w:r w:rsidRPr="007B3DFC">
              <w:rPr>
                <w:rFonts w:ascii="Arial Narrow" w:eastAsia="Calibri" w:hAnsi="Arial Narrow" w:cs="Arial"/>
                <w:sz w:val="20"/>
                <w:szCs w:val="20"/>
              </w:rPr>
            </w:r>
            <w:r w:rsidRPr="007B3DFC">
              <w:rPr>
                <w:rFonts w:ascii="Arial Narrow" w:eastAsia="Calibri" w:hAnsi="Arial Narrow" w:cs="Arial"/>
                <w:sz w:val="20"/>
                <w:szCs w:val="20"/>
              </w:rPr>
              <w:fldChar w:fldCharType="separate"/>
            </w:r>
            <w:r w:rsidRPr="007B3DFC">
              <w:rPr>
                <w:rFonts w:ascii="Arial Narrow" w:eastAsiaTheme="minorHAnsi" w:hAnsi="Arial Narrow"/>
                <w:sz w:val="20"/>
                <w:szCs w:val="20"/>
              </w:rPr>
              <w:fldChar w:fldCharType="end"/>
            </w:r>
            <w:r w:rsidRPr="007B3DFC">
              <w:rPr>
                <w:rFonts w:ascii="Arial Narrow" w:eastAsia="Calibri" w:hAnsi="Arial Narrow"/>
                <w:sz w:val="20"/>
                <w:szCs w:val="20"/>
              </w:rPr>
              <w:t xml:space="preserve"> Authority Required –</w:t>
            </w:r>
            <w:r w:rsidR="007B3DFC">
              <w:rPr>
                <w:rFonts w:ascii="Arial Narrow" w:eastAsia="Calibri" w:hAnsi="Arial Narrow"/>
                <w:sz w:val="20"/>
                <w:szCs w:val="20"/>
              </w:rPr>
              <w:t xml:space="preserve"> i</w:t>
            </w:r>
            <w:r w:rsidRPr="007B3DFC">
              <w:rPr>
                <w:rFonts w:ascii="Arial Narrow" w:eastAsia="Calibri" w:hAnsi="Arial Narrow"/>
                <w:sz w:val="20"/>
                <w:szCs w:val="20"/>
              </w:rPr>
              <w:t xml:space="preserve">mmediate/real-time assessment by Services Australia </w:t>
            </w:r>
          </w:p>
        </w:tc>
      </w:tr>
      <w:tr w:rsidR="00633FA0" w:rsidRPr="007E6D75" w14:paraId="36E704CE" w14:textId="77777777" w:rsidTr="004F1495">
        <w:trPr>
          <w:trHeight w:val="20"/>
        </w:trPr>
        <w:tc>
          <w:tcPr>
            <w:tcW w:w="28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tcPr>
          <w:p w14:paraId="74A6C7C1" w14:textId="1AAF723A" w:rsidR="00633FA0" w:rsidRPr="007B3DFC" w:rsidRDefault="00633FA0" w:rsidP="00CC1644">
            <w:pPr>
              <w:ind w:left="113" w:right="113"/>
              <w:jc w:val="cente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D78B97" w14:textId="77777777" w:rsidR="00633FA0" w:rsidRPr="007B3DFC" w:rsidRDefault="00633FA0" w:rsidP="000627E7">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2F785"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p>
          <w:p w14:paraId="1AAE9717"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Instructions on the use of the Eczema Area and Severity Index and copyright details can be found here:</w:t>
            </w:r>
            <w:r w:rsidRPr="007B3DFC">
              <w:rPr>
                <w:rFonts w:ascii="Arial Narrow" w:hAnsi="Arial Narrow"/>
                <w:color w:val="BFBFBF" w:themeColor="background1" w:themeShade="BF"/>
                <w:sz w:val="20"/>
                <w:szCs w:val="20"/>
              </w:rPr>
              <w:t xml:space="preserve"> </w:t>
            </w:r>
            <w:r w:rsidRPr="007B3DFC">
              <w:rPr>
                <w:rFonts w:ascii="Arial Narrow" w:hAnsi="Arial Narrow"/>
                <w:color w:val="000000" w:themeColor="text1"/>
                <w:sz w:val="20"/>
                <w:szCs w:val="20"/>
              </w:rPr>
              <w:t>[insert sponsor-neutral location here or Pfizer‘s contact details]</w:t>
            </w:r>
          </w:p>
        </w:tc>
      </w:tr>
      <w:tr w:rsidR="00633FA0" w:rsidRPr="007E6D75" w14:paraId="5F03F53B" w14:textId="77777777" w:rsidTr="004F1495">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57B01632" w14:textId="77777777" w:rsidR="00633FA0" w:rsidRPr="007B3DFC"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06152" w14:textId="41273D7F"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24282"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p>
          <w:p w14:paraId="40AE4626"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Instructions on the use of the Dermatology Life Quality Index and copyright details can be found here:</w:t>
            </w:r>
          </w:p>
          <w:p w14:paraId="78C6003C"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https://www.cardiff.ac.uk/medicine/resources/quality-of-life-questionnaires/dermatology-life-quality-index</w:t>
            </w:r>
          </w:p>
        </w:tc>
      </w:tr>
      <w:tr w:rsidR="00633FA0" w:rsidRPr="007E6D75" w14:paraId="5D1E158F" w14:textId="77777777" w:rsidTr="004F1495">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5E3C6F4" w14:textId="77777777" w:rsidR="00633FA0" w:rsidRPr="007B3DFC"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45567" w14:textId="196F0AE7"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D5DA9"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p>
          <w:p w14:paraId="0CDEDF02"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633FA0" w:rsidRPr="007E6D75" w14:paraId="718CF58D" w14:textId="77777777" w:rsidTr="004F1495">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62DF3E0" w14:textId="77777777" w:rsidR="00633FA0" w:rsidRPr="007B3DFC"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1CBEB" w14:textId="54020A9F"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8AD4B"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r w:rsidRPr="007B3DFC">
              <w:rPr>
                <w:rFonts w:ascii="Arial Narrow" w:hAnsi="Arial Narrow"/>
                <w:color w:val="333333"/>
                <w:sz w:val="20"/>
                <w:szCs w:val="20"/>
              </w:rPr>
              <w:t xml:space="preserve"> No increase in the maximum quantity or number of units may be authorised.</w:t>
            </w:r>
          </w:p>
        </w:tc>
      </w:tr>
      <w:tr w:rsidR="00633FA0" w:rsidRPr="007E6D75" w14:paraId="78E0FE7C" w14:textId="77777777" w:rsidTr="004F1495">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7B52439" w14:textId="77777777" w:rsidR="00633FA0" w:rsidRPr="007B3DFC"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B7E3F" w14:textId="6D5E5345"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66DAB5"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r w:rsidRPr="007B3DFC">
              <w:rPr>
                <w:rFonts w:ascii="Arial Narrow" w:hAnsi="Arial Narrow"/>
                <w:color w:val="333333"/>
                <w:sz w:val="20"/>
                <w:szCs w:val="20"/>
              </w:rPr>
              <w:t xml:space="preserve"> No increase in the maximum number of repeats may be authorised.</w:t>
            </w:r>
          </w:p>
        </w:tc>
      </w:tr>
      <w:tr w:rsidR="00633FA0" w:rsidRPr="007E6D75" w14:paraId="517899A8" w14:textId="77777777" w:rsidTr="004F1495">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A8FC5BE" w14:textId="77777777" w:rsidR="00633FA0" w:rsidRPr="007B3DFC"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A1FD0A" w14:textId="56AD7247"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53B80"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r w:rsidRPr="007B3DFC">
              <w:rPr>
                <w:rFonts w:ascii="Arial Narrow" w:hAnsi="Arial Narrow"/>
                <w:color w:val="333333"/>
                <w:sz w:val="20"/>
                <w:szCs w:val="20"/>
              </w:rPr>
              <w:t xml:space="preserve"> Special Pricing Arrangements apply.</w:t>
            </w:r>
          </w:p>
        </w:tc>
      </w:tr>
      <w:tr w:rsidR="00633FA0" w:rsidRPr="007E6D75" w14:paraId="6200052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B9B0C" w14:textId="57060381" w:rsidR="00633FA0" w:rsidRPr="007B3DFC"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7ED1B" w14:textId="3FB0C302"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Indication:</w:t>
            </w:r>
            <w:r w:rsidRPr="007B3DFC">
              <w:rPr>
                <w:rFonts w:ascii="Arial Narrow" w:hAnsi="Arial Narrow"/>
                <w:color w:val="333333"/>
                <w:sz w:val="20"/>
                <w:szCs w:val="20"/>
              </w:rPr>
              <w:t xml:space="preserve"> Chronic severe atopic dermatitis</w:t>
            </w:r>
          </w:p>
        </w:tc>
      </w:tr>
      <w:tr w:rsidR="00633FA0" w:rsidRPr="007E6D75" w14:paraId="08E0267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D30CBA" w14:textId="77777777" w:rsidR="00633FA0" w:rsidRPr="007B3DFC"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C07B2"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Treatment Phase:</w:t>
            </w:r>
            <w:r w:rsidRPr="007B3DFC">
              <w:rPr>
                <w:rFonts w:ascii="Arial Narrow" w:hAnsi="Arial Narrow"/>
                <w:color w:val="333333"/>
                <w:sz w:val="20"/>
                <w:szCs w:val="20"/>
              </w:rPr>
              <w:t xml:space="preserve"> Initial treatment with this drug of the whole body</w:t>
            </w:r>
          </w:p>
        </w:tc>
      </w:tr>
      <w:tr w:rsidR="00633FA0" w:rsidRPr="007E6D75" w14:paraId="134B7DC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12F67" w14:textId="1CC1536B"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4396A"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515165E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55F9C" w14:textId="3FA9E465"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D1CA78"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days</w:t>
            </w:r>
          </w:p>
        </w:tc>
      </w:tr>
      <w:tr w:rsidR="00633FA0" w:rsidRPr="007E6D75" w14:paraId="2FA7B06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E9EE4"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25A1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391E44C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6224C" w14:textId="73ABDD31"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FEAC2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38656A6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086FD" w14:textId="23518D3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8780D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an Eczema Area and Severity Index (EASI) baseline score of at least 20 despite treatment with daily topical therapy (corticosteroid of medium to high potency/calcineurin inhibitor), for at least 28 days</w:t>
            </w:r>
          </w:p>
        </w:tc>
      </w:tr>
      <w:tr w:rsidR="00633FA0" w:rsidRPr="007E6D75" w14:paraId="64F5859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0C0A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DB6D1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777587B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3CBF3" w14:textId="0AA39741"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4030B"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497B14E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E3BB89" w14:textId="40EE6065"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9E6AF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633FA0" w:rsidRPr="007E6D75" w14:paraId="2AF7542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D7CBF"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75FE9"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456F737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3FBDC" w14:textId="13F4DCFC"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C220C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02C53DD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C7C08" w14:textId="33CE5E4E"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1F31C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w:t>
            </w:r>
          </w:p>
        </w:tc>
      </w:tr>
      <w:tr w:rsidR="00633FA0" w:rsidRPr="007E6D75" w14:paraId="68E56FE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E32551"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B930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1197F0A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01E4E1" w14:textId="0F049701"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652EB"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2470B78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79361" w14:textId="3E21AB7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DDB4E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Patient must not have experienced an inadequate response to this therapy </w:t>
            </w:r>
          </w:p>
        </w:tc>
      </w:tr>
      <w:tr w:rsidR="00633FA0" w:rsidRPr="007E6D75" w14:paraId="7A663F9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3DEB8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1249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712CA3A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2C2FF" w14:textId="2CBC1DF2" w:rsidR="00633FA0" w:rsidRPr="005D6375" w:rsidRDefault="00633FA0" w:rsidP="00CC1644">
            <w:pPr>
              <w:jc w:val="center"/>
              <w:rPr>
                <w:rFonts w:ascii="Arial Narrow" w:hAnsi="Arial Narrow"/>
                <w:color w:val="333333"/>
                <w:sz w:val="20"/>
                <w:szCs w:val="20"/>
              </w:rPr>
            </w:pPr>
            <w:bookmarkStart w:id="92" w:name="_Hlk172819425"/>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1F988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criteria:</w:t>
            </w:r>
          </w:p>
        </w:tc>
      </w:tr>
      <w:bookmarkEnd w:id="92"/>
      <w:tr w:rsidR="00633FA0" w:rsidRPr="007E6D75" w14:paraId="472C7B8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01C1B" w14:textId="47D5905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3262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0F66045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8C4C41" w14:textId="670F9274"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561B6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7D8058D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0D01F"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D2BA7"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37A7604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D32A2"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C3484"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criteria:</w:t>
            </w:r>
          </w:p>
        </w:tc>
      </w:tr>
      <w:tr w:rsidR="00633FA0" w:rsidRPr="007E6D75" w14:paraId="22F17AF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46F36"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B3D0A"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Patient must be undergoing treatment with this drug as the sole PBS-subsidised therapy with this PBS indication (combination with oral corticosteroids is permitted as these are not listed with the PBS indication: chronic severe atopic dermatitis).</w:t>
            </w:r>
          </w:p>
        </w:tc>
      </w:tr>
      <w:tr w:rsidR="00633FA0" w:rsidRPr="007E6D75" w14:paraId="1EBEFBB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07BA90"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8CF5D0"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AND</w:t>
            </w:r>
          </w:p>
        </w:tc>
      </w:tr>
      <w:tr w:rsidR="00633FA0" w:rsidRPr="007E6D75" w14:paraId="702D069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A6196" w14:textId="5B724A1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0E7862"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Population criteria:</w:t>
            </w:r>
          </w:p>
        </w:tc>
      </w:tr>
      <w:tr w:rsidR="00633FA0" w:rsidRPr="007E6D75" w14:paraId="089A023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3AC06"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B26BE" w14:textId="4563D6A8"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 xml:space="preserve">Patient must be </w:t>
            </w:r>
            <w:r w:rsidR="00040E0A">
              <w:rPr>
                <w:rFonts w:ascii="Arial Narrow" w:hAnsi="Arial Narrow"/>
                <w:color w:val="333333"/>
                <w:sz w:val="20"/>
                <w:szCs w:val="20"/>
              </w:rPr>
              <w:t>1</w:t>
            </w:r>
            <w:r w:rsidRPr="007B3DFC">
              <w:rPr>
                <w:rFonts w:ascii="Arial Narrow" w:hAnsi="Arial Narrow"/>
                <w:color w:val="333333"/>
                <w:sz w:val="20"/>
                <w:szCs w:val="20"/>
              </w:rPr>
              <w:t>8 years of age or older</w:t>
            </w:r>
          </w:p>
        </w:tc>
      </w:tr>
      <w:tr w:rsidR="00633FA0" w:rsidRPr="007E6D75" w14:paraId="0060E90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53E4DB"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7F561E"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Prescribing Instructions:</w:t>
            </w:r>
          </w:p>
          <w:p w14:paraId="181764FD"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State each of the qualifying (i) PGA, (ii) EASI and (iii) DLQI scores in the authority application.</w:t>
            </w:r>
          </w:p>
          <w:p w14:paraId="5489F834" w14:textId="77777777" w:rsidR="00633FA0" w:rsidRPr="007B3DFC" w:rsidRDefault="00633FA0" w:rsidP="00CC1644">
            <w:pPr>
              <w:rPr>
                <w:rFonts w:ascii="Arial Narrow" w:hAnsi="Arial Narrow"/>
                <w:color w:val="333333"/>
                <w:sz w:val="20"/>
                <w:szCs w:val="20"/>
              </w:rPr>
            </w:pPr>
          </w:p>
          <w:p w14:paraId="4C03C8DE"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Acceptable scores can be:</w:t>
            </w:r>
          </w:p>
          <w:p w14:paraId="483DCEA8" w14:textId="77777777" w:rsidR="00633FA0" w:rsidRPr="007B3DFC" w:rsidRDefault="00633FA0" w:rsidP="00CC1644">
            <w:pPr>
              <w:rPr>
                <w:rFonts w:ascii="Arial Narrow" w:hAnsi="Arial Narrow"/>
                <w:color w:val="333333"/>
                <w:sz w:val="20"/>
                <w:szCs w:val="20"/>
              </w:rPr>
            </w:pPr>
          </w:p>
          <w:p w14:paraId="062DCCFD"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(a) current scores; or</w:t>
            </w:r>
          </w:p>
          <w:p w14:paraId="5EF8EA24"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(b) past scores, including those previously quoted in a PBS authority application for another drug listed for this indication.</w:t>
            </w:r>
          </w:p>
          <w:p w14:paraId="0E3B58F9" w14:textId="77777777" w:rsidR="00633FA0" w:rsidRPr="007B3DFC" w:rsidRDefault="00633FA0" w:rsidP="00CC1644">
            <w:pPr>
              <w:rPr>
                <w:rFonts w:ascii="Arial Narrow" w:hAnsi="Arial Narrow"/>
                <w:color w:val="333333"/>
                <w:sz w:val="20"/>
                <w:szCs w:val="20"/>
              </w:rPr>
            </w:pPr>
          </w:p>
          <w:p w14:paraId="15D0FF88"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0DE7CB4B" w14:textId="77777777" w:rsidR="00633FA0" w:rsidRPr="007B3DFC" w:rsidRDefault="00633FA0" w:rsidP="00CC1644">
            <w:pPr>
              <w:rPr>
                <w:rFonts w:ascii="Arial Narrow" w:hAnsi="Arial Narrow"/>
                <w:color w:val="333333"/>
                <w:sz w:val="20"/>
                <w:szCs w:val="20"/>
              </w:rPr>
            </w:pPr>
          </w:p>
          <w:p w14:paraId="106EA948"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t>Document the details of the medium to high potency topical corticosteroids (or calcineurin inhibitors) initially trialled in the patient's medical records.</w:t>
            </w:r>
          </w:p>
        </w:tc>
      </w:tr>
      <w:tr w:rsidR="00633FA0" w:rsidRPr="007E6D75" w14:paraId="485C5F0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7740C8" w14:textId="77777777" w:rsidR="00633FA0" w:rsidRPr="005D6375" w:rsidRDefault="00633FA0" w:rsidP="00CC1644">
            <w:pPr>
              <w:jc w:val="center"/>
              <w:rPr>
                <w:rFonts w:ascii="Arial Narrow" w:hAnsi="Arial Narrow"/>
                <w:i/>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FCE864"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Administrative Advice:</w:t>
            </w:r>
          </w:p>
          <w:p w14:paraId="756BEC7D" w14:textId="77777777" w:rsidR="00633FA0" w:rsidRPr="007B3DFC" w:rsidRDefault="00633FA0" w:rsidP="00CC1644">
            <w:pPr>
              <w:rPr>
                <w:rFonts w:ascii="Arial Narrow" w:hAnsi="Arial Narrow"/>
                <w:color w:val="333333"/>
                <w:sz w:val="20"/>
                <w:szCs w:val="20"/>
              </w:rPr>
            </w:pPr>
            <w:r w:rsidRPr="007B3DFC">
              <w:rPr>
                <w:rFonts w:ascii="Arial Narrow" w:hAnsi="Arial Narrow"/>
                <w:color w:val="333333"/>
                <w:sz w:val="20"/>
                <w:szCs w:val="20"/>
              </w:rPr>
              <w:lastRenderedPageBreak/>
              <w:t xml:space="preserve">Instructions on the use of the Physician's Global Assessment (5-point scale) can be obtained from </w:t>
            </w:r>
            <w:r w:rsidRPr="007B3DFC">
              <w:rPr>
                <w:rFonts w:ascii="Arial Narrow" w:hAnsi="Arial Narrow"/>
                <w:color w:val="000000" w:themeColor="text1"/>
                <w:sz w:val="20"/>
                <w:szCs w:val="20"/>
              </w:rPr>
              <w:t>[insert sponsor-neutral location here or Pfizer‘s contact details]</w:t>
            </w:r>
          </w:p>
        </w:tc>
      </w:tr>
      <w:tr w:rsidR="00633FA0" w:rsidRPr="007E6D75" w14:paraId="674A801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B6BE34" w14:textId="7435B2E8"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B93E0" w14:textId="77777777" w:rsidR="00633FA0" w:rsidRPr="007B3DFC" w:rsidRDefault="00633FA0" w:rsidP="00CC1644">
            <w:pPr>
              <w:rPr>
                <w:rFonts w:ascii="Arial Narrow" w:hAnsi="Arial Narrow"/>
                <w:b/>
                <w:bCs/>
                <w:color w:val="333333"/>
                <w:sz w:val="20"/>
                <w:szCs w:val="20"/>
              </w:rPr>
            </w:pPr>
            <w:r w:rsidRPr="007B3DFC">
              <w:rPr>
                <w:rFonts w:ascii="Arial Narrow" w:hAnsi="Arial Narrow"/>
                <w:b/>
                <w:bCs/>
                <w:color w:val="333333"/>
                <w:sz w:val="20"/>
                <w:szCs w:val="20"/>
              </w:rPr>
              <w:t>Administrative Advice:</w:t>
            </w:r>
          </w:p>
          <w:p w14:paraId="2454E10D" w14:textId="77777777" w:rsidR="00633FA0" w:rsidRPr="007B3DFC" w:rsidRDefault="00633FA0" w:rsidP="00CC1644">
            <w:pPr>
              <w:rPr>
                <w:rFonts w:ascii="Arial Narrow" w:hAnsi="Arial Narrow"/>
                <w:bCs/>
                <w:color w:val="333333"/>
                <w:sz w:val="20"/>
                <w:szCs w:val="20"/>
              </w:rPr>
            </w:pPr>
            <w:r w:rsidRPr="007B3DFC">
              <w:rPr>
                <w:rFonts w:ascii="Arial Narrow" w:hAnsi="Arial Narrow"/>
                <w:bCs/>
                <w:color w:val="333333"/>
                <w:sz w:val="20"/>
                <w:szCs w:val="20"/>
              </w:rPr>
              <w:t>Where the full number of stated repeat prescriptions was not sought in the original prescription, the balance of the repeats can be sought under this treatment phase listing.</w:t>
            </w:r>
          </w:p>
        </w:tc>
      </w:tr>
      <w:tr w:rsidR="00633FA0" w:rsidRPr="007E6D75" w14:paraId="183AF1DE"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1FB48" w14:textId="77777777" w:rsidR="00633FA0" w:rsidRPr="005D6375" w:rsidRDefault="00633FA0" w:rsidP="00CC1644">
            <w:pPr>
              <w:rPr>
                <w:rFonts w:ascii="Arial Narrow" w:hAnsi="Arial Narrow"/>
                <w:b/>
                <w:bCs/>
                <w:color w:val="333333"/>
                <w:sz w:val="20"/>
                <w:szCs w:val="20"/>
              </w:rPr>
            </w:pPr>
          </w:p>
          <w:p w14:paraId="22B1C0B7" w14:textId="77777777" w:rsidR="00633FA0" w:rsidRPr="005D6375" w:rsidRDefault="00633FA0" w:rsidP="00CC1644">
            <w:pPr>
              <w:rPr>
                <w:rFonts w:ascii="Arial Narrow" w:hAnsi="Arial Narrow"/>
                <w:b/>
                <w:bCs/>
                <w:color w:val="333333"/>
                <w:sz w:val="20"/>
                <w:szCs w:val="20"/>
              </w:rPr>
            </w:pPr>
          </w:p>
        </w:tc>
      </w:tr>
      <w:tr w:rsidR="00633FA0" w:rsidRPr="007E6D75" w14:paraId="27EE211B"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285D8CC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lang w:val="en-GB"/>
              </w:rPr>
              <w:t>Restriction Summary: [New] / Treatment of Concept: [New]</w:t>
            </w:r>
          </w:p>
        </w:tc>
      </w:tr>
      <w:tr w:rsidR="00633FA0" w:rsidRPr="007E6D75" w14:paraId="0D53AD9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578E3D8" w14:textId="4B1D723B"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39C9C9E8" w14:textId="251C09CD"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Indication:</w:t>
            </w:r>
            <w:r w:rsidRPr="007B3DFC">
              <w:rPr>
                <w:rFonts w:ascii="Arial Narrow" w:hAnsi="Arial Narrow"/>
                <w:color w:val="333333"/>
                <w:sz w:val="20"/>
                <w:szCs w:val="20"/>
              </w:rPr>
              <w:t xml:space="preserve"> Chronic severe atopic dermatitis</w:t>
            </w:r>
          </w:p>
        </w:tc>
      </w:tr>
      <w:tr w:rsidR="00633FA0" w:rsidRPr="007E6D75" w14:paraId="24887F9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5E381BD4"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29906BE9" w14:textId="77777777" w:rsidR="00633FA0" w:rsidRPr="007B3DFC" w:rsidRDefault="00633FA0" w:rsidP="00CC1644">
            <w:pPr>
              <w:rPr>
                <w:rFonts w:ascii="Arial Narrow" w:hAnsi="Arial Narrow"/>
                <w:color w:val="333333"/>
                <w:sz w:val="20"/>
                <w:szCs w:val="20"/>
              </w:rPr>
            </w:pPr>
            <w:r w:rsidRPr="007B3DFC">
              <w:rPr>
                <w:rFonts w:ascii="Arial Narrow" w:hAnsi="Arial Narrow"/>
                <w:b/>
                <w:bCs/>
                <w:color w:val="333333"/>
                <w:sz w:val="20"/>
                <w:szCs w:val="20"/>
              </w:rPr>
              <w:t>Treatment Phase:</w:t>
            </w:r>
            <w:r w:rsidRPr="007B3DFC">
              <w:rPr>
                <w:rFonts w:ascii="Arial Narrow" w:hAnsi="Arial Narrow"/>
                <w:color w:val="333333"/>
                <w:sz w:val="20"/>
                <w:szCs w:val="20"/>
              </w:rPr>
              <w:t xml:space="preserve"> Initial treatment of the face and/or hands</w:t>
            </w:r>
          </w:p>
        </w:tc>
      </w:tr>
      <w:tr w:rsidR="00633FA0" w:rsidRPr="007E6D75" w14:paraId="2FFB3BE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393BBAB" w14:textId="43B41654"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7593539A"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23DE9F4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5B142" w14:textId="6EC966A2"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DE0E7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The condition must have at least 2 of the following Eczema Area and Severity Index (EASI) symptom sub-scores for erythema, oedema/papulation, excoriation, </w:t>
            </w:r>
            <w:proofErr w:type="spellStart"/>
            <w:r w:rsidRPr="005D6375">
              <w:rPr>
                <w:rFonts w:ascii="Arial Narrow" w:hAnsi="Arial Narrow"/>
                <w:color w:val="333333"/>
                <w:sz w:val="20"/>
                <w:szCs w:val="20"/>
              </w:rPr>
              <w:t>lichenification</w:t>
            </w:r>
            <w:proofErr w:type="spellEnd"/>
            <w:r w:rsidRPr="005D6375">
              <w:rPr>
                <w:rFonts w:ascii="Arial Narrow" w:hAnsi="Arial Narrow"/>
                <w:color w:val="333333"/>
                <w:sz w:val="20"/>
                <w:szCs w:val="20"/>
              </w:rPr>
              <w:t xml:space="preserve"> rated as severe despite treatment with daily topical therapy (corticosteroid of medium to high potency/calcineurin inhibitor), for at least 28 days; OR</w:t>
            </w:r>
          </w:p>
        </w:tc>
      </w:tr>
      <w:tr w:rsidR="00633FA0" w:rsidRPr="007E6D75" w14:paraId="155E736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09C9E" w14:textId="3F73580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5139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affected at least 30% of the face/hands surface area despite treatment with daily topical therapy (corticosteroid of medium to high potency/calcineurin inhibitor), for at least 28 days</w:t>
            </w:r>
          </w:p>
        </w:tc>
      </w:tr>
      <w:tr w:rsidR="00633FA0" w:rsidRPr="007E6D75" w14:paraId="22FDA8C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E42E8"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9AE38"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782C90B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0E608" w14:textId="4705C6A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C5B7E4"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0EFB09E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9F761" w14:textId="43A3165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543827"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633FA0" w:rsidRPr="007E6D75" w14:paraId="153FAD7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B8E087"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8A788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6DE05A9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D70F7" w14:textId="629DC6E0"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384F5"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3D45A13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FED14" w14:textId="59E3581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7084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w:t>
            </w:r>
          </w:p>
        </w:tc>
      </w:tr>
      <w:tr w:rsidR="00633FA0" w:rsidRPr="007E6D75" w14:paraId="5A71D8F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602B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E2CA2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28C84FDC"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D484E" w14:textId="01B7469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BCA9B"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526322B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AC8390" w14:textId="6F1BFFB2"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40009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have experienced an inadequate response to this therapy</w:t>
            </w:r>
          </w:p>
        </w:tc>
      </w:tr>
      <w:tr w:rsidR="00633FA0" w:rsidRPr="007E6D75" w14:paraId="02B7E30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8282A" w14:textId="77777777" w:rsidR="00633FA0" w:rsidRPr="005D6375" w:rsidRDefault="00633FA0" w:rsidP="00CC1644">
            <w:pPr>
              <w:rPr>
                <w:rFonts w:ascii="Arial Narrow" w:hAnsi="Arial Narrow"/>
                <w:color w:val="333333"/>
                <w:sz w:val="20"/>
                <w:szCs w:val="20"/>
              </w:rPr>
            </w:pPr>
            <w:bookmarkStart w:id="93" w:name="_Hlk172814661"/>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69B0FE"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308B854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8D6CD1" w14:textId="202D3EA3" w:rsidR="00633FA0" w:rsidRPr="005D6375" w:rsidRDefault="00633FA0" w:rsidP="00CC1644">
            <w:pPr>
              <w:jc w:val="center"/>
              <w:rPr>
                <w:rFonts w:ascii="Arial Narrow" w:hAnsi="Arial Narrow"/>
                <w:color w:val="333333"/>
                <w:sz w:val="20"/>
                <w:szCs w:val="20"/>
              </w:rPr>
            </w:pPr>
            <w:bookmarkStart w:id="94" w:name="_Hlk172807399"/>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946FA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criteria:</w:t>
            </w:r>
          </w:p>
        </w:tc>
      </w:tr>
      <w:tr w:rsidR="00633FA0" w:rsidRPr="007E6D75" w14:paraId="693965B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5A094" w14:textId="02C8BE13"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E442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5A7288D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FACEA" w14:textId="6A307D9F"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9976E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40069DF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F806DA"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BD13C"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7075C22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7359E"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00D846"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631F3C6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6525E"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B2D84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undergoing treatment with this drug as the sole PBS-subsidised therapy with this PBS indication (combination with oral corticosteroids is permitted as these are not listed with the PBS indication: chronic severe atopic dermatitis).</w:t>
            </w:r>
          </w:p>
        </w:tc>
      </w:tr>
      <w:tr w:rsidR="00633FA0" w:rsidRPr="007E6D75" w14:paraId="7153228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D5938"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348159"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0653071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05DCD"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FB435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Population criteria:</w:t>
            </w:r>
          </w:p>
        </w:tc>
      </w:tr>
      <w:tr w:rsidR="00633FA0" w:rsidRPr="007E6D75" w14:paraId="2C39D4E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44F1AD"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F84348" w14:textId="5149CE8C"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Patient must be </w:t>
            </w:r>
            <w:r w:rsidR="005D6375">
              <w:rPr>
                <w:rFonts w:ascii="Arial Narrow" w:hAnsi="Arial Narrow"/>
                <w:color w:val="333333"/>
                <w:sz w:val="20"/>
                <w:szCs w:val="20"/>
              </w:rPr>
              <w:t>1</w:t>
            </w:r>
            <w:r w:rsidRPr="005D6375">
              <w:rPr>
                <w:rFonts w:ascii="Arial Narrow" w:hAnsi="Arial Narrow"/>
                <w:color w:val="333333"/>
                <w:sz w:val="20"/>
                <w:szCs w:val="20"/>
              </w:rPr>
              <w:t>8 years of age or older</w:t>
            </w:r>
          </w:p>
        </w:tc>
      </w:tr>
      <w:bookmarkEnd w:id="93"/>
      <w:bookmarkEnd w:id="94"/>
      <w:tr w:rsidR="00633FA0" w:rsidRPr="007E6D75" w14:paraId="4DAD18E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A9C02" w14:textId="615028BC"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FD8A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4B96ABD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each of the 4 Eczema Area and Severity Index (EASI) symptom sub-score ratings (0 = none, 1 = mild, 2 = moderate, 3 = severe) for:</w:t>
            </w:r>
          </w:p>
          <w:p w14:paraId="6E4C6EDD" w14:textId="77777777" w:rsidR="00633FA0" w:rsidRPr="005D6375" w:rsidRDefault="00633FA0" w:rsidP="00CC1644">
            <w:pPr>
              <w:rPr>
                <w:rFonts w:ascii="Arial Narrow" w:hAnsi="Arial Narrow"/>
                <w:color w:val="333333"/>
                <w:sz w:val="20"/>
                <w:szCs w:val="20"/>
              </w:rPr>
            </w:pPr>
          </w:p>
          <w:p w14:paraId="054600D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 erythema,</w:t>
            </w:r>
          </w:p>
          <w:p w14:paraId="15306C8A"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(ii) oedema/papulation,</w:t>
            </w:r>
          </w:p>
          <w:p w14:paraId="6199394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(iii) excoriation,</w:t>
            </w:r>
          </w:p>
          <w:p w14:paraId="3270F2A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(iv) </w:t>
            </w:r>
            <w:proofErr w:type="spellStart"/>
            <w:r w:rsidRPr="005D6375">
              <w:rPr>
                <w:rFonts w:ascii="Arial Narrow" w:hAnsi="Arial Narrow"/>
                <w:color w:val="333333"/>
                <w:sz w:val="20"/>
                <w:szCs w:val="20"/>
              </w:rPr>
              <w:t>lichenification</w:t>
            </w:r>
            <w:proofErr w:type="spellEnd"/>
          </w:p>
          <w:p w14:paraId="321908BE" w14:textId="77777777" w:rsidR="00633FA0" w:rsidRPr="005D6375" w:rsidRDefault="00633FA0" w:rsidP="00CC1644">
            <w:pPr>
              <w:rPr>
                <w:rFonts w:ascii="Arial Narrow" w:hAnsi="Arial Narrow"/>
                <w:color w:val="333333"/>
                <w:sz w:val="20"/>
                <w:szCs w:val="20"/>
              </w:rPr>
            </w:pPr>
          </w:p>
          <w:p w14:paraId="05713D57"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lastRenderedPageBreak/>
              <w:t>Acceptable scores can be:</w:t>
            </w:r>
          </w:p>
          <w:p w14:paraId="644ADDB0" w14:textId="77777777" w:rsidR="00633FA0" w:rsidRPr="005D6375" w:rsidRDefault="00633FA0" w:rsidP="00CC1644">
            <w:pPr>
              <w:rPr>
                <w:rFonts w:ascii="Arial Narrow" w:hAnsi="Arial Narrow"/>
                <w:color w:val="333333"/>
                <w:sz w:val="20"/>
                <w:szCs w:val="20"/>
              </w:rPr>
            </w:pPr>
          </w:p>
          <w:p w14:paraId="272793C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 current scores; or</w:t>
            </w:r>
          </w:p>
          <w:p w14:paraId="7D500B4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(b) past scores, including those previously quoted in a PBS authority application for another drug listed for this indication.</w:t>
            </w:r>
          </w:p>
          <w:p w14:paraId="02CE5F85" w14:textId="77777777" w:rsidR="00633FA0" w:rsidRPr="005D6375" w:rsidRDefault="00633FA0" w:rsidP="00CC1644">
            <w:pPr>
              <w:rPr>
                <w:rFonts w:ascii="Arial Narrow" w:hAnsi="Arial Narrow"/>
                <w:color w:val="333333"/>
                <w:sz w:val="20"/>
                <w:szCs w:val="20"/>
              </w:rPr>
            </w:pPr>
          </w:p>
          <w:p w14:paraId="42331D0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the percentage face/hand surface area affected by the condition (must be at least 30%) where EASI symptom sub-scores are not provided. This percentage surface area can also be stated in addition to the EASI symptom sub-scores.</w:t>
            </w:r>
          </w:p>
          <w:p w14:paraId="3DEC5EDF" w14:textId="77777777" w:rsidR="00633FA0" w:rsidRPr="005D6375" w:rsidRDefault="00633FA0" w:rsidP="00CC1644">
            <w:pPr>
              <w:rPr>
                <w:rFonts w:ascii="Arial Narrow" w:hAnsi="Arial Narrow"/>
                <w:color w:val="333333"/>
                <w:sz w:val="20"/>
                <w:szCs w:val="20"/>
              </w:rPr>
            </w:pPr>
          </w:p>
          <w:p w14:paraId="300061A3"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19AE6EC7" w14:textId="77777777" w:rsidR="00633FA0" w:rsidRPr="005D6375" w:rsidRDefault="00633FA0" w:rsidP="00CC1644">
            <w:pPr>
              <w:rPr>
                <w:rFonts w:ascii="Arial Narrow" w:hAnsi="Arial Narrow"/>
                <w:color w:val="333333"/>
                <w:sz w:val="20"/>
                <w:szCs w:val="20"/>
              </w:rPr>
            </w:pPr>
          </w:p>
          <w:p w14:paraId="53DC837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Document the details of the medium to high potency topical corticosteroids (or calcineurin inhibitors) initially trialled are in the patient's medical records.</w:t>
            </w:r>
          </w:p>
        </w:tc>
      </w:tr>
      <w:tr w:rsidR="00633FA0" w:rsidRPr="007E6D75" w14:paraId="4AF84489"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1C64B" w14:textId="77777777" w:rsidR="00633FA0" w:rsidRPr="005D6375" w:rsidRDefault="00633FA0" w:rsidP="00CC1644">
            <w:pPr>
              <w:rPr>
                <w:rFonts w:ascii="Arial Narrow" w:hAnsi="Arial Narrow"/>
                <w:b/>
                <w:bCs/>
                <w:color w:val="333333"/>
                <w:sz w:val="20"/>
                <w:szCs w:val="20"/>
              </w:rPr>
            </w:pPr>
          </w:p>
          <w:p w14:paraId="4D40D355" w14:textId="77777777" w:rsidR="00633FA0" w:rsidRPr="005D6375" w:rsidRDefault="00633FA0" w:rsidP="00CC1644">
            <w:pPr>
              <w:rPr>
                <w:rFonts w:ascii="Arial Narrow" w:hAnsi="Arial Narrow"/>
                <w:b/>
                <w:bCs/>
                <w:color w:val="333333"/>
                <w:sz w:val="20"/>
                <w:szCs w:val="20"/>
              </w:rPr>
            </w:pPr>
          </w:p>
        </w:tc>
      </w:tr>
      <w:tr w:rsidR="00633FA0" w:rsidRPr="007E6D75" w14:paraId="4F9D7E64"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316A21C0"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lang w:val="en-GB"/>
              </w:rPr>
              <w:t>Restriction Summary: [New] / Treatment of Concept: [New]</w:t>
            </w:r>
          </w:p>
        </w:tc>
      </w:tr>
      <w:tr w:rsidR="00633FA0" w:rsidRPr="007E6D75" w14:paraId="79EA00D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806B2A5" w14:textId="5B379B52"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6400487E" w14:textId="1785A588"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Indication:</w:t>
            </w:r>
            <w:r w:rsidRPr="005D6375">
              <w:rPr>
                <w:rFonts w:ascii="Arial Narrow" w:hAnsi="Arial Narrow"/>
                <w:color w:val="333333"/>
                <w:sz w:val="20"/>
                <w:szCs w:val="20"/>
              </w:rPr>
              <w:t xml:space="preserve"> Chronic severe atopic dermatitis</w:t>
            </w:r>
          </w:p>
        </w:tc>
      </w:tr>
      <w:tr w:rsidR="00633FA0" w:rsidRPr="007E6D75" w14:paraId="6E3A84B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12EDD4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1DEB7D81" w14:textId="38FF18D0"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Phase:</w:t>
            </w:r>
            <w:r w:rsidRPr="005D6375">
              <w:rPr>
                <w:rFonts w:ascii="Arial Narrow" w:hAnsi="Arial Narrow"/>
                <w:color w:val="333333"/>
                <w:sz w:val="20"/>
                <w:szCs w:val="20"/>
              </w:rPr>
              <w:t xml:space="preserve"> Dose change - whole body, or, face/hands</w:t>
            </w:r>
          </w:p>
        </w:tc>
      </w:tr>
      <w:tr w:rsidR="00633FA0" w:rsidRPr="007E6D75" w14:paraId="4305263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560366C8" w14:textId="7F4E8F9F"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5B8AE6F0"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7ACA6EA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Number of repeats for initiation phase and number of repeats for dose change must not exceed 3 repeats in total for the same initiation phase</w:t>
            </w:r>
          </w:p>
        </w:tc>
      </w:tr>
      <w:tr w:rsidR="00633FA0" w:rsidRPr="007E6D75" w14:paraId="2FBDF26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796C798"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E73E8FD"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128F91D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50A0223"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0C00B79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be undergoing each of: (i) commencing treatment through this treatment phase listing, (ii) treatment accessed through this treatment phase on more than 2 consecutive occasions,</w:t>
            </w:r>
          </w:p>
        </w:tc>
      </w:tr>
      <w:tr w:rsidR="00633FA0" w:rsidRPr="007E6D75" w14:paraId="584879C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8D9CBB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46697F61"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0DF018D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F751425"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992C081"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688400F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4EF4B875"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1D5532A1"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undergoing existing PBS-subsidised treatment with this therapy where each of the following is true: (i) there is a change in daily dose, (ii) any remaining PBS repeat prescriptions for the strength that the patient is changing from, is marked as 'cancelled',</w:t>
            </w:r>
          </w:p>
        </w:tc>
      </w:tr>
      <w:tr w:rsidR="00633FA0" w:rsidRPr="007E6D75" w14:paraId="69ABB18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2B25B93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613FDA6F"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1FA08BB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7AC6AD1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14:paraId="32EBEAEE"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182991C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C0055" w14:textId="03E8CA1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45A07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72C21116"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A6101" w14:textId="149E7E0C"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8117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2435C28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66E8F"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C1746"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750E9AF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496AD"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53853"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4459628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5B2B1A"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16194"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undergoing treatment with this drug as the sole PBS-subsidised therapy with this PBS indication (combination with oral corticosteroids is permitted as these are not listed with the PBS indication: chronic severe atopic dermatitis).</w:t>
            </w:r>
          </w:p>
        </w:tc>
      </w:tr>
      <w:tr w:rsidR="00633FA0" w:rsidRPr="007E6D75" w14:paraId="5D36AB8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4AC61"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5E3F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4C6D92E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F5A8C"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1740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Population criteria:</w:t>
            </w:r>
          </w:p>
        </w:tc>
      </w:tr>
      <w:tr w:rsidR="00633FA0" w:rsidRPr="007E6D75" w14:paraId="2453D0F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A977A5"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FB29B" w14:textId="2D67A32E"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18 years of age or older</w:t>
            </w:r>
          </w:p>
        </w:tc>
      </w:tr>
      <w:tr w:rsidR="00633FA0" w:rsidRPr="007E6D75" w14:paraId="3582453D"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840904" w14:textId="77777777" w:rsidR="00633FA0" w:rsidRPr="005D6375" w:rsidRDefault="00633FA0" w:rsidP="00CC1644">
            <w:pPr>
              <w:rPr>
                <w:rFonts w:ascii="Arial Narrow" w:hAnsi="Arial Narrow"/>
                <w:b/>
                <w:bCs/>
                <w:color w:val="333333"/>
                <w:sz w:val="18"/>
                <w:szCs w:val="18"/>
              </w:rPr>
            </w:pPr>
          </w:p>
          <w:p w14:paraId="6A5AB944" w14:textId="77777777" w:rsidR="00633FA0" w:rsidRPr="005D6375" w:rsidRDefault="00633FA0" w:rsidP="00CC1644">
            <w:pPr>
              <w:rPr>
                <w:rFonts w:ascii="Arial Narrow" w:hAnsi="Arial Narrow"/>
                <w:b/>
                <w:bCs/>
                <w:color w:val="333333"/>
                <w:sz w:val="18"/>
                <w:szCs w:val="18"/>
              </w:rPr>
            </w:pPr>
          </w:p>
        </w:tc>
      </w:tr>
      <w:tr w:rsidR="00633FA0" w:rsidRPr="007E6D75" w14:paraId="5E9E7FB3"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A6FF56"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lang w:val="en-GB"/>
              </w:rPr>
              <w:t xml:space="preserve">Restriction Summary: [New] / Treatment of Concept: [New] </w:t>
            </w:r>
          </w:p>
        </w:tc>
      </w:tr>
      <w:tr w:rsidR="00633FA0" w:rsidRPr="007E6D75" w14:paraId="0770B99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95E0BB" w14:textId="1F565F1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B0C38" w14:textId="7BEBD75A"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Indication:</w:t>
            </w:r>
            <w:r w:rsidRPr="005D6375">
              <w:rPr>
                <w:rFonts w:ascii="Arial Narrow" w:hAnsi="Arial Narrow"/>
                <w:color w:val="333333"/>
                <w:sz w:val="20"/>
                <w:szCs w:val="20"/>
              </w:rPr>
              <w:t xml:space="preserve"> Chronic severe atopic dermatitis</w:t>
            </w:r>
          </w:p>
        </w:tc>
      </w:tr>
      <w:tr w:rsidR="00633FA0" w:rsidRPr="007E6D75" w14:paraId="78D4EEA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C441A"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1D4B0C" w14:textId="21B18804"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Phase:</w:t>
            </w:r>
            <w:r w:rsidRPr="005D6375">
              <w:rPr>
                <w:rFonts w:ascii="Arial Narrow" w:hAnsi="Arial Narrow"/>
                <w:color w:val="333333"/>
                <w:sz w:val="20"/>
                <w:szCs w:val="20"/>
              </w:rPr>
              <w:t xml:space="preserve"> Transitioning from non-PBS to PBS-subsidised supply - treatment of the whole body (Grandfather listing)</w:t>
            </w:r>
          </w:p>
        </w:tc>
      </w:tr>
      <w:tr w:rsidR="00633FA0" w:rsidRPr="007E6D75" w14:paraId="71FE072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3D6E8"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E84724"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1A9F3DC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4F2D4" w14:textId="4F8AA8D5"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F4D8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been receiving treatment with this drug for this PBS indication prior to [1 Month 20XX – insert listing date here]</w:t>
            </w:r>
          </w:p>
        </w:tc>
      </w:tr>
      <w:tr w:rsidR="00633FA0" w:rsidRPr="007E6D75" w14:paraId="2078C77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125C3A"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901D9"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0FB875CC"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7D2DA" w14:textId="157BC50E"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B0D3C0"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33AB03A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8BCF21"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55E2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had a Physicians Global Assessment (PGA) (5-point scale) baseline score of at least 4 as evidence of severe disease despite treatment with daily topical therapy (corticosteroid of medium to high potency/calcineurin inhibitor), for at least 28 days prior to commencing non-PBS-subsidised therapy with this medicine</w:t>
            </w:r>
          </w:p>
        </w:tc>
      </w:tr>
      <w:tr w:rsidR="00633FA0" w:rsidRPr="007E6D75" w14:paraId="2FFEDE8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B7B139"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6C135"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311A6A1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AC2F1" w14:textId="48435D1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058DB7"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4FA2293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5C30F"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631ED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had an Eczema Area and Severity Index (EASI) baseline score of at least 20 despite treatment with daily topical therapy (corticosteroid of medium to high potency/calcineurin inhibitor), for at least 28 days prior to commencing non-PBS-subsidised therapy with this medicine</w:t>
            </w:r>
          </w:p>
        </w:tc>
      </w:tr>
      <w:tr w:rsidR="00633FA0" w:rsidRPr="007E6D75" w14:paraId="5F12C3E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14156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5AB8A"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768F5E9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F1FE48" w14:textId="5B57EFC2"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B5050B"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5FCBCD5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DDBB1"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5EEE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an age appropriate Dermatology Life Quality Index (DLQI) baseline score (of any value) measured following treatment with daily topical therapy (corticosteroid of medium to high potency/calcineurin inhibitor), for at least 28 days, prior to having commenced non-PBS-subsidised therapy with this medicine; OR</w:t>
            </w:r>
          </w:p>
        </w:tc>
      </w:tr>
      <w:tr w:rsidR="00633FA0" w:rsidRPr="007E6D75" w14:paraId="3F504D7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17B3E" w14:textId="5795D79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1BDE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where the above baseline DLQI was not recorded in the patient’s medical records, a current age-appropriate DLQI score (of any value) measured</w:t>
            </w:r>
          </w:p>
        </w:tc>
      </w:tr>
      <w:tr w:rsidR="00633FA0" w:rsidRPr="007E6D75" w14:paraId="2F7BAD1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7DD2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C6A6D"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263D070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AC2EDC" w14:textId="2A7CAE33"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E9028"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5B8ED33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436FBD"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22511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 prior to commencing non-PBS-subsidised therapy with this medicine</w:t>
            </w:r>
          </w:p>
        </w:tc>
      </w:tr>
      <w:tr w:rsidR="00633FA0" w:rsidRPr="007E6D75" w14:paraId="52E224C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4A1E0E"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6FCB9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7F36038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AA376B"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CDC23"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40A7DF8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314F11"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32BE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be experiencing an inadequate response to current non-PBS-subsidised therapy with this medicine</w:t>
            </w:r>
          </w:p>
        </w:tc>
      </w:tr>
      <w:tr w:rsidR="00633FA0" w:rsidRPr="007E6D75" w14:paraId="467057F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376177"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A2CBC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6138ABC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EB0122"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9758DA"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50AB9D3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234351"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DA599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treatment must be the sole PBS-subsidised systemic medicine for this PBS indication, other than oral corticosteroids</w:t>
            </w:r>
          </w:p>
        </w:tc>
      </w:tr>
      <w:tr w:rsidR="00633FA0" w:rsidRPr="007E6D75" w14:paraId="7C96316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BA4880"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C3F54"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5835E86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27651" w14:textId="0C33950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B1CDED"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076AED8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148BA"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EFDFD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have experienced an inadequate response to this medicine in this indication, prior to commencing non-PBS-subsidised therapy with this medicine</w:t>
            </w:r>
          </w:p>
        </w:tc>
      </w:tr>
      <w:tr w:rsidR="00633FA0" w:rsidRPr="007E6D75" w14:paraId="784AE9A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275D9D"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3F1664"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17F3965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F34253" w14:textId="31E9C1E1"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45812"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criteria:</w:t>
            </w:r>
          </w:p>
        </w:tc>
      </w:tr>
      <w:tr w:rsidR="00633FA0" w:rsidRPr="007E6D75" w14:paraId="4CD8CA3C"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C2FDE" w14:textId="6FBFAA61"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55FCA"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4595A4E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D33165" w14:textId="26F83CAE"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AC21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6A15453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33D7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BA672E"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0D43CE2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C882C" w14:textId="1C3CB95A"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D0E73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Population criteria:</w:t>
            </w:r>
          </w:p>
        </w:tc>
      </w:tr>
      <w:tr w:rsidR="00633FA0" w:rsidRPr="007E6D75" w14:paraId="031709E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9650B"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B648E4" w14:textId="32BBBFB8"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18 years of age or older</w:t>
            </w:r>
          </w:p>
        </w:tc>
      </w:tr>
      <w:tr w:rsidR="00633FA0" w:rsidRPr="007E6D75" w14:paraId="17589E6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F5F0DF" w14:textId="16FEFACA"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66BDC"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Prescribing Instructions:</w:t>
            </w:r>
          </w:p>
          <w:p w14:paraId="6C04B06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each of the qualifying (i) PGA, (ii) EASI and (iii) DLQI scores in the authority application.</w:t>
            </w:r>
          </w:p>
          <w:p w14:paraId="0AEF9B29" w14:textId="77777777" w:rsidR="00633FA0" w:rsidRPr="005D6375" w:rsidRDefault="00633FA0" w:rsidP="00CC1644">
            <w:pPr>
              <w:rPr>
                <w:rFonts w:ascii="Arial Narrow" w:hAnsi="Arial Narrow"/>
                <w:color w:val="333333"/>
                <w:sz w:val="20"/>
                <w:szCs w:val="20"/>
              </w:rPr>
            </w:pPr>
          </w:p>
          <w:p w14:paraId="25203B9A"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Acceptable scores can be:</w:t>
            </w:r>
          </w:p>
          <w:p w14:paraId="609B5644" w14:textId="77777777" w:rsidR="00633FA0" w:rsidRPr="005D6375" w:rsidRDefault="00633FA0" w:rsidP="00CC1644">
            <w:pPr>
              <w:rPr>
                <w:rFonts w:ascii="Arial Narrow" w:hAnsi="Arial Narrow"/>
                <w:color w:val="333333"/>
                <w:sz w:val="20"/>
                <w:szCs w:val="20"/>
              </w:rPr>
            </w:pPr>
          </w:p>
          <w:p w14:paraId="424947F1"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lastRenderedPageBreak/>
              <w:t>(a) current scores; or</w:t>
            </w:r>
          </w:p>
          <w:p w14:paraId="606ED1E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(b) past scores, including those previously quoted in a PBS authority application for another drug listed for this indication.</w:t>
            </w:r>
          </w:p>
          <w:p w14:paraId="1676BCB2" w14:textId="77777777" w:rsidR="00633FA0" w:rsidRPr="005D6375" w:rsidRDefault="00633FA0" w:rsidP="00CC1644">
            <w:pPr>
              <w:rPr>
                <w:rFonts w:ascii="Arial Narrow" w:hAnsi="Arial Narrow"/>
                <w:color w:val="333333"/>
                <w:sz w:val="20"/>
                <w:szCs w:val="20"/>
              </w:rPr>
            </w:pPr>
          </w:p>
          <w:p w14:paraId="6431BA3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The EASI and DLQI baseline measurements are to form the basis of determining if an adequate response to treatment has been achieved under the Continuing treatment restriction. </w:t>
            </w:r>
          </w:p>
          <w:p w14:paraId="62C21A6F" w14:textId="77777777" w:rsidR="00633FA0" w:rsidRPr="005D6375" w:rsidRDefault="00633FA0" w:rsidP="00CC1644">
            <w:pPr>
              <w:rPr>
                <w:rFonts w:ascii="Arial Narrow" w:hAnsi="Arial Narrow"/>
                <w:color w:val="333333"/>
                <w:sz w:val="20"/>
                <w:szCs w:val="20"/>
              </w:rPr>
            </w:pPr>
          </w:p>
          <w:p w14:paraId="4B7D0C9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name/s of the medium to high potency topical corticosteroids trialled prior to commencing treatment with this medicine must be documented in the patient's medical records.</w:t>
            </w:r>
          </w:p>
        </w:tc>
      </w:tr>
      <w:tr w:rsidR="00633FA0" w:rsidRPr="007E6D75" w14:paraId="5BA565E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C27D76" w14:textId="4EE7DDAB"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53E4BE"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527B34C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 Grandfathered patient may qualify for PBS-subsidised treatment under this restriction once only.</w:t>
            </w:r>
          </w:p>
        </w:tc>
      </w:tr>
      <w:tr w:rsidR="00633FA0" w:rsidRPr="007E6D75" w14:paraId="4B71980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3290E" w14:textId="302FC223"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AEBA1"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567E6EE8"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For continuing PBS-subsidised treatment, a Grandfathered patient must qualify under the Continuing treatment criteria.</w:t>
            </w:r>
          </w:p>
        </w:tc>
      </w:tr>
      <w:tr w:rsidR="00633FA0" w:rsidRPr="007E6D75" w14:paraId="3EB2743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E1B435" w14:textId="33378A76"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B3E87"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402AA2C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This grandfather restriction will cease to operate from 12 months after the date specified in the clinical criteria.</w:t>
            </w:r>
          </w:p>
        </w:tc>
      </w:tr>
      <w:tr w:rsidR="00633FA0" w:rsidRPr="007E6D75" w14:paraId="18C0988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5B74D"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A604F3"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6818C168"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Instructions on the use of the Physician's Global Assessment (5-point scale) can be obtained from </w:t>
            </w:r>
            <w:r w:rsidRPr="005D6375">
              <w:rPr>
                <w:rFonts w:ascii="Arial Narrow" w:hAnsi="Arial Narrow"/>
                <w:color w:val="000000" w:themeColor="text1"/>
                <w:sz w:val="20"/>
                <w:szCs w:val="20"/>
              </w:rPr>
              <w:t>[insert sponsor-neutral location here or Pfizer’s contact details]</w:t>
            </w:r>
          </w:p>
        </w:tc>
      </w:tr>
      <w:tr w:rsidR="00633FA0" w:rsidRPr="007E6D75" w14:paraId="273F02F3"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88CDF" w14:textId="77777777" w:rsidR="00633FA0" w:rsidRPr="005D6375" w:rsidRDefault="00633FA0" w:rsidP="00CC1644">
            <w:pPr>
              <w:rPr>
                <w:rFonts w:ascii="Arial Narrow" w:hAnsi="Arial Narrow"/>
                <w:b/>
                <w:bCs/>
                <w:color w:val="333333"/>
                <w:sz w:val="20"/>
                <w:szCs w:val="20"/>
              </w:rPr>
            </w:pPr>
          </w:p>
          <w:p w14:paraId="70311D54" w14:textId="77777777" w:rsidR="00633FA0" w:rsidRPr="005D6375" w:rsidRDefault="00633FA0" w:rsidP="00CC1644">
            <w:pPr>
              <w:rPr>
                <w:rFonts w:ascii="Arial Narrow" w:hAnsi="Arial Narrow"/>
                <w:b/>
                <w:bCs/>
                <w:color w:val="333333"/>
                <w:sz w:val="20"/>
                <w:szCs w:val="20"/>
              </w:rPr>
            </w:pPr>
          </w:p>
        </w:tc>
      </w:tr>
      <w:tr w:rsidR="00633FA0" w:rsidRPr="007E6D75" w14:paraId="197B5634" w14:textId="77777777" w:rsidTr="004F1495">
        <w:trPr>
          <w:trHeight w:val="20"/>
        </w:trPr>
        <w:tc>
          <w:tcPr>
            <w:tcW w:w="9072"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60D941"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 xml:space="preserve">Restriction Summary: [New] / Treatment of Concept: [New] </w:t>
            </w:r>
          </w:p>
        </w:tc>
      </w:tr>
      <w:tr w:rsidR="00633FA0" w:rsidRPr="007E6D75" w14:paraId="4263EDA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6B639" w14:textId="69921AA5"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A97E6D" w14:textId="0F36E1EF"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Indication:</w:t>
            </w:r>
            <w:r w:rsidRPr="005D6375">
              <w:rPr>
                <w:rFonts w:ascii="Arial Narrow" w:hAnsi="Arial Narrow"/>
                <w:color w:val="333333"/>
                <w:sz w:val="20"/>
                <w:szCs w:val="20"/>
              </w:rPr>
              <w:t xml:space="preserve"> Chronic severe atopic dermatitis</w:t>
            </w:r>
          </w:p>
        </w:tc>
      </w:tr>
      <w:tr w:rsidR="00633FA0" w:rsidRPr="007E6D75" w14:paraId="6E2FF1B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0A8D0"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8ED2F" w14:textId="47863D0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Phase:</w:t>
            </w:r>
            <w:r w:rsidRPr="005D6375">
              <w:rPr>
                <w:rFonts w:ascii="Arial Narrow" w:hAnsi="Arial Narrow"/>
                <w:color w:val="333333"/>
                <w:sz w:val="20"/>
                <w:szCs w:val="20"/>
              </w:rPr>
              <w:t xml:space="preserve"> Transitioning from non-PBS to PBS-subsidised supply - treatment of the face and/or hands (Grandfather listing)</w:t>
            </w:r>
          </w:p>
        </w:tc>
      </w:tr>
      <w:tr w:rsidR="00633FA0" w:rsidRPr="007E6D75" w14:paraId="21C5CFF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5840C3"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93F80"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tr w:rsidR="00633FA0" w:rsidRPr="007E6D75" w14:paraId="1FA6600B"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9097B" w14:textId="25151A76"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D724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been receiving treatment with this drug for this PBS indication prior to [1 Month 20XX – insert listing date here]</w:t>
            </w:r>
          </w:p>
        </w:tc>
      </w:tr>
      <w:tr w:rsidR="00633FA0" w:rsidRPr="007E6D75" w14:paraId="247F9B65"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F53D9" w14:textId="77777777" w:rsidR="00633FA0" w:rsidRPr="005D6375" w:rsidRDefault="00633FA0" w:rsidP="00CC1644">
            <w:pPr>
              <w:rPr>
                <w:rFonts w:ascii="Arial Narrow" w:hAnsi="Arial Narrow"/>
                <w:color w:val="333333"/>
                <w:sz w:val="20"/>
                <w:szCs w:val="20"/>
              </w:rPr>
            </w:pPr>
            <w:bookmarkStart w:id="95" w:name="_Hlk172812480"/>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07B1B"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AND</w:t>
            </w:r>
          </w:p>
        </w:tc>
      </w:tr>
      <w:tr w:rsidR="00633FA0" w:rsidRPr="007E6D75" w14:paraId="2E730518"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92A56"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A0B5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Clinical criteria:</w:t>
            </w:r>
          </w:p>
        </w:tc>
      </w:tr>
      <w:bookmarkEnd w:id="95"/>
      <w:tr w:rsidR="00633FA0" w:rsidRPr="007E6D75" w14:paraId="6014FA7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972B6F"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8FA5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The condition must have had at least 2 of the following Eczema Area and Severity Index (EASI) symptom sub-scores for erythema, oedema/papulation, excoriation, </w:t>
            </w:r>
            <w:proofErr w:type="spellStart"/>
            <w:r w:rsidRPr="005D6375">
              <w:rPr>
                <w:rFonts w:ascii="Arial Narrow" w:hAnsi="Arial Narrow"/>
                <w:color w:val="333333"/>
                <w:sz w:val="20"/>
                <w:szCs w:val="20"/>
              </w:rPr>
              <w:t>lichenification</w:t>
            </w:r>
            <w:proofErr w:type="spellEnd"/>
            <w:r w:rsidRPr="005D6375">
              <w:rPr>
                <w:rFonts w:ascii="Arial Narrow" w:hAnsi="Arial Narrow"/>
                <w:color w:val="333333"/>
                <w:sz w:val="20"/>
                <w:szCs w:val="20"/>
              </w:rPr>
              <w:t xml:space="preserve"> rated as severe despite treatment with daily topical therapy (corticosteroid of medium to high potency/calcineurin inhibitor), for at least 28 days prior to having commenced non-PBS-subsidised therapy with this medicine; OR</w:t>
            </w:r>
          </w:p>
          <w:p w14:paraId="03C9642E"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affected at least 30% of the face/hands surface area despite treatment with daily topical therapy (corticosteroid of medium to high potency/calcineurin inhibitor), for at least 28 days, prior to having commenced non-PBS-subsidised therapy with this medicine</w:t>
            </w:r>
          </w:p>
        </w:tc>
      </w:tr>
      <w:tr w:rsidR="00633FA0" w:rsidRPr="007E6D75" w14:paraId="709B2F43"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DAC669"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A6FAE"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5736362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1215E"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19C8B8"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296E397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93596"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9A22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had an age appropriate Dermatology Life Quality Index (DLQI) baseline score (of any value) measured following treatment with daily topical therapy (corticosteroid of medium to high potency/calcineurin inhibitor), for at least 28 days, prior to having commenced non-PBS-subsidised therapy with this medicine; OR</w:t>
            </w:r>
          </w:p>
        </w:tc>
      </w:tr>
      <w:tr w:rsidR="00633FA0" w:rsidRPr="007E6D75" w14:paraId="4DDC483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9E48EB" w14:textId="35A4F7A3"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020E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where the above baseline DLQI was not recorded in the patient’s medical records, a current age-appropriate DLQI score (of any value) measured</w:t>
            </w:r>
          </w:p>
        </w:tc>
      </w:tr>
      <w:tr w:rsidR="00633FA0" w:rsidRPr="007E6D75" w14:paraId="0B172A3C"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A51B3"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AD07F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27A5ADC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BE650" w14:textId="14BCE8BB"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F4C79"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6E7C5DF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778E4" w14:textId="2E39107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58A03"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 prior to commencing non-PBS-subsidised therapy with this medicine</w:t>
            </w:r>
          </w:p>
        </w:tc>
      </w:tr>
      <w:tr w:rsidR="00633FA0" w:rsidRPr="007E6D75" w14:paraId="6210886C"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ECF5D"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D5E07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34E212E1"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E7F9D" w14:textId="5E39B0D2"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2757C"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1EDC658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B0CE4"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A67C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be experiencing an inadequate response to current non-PBS-subsidised therapy with this medicine</w:t>
            </w:r>
          </w:p>
        </w:tc>
      </w:tr>
      <w:tr w:rsidR="00633FA0" w:rsidRPr="007E6D75" w14:paraId="0561F35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EFDC1"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97A3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05900C22"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C1DB6E" w14:textId="66415156"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BB79E"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5B5D498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E1EC4"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5EF15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treatment must be the sole PBS-subsidised systemic medicine for this PBS indication, other than oral corticosteroids</w:t>
            </w:r>
          </w:p>
        </w:tc>
      </w:tr>
      <w:tr w:rsidR="00633FA0" w:rsidRPr="007E6D75" w14:paraId="3389E107"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DBD136"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5CB6D"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121A4F7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A8782" w14:textId="72DA436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D6863"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56B3F58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87117"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72A71"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not have experienced an inadequate response to this medicine in this indication, prior to commencing non-PBS-subsidised therapy with this medicine</w:t>
            </w:r>
          </w:p>
        </w:tc>
      </w:tr>
      <w:tr w:rsidR="00633FA0" w:rsidRPr="007E6D75" w14:paraId="2E2A484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F635B"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F38B0D"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3E9B6C7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32AAD" w14:textId="3A58CD9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28FDC0"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659862A9"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DEB06" w14:textId="7BD3E76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4E297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2DA4357A"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DD758" w14:textId="0B615A8D"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B1EAB"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7717A86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A45B5F" w14:textId="77777777" w:rsidR="00633FA0" w:rsidRPr="005D6375" w:rsidRDefault="00633FA0" w:rsidP="00CC1644">
            <w:pP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1FB0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76B0AFB0"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A59E50" w14:textId="30DB77B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B743CC"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Population criteria:</w:t>
            </w:r>
          </w:p>
        </w:tc>
      </w:tr>
      <w:tr w:rsidR="00633FA0" w:rsidRPr="007E6D75" w14:paraId="029E3E2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0F72F" w14:textId="77777777"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7B6D8" w14:textId="1F4514A8"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18 years of age or older</w:t>
            </w:r>
          </w:p>
        </w:tc>
      </w:tr>
      <w:tr w:rsidR="00633FA0" w:rsidRPr="007E6D75" w14:paraId="7FA5DADE"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45004" w14:textId="6E8C6C90"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3E731D"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47D2D8D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each of the 4 Eczema Area and Severity Index (EASI) symptom sub-score ratings (0 = none, 1 = mild, 2 = moderate, 3 = severe) for:</w:t>
            </w:r>
          </w:p>
          <w:p w14:paraId="7ED5C5B0" w14:textId="77777777" w:rsidR="00633FA0" w:rsidRPr="005D6375" w:rsidRDefault="00633FA0" w:rsidP="00CC1644">
            <w:pPr>
              <w:rPr>
                <w:rFonts w:ascii="Arial Narrow" w:hAnsi="Arial Narrow"/>
                <w:color w:val="333333"/>
                <w:sz w:val="20"/>
                <w:szCs w:val="20"/>
              </w:rPr>
            </w:pPr>
          </w:p>
          <w:p w14:paraId="6A0DE77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 erythema,</w:t>
            </w:r>
          </w:p>
          <w:p w14:paraId="7234D9FC"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(ii) oedema/papulation,</w:t>
            </w:r>
          </w:p>
          <w:p w14:paraId="17C7C2F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(iii) excoriation,</w:t>
            </w:r>
          </w:p>
          <w:p w14:paraId="4C71D069"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(iv) </w:t>
            </w:r>
            <w:proofErr w:type="spellStart"/>
            <w:r w:rsidRPr="005D6375">
              <w:rPr>
                <w:rFonts w:ascii="Arial Narrow" w:hAnsi="Arial Narrow"/>
                <w:color w:val="333333"/>
                <w:sz w:val="20"/>
                <w:szCs w:val="20"/>
              </w:rPr>
              <w:t>lichenification</w:t>
            </w:r>
            <w:proofErr w:type="spellEnd"/>
          </w:p>
          <w:p w14:paraId="455528AE" w14:textId="77777777" w:rsidR="00633FA0" w:rsidRPr="005D6375" w:rsidRDefault="00633FA0" w:rsidP="00CC1644">
            <w:pPr>
              <w:rPr>
                <w:rFonts w:ascii="Arial Narrow" w:hAnsi="Arial Narrow"/>
                <w:color w:val="333333"/>
                <w:sz w:val="20"/>
                <w:szCs w:val="20"/>
              </w:rPr>
            </w:pPr>
          </w:p>
          <w:p w14:paraId="6F06818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Acceptable scores can be:</w:t>
            </w:r>
          </w:p>
          <w:p w14:paraId="67A54FCC" w14:textId="77777777" w:rsidR="00633FA0" w:rsidRPr="005D6375" w:rsidRDefault="00633FA0" w:rsidP="00CC1644">
            <w:pPr>
              <w:rPr>
                <w:rFonts w:ascii="Arial Narrow" w:hAnsi="Arial Narrow"/>
                <w:color w:val="333333"/>
                <w:sz w:val="20"/>
                <w:szCs w:val="20"/>
              </w:rPr>
            </w:pPr>
          </w:p>
          <w:p w14:paraId="4BF320E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 current scores; or</w:t>
            </w:r>
          </w:p>
          <w:p w14:paraId="7F0501D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(b) past scores, including those previously quoted in a PBS authority application for another drug listed for this indication.</w:t>
            </w:r>
          </w:p>
          <w:p w14:paraId="7E23D39D" w14:textId="77777777" w:rsidR="00633FA0" w:rsidRPr="005D6375" w:rsidRDefault="00633FA0" w:rsidP="00CC1644">
            <w:pPr>
              <w:rPr>
                <w:rFonts w:ascii="Arial Narrow" w:hAnsi="Arial Narrow"/>
                <w:color w:val="333333"/>
                <w:sz w:val="20"/>
                <w:szCs w:val="20"/>
              </w:rPr>
            </w:pPr>
          </w:p>
          <w:p w14:paraId="3F7A37D4"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the percentage face/hand surface area affected by the condition (must be at least 30%) where EASI symptom sub-scores are not provided. This percentage surface area can also be stated in addition to the EASI symptom sub-scores.</w:t>
            </w:r>
          </w:p>
          <w:p w14:paraId="4EBC9B5A" w14:textId="77777777" w:rsidR="00633FA0" w:rsidRPr="005D6375" w:rsidRDefault="00633FA0" w:rsidP="00CC1644">
            <w:pPr>
              <w:rPr>
                <w:rFonts w:ascii="Arial Narrow" w:hAnsi="Arial Narrow"/>
                <w:color w:val="333333"/>
                <w:sz w:val="20"/>
                <w:szCs w:val="20"/>
              </w:rPr>
            </w:pPr>
          </w:p>
          <w:p w14:paraId="34A0B5A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EASI/percentage surface area and DLQI baseline measurements are to form the basis of determining if an adequate response to treatment has been achieved under the Continuing treatment restriction.</w:t>
            </w:r>
          </w:p>
          <w:p w14:paraId="14654EA4" w14:textId="77777777" w:rsidR="00633FA0" w:rsidRPr="005D6375" w:rsidRDefault="00633FA0" w:rsidP="00CC1644">
            <w:pPr>
              <w:rPr>
                <w:rFonts w:ascii="Arial Narrow" w:hAnsi="Arial Narrow"/>
                <w:color w:val="333333"/>
                <w:sz w:val="20"/>
                <w:szCs w:val="20"/>
              </w:rPr>
            </w:pPr>
          </w:p>
          <w:p w14:paraId="0D8698F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The name/s of the medium to high potency topical corticosteroids trialled prior to commencing treatment with this medicine is/are to be documented in the patient's medical records.</w:t>
            </w:r>
          </w:p>
        </w:tc>
      </w:tr>
      <w:tr w:rsidR="00633FA0" w:rsidRPr="007E6D75" w14:paraId="5A6A16E4"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A72E2" w14:textId="1C2DBC4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A601D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60A2A393" w14:textId="77777777" w:rsidR="00633FA0" w:rsidRPr="005D6375" w:rsidRDefault="00633FA0" w:rsidP="00CC1644">
            <w:pPr>
              <w:rPr>
                <w:rFonts w:ascii="Arial Narrow" w:hAnsi="Arial Narrow"/>
                <w:b/>
                <w:bCs/>
                <w:color w:val="333333"/>
                <w:sz w:val="20"/>
                <w:szCs w:val="20"/>
              </w:rPr>
            </w:pPr>
            <w:r w:rsidRPr="005D6375">
              <w:rPr>
                <w:rFonts w:ascii="Arial Narrow" w:hAnsi="Arial Narrow"/>
                <w:color w:val="333333"/>
                <w:sz w:val="20"/>
                <w:szCs w:val="20"/>
              </w:rPr>
              <w:t>A Grandfathered patient may qualify for PBS-subsidised treatment under this restriction once only.</w:t>
            </w:r>
          </w:p>
        </w:tc>
      </w:tr>
      <w:tr w:rsidR="00633FA0" w:rsidRPr="007E6D75" w14:paraId="2023E6AD"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D1686" w14:textId="219D0C9F"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55E98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Prescribing Instructions:</w:t>
            </w:r>
          </w:p>
          <w:p w14:paraId="24EC812A" w14:textId="77777777" w:rsidR="00633FA0" w:rsidRPr="005D6375" w:rsidRDefault="00633FA0" w:rsidP="00CC1644">
            <w:pPr>
              <w:rPr>
                <w:rFonts w:ascii="Arial Narrow" w:hAnsi="Arial Narrow"/>
                <w:b/>
                <w:bCs/>
                <w:color w:val="333333"/>
                <w:sz w:val="20"/>
                <w:szCs w:val="20"/>
              </w:rPr>
            </w:pPr>
            <w:r w:rsidRPr="005D6375">
              <w:rPr>
                <w:rFonts w:ascii="Arial Narrow" w:hAnsi="Arial Narrow"/>
                <w:color w:val="333333"/>
                <w:sz w:val="20"/>
                <w:szCs w:val="20"/>
              </w:rPr>
              <w:t>For continuing PBS-subsidised treatment, a Grandfathered patient must qualify under the Continuing treatment criteria.</w:t>
            </w:r>
          </w:p>
        </w:tc>
      </w:tr>
      <w:tr w:rsidR="00633FA0" w:rsidRPr="007E6D75" w14:paraId="083E2B0F" w14:textId="77777777" w:rsidTr="004F1495">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553A17" w14:textId="20F9E9E9" w:rsidR="00633FA0" w:rsidRPr="005D6375" w:rsidRDefault="00633FA0" w:rsidP="00CC1644">
            <w:pPr>
              <w:jc w:val="center"/>
              <w:rPr>
                <w:rFonts w:ascii="Arial Narrow" w:hAnsi="Arial Narrow"/>
                <w:color w:val="333333"/>
                <w:sz w:val="20"/>
                <w:szCs w:val="20"/>
              </w:rPr>
            </w:pPr>
          </w:p>
        </w:tc>
        <w:tc>
          <w:tcPr>
            <w:tcW w:w="7654"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A24386"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480523E0" w14:textId="77777777" w:rsidR="00633FA0" w:rsidRPr="005D6375" w:rsidRDefault="00633FA0" w:rsidP="00CC1644">
            <w:pPr>
              <w:rPr>
                <w:rFonts w:ascii="Arial Narrow" w:hAnsi="Arial Narrow"/>
                <w:b/>
                <w:bCs/>
                <w:color w:val="333333"/>
                <w:sz w:val="20"/>
                <w:szCs w:val="20"/>
              </w:rPr>
            </w:pPr>
            <w:r w:rsidRPr="005D6375">
              <w:rPr>
                <w:rFonts w:ascii="Arial Narrow" w:hAnsi="Arial Narrow"/>
                <w:color w:val="333333"/>
                <w:sz w:val="20"/>
                <w:szCs w:val="20"/>
              </w:rPr>
              <w:t>This grandfather restriction will cease to operate from 12 months after the date specified in the clinical criteria.</w:t>
            </w:r>
          </w:p>
        </w:tc>
      </w:tr>
    </w:tbl>
    <w:p w14:paraId="1C5DD428" w14:textId="569E7A89" w:rsidR="00633FA0" w:rsidRPr="007E6D75" w:rsidRDefault="00633FA0" w:rsidP="00B85642">
      <w:pPr>
        <w:pStyle w:val="ListBullet"/>
        <w:numPr>
          <w:ilvl w:val="0"/>
          <w:numId w:val="0"/>
        </w:numPr>
        <w:ind w:left="360"/>
        <w:rPr>
          <w:highlight w:val="yellow"/>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1838"/>
        <w:gridCol w:w="1275"/>
        <w:gridCol w:w="1276"/>
        <w:gridCol w:w="1276"/>
        <w:gridCol w:w="992"/>
        <w:gridCol w:w="1002"/>
      </w:tblGrid>
      <w:tr w:rsidR="00633FA0" w:rsidRPr="007E6D75" w14:paraId="6BEC8F1E" w14:textId="77777777" w:rsidTr="00391444">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56A0D69A" w14:textId="77777777" w:rsidR="00633FA0" w:rsidRPr="005D6375" w:rsidRDefault="00633FA0" w:rsidP="00CC1644">
            <w:pPr>
              <w:ind w:left="-57"/>
              <w:rPr>
                <w:rFonts w:ascii="Arial Narrow" w:hAnsi="Arial Narrow"/>
                <w:b/>
                <w:bCs/>
                <w:sz w:val="20"/>
                <w:szCs w:val="20"/>
              </w:rPr>
            </w:pPr>
            <w:r w:rsidRPr="005D6375">
              <w:rPr>
                <w:rFonts w:ascii="Arial Narrow" w:hAnsi="Arial Narrow"/>
                <w:b/>
                <w:bCs/>
                <w:sz w:val="20"/>
                <w:szCs w:val="20"/>
              </w:rPr>
              <w:t>MEDICINAL PRODUCT</w:t>
            </w:r>
          </w:p>
          <w:p w14:paraId="7355A424" w14:textId="77777777" w:rsidR="00633FA0" w:rsidRPr="005D6375" w:rsidRDefault="00633FA0" w:rsidP="00CC1644">
            <w:pPr>
              <w:ind w:left="-57"/>
              <w:rPr>
                <w:rFonts w:ascii="Arial Narrow" w:hAnsi="Arial Narrow"/>
                <w:b/>
                <w:sz w:val="20"/>
                <w:szCs w:val="20"/>
              </w:rPr>
            </w:pPr>
            <w:r w:rsidRPr="005D6375">
              <w:rPr>
                <w:rFonts w:ascii="Arial Narrow" w:hAnsi="Arial Narrow"/>
                <w:b/>
                <w:bCs/>
                <w:sz w:val="20"/>
                <w:szCs w:val="20"/>
              </w:rPr>
              <w:t>medicinal product pack</w:t>
            </w:r>
          </w:p>
        </w:tc>
        <w:tc>
          <w:tcPr>
            <w:tcW w:w="1275" w:type="dxa"/>
            <w:tcBorders>
              <w:top w:val="single" w:sz="4" w:space="0" w:color="auto"/>
              <w:left w:val="single" w:sz="4" w:space="0" w:color="auto"/>
              <w:bottom w:val="single" w:sz="4" w:space="0" w:color="auto"/>
              <w:right w:val="single" w:sz="4" w:space="0" w:color="auto"/>
            </w:tcBorders>
            <w:hideMark/>
          </w:tcPr>
          <w:p w14:paraId="3786DCE2"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PBS item code</w:t>
            </w:r>
          </w:p>
        </w:tc>
        <w:tc>
          <w:tcPr>
            <w:tcW w:w="1276" w:type="dxa"/>
            <w:tcBorders>
              <w:top w:val="single" w:sz="4" w:space="0" w:color="auto"/>
              <w:left w:val="single" w:sz="4" w:space="0" w:color="auto"/>
              <w:bottom w:val="single" w:sz="4" w:space="0" w:color="auto"/>
              <w:right w:val="single" w:sz="4" w:space="0" w:color="auto"/>
            </w:tcBorders>
            <w:hideMark/>
          </w:tcPr>
          <w:p w14:paraId="4BD4A1D8"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Max. qty packs</w:t>
            </w:r>
          </w:p>
        </w:tc>
        <w:tc>
          <w:tcPr>
            <w:tcW w:w="1276" w:type="dxa"/>
            <w:tcBorders>
              <w:top w:val="single" w:sz="4" w:space="0" w:color="auto"/>
              <w:left w:val="single" w:sz="4" w:space="0" w:color="auto"/>
              <w:bottom w:val="single" w:sz="4" w:space="0" w:color="auto"/>
              <w:right w:val="single" w:sz="4" w:space="0" w:color="auto"/>
            </w:tcBorders>
            <w:hideMark/>
          </w:tcPr>
          <w:p w14:paraId="3751A9D8"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Max. qty units</w:t>
            </w:r>
          </w:p>
        </w:tc>
        <w:tc>
          <w:tcPr>
            <w:tcW w:w="992" w:type="dxa"/>
            <w:tcBorders>
              <w:top w:val="single" w:sz="4" w:space="0" w:color="auto"/>
              <w:left w:val="single" w:sz="4" w:space="0" w:color="auto"/>
              <w:bottom w:val="single" w:sz="4" w:space="0" w:color="auto"/>
              <w:right w:val="single" w:sz="4" w:space="0" w:color="auto"/>
            </w:tcBorders>
            <w:hideMark/>
          </w:tcPr>
          <w:p w14:paraId="52ED9D28" w14:textId="77777777" w:rsidR="00633FA0" w:rsidRPr="005D6375" w:rsidRDefault="00633FA0" w:rsidP="00CC1644">
            <w:pPr>
              <w:ind w:left="-108"/>
              <w:jc w:val="center"/>
              <w:rPr>
                <w:rFonts w:ascii="Arial Narrow" w:hAnsi="Arial Narrow"/>
                <w:b/>
                <w:sz w:val="20"/>
                <w:szCs w:val="20"/>
              </w:rPr>
            </w:pPr>
            <w:r w:rsidRPr="005D6375">
              <w:rPr>
                <w:rFonts w:ascii="Arial Narrow" w:hAnsi="Arial Narrow"/>
                <w:b/>
                <w:sz w:val="20"/>
                <w:szCs w:val="20"/>
              </w:rPr>
              <w:t>№.of Rpts</w:t>
            </w:r>
          </w:p>
        </w:tc>
        <w:tc>
          <w:tcPr>
            <w:tcW w:w="1002" w:type="dxa"/>
            <w:tcBorders>
              <w:top w:val="single" w:sz="4" w:space="0" w:color="auto"/>
              <w:left w:val="single" w:sz="4" w:space="0" w:color="auto"/>
              <w:bottom w:val="single" w:sz="4" w:space="0" w:color="auto"/>
              <w:right w:val="single" w:sz="4" w:space="0" w:color="auto"/>
            </w:tcBorders>
            <w:hideMark/>
          </w:tcPr>
          <w:p w14:paraId="00B2F1A2" w14:textId="77777777" w:rsidR="00633FA0" w:rsidRPr="005D6375" w:rsidRDefault="00633FA0" w:rsidP="00CC1644">
            <w:pPr>
              <w:rPr>
                <w:rFonts w:ascii="Arial Narrow" w:hAnsi="Arial Narrow"/>
                <w:b/>
                <w:sz w:val="20"/>
                <w:szCs w:val="20"/>
                <w:lang w:val="fr-FR"/>
              </w:rPr>
            </w:pPr>
            <w:r w:rsidRPr="005D6375">
              <w:rPr>
                <w:rFonts w:ascii="Arial Narrow" w:hAnsi="Arial Narrow"/>
                <w:b/>
                <w:sz w:val="20"/>
                <w:szCs w:val="20"/>
              </w:rPr>
              <w:t>Available brands</w:t>
            </w:r>
          </w:p>
        </w:tc>
      </w:tr>
      <w:tr w:rsidR="00633FA0" w:rsidRPr="007E6D75" w14:paraId="1ABAE1FF" w14:textId="77777777" w:rsidTr="00391444">
        <w:trPr>
          <w:cantSplit/>
          <w:trHeight w:val="20"/>
        </w:trPr>
        <w:tc>
          <w:tcPr>
            <w:tcW w:w="9077" w:type="dxa"/>
            <w:gridSpan w:val="8"/>
            <w:tcBorders>
              <w:top w:val="single" w:sz="4" w:space="0" w:color="auto"/>
              <w:left w:val="single" w:sz="4" w:space="0" w:color="auto"/>
              <w:bottom w:val="single" w:sz="4" w:space="0" w:color="auto"/>
              <w:right w:val="single" w:sz="4" w:space="0" w:color="auto"/>
            </w:tcBorders>
            <w:hideMark/>
          </w:tcPr>
          <w:p w14:paraId="6D3B65BC" w14:textId="77777777" w:rsidR="00633FA0" w:rsidRPr="005D6375" w:rsidRDefault="00633FA0" w:rsidP="00CC1644">
            <w:pPr>
              <w:ind w:left="-57"/>
              <w:rPr>
                <w:rFonts w:ascii="Arial Narrow" w:hAnsi="Arial Narrow"/>
                <w:sz w:val="20"/>
                <w:szCs w:val="20"/>
              </w:rPr>
            </w:pPr>
            <w:r w:rsidRPr="005D6375">
              <w:rPr>
                <w:rFonts w:ascii="Arial Narrow" w:hAnsi="Arial Narrow"/>
                <w:sz w:val="20"/>
                <w:szCs w:val="20"/>
              </w:rPr>
              <w:t xml:space="preserve">ABROCITINIB  </w:t>
            </w:r>
          </w:p>
        </w:tc>
      </w:tr>
      <w:tr w:rsidR="00633FA0" w:rsidRPr="007E6D75" w14:paraId="08602073" w14:textId="77777777" w:rsidTr="00391444">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0E7CC17E" w14:textId="77777777" w:rsidR="00633FA0" w:rsidRPr="005D6375" w:rsidRDefault="00633FA0" w:rsidP="00CC1644">
            <w:pPr>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200 mg tablet, 28 </w:t>
            </w:r>
          </w:p>
        </w:tc>
        <w:tc>
          <w:tcPr>
            <w:tcW w:w="1275" w:type="dxa"/>
            <w:tcBorders>
              <w:top w:val="single" w:sz="4" w:space="0" w:color="auto"/>
              <w:left w:val="single" w:sz="4" w:space="0" w:color="auto"/>
              <w:bottom w:val="single" w:sz="4" w:space="0" w:color="auto"/>
              <w:right w:val="single" w:sz="4" w:space="0" w:color="auto"/>
            </w:tcBorders>
            <w:hideMark/>
          </w:tcPr>
          <w:p w14:paraId="6317A7AF"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hideMark/>
          </w:tcPr>
          <w:p w14:paraId="1D88C529"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23006E8B"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14:paraId="629D8A42" w14:textId="77777777" w:rsidR="00633FA0" w:rsidRPr="005D6375" w:rsidRDefault="00633FA0" w:rsidP="00CC1644">
            <w:pPr>
              <w:jc w:val="center"/>
              <w:rPr>
                <w:rFonts w:ascii="Arial Narrow" w:hAnsi="Arial Narrow"/>
                <w:sz w:val="20"/>
                <w:szCs w:val="20"/>
              </w:rPr>
            </w:pPr>
            <w:r w:rsidRPr="005D6375">
              <w:rPr>
                <w:rFonts w:ascii="Arial Narrow" w:hAnsi="Arial Narrow"/>
                <w:sz w:val="20"/>
                <w:szCs w:val="20"/>
              </w:rPr>
              <w:t>5</w:t>
            </w:r>
          </w:p>
        </w:tc>
        <w:tc>
          <w:tcPr>
            <w:tcW w:w="1002" w:type="dxa"/>
            <w:tcBorders>
              <w:top w:val="single" w:sz="4" w:space="0" w:color="auto"/>
              <w:left w:val="single" w:sz="4" w:space="0" w:color="auto"/>
              <w:bottom w:val="single" w:sz="4" w:space="0" w:color="auto"/>
              <w:right w:val="single" w:sz="4" w:space="0" w:color="auto"/>
            </w:tcBorders>
            <w:hideMark/>
          </w:tcPr>
          <w:p w14:paraId="50CDF5EB" w14:textId="77777777" w:rsidR="00633FA0" w:rsidRPr="005D6375" w:rsidRDefault="00633FA0" w:rsidP="00CC1644">
            <w:pPr>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2CB6648B" w14:textId="77777777" w:rsidTr="00391444">
        <w:trPr>
          <w:cantSplit/>
          <w:trHeight w:val="20"/>
        </w:trPr>
        <w:tc>
          <w:tcPr>
            <w:tcW w:w="3256" w:type="dxa"/>
            <w:gridSpan w:val="3"/>
            <w:tcBorders>
              <w:top w:val="single" w:sz="4" w:space="0" w:color="auto"/>
              <w:left w:val="single" w:sz="4" w:space="0" w:color="auto"/>
              <w:bottom w:val="single" w:sz="4" w:space="0" w:color="auto"/>
              <w:right w:val="single" w:sz="4" w:space="0" w:color="auto"/>
            </w:tcBorders>
            <w:hideMark/>
          </w:tcPr>
          <w:p w14:paraId="6AC99AB7" w14:textId="77777777" w:rsidR="00633FA0" w:rsidRPr="005D6375" w:rsidRDefault="00633FA0" w:rsidP="00CC1644">
            <w:pPr>
              <w:keepNext/>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100 mg tablet, 28 </w:t>
            </w:r>
          </w:p>
        </w:tc>
        <w:tc>
          <w:tcPr>
            <w:tcW w:w="1275" w:type="dxa"/>
            <w:tcBorders>
              <w:top w:val="single" w:sz="4" w:space="0" w:color="auto"/>
              <w:left w:val="single" w:sz="4" w:space="0" w:color="auto"/>
              <w:bottom w:val="single" w:sz="4" w:space="0" w:color="auto"/>
              <w:right w:val="single" w:sz="4" w:space="0" w:color="auto"/>
            </w:tcBorders>
            <w:hideMark/>
          </w:tcPr>
          <w:p w14:paraId="53414E7F"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hideMark/>
          </w:tcPr>
          <w:p w14:paraId="0B6D4D42"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7B399EC3"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hideMark/>
          </w:tcPr>
          <w:p w14:paraId="6C8C8B1C"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5</w:t>
            </w:r>
          </w:p>
        </w:tc>
        <w:tc>
          <w:tcPr>
            <w:tcW w:w="1002" w:type="dxa"/>
            <w:tcBorders>
              <w:top w:val="single" w:sz="4" w:space="0" w:color="auto"/>
              <w:left w:val="single" w:sz="4" w:space="0" w:color="auto"/>
              <w:bottom w:val="single" w:sz="4" w:space="0" w:color="auto"/>
              <w:right w:val="single" w:sz="4" w:space="0" w:color="auto"/>
            </w:tcBorders>
            <w:hideMark/>
          </w:tcPr>
          <w:p w14:paraId="66C19D24" w14:textId="77777777" w:rsidR="00633FA0" w:rsidRPr="005D6375" w:rsidRDefault="00633FA0" w:rsidP="00CC1644">
            <w:pPr>
              <w:keepNext/>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659A78AD" w14:textId="77777777" w:rsidTr="00391444">
        <w:trPr>
          <w:cantSplit/>
          <w:trHeight w:val="20"/>
        </w:trPr>
        <w:tc>
          <w:tcPr>
            <w:tcW w:w="3256" w:type="dxa"/>
            <w:gridSpan w:val="3"/>
            <w:tcBorders>
              <w:top w:val="single" w:sz="4" w:space="0" w:color="auto"/>
              <w:left w:val="single" w:sz="4" w:space="0" w:color="auto"/>
              <w:bottom w:val="single" w:sz="4" w:space="0" w:color="auto"/>
              <w:right w:val="single" w:sz="4" w:space="0" w:color="auto"/>
            </w:tcBorders>
          </w:tcPr>
          <w:p w14:paraId="6C3BE2A3" w14:textId="77777777" w:rsidR="00633FA0" w:rsidRPr="005D6375" w:rsidRDefault="00633FA0" w:rsidP="00CC1644">
            <w:pPr>
              <w:keepNext/>
              <w:ind w:left="-57"/>
              <w:rPr>
                <w:rFonts w:ascii="Arial Narrow" w:hAnsi="Arial Narrow"/>
                <w:sz w:val="20"/>
                <w:szCs w:val="20"/>
              </w:rPr>
            </w:pPr>
            <w:proofErr w:type="spellStart"/>
            <w:r w:rsidRPr="005D6375">
              <w:rPr>
                <w:rFonts w:ascii="Arial Narrow" w:hAnsi="Arial Narrow"/>
                <w:sz w:val="20"/>
                <w:szCs w:val="20"/>
              </w:rPr>
              <w:t>abrocitinib</w:t>
            </w:r>
            <w:proofErr w:type="spellEnd"/>
            <w:r w:rsidRPr="005D6375">
              <w:rPr>
                <w:rFonts w:ascii="Arial Narrow" w:hAnsi="Arial Narrow"/>
                <w:sz w:val="20"/>
                <w:szCs w:val="20"/>
              </w:rPr>
              <w:t xml:space="preserve"> 50 mg tablet, 28 </w:t>
            </w:r>
          </w:p>
        </w:tc>
        <w:tc>
          <w:tcPr>
            <w:tcW w:w="1275" w:type="dxa"/>
            <w:tcBorders>
              <w:top w:val="single" w:sz="4" w:space="0" w:color="auto"/>
              <w:left w:val="single" w:sz="4" w:space="0" w:color="auto"/>
              <w:bottom w:val="single" w:sz="4" w:space="0" w:color="auto"/>
              <w:right w:val="single" w:sz="4" w:space="0" w:color="auto"/>
            </w:tcBorders>
          </w:tcPr>
          <w:p w14:paraId="5072859E"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New</w:t>
            </w:r>
          </w:p>
        </w:tc>
        <w:tc>
          <w:tcPr>
            <w:tcW w:w="1276" w:type="dxa"/>
            <w:tcBorders>
              <w:top w:val="single" w:sz="4" w:space="0" w:color="auto"/>
              <w:left w:val="single" w:sz="4" w:space="0" w:color="auto"/>
              <w:bottom w:val="single" w:sz="4" w:space="0" w:color="auto"/>
              <w:right w:val="single" w:sz="4" w:space="0" w:color="auto"/>
            </w:tcBorders>
          </w:tcPr>
          <w:p w14:paraId="547CE8B9"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56F8D161"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28</w:t>
            </w:r>
          </w:p>
        </w:tc>
        <w:tc>
          <w:tcPr>
            <w:tcW w:w="992" w:type="dxa"/>
            <w:tcBorders>
              <w:top w:val="single" w:sz="4" w:space="0" w:color="auto"/>
              <w:left w:val="single" w:sz="4" w:space="0" w:color="auto"/>
              <w:bottom w:val="single" w:sz="4" w:space="0" w:color="auto"/>
              <w:right w:val="single" w:sz="4" w:space="0" w:color="auto"/>
            </w:tcBorders>
          </w:tcPr>
          <w:p w14:paraId="22855DB7"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5</w:t>
            </w:r>
          </w:p>
        </w:tc>
        <w:tc>
          <w:tcPr>
            <w:tcW w:w="1002" w:type="dxa"/>
            <w:tcBorders>
              <w:top w:val="single" w:sz="4" w:space="0" w:color="auto"/>
              <w:left w:val="single" w:sz="4" w:space="0" w:color="auto"/>
              <w:bottom w:val="single" w:sz="4" w:space="0" w:color="auto"/>
              <w:right w:val="single" w:sz="4" w:space="0" w:color="auto"/>
            </w:tcBorders>
          </w:tcPr>
          <w:p w14:paraId="71690966" w14:textId="77777777" w:rsidR="00633FA0" w:rsidRPr="005D6375" w:rsidRDefault="00633FA0" w:rsidP="00CC1644">
            <w:pPr>
              <w:keepNext/>
              <w:rPr>
                <w:rFonts w:ascii="Arial Narrow" w:hAnsi="Arial Narrow"/>
                <w:sz w:val="20"/>
                <w:szCs w:val="20"/>
              </w:rPr>
            </w:pPr>
            <w:proofErr w:type="spellStart"/>
            <w:r w:rsidRPr="005D6375">
              <w:rPr>
                <w:rFonts w:ascii="Arial Narrow" w:hAnsi="Arial Narrow"/>
                <w:sz w:val="20"/>
                <w:szCs w:val="20"/>
              </w:rPr>
              <w:t>Cibingo</w:t>
            </w:r>
            <w:proofErr w:type="spellEnd"/>
          </w:p>
        </w:tc>
      </w:tr>
      <w:tr w:rsidR="00633FA0" w:rsidRPr="007E6D75" w14:paraId="50E88633" w14:textId="77777777" w:rsidTr="00391444">
        <w:trPr>
          <w:cantSplit/>
          <w:trHeight w:val="20"/>
        </w:trPr>
        <w:tc>
          <w:tcPr>
            <w:tcW w:w="4531" w:type="dxa"/>
            <w:gridSpan w:val="4"/>
            <w:tcBorders>
              <w:top w:val="single" w:sz="4" w:space="0" w:color="auto"/>
              <w:left w:val="single" w:sz="4" w:space="0" w:color="auto"/>
              <w:bottom w:val="single" w:sz="4" w:space="0" w:color="auto"/>
              <w:right w:val="single" w:sz="4" w:space="0" w:color="auto"/>
            </w:tcBorders>
          </w:tcPr>
          <w:p w14:paraId="721470F7" w14:textId="77777777" w:rsidR="00633FA0" w:rsidRPr="005D6375" w:rsidRDefault="00633FA0" w:rsidP="00CC1644">
            <w:pPr>
              <w:keepNext/>
              <w:jc w:val="center"/>
              <w:rPr>
                <w:rFonts w:ascii="Arial Narrow" w:hAnsi="Arial Narrow"/>
                <w:sz w:val="20"/>
                <w:szCs w:val="20"/>
              </w:rPr>
            </w:pPr>
          </w:p>
        </w:tc>
        <w:tc>
          <w:tcPr>
            <w:tcW w:w="3544" w:type="dxa"/>
            <w:gridSpan w:val="3"/>
            <w:tcBorders>
              <w:top w:val="single" w:sz="4" w:space="0" w:color="auto"/>
              <w:left w:val="single" w:sz="4" w:space="0" w:color="auto"/>
              <w:bottom w:val="single" w:sz="4" w:space="0" w:color="auto"/>
              <w:right w:val="single" w:sz="4" w:space="0" w:color="auto"/>
            </w:tcBorders>
            <w:hideMark/>
          </w:tcPr>
          <w:p w14:paraId="153EB80F" w14:textId="77777777" w:rsidR="00633FA0" w:rsidRPr="005D6375" w:rsidRDefault="00633FA0" w:rsidP="00CC1644">
            <w:pPr>
              <w:keepNext/>
              <w:jc w:val="center"/>
              <w:rPr>
                <w:rFonts w:ascii="Arial Narrow" w:hAnsi="Arial Narrow"/>
                <w:sz w:val="20"/>
                <w:szCs w:val="20"/>
              </w:rPr>
            </w:pPr>
            <w:proofErr w:type="spellStart"/>
            <w:r w:rsidRPr="005D6375">
              <w:rPr>
                <w:rFonts w:ascii="Arial Narrow" w:hAnsi="Arial Narrow"/>
                <w:sz w:val="20"/>
                <w:szCs w:val="20"/>
              </w:rPr>
              <w:t>Max.qty</w:t>
            </w:r>
            <w:proofErr w:type="spellEnd"/>
            <w:r w:rsidRPr="005D6375">
              <w:rPr>
                <w:rFonts w:ascii="Arial Narrow" w:hAnsi="Arial Narrow"/>
                <w:sz w:val="20"/>
                <w:szCs w:val="20"/>
              </w:rPr>
              <w:t xml:space="preserve"> (packs) multiplier = 1</w:t>
            </w:r>
          </w:p>
          <w:p w14:paraId="2227C289" w14:textId="77777777" w:rsidR="00633FA0" w:rsidRPr="005D6375" w:rsidRDefault="00633FA0" w:rsidP="00CC1644">
            <w:pPr>
              <w:keepNext/>
              <w:jc w:val="center"/>
              <w:rPr>
                <w:rFonts w:ascii="Arial Narrow" w:hAnsi="Arial Narrow"/>
                <w:sz w:val="20"/>
                <w:szCs w:val="20"/>
              </w:rPr>
            </w:pPr>
            <w:r w:rsidRPr="005D6375">
              <w:rPr>
                <w:rFonts w:ascii="Arial Narrow" w:hAnsi="Arial Narrow"/>
                <w:sz w:val="20"/>
                <w:szCs w:val="20"/>
              </w:rPr>
              <w:t>Repeat increases: nil</w:t>
            </w:r>
          </w:p>
        </w:tc>
        <w:tc>
          <w:tcPr>
            <w:tcW w:w="1002" w:type="dxa"/>
            <w:tcBorders>
              <w:top w:val="single" w:sz="4" w:space="0" w:color="auto"/>
              <w:left w:val="single" w:sz="4" w:space="0" w:color="auto"/>
              <w:bottom w:val="single" w:sz="4" w:space="0" w:color="auto"/>
              <w:right w:val="single" w:sz="4" w:space="0" w:color="auto"/>
            </w:tcBorders>
          </w:tcPr>
          <w:p w14:paraId="6A5EC640" w14:textId="77777777" w:rsidR="00633FA0" w:rsidRPr="005D6375" w:rsidRDefault="00633FA0" w:rsidP="00CC1644">
            <w:pPr>
              <w:keepNext/>
              <w:rPr>
                <w:rFonts w:ascii="Arial Narrow" w:hAnsi="Arial Narrow"/>
                <w:sz w:val="20"/>
                <w:szCs w:val="20"/>
              </w:rPr>
            </w:pPr>
          </w:p>
        </w:tc>
      </w:tr>
      <w:tr w:rsidR="00633FA0" w:rsidRPr="007E6D75" w14:paraId="2B381BDC" w14:textId="77777777" w:rsidTr="00391444">
        <w:trPr>
          <w:trHeight w:val="20"/>
        </w:trPr>
        <w:tc>
          <w:tcPr>
            <w:tcW w:w="907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714386" w14:textId="77777777" w:rsidR="00633FA0" w:rsidRPr="005D6375" w:rsidRDefault="00633FA0" w:rsidP="00CC1644">
            <w:pPr>
              <w:rPr>
                <w:rFonts w:ascii="Arial Narrow" w:hAnsi="Arial Narrow"/>
                <w:b/>
                <w:sz w:val="20"/>
                <w:szCs w:val="20"/>
              </w:rPr>
            </w:pPr>
          </w:p>
        </w:tc>
      </w:tr>
      <w:tr w:rsidR="00633FA0" w:rsidRPr="007E6D75" w14:paraId="03774E77" w14:textId="77777777" w:rsidTr="00391444">
        <w:trPr>
          <w:trHeight w:val="20"/>
        </w:trPr>
        <w:tc>
          <w:tcPr>
            <w:tcW w:w="907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29198E5" w14:textId="77777777" w:rsidR="00633FA0" w:rsidRPr="005D6375" w:rsidRDefault="00633FA0" w:rsidP="00CC1644">
            <w:pPr>
              <w:ind w:left="57"/>
              <w:rPr>
                <w:rFonts w:ascii="Arial Narrow" w:hAnsi="Arial Narrow"/>
                <w:b/>
                <w:sz w:val="20"/>
                <w:szCs w:val="20"/>
              </w:rPr>
            </w:pPr>
          </w:p>
          <w:p w14:paraId="46A35817" w14:textId="77777777" w:rsidR="00633FA0" w:rsidRPr="005D6375" w:rsidRDefault="00633FA0" w:rsidP="00CC1644">
            <w:pPr>
              <w:ind w:left="57"/>
              <w:rPr>
                <w:rFonts w:ascii="Arial Narrow" w:hAnsi="Arial Narrow"/>
                <w:b/>
                <w:sz w:val="20"/>
                <w:szCs w:val="20"/>
              </w:rPr>
            </w:pPr>
            <w:r w:rsidRPr="005D6375">
              <w:rPr>
                <w:rFonts w:ascii="Arial Narrow" w:hAnsi="Arial Narrow"/>
                <w:b/>
                <w:sz w:val="20"/>
                <w:szCs w:val="20"/>
              </w:rPr>
              <w:t>Restriction Summary [New] / Treatment of Concept: [New]</w:t>
            </w:r>
          </w:p>
        </w:tc>
      </w:tr>
      <w:tr w:rsidR="00633FA0" w:rsidRPr="007E6D75" w14:paraId="73937D58" w14:textId="77777777" w:rsidTr="00391444">
        <w:trPr>
          <w:trHeight w:val="20"/>
        </w:trPr>
        <w:tc>
          <w:tcPr>
            <w:tcW w:w="141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D58C5B" w14:textId="61C3A273" w:rsidR="00633FA0" w:rsidRPr="005D6375" w:rsidRDefault="00633FA0" w:rsidP="00CC1644">
            <w:pPr>
              <w:jc w:val="center"/>
              <w:rPr>
                <w:rFonts w:ascii="Arial Narrow" w:hAnsi="Arial Narrow"/>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765B25" w14:textId="77777777" w:rsidR="00633FA0" w:rsidRPr="005D6375" w:rsidRDefault="00633FA0" w:rsidP="00CC1644">
            <w:pPr>
              <w:rPr>
                <w:rFonts w:ascii="Arial Narrow" w:hAnsi="Arial Narrow"/>
                <w:sz w:val="20"/>
                <w:szCs w:val="20"/>
              </w:rPr>
            </w:pPr>
            <w:r w:rsidRPr="005D6375">
              <w:rPr>
                <w:rFonts w:ascii="Arial Narrow" w:hAnsi="Arial Narrow"/>
                <w:b/>
                <w:sz w:val="20"/>
                <w:szCs w:val="20"/>
              </w:rPr>
              <w:t xml:space="preserve">Category / Program:   </w:t>
            </w:r>
            <w:r w:rsidRPr="005D6375">
              <w:rPr>
                <w:rFonts w:ascii="Arial Narrow" w:hAnsi="Arial Narrow"/>
                <w:sz w:val="20"/>
                <w:szCs w:val="20"/>
              </w:rPr>
              <w:t xml:space="preserve">GENERAL – General Schedule (Code GE) </w:t>
            </w:r>
          </w:p>
        </w:tc>
      </w:tr>
      <w:tr w:rsidR="00633FA0" w:rsidRPr="007E6D75" w14:paraId="1153897D" w14:textId="77777777" w:rsidTr="00391444">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7C3C902D" w14:textId="77777777" w:rsidR="00633FA0" w:rsidRPr="005D6375" w:rsidRDefault="00633FA0" w:rsidP="00CC1644">
            <w:pPr>
              <w:rPr>
                <w:rFonts w:ascii="Arial Narrow" w:hAnsi="Arial Narrow"/>
                <w:sz w:val="20"/>
                <w:szCs w:val="20"/>
                <w:lang w:eastAsia="en-US"/>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740E40" w14:textId="77777777" w:rsidR="00633FA0" w:rsidRPr="005D6375" w:rsidRDefault="00633FA0" w:rsidP="00CC1644">
            <w:pPr>
              <w:rPr>
                <w:rFonts w:ascii="Arial Narrow" w:hAnsi="Arial Narrow"/>
                <w:b/>
                <w:sz w:val="20"/>
                <w:szCs w:val="20"/>
              </w:rPr>
            </w:pPr>
            <w:r w:rsidRPr="005D6375">
              <w:rPr>
                <w:rFonts w:ascii="Arial Narrow" w:hAnsi="Arial Narrow"/>
                <w:b/>
                <w:sz w:val="20"/>
                <w:szCs w:val="20"/>
              </w:rPr>
              <w:t xml:space="preserve">Prescriber type: </w:t>
            </w:r>
            <w:r w:rsidRPr="005D6375">
              <w:rPr>
                <w:rFonts w:ascii="Arial Narrow" w:hAnsi="Arial Narrow"/>
                <w:sz w:val="20"/>
                <w:szCs w:val="20"/>
              </w:rPr>
              <w:t xml:space="preserve"> </w:t>
            </w:r>
            <w:r w:rsidRPr="005D6375">
              <w:rPr>
                <w:rFonts w:ascii="Arial Narrow" w:hAnsi="Arial Narrow"/>
                <w:sz w:val="20"/>
                <w:szCs w:val="20"/>
              </w:rPr>
              <w:fldChar w:fldCharType="begin" w:fldLock="1">
                <w:ffData>
                  <w:name w:val=""/>
                  <w:enabled/>
                  <w:calcOnExit w:val="0"/>
                  <w:checkBox>
                    <w:sizeAuto/>
                    <w:default w:val="1"/>
                  </w:checkBox>
                </w:ffData>
              </w:fldChar>
            </w:r>
            <w:r w:rsidRPr="005D6375">
              <w:rPr>
                <w:rFonts w:ascii="Arial Narrow" w:hAnsi="Arial Narrow"/>
                <w:sz w:val="20"/>
                <w:szCs w:val="20"/>
              </w:rPr>
              <w:instrText xml:space="preserve"> FORMCHECKBOX </w:instrText>
            </w:r>
            <w:r w:rsidRPr="005D6375">
              <w:rPr>
                <w:rFonts w:ascii="Arial Narrow" w:hAnsi="Arial Narrow"/>
                <w:sz w:val="20"/>
                <w:szCs w:val="20"/>
              </w:rPr>
            </w:r>
            <w:r w:rsidRPr="005D6375">
              <w:rPr>
                <w:rFonts w:ascii="Arial Narrow" w:hAnsi="Arial Narrow"/>
                <w:sz w:val="20"/>
                <w:szCs w:val="20"/>
              </w:rPr>
              <w:fldChar w:fldCharType="separate"/>
            </w:r>
            <w:r w:rsidRPr="005D6375">
              <w:rPr>
                <w:rFonts w:ascii="Arial Narrow" w:hAnsi="Arial Narrow"/>
                <w:sz w:val="20"/>
                <w:szCs w:val="20"/>
              </w:rPr>
              <w:fldChar w:fldCharType="end"/>
            </w:r>
            <w:r w:rsidRPr="005D6375">
              <w:rPr>
                <w:rFonts w:ascii="Arial Narrow" w:hAnsi="Arial Narrow"/>
                <w:sz w:val="20"/>
                <w:szCs w:val="20"/>
              </w:rPr>
              <w:t xml:space="preserve"> Medical Practitioners    </w:t>
            </w:r>
          </w:p>
        </w:tc>
      </w:tr>
      <w:tr w:rsidR="00633FA0" w:rsidRPr="007E6D75" w14:paraId="43D7DD8A" w14:textId="77777777" w:rsidTr="00391444">
        <w:trPr>
          <w:trHeight w:val="20"/>
        </w:trPr>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4CCE4AE3" w14:textId="77777777" w:rsidR="00633FA0" w:rsidRPr="005D6375" w:rsidRDefault="00633FA0" w:rsidP="00CC1644">
            <w:pPr>
              <w:rPr>
                <w:rFonts w:ascii="Arial Narrow" w:hAnsi="Arial Narrow"/>
                <w:sz w:val="20"/>
                <w:szCs w:val="20"/>
                <w:lang w:eastAsia="en-US"/>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1BD570" w14:textId="38FB0B76" w:rsidR="00633FA0" w:rsidRPr="005D6375" w:rsidRDefault="00633FA0" w:rsidP="00CC1644">
            <w:pPr>
              <w:rPr>
                <w:rFonts w:ascii="Arial Narrow" w:eastAsia="Calibri" w:hAnsi="Arial Narrow"/>
                <w:color w:val="FF00FF"/>
                <w:sz w:val="20"/>
                <w:szCs w:val="20"/>
              </w:rPr>
            </w:pPr>
            <w:r w:rsidRPr="005D6375">
              <w:rPr>
                <w:rFonts w:ascii="Arial Narrow" w:hAnsi="Arial Narrow"/>
                <w:b/>
                <w:sz w:val="20"/>
                <w:szCs w:val="20"/>
              </w:rPr>
              <w:t xml:space="preserve">Restriction type: </w:t>
            </w:r>
            <w:r w:rsidRPr="005D6375">
              <w:rPr>
                <w:rFonts w:ascii="Arial Narrow" w:eastAsia="Calibri" w:hAnsi="Arial Narrow"/>
                <w:color w:val="FF00FF"/>
                <w:sz w:val="20"/>
                <w:szCs w:val="20"/>
              </w:rPr>
              <w:t xml:space="preserve"> </w:t>
            </w:r>
            <w:r w:rsidRPr="005D6375">
              <w:rPr>
                <w:rFonts w:ascii="Arial Narrow" w:eastAsia="Calibri" w:hAnsi="Arial Narrow" w:cs="Arial"/>
                <w:sz w:val="20"/>
                <w:szCs w:val="20"/>
              </w:rPr>
              <w:fldChar w:fldCharType="begin" w:fldLock="1">
                <w:ffData>
                  <w:name w:val="Check3"/>
                  <w:enabled/>
                  <w:calcOnExit w:val="0"/>
                  <w:checkBox>
                    <w:sizeAuto/>
                    <w:default w:val="1"/>
                  </w:checkBox>
                </w:ffData>
              </w:fldChar>
            </w:r>
            <w:r w:rsidRPr="005D6375">
              <w:rPr>
                <w:rFonts w:ascii="Arial Narrow" w:eastAsia="Calibri" w:hAnsi="Arial Narrow"/>
                <w:sz w:val="20"/>
                <w:szCs w:val="20"/>
              </w:rPr>
              <w:instrText xml:space="preserve"> FORMCHECKBOX </w:instrText>
            </w:r>
            <w:r w:rsidRPr="005D6375">
              <w:rPr>
                <w:rFonts w:ascii="Arial Narrow" w:eastAsia="Calibri" w:hAnsi="Arial Narrow" w:cs="Arial"/>
                <w:sz w:val="20"/>
                <w:szCs w:val="20"/>
              </w:rPr>
            </w:r>
            <w:r w:rsidRPr="005D6375">
              <w:rPr>
                <w:rFonts w:ascii="Arial Narrow" w:eastAsia="Calibri" w:hAnsi="Arial Narrow" w:cs="Arial"/>
                <w:sz w:val="20"/>
                <w:szCs w:val="20"/>
              </w:rPr>
              <w:fldChar w:fldCharType="separate"/>
            </w:r>
            <w:r w:rsidRPr="005D6375">
              <w:rPr>
                <w:rFonts w:ascii="Arial Narrow" w:eastAsiaTheme="minorHAnsi" w:hAnsi="Arial Narrow"/>
                <w:sz w:val="20"/>
                <w:szCs w:val="20"/>
              </w:rPr>
              <w:fldChar w:fldCharType="end"/>
            </w:r>
            <w:r w:rsidRPr="005D6375">
              <w:rPr>
                <w:rFonts w:ascii="Arial Narrow" w:eastAsia="Calibri" w:hAnsi="Arial Narrow"/>
                <w:sz w:val="20"/>
                <w:szCs w:val="20"/>
              </w:rPr>
              <w:t xml:space="preserve"> Authority Required –</w:t>
            </w:r>
            <w:r w:rsidR="005D6375">
              <w:rPr>
                <w:rFonts w:ascii="Arial Narrow" w:eastAsia="Calibri" w:hAnsi="Arial Narrow"/>
                <w:sz w:val="20"/>
                <w:szCs w:val="20"/>
              </w:rPr>
              <w:t xml:space="preserve"> </w:t>
            </w:r>
            <w:r w:rsidRPr="005D6375">
              <w:rPr>
                <w:rFonts w:ascii="Arial Narrow" w:eastAsia="Calibri" w:hAnsi="Arial Narrow"/>
                <w:sz w:val="20"/>
                <w:szCs w:val="20"/>
              </w:rPr>
              <w:t xml:space="preserve">immediate/real-time assessment by Services Australia </w:t>
            </w:r>
          </w:p>
        </w:tc>
      </w:tr>
      <w:tr w:rsidR="00633FA0" w:rsidRPr="007E6D75" w14:paraId="6419EC02" w14:textId="77777777" w:rsidTr="00391444">
        <w:trPr>
          <w:trHeight w:val="20"/>
        </w:trPr>
        <w:tc>
          <w:tcPr>
            <w:tcW w:w="28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tcPr>
          <w:p w14:paraId="4B5AC548" w14:textId="293BFEB7" w:rsidR="00633FA0" w:rsidRPr="005D6375" w:rsidRDefault="00633FA0" w:rsidP="00CC1644">
            <w:pPr>
              <w:ind w:left="113" w:right="113"/>
              <w:jc w:val="cente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8EE70"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EFF8E9"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192CBB4B"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Instructions on the use of the Eczema Area and Severity Index and copyright details can be found here:</w:t>
            </w:r>
            <w:r w:rsidRPr="005D6375">
              <w:rPr>
                <w:rFonts w:ascii="Arial Narrow" w:hAnsi="Arial Narrow"/>
                <w:color w:val="BFBFBF" w:themeColor="background1" w:themeShade="BF"/>
                <w:sz w:val="20"/>
                <w:szCs w:val="20"/>
              </w:rPr>
              <w:t xml:space="preserve"> </w:t>
            </w:r>
            <w:r w:rsidRPr="005D6375">
              <w:rPr>
                <w:rFonts w:ascii="Arial Narrow" w:hAnsi="Arial Narrow"/>
                <w:color w:val="000000" w:themeColor="text1"/>
                <w:sz w:val="20"/>
                <w:szCs w:val="20"/>
              </w:rPr>
              <w:t>[insert sponsor-neutral location here or Pfizer ‘s contact details]</w:t>
            </w:r>
          </w:p>
        </w:tc>
      </w:tr>
      <w:tr w:rsidR="00633FA0" w:rsidRPr="007E6D75" w14:paraId="78884AA4" w14:textId="77777777" w:rsidTr="00391444">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517FF8AB" w14:textId="77777777" w:rsidR="00633FA0" w:rsidRPr="005D6375"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3A033" w14:textId="73AE0D83"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D58378"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2D215C4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Instructions on the use of the Dermatology Life Quality Index and copyright details can be found here:</w:t>
            </w:r>
          </w:p>
          <w:p w14:paraId="73DCCBE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https://www.cardiff.ac.uk/medicine/resources/quality-of-life-questionnaires/dermatology-life-quality-index</w:t>
            </w:r>
          </w:p>
        </w:tc>
      </w:tr>
      <w:tr w:rsidR="00633FA0" w:rsidRPr="007E6D75" w14:paraId="11579F4F" w14:textId="77777777" w:rsidTr="00391444">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FA4660C" w14:textId="77777777" w:rsidR="00633FA0" w:rsidRPr="005D6375"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EBA691" w14:textId="7749517F"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1B1B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p>
          <w:p w14:paraId="1DEC67D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633FA0" w:rsidRPr="007E6D75" w14:paraId="149F28C8" w14:textId="77777777" w:rsidTr="00391444">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69876021" w14:textId="77777777" w:rsidR="00633FA0" w:rsidRPr="005D6375"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FC84E" w14:textId="52C87F8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34048C"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r w:rsidRPr="005D6375">
              <w:rPr>
                <w:rFonts w:ascii="Arial Narrow" w:hAnsi="Arial Narrow"/>
                <w:color w:val="333333"/>
                <w:sz w:val="20"/>
                <w:szCs w:val="20"/>
              </w:rPr>
              <w:t xml:space="preserve"> No increase in the maximum quantity or number of units may be authorised.</w:t>
            </w:r>
          </w:p>
        </w:tc>
      </w:tr>
      <w:tr w:rsidR="00633FA0" w:rsidRPr="007E6D75" w14:paraId="3CD84AA5" w14:textId="77777777" w:rsidTr="00391444">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8EC43CB" w14:textId="77777777" w:rsidR="00633FA0" w:rsidRPr="005D6375"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192FE" w14:textId="70D14AC3"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108B9"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r w:rsidRPr="005D6375">
              <w:rPr>
                <w:rFonts w:ascii="Arial Narrow" w:hAnsi="Arial Narrow"/>
                <w:color w:val="333333"/>
                <w:sz w:val="20"/>
                <w:szCs w:val="20"/>
              </w:rPr>
              <w:t xml:space="preserve"> No increase in the maximum number of repeats may be authorised.</w:t>
            </w:r>
          </w:p>
        </w:tc>
      </w:tr>
      <w:tr w:rsidR="00633FA0" w:rsidRPr="007E6D75" w14:paraId="1C486866" w14:textId="77777777" w:rsidTr="00391444">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50B46094" w14:textId="77777777" w:rsidR="00633FA0" w:rsidRPr="005D6375" w:rsidRDefault="00633FA0" w:rsidP="00CC1644">
            <w:pPr>
              <w:rPr>
                <w:rFonts w:ascii="Arial Narrow" w:hAnsi="Arial Narrow"/>
                <w:b/>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9DB64" w14:textId="282E0A2F"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926C0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Administrative Advice:</w:t>
            </w:r>
            <w:r w:rsidRPr="005D6375">
              <w:rPr>
                <w:rFonts w:ascii="Arial Narrow" w:hAnsi="Arial Narrow"/>
                <w:color w:val="333333"/>
                <w:sz w:val="20"/>
                <w:szCs w:val="20"/>
              </w:rPr>
              <w:t xml:space="preserve"> Special Pricing Arrangements apply.</w:t>
            </w:r>
          </w:p>
        </w:tc>
      </w:tr>
      <w:tr w:rsidR="00633FA0" w:rsidRPr="007E6D75" w14:paraId="733A99C0"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D9C894" w14:textId="094983EB"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0A018" w14:textId="199F9AE1"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Indication:</w:t>
            </w:r>
            <w:r w:rsidRPr="005D6375">
              <w:rPr>
                <w:rFonts w:ascii="Arial Narrow" w:hAnsi="Arial Narrow"/>
                <w:color w:val="333333"/>
                <w:sz w:val="20"/>
                <w:szCs w:val="20"/>
              </w:rPr>
              <w:t xml:space="preserve"> Chronic severe atopic dermatitis</w:t>
            </w:r>
          </w:p>
        </w:tc>
      </w:tr>
      <w:tr w:rsidR="00633FA0" w:rsidRPr="007E6D75" w14:paraId="1552A39A"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93D35" w14:textId="77777777" w:rsidR="00633FA0" w:rsidRPr="005D6375" w:rsidRDefault="00633FA0" w:rsidP="00CC1644">
            <w:pP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1DE7CF"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Phase:</w:t>
            </w:r>
            <w:r w:rsidRPr="005D6375">
              <w:rPr>
                <w:rFonts w:ascii="Arial Narrow" w:hAnsi="Arial Narrow"/>
                <w:color w:val="333333"/>
                <w:sz w:val="20"/>
                <w:szCs w:val="20"/>
              </w:rPr>
              <w:t xml:space="preserve"> Continuing or resuming treatment with this drug of the whole body</w:t>
            </w:r>
          </w:p>
        </w:tc>
      </w:tr>
      <w:tr w:rsidR="00633FA0" w:rsidRPr="007E6D75" w14:paraId="50F445C7"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5B15A7" w14:textId="645695DA"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5A5ED1"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4FADD3FC"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5B291"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0454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received PBS-subsidised treatment with this therapy for the treatment of chronic severe atopic dermatitis affecting the whole body</w:t>
            </w:r>
          </w:p>
        </w:tc>
      </w:tr>
      <w:tr w:rsidR="00633FA0" w:rsidRPr="007E6D75" w14:paraId="53FA2BAC"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AA50AC"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5C66D"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5702D550"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6A4ACA" w14:textId="68BFB0F9"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3F109"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584E594F"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BE3F65"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92DDA7"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 xml:space="preserve">Patient must have achieved an adequate response prior to this first continuing treatment authority application; OR </w:t>
            </w:r>
          </w:p>
        </w:tc>
      </w:tr>
      <w:tr w:rsidR="00633FA0" w:rsidRPr="007E6D75" w14:paraId="543C8D74"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C51F76"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4E40F"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maintained an adequate response to their most recent supply of this therapy for this PBS indication if this is any Continuing treatment authority application other than the first; OR</w:t>
            </w:r>
          </w:p>
          <w:p w14:paraId="14BDE66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633FA0" w:rsidRPr="007E6D75" w14:paraId="564E682A"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0B7009"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D5DB63"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1D62BF72"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EEF33" w14:textId="1CF52610"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B2623"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22A9229B"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72AC3" w14:textId="03C1F2FB"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07D70"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60916BB0"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163E2" w14:textId="42933F61"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1AB3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0DCD0801"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DD2690"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1D442B"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51002005"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B8D4CD"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86610"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55C29F79"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9401A" w14:textId="77777777" w:rsidR="00633FA0" w:rsidRPr="005D6375" w:rsidRDefault="00633FA0" w:rsidP="00CC1644">
            <w:pPr>
              <w:jc w:val="center"/>
              <w:rPr>
                <w:rFonts w:ascii="Arial Narrow" w:hAnsi="Arial Narrow"/>
                <w:color w:val="333333"/>
                <w:sz w:val="20"/>
                <w:szCs w:val="20"/>
              </w:rPr>
            </w:pPr>
            <w:bookmarkStart w:id="96" w:name="_Hlk172817737"/>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7CE89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be undergoing treatment with this drug as the sole PBS-subsidised therapy with this PBS indication (combination with oral corticosteroids is permitted as these are not listed with the PBS indication: chronic severe atopic dermatitis).</w:t>
            </w:r>
          </w:p>
          <w:p w14:paraId="23F36C61" w14:textId="77777777" w:rsidR="00633FA0" w:rsidRPr="005D6375" w:rsidRDefault="00633FA0" w:rsidP="00CC1644">
            <w:pPr>
              <w:rPr>
                <w:rFonts w:ascii="Arial Narrow" w:hAnsi="Arial Narrow"/>
                <w:color w:val="333333"/>
                <w:sz w:val="20"/>
                <w:szCs w:val="20"/>
              </w:rPr>
            </w:pPr>
          </w:p>
          <w:p w14:paraId="4C918D52"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For the purposes of this restriction, an adequate response to treatment is defined as:</w:t>
            </w:r>
          </w:p>
          <w:p w14:paraId="06E75297"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(a) An improvement/maintenance in the Eczema Area and Severity Index (EASI) score of at least 50% compared to baseline; and</w:t>
            </w:r>
          </w:p>
          <w:p w14:paraId="73582F7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(b) An improvement/maintenance in Dermatology Life Quality Index (DLQI) score of at least 4 points compared to baseline</w:t>
            </w:r>
          </w:p>
          <w:p w14:paraId="1922B6F0" w14:textId="77777777" w:rsidR="00633FA0" w:rsidRPr="005D6375" w:rsidRDefault="00633FA0" w:rsidP="00CC1644">
            <w:pPr>
              <w:rPr>
                <w:rFonts w:ascii="Arial Narrow" w:hAnsi="Arial Narrow"/>
                <w:color w:val="333333"/>
                <w:sz w:val="20"/>
                <w:szCs w:val="20"/>
              </w:rPr>
            </w:pPr>
          </w:p>
          <w:p w14:paraId="63D0D7A6"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14:paraId="5DEDD990" w14:textId="77777777" w:rsidR="00633FA0" w:rsidRPr="005D6375" w:rsidRDefault="00633FA0" w:rsidP="00CC1644">
            <w:pPr>
              <w:rPr>
                <w:rFonts w:ascii="Arial Narrow" w:hAnsi="Arial Narrow"/>
                <w:color w:val="333333"/>
                <w:sz w:val="20"/>
                <w:szCs w:val="20"/>
              </w:rPr>
            </w:pPr>
          </w:p>
          <w:p w14:paraId="08C0567D"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State each of the current EASI and DLQI scores for this authority application.</w:t>
            </w:r>
          </w:p>
        </w:tc>
      </w:tr>
      <w:bookmarkEnd w:id="96"/>
      <w:tr w:rsidR="00633FA0" w:rsidRPr="007E6D75" w14:paraId="5EBAFEC4" w14:textId="77777777" w:rsidTr="00391444">
        <w:trPr>
          <w:trHeight w:val="20"/>
        </w:trPr>
        <w:tc>
          <w:tcPr>
            <w:tcW w:w="907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C31F9" w14:textId="77777777" w:rsidR="00633FA0" w:rsidRPr="005D6375" w:rsidRDefault="00633FA0" w:rsidP="00CC1644">
            <w:pPr>
              <w:rPr>
                <w:rFonts w:ascii="Arial Narrow" w:hAnsi="Arial Narrow"/>
                <w:b/>
                <w:bCs/>
                <w:color w:val="333333"/>
                <w:sz w:val="18"/>
                <w:szCs w:val="18"/>
              </w:rPr>
            </w:pPr>
          </w:p>
          <w:p w14:paraId="3F55EEE8" w14:textId="77777777" w:rsidR="00633FA0" w:rsidRPr="005D6375" w:rsidRDefault="00633FA0" w:rsidP="00CC1644">
            <w:pPr>
              <w:rPr>
                <w:rFonts w:ascii="Arial Narrow" w:hAnsi="Arial Narrow"/>
                <w:b/>
                <w:bCs/>
                <w:color w:val="333333"/>
                <w:sz w:val="18"/>
                <w:szCs w:val="18"/>
              </w:rPr>
            </w:pPr>
          </w:p>
        </w:tc>
      </w:tr>
      <w:tr w:rsidR="00633FA0" w:rsidRPr="007E6D75" w14:paraId="2E4F5960" w14:textId="77777777" w:rsidTr="00391444">
        <w:trPr>
          <w:trHeight w:val="20"/>
        </w:trPr>
        <w:tc>
          <w:tcPr>
            <w:tcW w:w="9077"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C7FCB"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lang w:val="en-GB"/>
              </w:rPr>
              <w:t>Restriction Summary: [New] / Treatment of Concept: [New]</w:t>
            </w:r>
          </w:p>
        </w:tc>
      </w:tr>
      <w:tr w:rsidR="00633FA0" w:rsidRPr="007E6D75" w14:paraId="658DDD5E"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248E6B" w14:textId="25F34EEC"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870D7" w14:textId="62921795"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Indication:</w:t>
            </w:r>
            <w:r w:rsidRPr="005D6375">
              <w:rPr>
                <w:rFonts w:ascii="Arial Narrow" w:hAnsi="Arial Narrow"/>
                <w:color w:val="333333"/>
                <w:sz w:val="20"/>
                <w:szCs w:val="20"/>
              </w:rPr>
              <w:t xml:space="preserve"> Chronic severe atopic dermatitis</w:t>
            </w:r>
          </w:p>
        </w:tc>
      </w:tr>
      <w:tr w:rsidR="00633FA0" w:rsidRPr="007E6D75" w14:paraId="7B07BF89"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24342"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AE1DD" w14:textId="77777777" w:rsidR="00633FA0" w:rsidRPr="005D6375" w:rsidRDefault="00633FA0" w:rsidP="00CC1644">
            <w:pPr>
              <w:rPr>
                <w:rFonts w:ascii="Arial Narrow" w:hAnsi="Arial Narrow"/>
                <w:color w:val="333333"/>
                <w:sz w:val="20"/>
                <w:szCs w:val="20"/>
              </w:rPr>
            </w:pPr>
            <w:r w:rsidRPr="005D6375">
              <w:rPr>
                <w:rFonts w:ascii="Arial Narrow" w:hAnsi="Arial Narrow"/>
                <w:b/>
                <w:bCs/>
                <w:color w:val="333333"/>
                <w:sz w:val="20"/>
                <w:szCs w:val="20"/>
              </w:rPr>
              <w:t>Treatment Phase:</w:t>
            </w:r>
            <w:r w:rsidRPr="005D6375">
              <w:rPr>
                <w:rFonts w:ascii="Arial Narrow" w:hAnsi="Arial Narrow"/>
                <w:color w:val="333333"/>
                <w:sz w:val="20"/>
                <w:szCs w:val="20"/>
              </w:rPr>
              <w:t xml:space="preserve"> Continuing or resuming treatment with this drug of the face and/or hands</w:t>
            </w:r>
          </w:p>
        </w:tc>
      </w:tr>
      <w:tr w:rsidR="00633FA0" w:rsidRPr="007E6D75" w14:paraId="56A7315B"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BEC51"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B5E1E0"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6A8F3569"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D47DF"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B31B7"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Patient must have received PBS-subsidised treatment with this therapy for the treatment of chronic severe atopic dermatitis affecting the face/hands,</w:t>
            </w:r>
          </w:p>
        </w:tc>
      </w:tr>
      <w:tr w:rsidR="00633FA0" w:rsidRPr="007E6D75" w14:paraId="53493876"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00E79F"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27683"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76FA1187"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7DB89"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DFA5A"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Clinical criteria:</w:t>
            </w:r>
          </w:p>
        </w:tc>
      </w:tr>
      <w:tr w:rsidR="00633FA0" w:rsidRPr="007E6D75" w14:paraId="2DC695CE"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F6924"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18916" w14:textId="77777777" w:rsidR="00633FA0" w:rsidRPr="005D6375" w:rsidRDefault="00633FA0" w:rsidP="00CC1644">
            <w:pPr>
              <w:pStyle w:val="TableText1"/>
              <w:spacing w:before="40" w:after="40"/>
              <w:rPr>
                <w:rFonts w:ascii="Arial Narrow" w:hAnsi="Arial Narrow" w:cs="Arial"/>
                <w:sz w:val="20"/>
                <w:szCs w:val="20"/>
                <w:lang w:val="en-US"/>
              </w:rPr>
            </w:pPr>
            <w:r w:rsidRPr="005D6375">
              <w:rPr>
                <w:rFonts w:ascii="Arial Narrow" w:hAnsi="Arial Narrow" w:cs="Arial"/>
                <w:sz w:val="20"/>
                <w:szCs w:val="20"/>
                <w:lang w:val="en-US"/>
              </w:rPr>
              <w:t>Patient must have achieved an adequate response prior to this first continuing treatment authority application; OR</w:t>
            </w:r>
          </w:p>
          <w:p w14:paraId="7924BFF8" w14:textId="77777777" w:rsidR="00633FA0" w:rsidRPr="005D6375" w:rsidRDefault="00633FA0" w:rsidP="00CC1644">
            <w:pPr>
              <w:pStyle w:val="TableText1"/>
              <w:spacing w:before="40" w:after="40"/>
              <w:rPr>
                <w:rFonts w:ascii="Arial Narrow" w:hAnsi="Arial Narrow" w:cs="Arial"/>
                <w:sz w:val="20"/>
                <w:szCs w:val="20"/>
                <w:lang w:val="en-US"/>
              </w:rPr>
            </w:pPr>
            <w:r w:rsidRPr="005D6375">
              <w:rPr>
                <w:rFonts w:ascii="Arial Narrow" w:hAnsi="Arial Narrow" w:cs="Arial"/>
                <w:sz w:val="20"/>
                <w:szCs w:val="20"/>
                <w:lang w:val="en-US"/>
              </w:rPr>
              <w:t>Patient must have maintained an adequate response to their most recent supply of this therapy for this PBS indication if this is any Continuing treatment authority application other than the first; OR</w:t>
            </w:r>
          </w:p>
          <w:p w14:paraId="11E58907" w14:textId="77777777" w:rsidR="00633FA0" w:rsidRPr="005D6375" w:rsidRDefault="00633FA0" w:rsidP="00CC1644">
            <w:pPr>
              <w:rPr>
                <w:rFonts w:ascii="Arial Narrow" w:hAnsi="Arial Narrow"/>
                <w:b/>
                <w:bCs/>
                <w:color w:val="333333"/>
                <w:sz w:val="20"/>
                <w:szCs w:val="20"/>
              </w:rPr>
            </w:pPr>
            <w:r w:rsidRPr="005D6375">
              <w:rPr>
                <w:rFonts w:ascii="Arial Narrow" w:hAnsi="Arial Narrow"/>
                <w:sz w:val="20"/>
                <w:szCs w:val="20"/>
                <w:lang w:val="en-US"/>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633FA0" w:rsidRPr="007E6D75" w14:paraId="14DEEA1F"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6DC585"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F564F"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7E6D75" w14:paraId="3A0B3855"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85D6F" w14:textId="02276FAE"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551AE"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5F522A9C"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7CF097" w14:textId="3DF425AD"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6B748"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dermatologist; OR</w:t>
            </w:r>
          </w:p>
        </w:tc>
      </w:tr>
      <w:tr w:rsidR="00633FA0" w:rsidRPr="007E6D75" w14:paraId="5A609E02"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397A43" w14:textId="5A5631EB"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44325" w14:textId="77777777" w:rsidR="00633FA0" w:rsidRPr="005D6375" w:rsidRDefault="00633FA0" w:rsidP="00CC1644">
            <w:pPr>
              <w:rPr>
                <w:rFonts w:ascii="Arial Narrow" w:hAnsi="Arial Narrow"/>
                <w:color w:val="333333"/>
                <w:sz w:val="20"/>
                <w:szCs w:val="20"/>
              </w:rPr>
            </w:pPr>
            <w:r w:rsidRPr="005D6375">
              <w:rPr>
                <w:rFonts w:ascii="Arial Narrow" w:hAnsi="Arial Narrow"/>
                <w:color w:val="333333"/>
                <w:sz w:val="20"/>
                <w:szCs w:val="20"/>
              </w:rPr>
              <w:t>Must be treated by a clinical immunologist</w:t>
            </w:r>
          </w:p>
        </w:tc>
      </w:tr>
      <w:tr w:rsidR="00633FA0" w:rsidRPr="007E6D75" w14:paraId="08129718"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A9C13"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26D95"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Treatment criteria:</w:t>
            </w:r>
          </w:p>
        </w:tc>
      </w:tr>
      <w:tr w:rsidR="00633FA0" w:rsidRPr="007E6D75" w14:paraId="0CE8ACE1"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B1C68"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D8D76" w14:textId="77777777" w:rsidR="00633FA0" w:rsidRPr="005D6375" w:rsidRDefault="00633FA0" w:rsidP="00CC1644">
            <w:pPr>
              <w:rPr>
                <w:rFonts w:ascii="Arial Narrow" w:hAnsi="Arial Narrow"/>
                <w:b/>
                <w:bCs/>
                <w:color w:val="333333"/>
                <w:sz w:val="20"/>
                <w:szCs w:val="20"/>
              </w:rPr>
            </w:pPr>
            <w:r w:rsidRPr="005D6375">
              <w:rPr>
                <w:rFonts w:ascii="Arial Narrow" w:hAnsi="Arial Narrow"/>
                <w:b/>
                <w:bCs/>
                <w:color w:val="333333"/>
                <w:sz w:val="20"/>
                <w:szCs w:val="20"/>
              </w:rPr>
              <w:t>AND</w:t>
            </w:r>
          </w:p>
        </w:tc>
      </w:tr>
      <w:tr w:rsidR="00633FA0" w:rsidRPr="00B022ED" w14:paraId="351AE804" w14:textId="77777777" w:rsidTr="00391444">
        <w:trPr>
          <w:trHeight w:val="20"/>
        </w:trPr>
        <w:tc>
          <w:tcPr>
            <w:tcW w:w="141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CF261" w14:textId="77777777" w:rsidR="00633FA0" w:rsidRPr="005D6375" w:rsidRDefault="00633FA0" w:rsidP="00CC1644">
            <w:pPr>
              <w:jc w:val="center"/>
              <w:rPr>
                <w:rFonts w:ascii="Arial Narrow" w:hAnsi="Arial Narrow"/>
                <w:color w:val="333333"/>
                <w:sz w:val="20"/>
                <w:szCs w:val="20"/>
              </w:rPr>
            </w:pPr>
          </w:p>
        </w:tc>
        <w:tc>
          <w:tcPr>
            <w:tcW w:w="765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B4763" w14:textId="77777777" w:rsidR="00633FA0" w:rsidRPr="005D6375" w:rsidRDefault="00633FA0" w:rsidP="00CC1644">
            <w:pPr>
              <w:pStyle w:val="TableText1"/>
              <w:spacing w:before="40" w:after="120"/>
              <w:rPr>
                <w:rFonts w:ascii="Arial Narrow" w:hAnsi="Arial Narrow" w:cs="Arial"/>
                <w:sz w:val="20"/>
                <w:szCs w:val="20"/>
                <w:lang w:val="en-US"/>
              </w:rPr>
            </w:pPr>
            <w:r w:rsidRPr="005D6375">
              <w:rPr>
                <w:rFonts w:ascii="Arial Narrow" w:hAnsi="Arial Narrow" w:cs="Arial"/>
                <w:sz w:val="20"/>
                <w:szCs w:val="20"/>
                <w:lang w:val="en-US"/>
              </w:rPr>
              <w:t>Patient must be undergoing treatment with this drug as the sole PBS-</w:t>
            </w:r>
            <w:proofErr w:type="spellStart"/>
            <w:r w:rsidRPr="005D6375">
              <w:rPr>
                <w:rFonts w:ascii="Arial Narrow" w:hAnsi="Arial Narrow" w:cs="Arial"/>
                <w:sz w:val="20"/>
                <w:szCs w:val="20"/>
                <w:lang w:val="en-US"/>
              </w:rPr>
              <w:t>subsidised</w:t>
            </w:r>
            <w:proofErr w:type="spellEnd"/>
            <w:r w:rsidRPr="005D6375">
              <w:rPr>
                <w:rFonts w:ascii="Arial Narrow" w:hAnsi="Arial Narrow" w:cs="Arial"/>
                <w:sz w:val="20"/>
                <w:szCs w:val="20"/>
                <w:lang w:val="en-US"/>
              </w:rPr>
              <w:t xml:space="preserve"> therapy with this PBS indication (combination with oral corticosteroids is permitted as these are not listed with the PBS indication: chronic severe atopic dermatitis).</w:t>
            </w:r>
          </w:p>
          <w:p w14:paraId="7D5E53C3" w14:textId="77777777" w:rsidR="00633FA0" w:rsidRPr="005D6375" w:rsidRDefault="00633FA0" w:rsidP="00CC1644">
            <w:pPr>
              <w:pStyle w:val="TableText1"/>
              <w:spacing w:before="40" w:after="120"/>
              <w:rPr>
                <w:rFonts w:ascii="Arial Narrow" w:hAnsi="Arial Narrow" w:cs="Arial"/>
                <w:sz w:val="20"/>
                <w:szCs w:val="20"/>
                <w:lang w:val="en-US"/>
              </w:rPr>
            </w:pPr>
            <w:r w:rsidRPr="005D6375">
              <w:rPr>
                <w:rFonts w:ascii="Arial Narrow" w:hAnsi="Arial Narrow" w:cs="Arial"/>
                <w:sz w:val="20"/>
                <w:szCs w:val="20"/>
                <w:lang w:val="en-US"/>
              </w:rPr>
              <w:t>For the purposes of this restriction, an adequate response to treatment of the face/hands is defined as:</w:t>
            </w:r>
          </w:p>
          <w:p w14:paraId="26C065E3" w14:textId="77777777" w:rsidR="00633FA0" w:rsidRPr="005D6375" w:rsidRDefault="00633FA0" w:rsidP="00CC1644">
            <w:pPr>
              <w:pStyle w:val="TableText1"/>
              <w:spacing w:before="40" w:after="120"/>
              <w:rPr>
                <w:rFonts w:ascii="Arial Narrow" w:hAnsi="Arial Narrow" w:cs="Arial"/>
                <w:sz w:val="20"/>
                <w:szCs w:val="20"/>
                <w:lang w:val="en-US"/>
              </w:rPr>
            </w:pPr>
            <w:r w:rsidRPr="005D6375">
              <w:rPr>
                <w:rFonts w:ascii="Arial Narrow" w:hAnsi="Arial Narrow" w:cs="Arial"/>
                <w:sz w:val="20"/>
                <w:szCs w:val="20"/>
                <w:lang w:val="en-US"/>
              </w:rPr>
              <w:t xml:space="preserve">(a) (i) A rating of either mild (1) to none (0) on at least 3 of the assessments of erythema, oedema/papulation, excoriation and </w:t>
            </w:r>
            <w:proofErr w:type="spellStart"/>
            <w:r w:rsidRPr="005D6375">
              <w:rPr>
                <w:rFonts w:ascii="Arial Narrow" w:hAnsi="Arial Narrow" w:cs="Arial"/>
                <w:sz w:val="20"/>
                <w:szCs w:val="20"/>
                <w:lang w:val="en-US"/>
              </w:rPr>
              <w:t>lichenification</w:t>
            </w:r>
            <w:proofErr w:type="spellEnd"/>
            <w:r w:rsidRPr="005D6375">
              <w:rPr>
                <w:rFonts w:ascii="Arial Narrow" w:hAnsi="Arial Narrow" w:cs="Arial"/>
                <w:sz w:val="20"/>
                <w:szCs w:val="20"/>
                <w:lang w:val="en-US"/>
              </w:rPr>
              <w:t xml:space="preserve"> mentioned in the Eczema Area and Severity Index (EASI); or</w:t>
            </w:r>
          </w:p>
          <w:p w14:paraId="3E118DA8" w14:textId="77777777" w:rsidR="00633FA0" w:rsidRPr="005D6375" w:rsidRDefault="00633FA0" w:rsidP="00CC1644">
            <w:pPr>
              <w:pStyle w:val="TableText1"/>
              <w:spacing w:before="40" w:after="120"/>
              <w:rPr>
                <w:rFonts w:ascii="Arial Narrow" w:hAnsi="Arial Narrow" w:cs="Arial"/>
                <w:sz w:val="20"/>
                <w:szCs w:val="20"/>
                <w:lang w:val="en-US"/>
              </w:rPr>
            </w:pPr>
            <w:r w:rsidRPr="005D6375">
              <w:rPr>
                <w:rFonts w:ascii="Arial Narrow" w:hAnsi="Arial Narrow" w:cs="Arial"/>
                <w:sz w:val="20"/>
                <w:szCs w:val="20"/>
                <w:lang w:val="en-US"/>
              </w:rPr>
              <w:t>(ii) At least a 75% reduction in the skin area affected by this condition compared to baseline; and</w:t>
            </w:r>
          </w:p>
          <w:p w14:paraId="427437DA" w14:textId="77777777" w:rsidR="00633FA0" w:rsidRPr="005D6375" w:rsidRDefault="00633FA0" w:rsidP="00CC1644">
            <w:pPr>
              <w:pStyle w:val="TableText1"/>
              <w:spacing w:before="40" w:after="120"/>
              <w:rPr>
                <w:rFonts w:ascii="Arial Narrow" w:hAnsi="Arial Narrow" w:cs="Arial"/>
                <w:sz w:val="20"/>
                <w:szCs w:val="20"/>
                <w:lang w:val="en-US"/>
              </w:rPr>
            </w:pPr>
            <w:r w:rsidRPr="005D6375">
              <w:rPr>
                <w:rFonts w:ascii="Arial Narrow" w:hAnsi="Arial Narrow" w:cs="Arial"/>
                <w:sz w:val="20"/>
                <w:szCs w:val="20"/>
                <w:lang w:val="en-US"/>
              </w:rPr>
              <w:lastRenderedPageBreak/>
              <w:t>(b) An improvement in Dermatology Life Quality Index (DLQI) score of at least 4 points compared to baseline</w:t>
            </w:r>
          </w:p>
          <w:p w14:paraId="7F8F8D85" w14:textId="77777777" w:rsidR="00633FA0" w:rsidRPr="005D6375" w:rsidRDefault="00633FA0" w:rsidP="00CC1644">
            <w:pPr>
              <w:rPr>
                <w:rFonts w:ascii="Arial Narrow" w:hAnsi="Arial Narrow"/>
                <w:sz w:val="20"/>
                <w:szCs w:val="20"/>
                <w:lang w:val="en-US"/>
              </w:rPr>
            </w:pPr>
            <w:r w:rsidRPr="005D6375">
              <w:rPr>
                <w:rFonts w:ascii="Arial Narrow" w:hAnsi="Arial Narrow"/>
                <w:sz w:val="20"/>
                <w:szCs w:val="20"/>
                <w:lang w:val="en-US"/>
              </w:rPr>
              <w:t>Where an initial baseline (post-topical corticosteroid, pre-biological medicine) DLQI score was not measured for a patient who had commenced treatment through a clinical trial, early access program or through private, non-PBS-</w:t>
            </w:r>
            <w:proofErr w:type="spellStart"/>
            <w:r w:rsidRPr="005D6375">
              <w:rPr>
                <w:rFonts w:ascii="Arial Narrow" w:hAnsi="Arial Narrow"/>
                <w:sz w:val="20"/>
                <w:szCs w:val="20"/>
                <w:lang w:val="en-US"/>
              </w:rPr>
              <w:t>subsidised</w:t>
            </w:r>
            <w:proofErr w:type="spellEnd"/>
            <w:r w:rsidRPr="005D6375">
              <w:rPr>
                <w:rFonts w:ascii="Arial Narrow" w:hAnsi="Arial Narrow"/>
                <w:sz w:val="20"/>
                <w:szCs w:val="20"/>
                <w:lang w:val="en-US"/>
              </w:rPr>
              <w:t xml:space="preserve"> supply, an absence of worsening in the current DLQI score compared to that measured at the time of the 'Grandfather listing' authority application will suffice as an adequate response for requirement (b) above.</w:t>
            </w:r>
          </w:p>
          <w:p w14:paraId="413513AA" w14:textId="77777777" w:rsidR="00633FA0" w:rsidRPr="005D6375" w:rsidRDefault="00633FA0" w:rsidP="00CC1644">
            <w:pPr>
              <w:rPr>
                <w:rFonts w:ascii="Arial Narrow" w:hAnsi="Arial Narrow"/>
                <w:sz w:val="20"/>
                <w:szCs w:val="20"/>
                <w:lang w:val="en-US"/>
              </w:rPr>
            </w:pPr>
          </w:p>
          <w:p w14:paraId="2C402D69" w14:textId="77777777" w:rsidR="00633FA0" w:rsidRPr="005D6375" w:rsidRDefault="00633FA0" w:rsidP="00CC1644">
            <w:pPr>
              <w:rPr>
                <w:rFonts w:ascii="Arial Narrow" w:hAnsi="Arial Narrow"/>
                <w:b/>
                <w:bCs/>
                <w:color w:val="333333"/>
                <w:sz w:val="20"/>
                <w:szCs w:val="20"/>
              </w:rPr>
            </w:pPr>
            <w:r w:rsidRPr="005D6375">
              <w:rPr>
                <w:rFonts w:ascii="Arial Narrow" w:hAnsi="Arial Narrow"/>
                <w:sz w:val="20"/>
                <w:szCs w:val="20"/>
                <w:lang w:val="en-US"/>
              </w:rPr>
              <w:t>Document each qualifying response measure in the patient’s medical records for PBS compliance auditing purposes</w:t>
            </w:r>
          </w:p>
        </w:tc>
      </w:tr>
    </w:tbl>
    <w:bookmarkEnd w:id="91"/>
    <w:p w14:paraId="46EF28A2" w14:textId="40A856EC" w:rsidR="00753B29" w:rsidRDefault="005D6375" w:rsidP="00FC64AE">
      <w:pPr>
        <w:spacing w:before="120" w:after="120"/>
        <w:rPr>
          <w:b/>
          <w:i/>
          <w:iCs/>
          <w:snapToGrid w:val="0"/>
          <w:lang w:val="en-GB" w:eastAsia="en-US"/>
        </w:rPr>
      </w:pPr>
      <w:r w:rsidRPr="00490D81">
        <w:rPr>
          <w:b/>
          <w:i/>
          <w:iCs/>
          <w:snapToGrid w:val="0"/>
          <w:lang w:val="en-GB" w:eastAsia="en-US"/>
        </w:rPr>
        <w:lastRenderedPageBreak/>
        <w:t>These restrictions may be subject to further review. Should there be any changes made to the restriction the sponsor will be informed.</w:t>
      </w:r>
    </w:p>
    <w:p w14:paraId="1AA0A8EC" w14:textId="77777777" w:rsidR="003678E8" w:rsidRPr="003678E8" w:rsidRDefault="003678E8" w:rsidP="003678E8">
      <w:pPr>
        <w:keepNext/>
        <w:numPr>
          <w:ilvl w:val="0"/>
          <w:numId w:val="1"/>
        </w:numPr>
        <w:spacing w:before="240" w:after="120"/>
        <w:outlineLvl w:val="0"/>
        <w:rPr>
          <w:b/>
          <w:bCs/>
          <w:snapToGrid w:val="0"/>
          <w:sz w:val="32"/>
          <w:szCs w:val="32"/>
          <w:lang w:val="en-GB"/>
        </w:rPr>
      </w:pPr>
      <w:bookmarkStart w:id="97" w:name="_Hlk175730821"/>
      <w:r w:rsidRPr="003678E8">
        <w:rPr>
          <w:b/>
          <w:bCs/>
          <w:snapToGrid w:val="0"/>
          <w:sz w:val="32"/>
          <w:szCs w:val="32"/>
        </w:rPr>
        <w:t>Context for Decision</w:t>
      </w:r>
    </w:p>
    <w:p w14:paraId="207D255A" w14:textId="77777777" w:rsidR="003678E8" w:rsidRPr="003678E8" w:rsidRDefault="003678E8" w:rsidP="003678E8">
      <w:pPr>
        <w:spacing w:after="120"/>
        <w:ind w:left="720"/>
        <w:rPr>
          <w:bCs/>
          <w:lang w:val="en-GB"/>
        </w:rPr>
      </w:pPr>
      <w:r w:rsidRPr="003678E8">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0EA956" w14:textId="77777777" w:rsidR="003678E8" w:rsidRPr="003678E8" w:rsidRDefault="003678E8" w:rsidP="003678E8">
      <w:pPr>
        <w:keepNext/>
        <w:numPr>
          <w:ilvl w:val="0"/>
          <w:numId w:val="1"/>
        </w:numPr>
        <w:spacing w:before="240" w:after="120"/>
        <w:outlineLvl w:val="0"/>
        <w:rPr>
          <w:b/>
          <w:snapToGrid w:val="0"/>
          <w:sz w:val="32"/>
          <w:szCs w:val="32"/>
        </w:rPr>
      </w:pPr>
      <w:r w:rsidRPr="003678E8">
        <w:rPr>
          <w:b/>
          <w:snapToGrid w:val="0"/>
          <w:sz w:val="32"/>
          <w:szCs w:val="32"/>
        </w:rPr>
        <w:t>Sponsor’s Comment</w:t>
      </w:r>
    </w:p>
    <w:p w14:paraId="32211180" w14:textId="4CAFD0DA" w:rsidR="002F75D2" w:rsidRPr="00391444" w:rsidRDefault="003678E8" w:rsidP="00391444">
      <w:pPr>
        <w:spacing w:after="120" w:line="276" w:lineRule="auto"/>
        <w:ind w:left="720"/>
        <w:rPr>
          <w:rFonts w:eastAsiaTheme="minorHAnsi"/>
          <w:bCs/>
          <w:szCs w:val="22"/>
          <w:lang w:eastAsia="en-US"/>
        </w:rPr>
      </w:pPr>
      <w:r w:rsidRPr="003678E8">
        <w:rPr>
          <w:rFonts w:eastAsiaTheme="minorHAnsi"/>
          <w:bCs/>
          <w:szCs w:val="22"/>
          <w:lang w:eastAsia="en-US"/>
        </w:rPr>
        <w:t>The sponsor had no comment.</w:t>
      </w:r>
      <w:bookmarkEnd w:id="97"/>
    </w:p>
    <w:sectPr w:rsidR="002F75D2" w:rsidRPr="00391444" w:rsidSect="00C904B4">
      <w:headerReference w:type="default" r:id="rId17"/>
      <w:footerReference w:type="default" r:id="rId18"/>
      <w:pgSz w:w="11906" w:h="16838"/>
      <w:pgMar w:top="1440" w:right="1440" w:bottom="1440" w:left="1440" w:header="1440" w:footer="1440" w:gutter="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8B5B" w14:textId="77777777" w:rsidR="00162AF9" w:rsidRDefault="00162AF9" w:rsidP="00124A51">
      <w:r>
        <w:separator/>
      </w:r>
    </w:p>
    <w:p w14:paraId="7AB619F1" w14:textId="77777777" w:rsidR="00162AF9" w:rsidRDefault="00162AF9"/>
  </w:endnote>
  <w:endnote w:type="continuationSeparator" w:id="0">
    <w:p w14:paraId="349600B1" w14:textId="77777777" w:rsidR="00162AF9" w:rsidRDefault="00162AF9" w:rsidP="00124A51">
      <w:r>
        <w:continuationSeparator/>
      </w:r>
    </w:p>
    <w:p w14:paraId="79A55845" w14:textId="77777777" w:rsidR="00162AF9" w:rsidRDefault="00162AF9"/>
  </w:endnote>
  <w:endnote w:type="continuationNotice" w:id="1">
    <w:p w14:paraId="24A22EB2" w14:textId="77777777" w:rsidR="00162AF9" w:rsidRDefault="00162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haker 2 Lance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77F1" w14:textId="77777777" w:rsidR="00392BEA" w:rsidRDefault="00392BEA" w:rsidP="00753B29">
    <w:pPr>
      <w:pStyle w:val="Footer"/>
      <w:jc w:val="center"/>
    </w:pPr>
  </w:p>
  <w:p w14:paraId="09731925" w14:textId="30972272" w:rsidR="00392BEA" w:rsidRPr="00DE7EAE" w:rsidRDefault="00391444" w:rsidP="006028D3">
    <w:pPr>
      <w:pStyle w:val="PageFooter"/>
      <w:rPr>
        <w:b w:val="0"/>
        <w:bCs/>
      </w:rPr>
    </w:pPr>
    <w:sdt>
      <w:sdtPr>
        <w:rPr>
          <w:b w:val="0"/>
          <w:bCs/>
        </w:rPr>
        <w:id w:val="-15772850"/>
        <w:docPartObj>
          <w:docPartGallery w:val="Page Numbers (Bottom of Page)"/>
          <w:docPartUnique/>
        </w:docPartObj>
      </w:sdtPr>
      <w:sdtEndPr>
        <w:rPr>
          <w:noProof/>
        </w:rPr>
      </w:sdtEndPr>
      <w:sdtContent>
        <w:r w:rsidR="00392BEA" w:rsidRPr="00DE7EAE">
          <w:rPr>
            <w:b w:val="0"/>
            <w:bCs/>
          </w:rPr>
          <w:fldChar w:fldCharType="begin"/>
        </w:r>
        <w:r w:rsidR="00392BEA" w:rsidRPr="00DE7EAE">
          <w:rPr>
            <w:b w:val="0"/>
            <w:bCs/>
          </w:rPr>
          <w:instrText xml:space="preserve"> PAGE   \* MERGEFORMAT </w:instrText>
        </w:r>
        <w:r w:rsidR="00392BEA" w:rsidRPr="00DE7EAE">
          <w:rPr>
            <w:b w:val="0"/>
            <w:bCs/>
          </w:rPr>
          <w:fldChar w:fldCharType="separate"/>
        </w:r>
        <w:r w:rsidR="00392BEA" w:rsidRPr="00DE7EAE">
          <w:rPr>
            <w:b w:val="0"/>
            <w:bCs/>
            <w:noProof/>
          </w:rPr>
          <w:t>2</w:t>
        </w:r>
        <w:r w:rsidR="00392BEA" w:rsidRPr="00DE7EAE">
          <w:rPr>
            <w:b w:val="0"/>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4978" w14:textId="77777777" w:rsidR="00162AF9" w:rsidRDefault="00162AF9" w:rsidP="00124A51">
      <w:r>
        <w:separator/>
      </w:r>
    </w:p>
    <w:p w14:paraId="478D5D81" w14:textId="77777777" w:rsidR="00162AF9" w:rsidRDefault="00162AF9"/>
  </w:footnote>
  <w:footnote w:type="continuationSeparator" w:id="0">
    <w:p w14:paraId="2CAC768B" w14:textId="77777777" w:rsidR="00162AF9" w:rsidRDefault="00162AF9" w:rsidP="00124A51">
      <w:r>
        <w:continuationSeparator/>
      </w:r>
    </w:p>
    <w:p w14:paraId="6F4C9014" w14:textId="77777777" w:rsidR="00162AF9" w:rsidRDefault="00162AF9"/>
  </w:footnote>
  <w:footnote w:type="continuationNotice" w:id="1">
    <w:p w14:paraId="2874E8EF" w14:textId="77777777" w:rsidR="00162AF9" w:rsidRDefault="00162AF9"/>
  </w:footnote>
  <w:footnote w:id="2">
    <w:p w14:paraId="00443D42" w14:textId="77777777" w:rsidR="0061175D" w:rsidRPr="0091041C" w:rsidRDefault="0061175D" w:rsidP="0061175D">
      <w:pPr>
        <w:pStyle w:val="FootnoteText"/>
        <w:rPr>
          <w:rFonts w:cstheme="minorHAnsi"/>
          <w:sz w:val="18"/>
          <w:szCs w:val="18"/>
        </w:rPr>
      </w:pPr>
      <w:r w:rsidRPr="0091041C">
        <w:rPr>
          <w:rStyle w:val="FootnoteReference"/>
          <w:rFonts w:cstheme="minorHAnsi"/>
          <w:sz w:val="18"/>
          <w:szCs w:val="18"/>
        </w:rPr>
        <w:footnoteRef/>
      </w:r>
      <w:r w:rsidRPr="0091041C">
        <w:rPr>
          <w:rFonts w:cstheme="minorHAnsi"/>
          <w:sz w:val="18"/>
          <w:szCs w:val="18"/>
        </w:rPr>
        <w:t xml:space="preserve"> The IGA is equivalent to the Physician’s Global Assessment (PGA) tool included in the PBS listing for ABRO.</w:t>
      </w:r>
    </w:p>
  </w:footnote>
  <w:footnote w:id="3">
    <w:p w14:paraId="39C7FBE1" w14:textId="77777777" w:rsidR="00347481" w:rsidRDefault="00347481" w:rsidP="00347481">
      <w:pPr>
        <w:pStyle w:val="FootnoteText"/>
      </w:pPr>
      <w:r>
        <w:rPr>
          <w:rStyle w:val="FootnoteReference"/>
        </w:rPr>
        <w:footnoteRef/>
      </w:r>
      <w:r>
        <w:t xml:space="preserve"> </w:t>
      </w:r>
      <w:r w:rsidRPr="0091041C">
        <w:rPr>
          <w:rFonts w:cstheme="minorHAnsi"/>
          <w:sz w:val="18"/>
          <w:szCs w:val="18"/>
        </w:rPr>
        <w:t>Alexis A, de Bruin-Weller M, et al. Rapidity of Improvement in Signs/Symptoms of Moderate-to-Severe Atopic Dermatitis by Body Region with ABRO in the Phase 3 JADE COMPARE Study. Dermatol Ther (</w:t>
      </w:r>
      <w:proofErr w:type="spellStart"/>
      <w:r w:rsidRPr="0091041C">
        <w:rPr>
          <w:rFonts w:cstheme="minorHAnsi"/>
          <w:sz w:val="18"/>
          <w:szCs w:val="18"/>
        </w:rPr>
        <w:t>Heidelb</w:t>
      </w:r>
      <w:proofErr w:type="spellEnd"/>
      <w:r w:rsidRPr="0091041C">
        <w:rPr>
          <w:rFonts w:cstheme="minorHAnsi"/>
          <w:sz w:val="18"/>
          <w:szCs w:val="18"/>
        </w:rPr>
        <w:t>). 2022;12(3):771-85.</w:t>
      </w:r>
    </w:p>
  </w:footnote>
  <w:footnote w:id="4">
    <w:p w14:paraId="689BD0D0" w14:textId="77777777" w:rsidR="0061175D" w:rsidRPr="0091041C" w:rsidRDefault="0061175D" w:rsidP="0061175D">
      <w:pPr>
        <w:pStyle w:val="FootnoteText"/>
        <w:rPr>
          <w:rFonts w:cstheme="minorHAnsi"/>
          <w:sz w:val="18"/>
          <w:szCs w:val="18"/>
        </w:rPr>
      </w:pPr>
      <w:r w:rsidRPr="0091041C">
        <w:rPr>
          <w:rStyle w:val="FootnoteReference"/>
          <w:rFonts w:cstheme="minorHAnsi"/>
          <w:sz w:val="18"/>
          <w:szCs w:val="18"/>
        </w:rPr>
        <w:footnoteRef/>
      </w:r>
      <w:r w:rsidRPr="0091041C">
        <w:rPr>
          <w:rFonts w:cstheme="minorHAnsi"/>
          <w:sz w:val="18"/>
          <w:szCs w:val="18"/>
        </w:rPr>
        <w:t xml:space="preserve"> The estimate and 95% CI for difference were calculated based on the weighted average of difference by disease severity group using the normal approximation of binomial proportions. 95% CI for the response rate was based on normal approximation (or the Clopper-Pearson exact method when there were 0 or 100% responders).</w:t>
      </w:r>
    </w:p>
  </w:footnote>
  <w:footnote w:id="5">
    <w:p w14:paraId="3CA6B1A6" w14:textId="77777777" w:rsidR="0061175D" w:rsidRPr="0091041C" w:rsidRDefault="0061175D" w:rsidP="0061175D">
      <w:pPr>
        <w:pStyle w:val="FootnoteText"/>
        <w:rPr>
          <w:rFonts w:cstheme="minorHAnsi"/>
          <w:sz w:val="18"/>
          <w:szCs w:val="18"/>
        </w:rPr>
      </w:pPr>
      <w:r w:rsidRPr="0091041C">
        <w:rPr>
          <w:rStyle w:val="FootnoteReference"/>
          <w:rFonts w:cstheme="minorHAnsi"/>
          <w:sz w:val="18"/>
          <w:szCs w:val="18"/>
        </w:rPr>
        <w:footnoteRef/>
      </w:r>
      <w:r w:rsidRPr="0091041C">
        <w:rPr>
          <w:rFonts w:cstheme="minorHAnsi"/>
          <w:sz w:val="18"/>
          <w:szCs w:val="18"/>
        </w:rPr>
        <w:t xml:space="preserve"> Alexis A, et al. Rapidity of Improvement in Signs/Symptoms of Moderate-to-Severe Atopic Dermatitis by Body Region with ABRO in the Phase 3 JADE COMPARE Study. Dermatol Ther (</w:t>
      </w:r>
      <w:proofErr w:type="spellStart"/>
      <w:r w:rsidRPr="0091041C">
        <w:rPr>
          <w:rFonts w:cstheme="minorHAnsi"/>
          <w:sz w:val="18"/>
          <w:szCs w:val="18"/>
        </w:rPr>
        <w:t>Heidelb</w:t>
      </w:r>
      <w:proofErr w:type="spellEnd"/>
      <w:r w:rsidRPr="0091041C">
        <w:rPr>
          <w:rFonts w:cstheme="minorHAnsi"/>
          <w:sz w:val="18"/>
          <w:szCs w:val="18"/>
        </w:rPr>
        <w:t>). 2022;12(3):771-85.</w:t>
      </w:r>
    </w:p>
  </w:footnote>
  <w:footnote w:id="6">
    <w:p w14:paraId="2254BCE0" w14:textId="77777777" w:rsidR="00ED5B11" w:rsidRPr="0091041C" w:rsidRDefault="00ED5B11" w:rsidP="00ED5B11">
      <w:pPr>
        <w:pStyle w:val="FootnoteText"/>
        <w:rPr>
          <w:rFonts w:cstheme="minorHAnsi"/>
          <w:i/>
          <w:iCs/>
          <w:sz w:val="18"/>
          <w:szCs w:val="18"/>
          <w:lang w:val="en-US"/>
        </w:rPr>
      </w:pPr>
      <w:r w:rsidRPr="0091041C">
        <w:rPr>
          <w:rStyle w:val="FootnoteReference"/>
          <w:rFonts w:cstheme="minorHAnsi"/>
          <w:i/>
          <w:iCs/>
          <w:sz w:val="18"/>
          <w:szCs w:val="18"/>
        </w:rPr>
        <w:footnoteRef/>
      </w:r>
      <w:r w:rsidRPr="0091041C">
        <w:rPr>
          <w:rFonts w:cstheme="minorHAnsi"/>
          <w:i/>
          <w:iCs/>
          <w:sz w:val="18"/>
          <w:szCs w:val="18"/>
        </w:rPr>
        <w:t xml:space="preserve">  Note that the results presented in Paragraphs 6.65, 6.67 and 6.69 are derived from post-hoc analyses conducted by the applicant specifically for the purposes of informing the PBAC consideration. These analyses were not part of the pre-specified statistical plans for JADE COMPARE or JADE DARE.  Interpretation of the results and their application should therefore be limited to seeking to understand the basis for the PBAC outcome and should not be used for any other purpose.</w:t>
      </w:r>
    </w:p>
  </w:footnote>
  <w:footnote w:id="7">
    <w:p w14:paraId="59E28D9C" w14:textId="4C55768C" w:rsidR="002B4652" w:rsidRPr="0091041C" w:rsidRDefault="002B4652" w:rsidP="002B4652">
      <w:pPr>
        <w:pStyle w:val="FootnoteText"/>
        <w:rPr>
          <w:rFonts w:cstheme="minorHAnsi"/>
          <w:i/>
          <w:iCs/>
          <w:sz w:val="18"/>
          <w:szCs w:val="18"/>
          <w:lang w:val="en-US"/>
        </w:rPr>
      </w:pPr>
      <w:r w:rsidRPr="0091041C">
        <w:rPr>
          <w:rStyle w:val="FootnoteReference"/>
          <w:rFonts w:cstheme="minorHAnsi"/>
          <w:i/>
          <w:iCs/>
          <w:sz w:val="18"/>
          <w:szCs w:val="18"/>
        </w:rPr>
        <w:footnoteRef/>
      </w:r>
      <w:r w:rsidRPr="0091041C">
        <w:rPr>
          <w:rFonts w:cstheme="minorHAnsi"/>
          <w:i/>
          <w:iCs/>
          <w:sz w:val="18"/>
          <w:szCs w:val="18"/>
        </w:rPr>
        <w:t xml:space="preserve"> Note that the results presented in </w:t>
      </w:r>
      <w:r w:rsidR="00565629" w:rsidRPr="0091041C">
        <w:rPr>
          <w:rFonts w:cstheme="minorHAnsi"/>
          <w:i/>
          <w:iCs/>
          <w:sz w:val="18"/>
          <w:szCs w:val="18"/>
        </w:rPr>
        <w:t>paragraph</w:t>
      </w:r>
      <w:r w:rsidRPr="0091041C">
        <w:rPr>
          <w:rFonts w:cstheme="minorHAnsi"/>
          <w:i/>
          <w:iCs/>
          <w:sz w:val="18"/>
          <w:szCs w:val="18"/>
        </w:rPr>
        <w:t xml:space="preserve"> 7.12 are derived from post-hoc analyses conducted by the applicant and during the evaluation specifically for the purposes of informing the PBAC consideration. These analyses were not part of the pre-specified statistical plans for JADE COMPARE or JADE DARE.  Interpretation of the results and their application should therefore be limited to seeking to understand the basis for the PBAC outcome and should not be used for any other purpose.</w:t>
      </w:r>
    </w:p>
  </w:footnote>
  <w:footnote w:id="8">
    <w:p w14:paraId="0C7BF232" w14:textId="05B1AFA1" w:rsidR="00952857" w:rsidRPr="0091041C" w:rsidRDefault="00952857" w:rsidP="00952857">
      <w:pPr>
        <w:pStyle w:val="FootnoteText"/>
        <w:rPr>
          <w:rFonts w:cstheme="minorHAnsi"/>
          <w:i/>
          <w:iCs/>
          <w:lang w:val="en-US"/>
        </w:rPr>
      </w:pPr>
      <w:r w:rsidRPr="0091041C">
        <w:rPr>
          <w:rStyle w:val="FootnoteReference"/>
          <w:rFonts w:cstheme="minorHAnsi"/>
          <w:i/>
          <w:iCs/>
        </w:rPr>
        <w:footnoteRef/>
      </w:r>
      <w:r w:rsidRPr="0091041C">
        <w:rPr>
          <w:rFonts w:cstheme="minorHAnsi"/>
          <w:i/>
          <w:iCs/>
        </w:rPr>
        <w:t xml:space="preserve">   </w:t>
      </w:r>
      <w:r w:rsidRPr="0091041C">
        <w:rPr>
          <w:rFonts w:cstheme="minorHAnsi"/>
          <w:i/>
          <w:iCs/>
          <w:sz w:val="18"/>
          <w:szCs w:val="18"/>
        </w:rPr>
        <w:t xml:space="preserve">Note that the results presented in </w:t>
      </w:r>
      <w:r w:rsidR="009B34C0" w:rsidRPr="0091041C">
        <w:rPr>
          <w:rFonts w:cstheme="minorHAnsi"/>
          <w:i/>
          <w:iCs/>
          <w:sz w:val="18"/>
          <w:szCs w:val="18"/>
        </w:rPr>
        <w:t>p</w:t>
      </w:r>
      <w:r w:rsidRPr="0091041C">
        <w:rPr>
          <w:rFonts w:cstheme="minorHAnsi"/>
          <w:i/>
          <w:iCs/>
          <w:sz w:val="18"/>
          <w:szCs w:val="18"/>
        </w:rPr>
        <w:t>aragraphs 7.18 and 7.19 are derived from post-hoc analyses conducted by the applicant and during the evaluation specifically for the purposes of informing the PBAC consideration. These analyses were not part of the pre-specified statistical plans for JADE COMPARE or JADE DARE.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1963" w14:textId="7F7E476F" w:rsidR="00C67610" w:rsidRPr="00C904B4" w:rsidRDefault="002F7A6C" w:rsidP="00B8673B">
    <w:pPr>
      <w:tabs>
        <w:tab w:val="center" w:pos="4513"/>
        <w:tab w:val="right" w:pos="9026"/>
      </w:tabs>
      <w:jc w:val="center"/>
      <w:rPr>
        <w:i/>
        <w:iCs/>
      </w:rPr>
    </w:pPr>
    <w:bookmarkStart w:id="98" w:name="_Hlk175733429"/>
    <w:r w:rsidRPr="00513E34">
      <w:rPr>
        <w:rFonts w:cstheme="minorHAnsi"/>
        <w:i/>
        <w:iCs/>
      </w:rPr>
      <w:t>Public Summary Document</w:t>
    </w:r>
    <w:bookmarkEnd w:id="98"/>
    <w:r w:rsidRPr="002F7A6C">
      <w:rPr>
        <w:i/>
        <w:iCs/>
      </w:rPr>
      <w:t xml:space="preserve"> </w:t>
    </w:r>
    <w:r w:rsidR="00B8673B">
      <w:rPr>
        <w:i/>
        <w:iCs/>
      </w:rPr>
      <w:t xml:space="preserve">– </w:t>
    </w:r>
    <w:r w:rsidR="00C67610" w:rsidRPr="00513E34">
      <w:rPr>
        <w:rFonts w:cstheme="minorHAnsi"/>
        <w:i/>
        <w:iCs/>
      </w:rPr>
      <w:t>November 2024 PBAC meeting</w:t>
    </w:r>
  </w:p>
  <w:p w14:paraId="034FD42F" w14:textId="77777777" w:rsidR="00C904B4" w:rsidRDefault="00C90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4387D5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C548F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9E4811"/>
    <w:multiLevelType w:val="hybridMultilevel"/>
    <w:tmpl w:val="F15CED6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EF4F41"/>
    <w:multiLevelType w:val="hybridMultilevel"/>
    <w:tmpl w:val="80966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83609"/>
    <w:multiLevelType w:val="hybridMultilevel"/>
    <w:tmpl w:val="CD92F24A"/>
    <w:lvl w:ilvl="0" w:tplc="A6D6EF4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C016E16"/>
    <w:multiLevelType w:val="hybridMultilevel"/>
    <w:tmpl w:val="0F78E1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3AB6F21"/>
    <w:multiLevelType w:val="hybridMultilevel"/>
    <w:tmpl w:val="26C012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97267F"/>
    <w:multiLevelType w:val="hybridMultilevel"/>
    <w:tmpl w:val="22E06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37C31E2"/>
    <w:multiLevelType w:val="hybridMultilevel"/>
    <w:tmpl w:val="E65E6146"/>
    <w:lvl w:ilvl="0" w:tplc="379A62C2">
      <w:start w:val="1"/>
      <w:numFmt w:val="bullet"/>
      <w:lvlText w:val=""/>
      <w:lvlJc w:val="left"/>
      <w:pPr>
        <w:ind w:left="720" w:hanging="360"/>
      </w:pPr>
      <w:rPr>
        <w:rFonts w:ascii="Symbol" w:hAnsi="Symbol"/>
      </w:rPr>
    </w:lvl>
    <w:lvl w:ilvl="1" w:tplc="211A6E8E">
      <w:start w:val="1"/>
      <w:numFmt w:val="bullet"/>
      <w:lvlText w:val=""/>
      <w:lvlJc w:val="left"/>
      <w:pPr>
        <w:ind w:left="720" w:hanging="360"/>
      </w:pPr>
      <w:rPr>
        <w:rFonts w:ascii="Symbol" w:hAnsi="Symbol"/>
      </w:rPr>
    </w:lvl>
    <w:lvl w:ilvl="2" w:tplc="9CEC7F56">
      <w:start w:val="1"/>
      <w:numFmt w:val="bullet"/>
      <w:lvlText w:val=""/>
      <w:lvlJc w:val="left"/>
      <w:pPr>
        <w:ind w:left="720" w:hanging="360"/>
      </w:pPr>
      <w:rPr>
        <w:rFonts w:ascii="Symbol" w:hAnsi="Symbol"/>
      </w:rPr>
    </w:lvl>
    <w:lvl w:ilvl="3" w:tplc="931C2732">
      <w:start w:val="1"/>
      <w:numFmt w:val="bullet"/>
      <w:lvlText w:val=""/>
      <w:lvlJc w:val="left"/>
      <w:pPr>
        <w:ind w:left="720" w:hanging="360"/>
      </w:pPr>
      <w:rPr>
        <w:rFonts w:ascii="Symbol" w:hAnsi="Symbol"/>
      </w:rPr>
    </w:lvl>
    <w:lvl w:ilvl="4" w:tplc="F0FC7570">
      <w:start w:val="1"/>
      <w:numFmt w:val="bullet"/>
      <w:lvlText w:val=""/>
      <w:lvlJc w:val="left"/>
      <w:pPr>
        <w:ind w:left="720" w:hanging="360"/>
      </w:pPr>
      <w:rPr>
        <w:rFonts w:ascii="Symbol" w:hAnsi="Symbol"/>
      </w:rPr>
    </w:lvl>
    <w:lvl w:ilvl="5" w:tplc="ADDA32D2">
      <w:start w:val="1"/>
      <w:numFmt w:val="bullet"/>
      <w:lvlText w:val=""/>
      <w:lvlJc w:val="left"/>
      <w:pPr>
        <w:ind w:left="720" w:hanging="360"/>
      </w:pPr>
      <w:rPr>
        <w:rFonts w:ascii="Symbol" w:hAnsi="Symbol"/>
      </w:rPr>
    </w:lvl>
    <w:lvl w:ilvl="6" w:tplc="F99ED038">
      <w:start w:val="1"/>
      <w:numFmt w:val="bullet"/>
      <w:lvlText w:val=""/>
      <w:lvlJc w:val="left"/>
      <w:pPr>
        <w:ind w:left="720" w:hanging="360"/>
      </w:pPr>
      <w:rPr>
        <w:rFonts w:ascii="Symbol" w:hAnsi="Symbol"/>
      </w:rPr>
    </w:lvl>
    <w:lvl w:ilvl="7" w:tplc="780CEE10">
      <w:start w:val="1"/>
      <w:numFmt w:val="bullet"/>
      <w:lvlText w:val=""/>
      <w:lvlJc w:val="left"/>
      <w:pPr>
        <w:ind w:left="720" w:hanging="360"/>
      </w:pPr>
      <w:rPr>
        <w:rFonts w:ascii="Symbol" w:hAnsi="Symbol"/>
      </w:rPr>
    </w:lvl>
    <w:lvl w:ilvl="8" w:tplc="A5403512">
      <w:start w:val="1"/>
      <w:numFmt w:val="bullet"/>
      <w:lvlText w:val=""/>
      <w:lvlJc w:val="left"/>
      <w:pPr>
        <w:ind w:left="720" w:hanging="360"/>
      </w:pPr>
      <w:rPr>
        <w:rFonts w:ascii="Symbol" w:hAnsi="Symbol"/>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25BFB"/>
    <w:multiLevelType w:val="hybridMultilevel"/>
    <w:tmpl w:val="76A87608"/>
    <w:lvl w:ilvl="0" w:tplc="22C4FD78">
      <w:start w:val="77"/>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27F609F"/>
    <w:multiLevelType w:val="hybridMultilevel"/>
    <w:tmpl w:val="CA3880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4915FEF"/>
    <w:multiLevelType w:val="multilevel"/>
    <w:tmpl w:val="F300D814"/>
    <w:lvl w:ilvl="0">
      <w:start w:val="1"/>
      <w:numFmt w:val="decimal"/>
      <w:lvlText w:val="%1"/>
      <w:lvlJc w:val="left"/>
      <w:pPr>
        <w:ind w:left="862"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ED3987"/>
    <w:multiLevelType w:val="hybridMultilevel"/>
    <w:tmpl w:val="5A84D434"/>
    <w:lvl w:ilvl="0" w:tplc="514A0DB2">
      <w:start w:val="1"/>
      <w:numFmt w:val="bullet"/>
      <w:lvlText w:val=""/>
      <w:lvlJc w:val="left"/>
      <w:pPr>
        <w:ind w:left="1080" w:hanging="360"/>
      </w:pPr>
      <w:rPr>
        <w:rFonts w:ascii="Symbol" w:hAnsi="Symbol"/>
      </w:rPr>
    </w:lvl>
    <w:lvl w:ilvl="1" w:tplc="A7FE5E88">
      <w:start w:val="1"/>
      <w:numFmt w:val="bullet"/>
      <w:lvlText w:val=""/>
      <w:lvlJc w:val="left"/>
      <w:pPr>
        <w:ind w:left="1080" w:hanging="360"/>
      </w:pPr>
      <w:rPr>
        <w:rFonts w:ascii="Symbol" w:hAnsi="Symbol"/>
      </w:rPr>
    </w:lvl>
    <w:lvl w:ilvl="2" w:tplc="1B74A226">
      <w:start w:val="1"/>
      <w:numFmt w:val="bullet"/>
      <w:lvlText w:val=""/>
      <w:lvlJc w:val="left"/>
      <w:pPr>
        <w:ind w:left="1080" w:hanging="360"/>
      </w:pPr>
      <w:rPr>
        <w:rFonts w:ascii="Symbol" w:hAnsi="Symbol"/>
      </w:rPr>
    </w:lvl>
    <w:lvl w:ilvl="3" w:tplc="1D824790">
      <w:start w:val="1"/>
      <w:numFmt w:val="bullet"/>
      <w:lvlText w:val=""/>
      <w:lvlJc w:val="left"/>
      <w:pPr>
        <w:ind w:left="1080" w:hanging="360"/>
      </w:pPr>
      <w:rPr>
        <w:rFonts w:ascii="Symbol" w:hAnsi="Symbol"/>
      </w:rPr>
    </w:lvl>
    <w:lvl w:ilvl="4" w:tplc="D07C9A46">
      <w:start w:val="1"/>
      <w:numFmt w:val="bullet"/>
      <w:lvlText w:val=""/>
      <w:lvlJc w:val="left"/>
      <w:pPr>
        <w:ind w:left="1080" w:hanging="360"/>
      </w:pPr>
      <w:rPr>
        <w:rFonts w:ascii="Symbol" w:hAnsi="Symbol"/>
      </w:rPr>
    </w:lvl>
    <w:lvl w:ilvl="5" w:tplc="142C21F2">
      <w:start w:val="1"/>
      <w:numFmt w:val="bullet"/>
      <w:lvlText w:val=""/>
      <w:lvlJc w:val="left"/>
      <w:pPr>
        <w:ind w:left="1080" w:hanging="360"/>
      </w:pPr>
      <w:rPr>
        <w:rFonts w:ascii="Symbol" w:hAnsi="Symbol"/>
      </w:rPr>
    </w:lvl>
    <w:lvl w:ilvl="6" w:tplc="C0B0A75A">
      <w:start w:val="1"/>
      <w:numFmt w:val="bullet"/>
      <w:lvlText w:val=""/>
      <w:lvlJc w:val="left"/>
      <w:pPr>
        <w:ind w:left="1080" w:hanging="360"/>
      </w:pPr>
      <w:rPr>
        <w:rFonts w:ascii="Symbol" w:hAnsi="Symbol"/>
      </w:rPr>
    </w:lvl>
    <w:lvl w:ilvl="7" w:tplc="DC344BBC">
      <w:start w:val="1"/>
      <w:numFmt w:val="bullet"/>
      <w:lvlText w:val=""/>
      <w:lvlJc w:val="left"/>
      <w:pPr>
        <w:ind w:left="1080" w:hanging="360"/>
      </w:pPr>
      <w:rPr>
        <w:rFonts w:ascii="Symbol" w:hAnsi="Symbol"/>
      </w:rPr>
    </w:lvl>
    <w:lvl w:ilvl="8" w:tplc="D1847216">
      <w:start w:val="1"/>
      <w:numFmt w:val="bullet"/>
      <w:lvlText w:val=""/>
      <w:lvlJc w:val="left"/>
      <w:pPr>
        <w:ind w:left="1080" w:hanging="360"/>
      </w:pPr>
      <w:rPr>
        <w:rFonts w:ascii="Symbol" w:hAnsi="Symbol"/>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84D033C"/>
    <w:multiLevelType w:val="multilevel"/>
    <w:tmpl w:val="0ACA409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357504"/>
    <w:multiLevelType w:val="multilevel"/>
    <w:tmpl w:val="53ECF146"/>
    <w:lvl w:ilvl="0">
      <w:start w:val="1"/>
      <w:numFmt w:val="decimal"/>
      <w:lvlText w:val="%1"/>
      <w:lvlJc w:val="left"/>
      <w:pPr>
        <w:ind w:left="720" w:hanging="720"/>
      </w:pPr>
      <w:rPr>
        <w:rFonts w:hint="default"/>
        <w:b/>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CE7092"/>
    <w:multiLevelType w:val="hybridMultilevel"/>
    <w:tmpl w:val="CA20E7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22"/>
  </w:num>
  <w:num w:numId="2" w16cid:durableId="917793048">
    <w:abstractNumId w:val="13"/>
  </w:num>
  <w:num w:numId="3" w16cid:durableId="263461728">
    <w:abstractNumId w:val="1"/>
  </w:num>
  <w:num w:numId="4" w16cid:durableId="220360847">
    <w:abstractNumId w:val="18"/>
  </w:num>
  <w:num w:numId="5" w16cid:durableId="268196418">
    <w:abstractNumId w:val="9"/>
  </w:num>
  <w:num w:numId="6" w16cid:durableId="1048839230">
    <w:abstractNumId w:val="22"/>
  </w:num>
  <w:num w:numId="7" w16cid:durableId="682320075">
    <w:abstractNumId w:val="0"/>
  </w:num>
  <w:num w:numId="8" w16cid:durableId="832453677">
    <w:abstractNumId w:val="17"/>
  </w:num>
  <w:num w:numId="9" w16cid:durableId="1986810770">
    <w:abstractNumId w:val="5"/>
  </w:num>
  <w:num w:numId="10" w16cid:durableId="1115634952">
    <w:abstractNumId w:val="4"/>
  </w:num>
  <w:num w:numId="11" w16cid:durableId="1445266593">
    <w:abstractNumId w:val="11"/>
  </w:num>
  <w:num w:numId="12" w16cid:durableId="1599170541">
    <w:abstractNumId w:val="23"/>
  </w:num>
  <w:num w:numId="13" w16cid:durableId="672413322">
    <w:abstractNumId w:val="19"/>
  </w:num>
  <w:num w:numId="14" w16cid:durableId="1068066804">
    <w:abstractNumId w:val="7"/>
  </w:num>
  <w:num w:numId="15" w16cid:durableId="1560020781">
    <w:abstractNumId w:val="2"/>
  </w:num>
  <w:num w:numId="16" w16cid:durableId="2084402226">
    <w:abstractNumId w:val="24"/>
  </w:num>
  <w:num w:numId="17" w16cid:durableId="408699874">
    <w:abstractNumId w:val="15"/>
  </w:num>
  <w:num w:numId="18" w16cid:durableId="1569418770">
    <w:abstractNumId w:val="3"/>
  </w:num>
  <w:num w:numId="19" w16cid:durableId="1979457665">
    <w:abstractNumId w:val="8"/>
  </w:num>
  <w:num w:numId="20" w16cid:durableId="2038313566">
    <w:abstractNumId w:val="6"/>
  </w:num>
  <w:num w:numId="21"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21"/>
  </w:num>
  <w:num w:numId="23" w16cid:durableId="1297099882">
    <w:abstractNumId w:val="14"/>
  </w:num>
  <w:num w:numId="24" w16cid:durableId="604269202">
    <w:abstractNumId w:val="10"/>
  </w:num>
  <w:num w:numId="25" w16cid:durableId="1360004952">
    <w:abstractNumId w:val="22"/>
  </w:num>
  <w:num w:numId="26" w16cid:durableId="93286096">
    <w:abstractNumId w:val="22"/>
  </w:num>
  <w:num w:numId="27" w16cid:durableId="1681928360">
    <w:abstractNumId w:val="22"/>
  </w:num>
  <w:num w:numId="28" w16cid:durableId="264267302">
    <w:abstractNumId w:val="20"/>
  </w:num>
  <w:num w:numId="29" w16cid:durableId="76554130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afrafatvx09iexpad5fvpbzz9fvxtxrs2e&quot;&gt;Abrocitinib commentary&lt;record-ids&gt;&lt;item&gt;1&lt;/item&gt;&lt;item&gt;2&lt;/item&gt;&lt;item&gt;3&lt;/item&gt;&lt;item&gt;9&lt;/item&gt;&lt;item&gt;19&lt;/item&gt;&lt;item&gt;20&lt;/item&gt;&lt;item&gt;21&lt;/item&gt;&lt;item&gt;22&lt;/item&gt;&lt;item&gt;23&lt;/item&gt;&lt;item&gt;24&lt;/item&gt;&lt;/record-ids&gt;&lt;/item&gt;&lt;item db-id=&quot;zfrrxpfzmfar26ewpdxp2r2qx95fa2wpdt2d&quot;&gt;Abrocitinib&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record-ids&gt;&lt;/item&gt;&lt;/Libraries&gt;"/>
    <w:docVar w:name="EN.UseJSCitationFormat" w:val="False"/>
  </w:docVars>
  <w:rsids>
    <w:rsidRoot w:val="00E65E79"/>
    <w:rsid w:val="00000790"/>
    <w:rsid w:val="0000110B"/>
    <w:rsid w:val="00001EB8"/>
    <w:rsid w:val="00002753"/>
    <w:rsid w:val="00003499"/>
    <w:rsid w:val="000039B7"/>
    <w:rsid w:val="00003E7C"/>
    <w:rsid w:val="0000415E"/>
    <w:rsid w:val="00004285"/>
    <w:rsid w:val="00005225"/>
    <w:rsid w:val="000052E9"/>
    <w:rsid w:val="000056B9"/>
    <w:rsid w:val="00005A76"/>
    <w:rsid w:val="0000639A"/>
    <w:rsid w:val="000064C9"/>
    <w:rsid w:val="0000729D"/>
    <w:rsid w:val="00007498"/>
    <w:rsid w:val="0001185D"/>
    <w:rsid w:val="00012F8A"/>
    <w:rsid w:val="00013247"/>
    <w:rsid w:val="00013492"/>
    <w:rsid w:val="00013CD1"/>
    <w:rsid w:val="00015886"/>
    <w:rsid w:val="000162EF"/>
    <w:rsid w:val="00016741"/>
    <w:rsid w:val="000207C9"/>
    <w:rsid w:val="00020D2A"/>
    <w:rsid w:val="00021591"/>
    <w:rsid w:val="00022080"/>
    <w:rsid w:val="00022154"/>
    <w:rsid w:val="0002225F"/>
    <w:rsid w:val="00022C0C"/>
    <w:rsid w:val="000232CA"/>
    <w:rsid w:val="00023763"/>
    <w:rsid w:val="00024BD4"/>
    <w:rsid w:val="00024E30"/>
    <w:rsid w:val="00024EB5"/>
    <w:rsid w:val="000251B4"/>
    <w:rsid w:val="00026004"/>
    <w:rsid w:val="00026CBD"/>
    <w:rsid w:val="00026FAD"/>
    <w:rsid w:val="000274B8"/>
    <w:rsid w:val="00027B05"/>
    <w:rsid w:val="000309DB"/>
    <w:rsid w:val="00030B8F"/>
    <w:rsid w:val="00032C2A"/>
    <w:rsid w:val="00033863"/>
    <w:rsid w:val="000339F6"/>
    <w:rsid w:val="00033C26"/>
    <w:rsid w:val="000347D0"/>
    <w:rsid w:val="000351AB"/>
    <w:rsid w:val="0003551C"/>
    <w:rsid w:val="00035DC0"/>
    <w:rsid w:val="00036743"/>
    <w:rsid w:val="00036829"/>
    <w:rsid w:val="00036A30"/>
    <w:rsid w:val="000403C4"/>
    <w:rsid w:val="00040895"/>
    <w:rsid w:val="00040CC8"/>
    <w:rsid w:val="00040E0A"/>
    <w:rsid w:val="000410A0"/>
    <w:rsid w:val="00041A2A"/>
    <w:rsid w:val="00042D52"/>
    <w:rsid w:val="0004301C"/>
    <w:rsid w:val="000435EE"/>
    <w:rsid w:val="00043659"/>
    <w:rsid w:val="00043943"/>
    <w:rsid w:val="00043AE9"/>
    <w:rsid w:val="00043C37"/>
    <w:rsid w:val="000443F1"/>
    <w:rsid w:val="00044C5A"/>
    <w:rsid w:val="00045017"/>
    <w:rsid w:val="000452E8"/>
    <w:rsid w:val="00045A2B"/>
    <w:rsid w:val="00045DB4"/>
    <w:rsid w:val="00046571"/>
    <w:rsid w:val="0004698F"/>
    <w:rsid w:val="00046D64"/>
    <w:rsid w:val="00046D66"/>
    <w:rsid w:val="000474A4"/>
    <w:rsid w:val="000503F3"/>
    <w:rsid w:val="0005047C"/>
    <w:rsid w:val="000508C2"/>
    <w:rsid w:val="00050E40"/>
    <w:rsid w:val="00050F32"/>
    <w:rsid w:val="00050F97"/>
    <w:rsid w:val="000521A7"/>
    <w:rsid w:val="000528BE"/>
    <w:rsid w:val="000539D0"/>
    <w:rsid w:val="00054621"/>
    <w:rsid w:val="000546D7"/>
    <w:rsid w:val="000547C6"/>
    <w:rsid w:val="00054861"/>
    <w:rsid w:val="00054A8D"/>
    <w:rsid w:val="000552DD"/>
    <w:rsid w:val="00056932"/>
    <w:rsid w:val="00056ECF"/>
    <w:rsid w:val="0006034C"/>
    <w:rsid w:val="000604DF"/>
    <w:rsid w:val="0006117D"/>
    <w:rsid w:val="00062324"/>
    <w:rsid w:val="00062596"/>
    <w:rsid w:val="000627E7"/>
    <w:rsid w:val="000653B5"/>
    <w:rsid w:val="00065F7F"/>
    <w:rsid w:val="00066360"/>
    <w:rsid w:val="000664D4"/>
    <w:rsid w:val="000668FB"/>
    <w:rsid w:val="00066AF8"/>
    <w:rsid w:val="00066F85"/>
    <w:rsid w:val="00067F5B"/>
    <w:rsid w:val="00070C35"/>
    <w:rsid w:val="00071248"/>
    <w:rsid w:val="000720B9"/>
    <w:rsid w:val="00072210"/>
    <w:rsid w:val="0007287B"/>
    <w:rsid w:val="00073424"/>
    <w:rsid w:val="000737F7"/>
    <w:rsid w:val="00074079"/>
    <w:rsid w:val="00074FD7"/>
    <w:rsid w:val="000765DC"/>
    <w:rsid w:val="0007672F"/>
    <w:rsid w:val="00076B54"/>
    <w:rsid w:val="000774F0"/>
    <w:rsid w:val="00080909"/>
    <w:rsid w:val="00080F2F"/>
    <w:rsid w:val="000812CA"/>
    <w:rsid w:val="00081E63"/>
    <w:rsid w:val="0008247D"/>
    <w:rsid w:val="0008258D"/>
    <w:rsid w:val="00082DC1"/>
    <w:rsid w:val="0008327A"/>
    <w:rsid w:val="00083318"/>
    <w:rsid w:val="000835DD"/>
    <w:rsid w:val="000838B0"/>
    <w:rsid w:val="00083DAF"/>
    <w:rsid w:val="00083E99"/>
    <w:rsid w:val="000841F8"/>
    <w:rsid w:val="00084FA8"/>
    <w:rsid w:val="000856C5"/>
    <w:rsid w:val="00085C31"/>
    <w:rsid w:val="0008673A"/>
    <w:rsid w:val="000902D9"/>
    <w:rsid w:val="00090C7E"/>
    <w:rsid w:val="00090E8C"/>
    <w:rsid w:val="000911AC"/>
    <w:rsid w:val="00091425"/>
    <w:rsid w:val="00092600"/>
    <w:rsid w:val="0009262B"/>
    <w:rsid w:val="00093310"/>
    <w:rsid w:val="00093691"/>
    <w:rsid w:val="0009445C"/>
    <w:rsid w:val="00094AF5"/>
    <w:rsid w:val="00094BA2"/>
    <w:rsid w:val="00094CB4"/>
    <w:rsid w:val="00094F2B"/>
    <w:rsid w:val="0009506C"/>
    <w:rsid w:val="000951D7"/>
    <w:rsid w:val="00095200"/>
    <w:rsid w:val="000954FA"/>
    <w:rsid w:val="00095FE5"/>
    <w:rsid w:val="00096284"/>
    <w:rsid w:val="00096C28"/>
    <w:rsid w:val="00096D32"/>
    <w:rsid w:val="00097FD6"/>
    <w:rsid w:val="000A1BC0"/>
    <w:rsid w:val="000A2729"/>
    <w:rsid w:val="000A2952"/>
    <w:rsid w:val="000A2F9E"/>
    <w:rsid w:val="000A3E47"/>
    <w:rsid w:val="000A4939"/>
    <w:rsid w:val="000A522B"/>
    <w:rsid w:val="000A6039"/>
    <w:rsid w:val="000A7453"/>
    <w:rsid w:val="000A7D08"/>
    <w:rsid w:val="000B0121"/>
    <w:rsid w:val="000B0543"/>
    <w:rsid w:val="000B0670"/>
    <w:rsid w:val="000B0C69"/>
    <w:rsid w:val="000B0E75"/>
    <w:rsid w:val="000B14EF"/>
    <w:rsid w:val="000B1E33"/>
    <w:rsid w:val="000B1F4D"/>
    <w:rsid w:val="000B22B4"/>
    <w:rsid w:val="000B2DCB"/>
    <w:rsid w:val="000B36F2"/>
    <w:rsid w:val="000B375E"/>
    <w:rsid w:val="000B3E26"/>
    <w:rsid w:val="000B44E5"/>
    <w:rsid w:val="000B47EE"/>
    <w:rsid w:val="000B4C56"/>
    <w:rsid w:val="000B5CE0"/>
    <w:rsid w:val="000B65D2"/>
    <w:rsid w:val="000B6BA3"/>
    <w:rsid w:val="000B6CAC"/>
    <w:rsid w:val="000B7612"/>
    <w:rsid w:val="000B7659"/>
    <w:rsid w:val="000B78AE"/>
    <w:rsid w:val="000B7A76"/>
    <w:rsid w:val="000B7DD8"/>
    <w:rsid w:val="000C12EC"/>
    <w:rsid w:val="000C2257"/>
    <w:rsid w:val="000C36E5"/>
    <w:rsid w:val="000C3DF9"/>
    <w:rsid w:val="000C444C"/>
    <w:rsid w:val="000C4CF2"/>
    <w:rsid w:val="000C56C9"/>
    <w:rsid w:val="000C5D60"/>
    <w:rsid w:val="000C639A"/>
    <w:rsid w:val="000C6713"/>
    <w:rsid w:val="000C7062"/>
    <w:rsid w:val="000C7A7B"/>
    <w:rsid w:val="000C7E74"/>
    <w:rsid w:val="000D011F"/>
    <w:rsid w:val="000D14AD"/>
    <w:rsid w:val="000D195B"/>
    <w:rsid w:val="000D1BFC"/>
    <w:rsid w:val="000D1D5D"/>
    <w:rsid w:val="000D281A"/>
    <w:rsid w:val="000D2848"/>
    <w:rsid w:val="000D326A"/>
    <w:rsid w:val="000D3433"/>
    <w:rsid w:val="000D51FB"/>
    <w:rsid w:val="000D5BE6"/>
    <w:rsid w:val="000D68F0"/>
    <w:rsid w:val="000D6CD0"/>
    <w:rsid w:val="000D7215"/>
    <w:rsid w:val="000E0107"/>
    <w:rsid w:val="000E0506"/>
    <w:rsid w:val="000E0640"/>
    <w:rsid w:val="000E135D"/>
    <w:rsid w:val="000E17D6"/>
    <w:rsid w:val="000E1849"/>
    <w:rsid w:val="000E189D"/>
    <w:rsid w:val="000E2121"/>
    <w:rsid w:val="000E2403"/>
    <w:rsid w:val="000E24A9"/>
    <w:rsid w:val="000E292B"/>
    <w:rsid w:val="000E2BAD"/>
    <w:rsid w:val="000E4A74"/>
    <w:rsid w:val="000E4D2D"/>
    <w:rsid w:val="000E51F0"/>
    <w:rsid w:val="000E6015"/>
    <w:rsid w:val="000E739C"/>
    <w:rsid w:val="000F00BA"/>
    <w:rsid w:val="000F02B5"/>
    <w:rsid w:val="000F0336"/>
    <w:rsid w:val="000F2CCD"/>
    <w:rsid w:val="000F316A"/>
    <w:rsid w:val="000F3C74"/>
    <w:rsid w:val="000F3DB0"/>
    <w:rsid w:val="000F4251"/>
    <w:rsid w:val="000F4BB8"/>
    <w:rsid w:val="000F4FA9"/>
    <w:rsid w:val="000F53FB"/>
    <w:rsid w:val="000F7057"/>
    <w:rsid w:val="000F7127"/>
    <w:rsid w:val="000F7B54"/>
    <w:rsid w:val="001000B3"/>
    <w:rsid w:val="001001CD"/>
    <w:rsid w:val="001001D2"/>
    <w:rsid w:val="00100F8A"/>
    <w:rsid w:val="00101428"/>
    <w:rsid w:val="00101BA4"/>
    <w:rsid w:val="001037FA"/>
    <w:rsid w:val="00103BC7"/>
    <w:rsid w:val="001041B5"/>
    <w:rsid w:val="00104359"/>
    <w:rsid w:val="0010452E"/>
    <w:rsid w:val="00104CC2"/>
    <w:rsid w:val="00104E5D"/>
    <w:rsid w:val="0010576D"/>
    <w:rsid w:val="001058AB"/>
    <w:rsid w:val="00105AE2"/>
    <w:rsid w:val="00105EA6"/>
    <w:rsid w:val="001060C6"/>
    <w:rsid w:val="00106B80"/>
    <w:rsid w:val="00106D69"/>
    <w:rsid w:val="001076B5"/>
    <w:rsid w:val="0011015B"/>
    <w:rsid w:val="0011032E"/>
    <w:rsid w:val="001105C7"/>
    <w:rsid w:val="00110702"/>
    <w:rsid w:val="001113CB"/>
    <w:rsid w:val="001113FB"/>
    <w:rsid w:val="00112F3E"/>
    <w:rsid w:val="001130A7"/>
    <w:rsid w:val="0011348B"/>
    <w:rsid w:val="0011369E"/>
    <w:rsid w:val="00114750"/>
    <w:rsid w:val="00115982"/>
    <w:rsid w:val="001165B4"/>
    <w:rsid w:val="001168B5"/>
    <w:rsid w:val="00116C53"/>
    <w:rsid w:val="001207E9"/>
    <w:rsid w:val="00120FA6"/>
    <w:rsid w:val="00121799"/>
    <w:rsid w:val="001222FC"/>
    <w:rsid w:val="00122BCD"/>
    <w:rsid w:val="00123902"/>
    <w:rsid w:val="00123CF9"/>
    <w:rsid w:val="00123E6B"/>
    <w:rsid w:val="00124913"/>
    <w:rsid w:val="00124A51"/>
    <w:rsid w:val="00124C6A"/>
    <w:rsid w:val="0012583F"/>
    <w:rsid w:val="0012640E"/>
    <w:rsid w:val="00126621"/>
    <w:rsid w:val="00126B1D"/>
    <w:rsid w:val="00126CD1"/>
    <w:rsid w:val="00126D79"/>
    <w:rsid w:val="00127833"/>
    <w:rsid w:val="00127CD7"/>
    <w:rsid w:val="00127E6A"/>
    <w:rsid w:val="001301E9"/>
    <w:rsid w:val="00130C20"/>
    <w:rsid w:val="00130E44"/>
    <w:rsid w:val="001312ED"/>
    <w:rsid w:val="00131D82"/>
    <w:rsid w:val="00131ECD"/>
    <w:rsid w:val="00132B22"/>
    <w:rsid w:val="001330EE"/>
    <w:rsid w:val="00133D36"/>
    <w:rsid w:val="001340DE"/>
    <w:rsid w:val="00134164"/>
    <w:rsid w:val="00134910"/>
    <w:rsid w:val="00136212"/>
    <w:rsid w:val="00136292"/>
    <w:rsid w:val="00136A9C"/>
    <w:rsid w:val="00137645"/>
    <w:rsid w:val="001376BA"/>
    <w:rsid w:val="00137908"/>
    <w:rsid w:val="001400B3"/>
    <w:rsid w:val="0014015A"/>
    <w:rsid w:val="00140B60"/>
    <w:rsid w:val="00140E99"/>
    <w:rsid w:val="00143F67"/>
    <w:rsid w:val="001450E0"/>
    <w:rsid w:val="00145234"/>
    <w:rsid w:val="00145540"/>
    <w:rsid w:val="001456B0"/>
    <w:rsid w:val="001468FD"/>
    <w:rsid w:val="00146A5E"/>
    <w:rsid w:val="00146E3A"/>
    <w:rsid w:val="00147739"/>
    <w:rsid w:val="00147FC7"/>
    <w:rsid w:val="0015020B"/>
    <w:rsid w:val="00150A07"/>
    <w:rsid w:val="00152AC0"/>
    <w:rsid w:val="00152B34"/>
    <w:rsid w:val="00152E60"/>
    <w:rsid w:val="001547AB"/>
    <w:rsid w:val="00156C48"/>
    <w:rsid w:val="00156F8F"/>
    <w:rsid w:val="00157130"/>
    <w:rsid w:val="001576B1"/>
    <w:rsid w:val="0016047B"/>
    <w:rsid w:val="00160A4C"/>
    <w:rsid w:val="00160BC4"/>
    <w:rsid w:val="001610DF"/>
    <w:rsid w:val="00161255"/>
    <w:rsid w:val="00162178"/>
    <w:rsid w:val="00162913"/>
    <w:rsid w:val="00162AF9"/>
    <w:rsid w:val="00162C7F"/>
    <w:rsid w:val="00163843"/>
    <w:rsid w:val="00163EFF"/>
    <w:rsid w:val="00163F66"/>
    <w:rsid w:val="00164069"/>
    <w:rsid w:val="0016429D"/>
    <w:rsid w:val="0016478E"/>
    <w:rsid w:val="00165098"/>
    <w:rsid w:val="00165EC4"/>
    <w:rsid w:val="00165F7C"/>
    <w:rsid w:val="001661FB"/>
    <w:rsid w:val="001671A0"/>
    <w:rsid w:val="001675E4"/>
    <w:rsid w:val="0016767F"/>
    <w:rsid w:val="0017047C"/>
    <w:rsid w:val="00173565"/>
    <w:rsid w:val="001735C6"/>
    <w:rsid w:val="00173B07"/>
    <w:rsid w:val="00173B29"/>
    <w:rsid w:val="001740DA"/>
    <w:rsid w:val="001751FA"/>
    <w:rsid w:val="00175759"/>
    <w:rsid w:val="00175BB6"/>
    <w:rsid w:val="001769DB"/>
    <w:rsid w:val="00177CB6"/>
    <w:rsid w:val="00181421"/>
    <w:rsid w:val="0018144C"/>
    <w:rsid w:val="00181A4F"/>
    <w:rsid w:val="00181C10"/>
    <w:rsid w:val="00181D9C"/>
    <w:rsid w:val="001837FF"/>
    <w:rsid w:val="0018387D"/>
    <w:rsid w:val="00183C90"/>
    <w:rsid w:val="001846D2"/>
    <w:rsid w:val="00184B0E"/>
    <w:rsid w:val="00185223"/>
    <w:rsid w:val="00186331"/>
    <w:rsid w:val="001873EF"/>
    <w:rsid w:val="0018752F"/>
    <w:rsid w:val="00191811"/>
    <w:rsid w:val="00191A02"/>
    <w:rsid w:val="00191C6C"/>
    <w:rsid w:val="00191FFD"/>
    <w:rsid w:val="00192388"/>
    <w:rsid w:val="001936AF"/>
    <w:rsid w:val="00193838"/>
    <w:rsid w:val="00193B41"/>
    <w:rsid w:val="001941F7"/>
    <w:rsid w:val="00194AD8"/>
    <w:rsid w:val="00195222"/>
    <w:rsid w:val="00195452"/>
    <w:rsid w:val="001964FA"/>
    <w:rsid w:val="0019690D"/>
    <w:rsid w:val="001975D8"/>
    <w:rsid w:val="001A0756"/>
    <w:rsid w:val="001A178B"/>
    <w:rsid w:val="001A178E"/>
    <w:rsid w:val="001A38C7"/>
    <w:rsid w:val="001A3C51"/>
    <w:rsid w:val="001A40CC"/>
    <w:rsid w:val="001A41E0"/>
    <w:rsid w:val="001A43FA"/>
    <w:rsid w:val="001A47C5"/>
    <w:rsid w:val="001A576E"/>
    <w:rsid w:val="001A5850"/>
    <w:rsid w:val="001A5876"/>
    <w:rsid w:val="001A58D9"/>
    <w:rsid w:val="001A59FB"/>
    <w:rsid w:val="001A5E9E"/>
    <w:rsid w:val="001A6354"/>
    <w:rsid w:val="001A6366"/>
    <w:rsid w:val="001A704C"/>
    <w:rsid w:val="001A745B"/>
    <w:rsid w:val="001A7AE8"/>
    <w:rsid w:val="001A7E83"/>
    <w:rsid w:val="001A7F56"/>
    <w:rsid w:val="001B0364"/>
    <w:rsid w:val="001B0380"/>
    <w:rsid w:val="001B07C3"/>
    <w:rsid w:val="001B204E"/>
    <w:rsid w:val="001B2372"/>
    <w:rsid w:val="001B2C95"/>
    <w:rsid w:val="001B2E1F"/>
    <w:rsid w:val="001B3286"/>
    <w:rsid w:val="001B3443"/>
    <w:rsid w:val="001B3803"/>
    <w:rsid w:val="001B4048"/>
    <w:rsid w:val="001B4D20"/>
    <w:rsid w:val="001B7BA8"/>
    <w:rsid w:val="001B7F84"/>
    <w:rsid w:val="001C1449"/>
    <w:rsid w:val="001C1A50"/>
    <w:rsid w:val="001C2A9B"/>
    <w:rsid w:val="001C3DD6"/>
    <w:rsid w:val="001C4299"/>
    <w:rsid w:val="001C4874"/>
    <w:rsid w:val="001C5F94"/>
    <w:rsid w:val="001C6E66"/>
    <w:rsid w:val="001C7686"/>
    <w:rsid w:val="001C7C37"/>
    <w:rsid w:val="001D0D07"/>
    <w:rsid w:val="001D0DB9"/>
    <w:rsid w:val="001D1100"/>
    <w:rsid w:val="001D12D7"/>
    <w:rsid w:val="001D1391"/>
    <w:rsid w:val="001D25D7"/>
    <w:rsid w:val="001D38A6"/>
    <w:rsid w:val="001D50B2"/>
    <w:rsid w:val="001D6483"/>
    <w:rsid w:val="001D6EAB"/>
    <w:rsid w:val="001D71F4"/>
    <w:rsid w:val="001D7645"/>
    <w:rsid w:val="001D78AD"/>
    <w:rsid w:val="001E090B"/>
    <w:rsid w:val="001E1728"/>
    <w:rsid w:val="001E1ACF"/>
    <w:rsid w:val="001E1E86"/>
    <w:rsid w:val="001E1F62"/>
    <w:rsid w:val="001E238E"/>
    <w:rsid w:val="001E2407"/>
    <w:rsid w:val="001E2483"/>
    <w:rsid w:val="001E2B1E"/>
    <w:rsid w:val="001E2CFF"/>
    <w:rsid w:val="001E2E21"/>
    <w:rsid w:val="001E2F24"/>
    <w:rsid w:val="001E30D4"/>
    <w:rsid w:val="001E34DF"/>
    <w:rsid w:val="001E3648"/>
    <w:rsid w:val="001E3A3B"/>
    <w:rsid w:val="001E4401"/>
    <w:rsid w:val="001E44CC"/>
    <w:rsid w:val="001E4669"/>
    <w:rsid w:val="001E518D"/>
    <w:rsid w:val="001E52EB"/>
    <w:rsid w:val="001E5F27"/>
    <w:rsid w:val="001E61D2"/>
    <w:rsid w:val="001E6912"/>
    <w:rsid w:val="001E6E2B"/>
    <w:rsid w:val="001E740C"/>
    <w:rsid w:val="001F0452"/>
    <w:rsid w:val="001F1235"/>
    <w:rsid w:val="001F1996"/>
    <w:rsid w:val="001F1CB3"/>
    <w:rsid w:val="001F268F"/>
    <w:rsid w:val="001F270E"/>
    <w:rsid w:val="001F310E"/>
    <w:rsid w:val="001F34AC"/>
    <w:rsid w:val="001F38B5"/>
    <w:rsid w:val="001F3F66"/>
    <w:rsid w:val="001F4081"/>
    <w:rsid w:val="001F4CBF"/>
    <w:rsid w:val="001F5C03"/>
    <w:rsid w:val="001F63C4"/>
    <w:rsid w:val="001F63D0"/>
    <w:rsid w:val="001F6AA3"/>
    <w:rsid w:val="001F7361"/>
    <w:rsid w:val="001F7F89"/>
    <w:rsid w:val="0020012F"/>
    <w:rsid w:val="00200621"/>
    <w:rsid w:val="002011B0"/>
    <w:rsid w:val="00203181"/>
    <w:rsid w:val="002032C2"/>
    <w:rsid w:val="00203783"/>
    <w:rsid w:val="0020385F"/>
    <w:rsid w:val="002039B7"/>
    <w:rsid w:val="00204342"/>
    <w:rsid w:val="00204C6D"/>
    <w:rsid w:val="00204D2D"/>
    <w:rsid w:val="002057F5"/>
    <w:rsid w:val="002068A0"/>
    <w:rsid w:val="002068E4"/>
    <w:rsid w:val="00206FD4"/>
    <w:rsid w:val="00207021"/>
    <w:rsid w:val="0020732F"/>
    <w:rsid w:val="00207D00"/>
    <w:rsid w:val="00207E15"/>
    <w:rsid w:val="00207E73"/>
    <w:rsid w:val="002105C1"/>
    <w:rsid w:val="002116FD"/>
    <w:rsid w:val="00211C5C"/>
    <w:rsid w:val="00212DF0"/>
    <w:rsid w:val="00212F33"/>
    <w:rsid w:val="00213EF5"/>
    <w:rsid w:val="00214916"/>
    <w:rsid w:val="00216214"/>
    <w:rsid w:val="0021682D"/>
    <w:rsid w:val="00216BF5"/>
    <w:rsid w:val="00217A21"/>
    <w:rsid w:val="0022087E"/>
    <w:rsid w:val="00222514"/>
    <w:rsid w:val="002227E9"/>
    <w:rsid w:val="00222A99"/>
    <w:rsid w:val="00222DC6"/>
    <w:rsid w:val="0022310E"/>
    <w:rsid w:val="002236FA"/>
    <w:rsid w:val="00223B49"/>
    <w:rsid w:val="00223D5A"/>
    <w:rsid w:val="0022437D"/>
    <w:rsid w:val="00224BEE"/>
    <w:rsid w:val="00224DD4"/>
    <w:rsid w:val="002258E6"/>
    <w:rsid w:val="00226046"/>
    <w:rsid w:val="002267E8"/>
    <w:rsid w:val="002278A0"/>
    <w:rsid w:val="00227B51"/>
    <w:rsid w:val="00227B93"/>
    <w:rsid w:val="00227E5F"/>
    <w:rsid w:val="00230019"/>
    <w:rsid w:val="002309CC"/>
    <w:rsid w:val="00231BA9"/>
    <w:rsid w:val="0023209F"/>
    <w:rsid w:val="00232389"/>
    <w:rsid w:val="00232735"/>
    <w:rsid w:val="0023332E"/>
    <w:rsid w:val="00233C01"/>
    <w:rsid w:val="0023413C"/>
    <w:rsid w:val="002342A7"/>
    <w:rsid w:val="002346F0"/>
    <w:rsid w:val="002350C0"/>
    <w:rsid w:val="0023629D"/>
    <w:rsid w:val="002368D3"/>
    <w:rsid w:val="002370E0"/>
    <w:rsid w:val="00237255"/>
    <w:rsid w:val="00237E2E"/>
    <w:rsid w:val="00240063"/>
    <w:rsid w:val="002402CC"/>
    <w:rsid w:val="002424A1"/>
    <w:rsid w:val="002424AF"/>
    <w:rsid w:val="002439DC"/>
    <w:rsid w:val="00243E96"/>
    <w:rsid w:val="002441D2"/>
    <w:rsid w:val="00244DC8"/>
    <w:rsid w:val="0024524C"/>
    <w:rsid w:val="002455A3"/>
    <w:rsid w:val="002458BA"/>
    <w:rsid w:val="002459E8"/>
    <w:rsid w:val="00245CE9"/>
    <w:rsid w:val="0024636C"/>
    <w:rsid w:val="00247925"/>
    <w:rsid w:val="0025018D"/>
    <w:rsid w:val="00251006"/>
    <w:rsid w:val="00251098"/>
    <w:rsid w:val="002524D5"/>
    <w:rsid w:val="00252FEC"/>
    <w:rsid w:val="002536BA"/>
    <w:rsid w:val="00253B1D"/>
    <w:rsid w:val="002540D2"/>
    <w:rsid w:val="00254720"/>
    <w:rsid w:val="002547FB"/>
    <w:rsid w:val="00254DCF"/>
    <w:rsid w:val="0025534B"/>
    <w:rsid w:val="002554E7"/>
    <w:rsid w:val="00255BB7"/>
    <w:rsid w:val="00255C59"/>
    <w:rsid w:val="00255D04"/>
    <w:rsid w:val="002560D1"/>
    <w:rsid w:val="00256D1B"/>
    <w:rsid w:val="00257541"/>
    <w:rsid w:val="00257929"/>
    <w:rsid w:val="00257A39"/>
    <w:rsid w:val="00257AC4"/>
    <w:rsid w:val="00257BBE"/>
    <w:rsid w:val="00257BF8"/>
    <w:rsid w:val="00260808"/>
    <w:rsid w:val="00261EEF"/>
    <w:rsid w:val="002628AC"/>
    <w:rsid w:val="00262A1A"/>
    <w:rsid w:val="00262A87"/>
    <w:rsid w:val="00262EE0"/>
    <w:rsid w:val="00263218"/>
    <w:rsid w:val="00264D26"/>
    <w:rsid w:val="002653E7"/>
    <w:rsid w:val="00265585"/>
    <w:rsid w:val="00266237"/>
    <w:rsid w:val="002668E0"/>
    <w:rsid w:val="002672C8"/>
    <w:rsid w:val="00267642"/>
    <w:rsid w:val="00267AEA"/>
    <w:rsid w:val="00270099"/>
    <w:rsid w:val="002700E6"/>
    <w:rsid w:val="00270742"/>
    <w:rsid w:val="00270C8C"/>
    <w:rsid w:val="002715C4"/>
    <w:rsid w:val="00271F3E"/>
    <w:rsid w:val="00271FFD"/>
    <w:rsid w:val="0027294B"/>
    <w:rsid w:val="00272E97"/>
    <w:rsid w:val="00273EB4"/>
    <w:rsid w:val="00274682"/>
    <w:rsid w:val="00275158"/>
    <w:rsid w:val="002752A4"/>
    <w:rsid w:val="00275620"/>
    <w:rsid w:val="00275C5A"/>
    <w:rsid w:val="00277163"/>
    <w:rsid w:val="0027769B"/>
    <w:rsid w:val="00277F63"/>
    <w:rsid w:val="0028071B"/>
    <w:rsid w:val="00281014"/>
    <w:rsid w:val="00281E9A"/>
    <w:rsid w:val="00282C9F"/>
    <w:rsid w:val="002835FC"/>
    <w:rsid w:val="00283803"/>
    <w:rsid w:val="00284C5F"/>
    <w:rsid w:val="00285087"/>
    <w:rsid w:val="00285B5E"/>
    <w:rsid w:val="00285BCE"/>
    <w:rsid w:val="00285D4B"/>
    <w:rsid w:val="0028665D"/>
    <w:rsid w:val="002868AE"/>
    <w:rsid w:val="00286D01"/>
    <w:rsid w:val="0028700F"/>
    <w:rsid w:val="002875F6"/>
    <w:rsid w:val="002878AB"/>
    <w:rsid w:val="00290D70"/>
    <w:rsid w:val="002913B1"/>
    <w:rsid w:val="00291534"/>
    <w:rsid w:val="002929B6"/>
    <w:rsid w:val="002939A8"/>
    <w:rsid w:val="00294069"/>
    <w:rsid w:val="00294831"/>
    <w:rsid w:val="00296833"/>
    <w:rsid w:val="00297C21"/>
    <w:rsid w:val="002A14AB"/>
    <w:rsid w:val="002A1F95"/>
    <w:rsid w:val="002A2ADE"/>
    <w:rsid w:val="002A2E0C"/>
    <w:rsid w:val="002A2F50"/>
    <w:rsid w:val="002A3B1B"/>
    <w:rsid w:val="002A4033"/>
    <w:rsid w:val="002A42DA"/>
    <w:rsid w:val="002A4F17"/>
    <w:rsid w:val="002A57D9"/>
    <w:rsid w:val="002A7943"/>
    <w:rsid w:val="002B037A"/>
    <w:rsid w:val="002B05A1"/>
    <w:rsid w:val="002B09A4"/>
    <w:rsid w:val="002B0A36"/>
    <w:rsid w:val="002B0EA3"/>
    <w:rsid w:val="002B10DD"/>
    <w:rsid w:val="002B1C1F"/>
    <w:rsid w:val="002B2A9B"/>
    <w:rsid w:val="002B2DC3"/>
    <w:rsid w:val="002B36B5"/>
    <w:rsid w:val="002B3702"/>
    <w:rsid w:val="002B401A"/>
    <w:rsid w:val="002B432F"/>
    <w:rsid w:val="002B4652"/>
    <w:rsid w:val="002B5D21"/>
    <w:rsid w:val="002B62B3"/>
    <w:rsid w:val="002B6754"/>
    <w:rsid w:val="002B68B4"/>
    <w:rsid w:val="002B6CCE"/>
    <w:rsid w:val="002B7575"/>
    <w:rsid w:val="002B7727"/>
    <w:rsid w:val="002B7DC9"/>
    <w:rsid w:val="002C0D09"/>
    <w:rsid w:val="002C0D12"/>
    <w:rsid w:val="002C143C"/>
    <w:rsid w:val="002C2510"/>
    <w:rsid w:val="002C2775"/>
    <w:rsid w:val="002C27C1"/>
    <w:rsid w:val="002C3125"/>
    <w:rsid w:val="002C36E3"/>
    <w:rsid w:val="002C3C48"/>
    <w:rsid w:val="002C4B47"/>
    <w:rsid w:val="002C4F08"/>
    <w:rsid w:val="002C4FDE"/>
    <w:rsid w:val="002C5099"/>
    <w:rsid w:val="002C5290"/>
    <w:rsid w:val="002C5889"/>
    <w:rsid w:val="002C5B68"/>
    <w:rsid w:val="002C64CD"/>
    <w:rsid w:val="002C6659"/>
    <w:rsid w:val="002C68DF"/>
    <w:rsid w:val="002C71CE"/>
    <w:rsid w:val="002D059F"/>
    <w:rsid w:val="002D08F8"/>
    <w:rsid w:val="002D211C"/>
    <w:rsid w:val="002D244B"/>
    <w:rsid w:val="002D2556"/>
    <w:rsid w:val="002D2BA5"/>
    <w:rsid w:val="002D3999"/>
    <w:rsid w:val="002D4BA6"/>
    <w:rsid w:val="002D5391"/>
    <w:rsid w:val="002D577C"/>
    <w:rsid w:val="002D68F4"/>
    <w:rsid w:val="002D7832"/>
    <w:rsid w:val="002D7A86"/>
    <w:rsid w:val="002E012E"/>
    <w:rsid w:val="002E0BB4"/>
    <w:rsid w:val="002E1071"/>
    <w:rsid w:val="002E15B9"/>
    <w:rsid w:val="002E2158"/>
    <w:rsid w:val="002E266D"/>
    <w:rsid w:val="002E2891"/>
    <w:rsid w:val="002E2960"/>
    <w:rsid w:val="002E3DF9"/>
    <w:rsid w:val="002E4F02"/>
    <w:rsid w:val="002E6183"/>
    <w:rsid w:val="002E629F"/>
    <w:rsid w:val="002E6FF5"/>
    <w:rsid w:val="002E7722"/>
    <w:rsid w:val="002F07BA"/>
    <w:rsid w:val="002F0DA9"/>
    <w:rsid w:val="002F1014"/>
    <w:rsid w:val="002F1D54"/>
    <w:rsid w:val="002F1E3B"/>
    <w:rsid w:val="002F20FA"/>
    <w:rsid w:val="002F2875"/>
    <w:rsid w:val="002F2C7A"/>
    <w:rsid w:val="002F3FA8"/>
    <w:rsid w:val="002F45C7"/>
    <w:rsid w:val="002F5887"/>
    <w:rsid w:val="002F643C"/>
    <w:rsid w:val="002F671D"/>
    <w:rsid w:val="002F6C08"/>
    <w:rsid w:val="002F6EF7"/>
    <w:rsid w:val="002F71C0"/>
    <w:rsid w:val="002F74F1"/>
    <w:rsid w:val="002F751A"/>
    <w:rsid w:val="002F75A3"/>
    <w:rsid w:val="002F75D2"/>
    <w:rsid w:val="002F7639"/>
    <w:rsid w:val="002F7A6C"/>
    <w:rsid w:val="00300F69"/>
    <w:rsid w:val="00301017"/>
    <w:rsid w:val="003012C5"/>
    <w:rsid w:val="0030135F"/>
    <w:rsid w:val="003013D7"/>
    <w:rsid w:val="0030155F"/>
    <w:rsid w:val="00302558"/>
    <w:rsid w:val="003027BC"/>
    <w:rsid w:val="0030294C"/>
    <w:rsid w:val="00304AB4"/>
    <w:rsid w:val="0030587B"/>
    <w:rsid w:val="003060EB"/>
    <w:rsid w:val="00306D98"/>
    <w:rsid w:val="00306E60"/>
    <w:rsid w:val="0030786C"/>
    <w:rsid w:val="00307937"/>
    <w:rsid w:val="0031031A"/>
    <w:rsid w:val="00310981"/>
    <w:rsid w:val="00310CC7"/>
    <w:rsid w:val="00310DB5"/>
    <w:rsid w:val="003118D6"/>
    <w:rsid w:val="00311D9B"/>
    <w:rsid w:val="003124D9"/>
    <w:rsid w:val="00312539"/>
    <w:rsid w:val="00312594"/>
    <w:rsid w:val="00312DE3"/>
    <w:rsid w:val="00312F70"/>
    <w:rsid w:val="0031366E"/>
    <w:rsid w:val="00314011"/>
    <w:rsid w:val="00315498"/>
    <w:rsid w:val="00315602"/>
    <w:rsid w:val="003162EB"/>
    <w:rsid w:val="00316474"/>
    <w:rsid w:val="00316F0F"/>
    <w:rsid w:val="00317747"/>
    <w:rsid w:val="00317B8B"/>
    <w:rsid w:val="00320429"/>
    <w:rsid w:val="00321C68"/>
    <w:rsid w:val="00322107"/>
    <w:rsid w:val="00322355"/>
    <w:rsid w:val="00322846"/>
    <w:rsid w:val="00322BF1"/>
    <w:rsid w:val="00323BDF"/>
    <w:rsid w:val="00324981"/>
    <w:rsid w:val="00326DA7"/>
    <w:rsid w:val="003270E4"/>
    <w:rsid w:val="0032765C"/>
    <w:rsid w:val="003276A2"/>
    <w:rsid w:val="00330DAA"/>
    <w:rsid w:val="00330F5C"/>
    <w:rsid w:val="00333892"/>
    <w:rsid w:val="003339DC"/>
    <w:rsid w:val="003343F2"/>
    <w:rsid w:val="00334B4C"/>
    <w:rsid w:val="00334C93"/>
    <w:rsid w:val="00335E53"/>
    <w:rsid w:val="00335F97"/>
    <w:rsid w:val="003366C9"/>
    <w:rsid w:val="00336C66"/>
    <w:rsid w:val="00337115"/>
    <w:rsid w:val="003371B0"/>
    <w:rsid w:val="0033748A"/>
    <w:rsid w:val="00337D8C"/>
    <w:rsid w:val="00340DF1"/>
    <w:rsid w:val="00341B45"/>
    <w:rsid w:val="00342ADD"/>
    <w:rsid w:val="00342F24"/>
    <w:rsid w:val="003439EB"/>
    <w:rsid w:val="00343BD6"/>
    <w:rsid w:val="003441F0"/>
    <w:rsid w:val="00344881"/>
    <w:rsid w:val="00344F75"/>
    <w:rsid w:val="003454B5"/>
    <w:rsid w:val="00346204"/>
    <w:rsid w:val="00346860"/>
    <w:rsid w:val="00347481"/>
    <w:rsid w:val="00350BE4"/>
    <w:rsid w:val="0035130C"/>
    <w:rsid w:val="0035160A"/>
    <w:rsid w:val="003517F9"/>
    <w:rsid w:val="00351BA9"/>
    <w:rsid w:val="00351DC0"/>
    <w:rsid w:val="00352922"/>
    <w:rsid w:val="00353A12"/>
    <w:rsid w:val="00354F64"/>
    <w:rsid w:val="0035620E"/>
    <w:rsid w:val="003575BE"/>
    <w:rsid w:val="00360345"/>
    <w:rsid w:val="00361A05"/>
    <w:rsid w:val="00361FB6"/>
    <w:rsid w:val="003624C4"/>
    <w:rsid w:val="0036269B"/>
    <w:rsid w:val="00362C25"/>
    <w:rsid w:val="00363AD8"/>
    <w:rsid w:val="00363B00"/>
    <w:rsid w:val="00364214"/>
    <w:rsid w:val="00364E82"/>
    <w:rsid w:val="003654AC"/>
    <w:rsid w:val="003674C0"/>
    <w:rsid w:val="003674E1"/>
    <w:rsid w:val="003678E8"/>
    <w:rsid w:val="003710CF"/>
    <w:rsid w:val="003713E8"/>
    <w:rsid w:val="00371A02"/>
    <w:rsid w:val="0037228C"/>
    <w:rsid w:val="00372B5D"/>
    <w:rsid w:val="003732A3"/>
    <w:rsid w:val="0037358A"/>
    <w:rsid w:val="003750F6"/>
    <w:rsid w:val="003760FC"/>
    <w:rsid w:val="0037701B"/>
    <w:rsid w:val="00377850"/>
    <w:rsid w:val="00380D46"/>
    <w:rsid w:val="00382D23"/>
    <w:rsid w:val="00382EF7"/>
    <w:rsid w:val="00383286"/>
    <w:rsid w:val="0038354F"/>
    <w:rsid w:val="0038365C"/>
    <w:rsid w:val="0038369B"/>
    <w:rsid w:val="00383B78"/>
    <w:rsid w:val="0038478B"/>
    <w:rsid w:val="00385A9D"/>
    <w:rsid w:val="00387121"/>
    <w:rsid w:val="0038795A"/>
    <w:rsid w:val="0039009A"/>
    <w:rsid w:val="003902B1"/>
    <w:rsid w:val="0039127D"/>
    <w:rsid w:val="00391444"/>
    <w:rsid w:val="003914C6"/>
    <w:rsid w:val="0039163E"/>
    <w:rsid w:val="0039179C"/>
    <w:rsid w:val="00391EEE"/>
    <w:rsid w:val="00392BEA"/>
    <w:rsid w:val="00393067"/>
    <w:rsid w:val="003933D9"/>
    <w:rsid w:val="0039348F"/>
    <w:rsid w:val="0039377A"/>
    <w:rsid w:val="00394B62"/>
    <w:rsid w:val="00394DF4"/>
    <w:rsid w:val="00395098"/>
    <w:rsid w:val="0039555B"/>
    <w:rsid w:val="003955D7"/>
    <w:rsid w:val="00396896"/>
    <w:rsid w:val="00396FD0"/>
    <w:rsid w:val="0039763E"/>
    <w:rsid w:val="003978AB"/>
    <w:rsid w:val="00397946"/>
    <w:rsid w:val="003A034E"/>
    <w:rsid w:val="003A0A60"/>
    <w:rsid w:val="003A1A7A"/>
    <w:rsid w:val="003A1ED9"/>
    <w:rsid w:val="003A2392"/>
    <w:rsid w:val="003A26FD"/>
    <w:rsid w:val="003A2831"/>
    <w:rsid w:val="003A2FEC"/>
    <w:rsid w:val="003A3CB6"/>
    <w:rsid w:val="003A3ED1"/>
    <w:rsid w:val="003A44DB"/>
    <w:rsid w:val="003A4C14"/>
    <w:rsid w:val="003A5C5B"/>
    <w:rsid w:val="003A68AB"/>
    <w:rsid w:val="003A725D"/>
    <w:rsid w:val="003A7981"/>
    <w:rsid w:val="003B0F54"/>
    <w:rsid w:val="003B14E4"/>
    <w:rsid w:val="003B1C9B"/>
    <w:rsid w:val="003B267C"/>
    <w:rsid w:val="003B2914"/>
    <w:rsid w:val="003B3189"/>
    <w:rsid w:val="003B3263"/>
    <w:rsid w:val="003B3971"/>
    <w:rsid w:val="003B55D1"/>
    <w:rsid w:val="003B5B61"/>
    <w:rsid w:val="003B5F28"/>
    <w:rsid w:val="003B6A57"/>
    <w:rsid w:val="003B6D98"/>
    <w:rsid w:val="003C0020"/>
    <w:rsid w:val="003C1654"/>
    <w:rsid w:val="003C206D"/>
    <w:rsid w:val="003C3E74"/>
    <w:rsid w:val="003C4C51"/>
    <w:rsid w:val="003C5449"/>
    <w:rsid w:val="003C5542"/>
    <w:rsid w:val="003C632C"/>
    <w:rsid w:val="003C65D0"/>
    <w:rsid w:val="003C6993"/>
    <w:rsid w:val="003C6AB0"/>
    <w:rsid w:val="003C7514"/>
    <w:rsid w:val="003C7C15"/>
    <w:rsid w:val="003C7D19"/>
    <w:rsid w:val="003C7D2F"/>
    <w:rsid w:val="003D0C5A"/>
    <w:rsid w:val="003D1828"/>
    <w:rsid w:val="003D1DE4"/>
    <w:rsid w:val="003D1E9A"/>
    <w:rsid w:val="003D2422"/>
    <w:rsid w:val="003D39A1"/>
    <w:rsid w:val="003D3BC5"/>
    <w:rsid w:val="003D3CFC"/>
    <w:rsid w:val="003D3FBF"/>
    <w:rsid w:val="003D4459"/>
    <w:rsid w:val="003D4A30"/>
    <w:rsid w:val="003D55E0"/>
    <w:rsid w:val="003D6BC2"/>
    <w:rsid w:val="003D7452"/>
    <w:rsid w:val="003D79BB"/>
    <w:rsid w:val="003D7C0F"/>
    <w:rsid w:val="003D7C98"/>
    <w:rsid w:val="003D7D9D"/>
    <w:rsid w:val="003E0543"/>
    <w:rsid w:val="003E07C2"/>
    <w:rsid w:val="003E08D1"/>
    <w:rsid w:val="003E2606"/>
    <w:rsid w:val="003E3760"/>
    <w:rsid w:val="003E5603"/>
    <w:rsid w:val="003E6CCB"/>
    <w:rsid w:val="003E717B"/>
    <w:rsid w:val="003E749E"/>
    <w:rsid w:val="003F01A8"/>
    <w:rsid w:val="003F0FAE"/>
    <w:rsid w:val="003F1418"/>
    <w:rsid w:val="003F3956"/>
    <w:rsid w:val="003F3E7E"/>
    <w:rsid w:val="003F4156"/>
    <w:rsid w:val="003F4325"/>
    <w:rsid w:val="003F511A"/>
    <w:rsid w:val="003F5ADF"/>
    <w:rsid w:val="003F7642"/>
    <w:rsid w:val="003F7D8F"/>
    <w:rsid w:val="0040061E"/>
    <w:rsid w:val="0040068E"/>
    <w:rsid w:val="00400B29"/>
    <w:rsid w:val="004017A6"/>
    <w:rsid w:val="00402812"/>
    <w:rsid w:val="00402B9C"/>
    <w:rsid w:val="004032A7"/>
    <w:rsid w:val="00403E96"/>
    <w:rsid w:val="00403FB8"/>
    <w:rsid w:val="004044F3"/>
    <w:rsid w:val="0040504B"/>
    <w:rsid w:val="004059F4"/>
    <w:rsid w:val="00406200"/>
    <w:rsid w:val="00406DA0"/>
    <w:rsid w:val="004076CB"/>
    <w:rsid w:val="00407CAA"/>
    <w:rsid w:val="00407FE5"/>
    <w:rsid w:val="004101B0"/>
    <w:rsid w:val="004102E2"/>
    <w:rsid w:val="00410301"/>
    <w:rsid w:val="00410326"/>
    <w:rsid w:val="004103EE"/>
    <w:rsid w:val="00410708"/>
    <w:rsid w:val="00410D81"/>
    <w:rsid w:val="00410EC7"/>
    <w:rsid w:val="00411309"/>
    <w:rsid w:val="00411B39"/>
    <w:rsid w:val="004124C9"/>
    <w:rsid w:val="004127A7"/>
    <w:rsid w:val="00412E95"/>
    <w:rsid w:val="00412FCB"/>
    <w:rsid w:val="0041354B"/>
    <w:rsid w:val="00413639"/>
    <w:rsid w:val="00413A1E"/>
    <w:rsid w:val="00413DCD"/>
    <w:rsid w:val="00414476"/>
    <w:rsid w:val="0041497D"/>
    <w:rsid w:val="00414C2E"/>
    <w:rsid w:val="004151CF"/>
    <w:rsid w:val="00416364"/>
    <w:rsid w:val="00416FDB"/>
    <w:rsid w:val="0042047F"/>
    <w:rsid w:val="00420A95"/>
    <w:rsid w:val="00420AA6"/>
    <w:rsid w:val="00420B9F"/>
    <w:rsid w:val="0042192C"/>
    <w:rsid w:val="00422260"/>
    <w:rsid w:val="0042246B"/>
    <w:rsid w:val="00423F70"/>
    <w:rsid w:val="0042413F"/>
    <w:rsid w:val="00425324"/>
    <w:rsid w:val="004256EF"/>
    <w:rsid w:val="00425DDE"/>
    <w:rsid w:val="0042759D"/>
    <w:rsid w:val="004319D3"/>
    <w:rsid w:val="004319F8"/>
    <w:rsid w:val="00431D26"/>
    <w:rsid w:val="00431E55"/>
    <w:rsid w:val="004321F6"/>
    <w:rsid w:val="00432356"/>
    <w:rsid w:val="00433044"/>
    <w:rsid w:val="00433764"/>
    <w:rsid w:val="00433866"/>
    <w:rsid w:val="00434088"/>
    <w:rsid w:val="004349DC"/>
    <w:rsid w:val="00434E6B"/>
    <w:rsid w:val="00435EC9"/>
    <w:rsid w:val="004375B9"/>
    <w:rsid w:val="004407B4"/>
    <w:rsid w:val="00440E42"/>
    <w:rsid w:val="00440EFA"/>
    <w:rsid w:val="00441772"/>
    <w:rsid w:val="00442271"/>
    <w:rsid w:val="004428CC"/>
    <w:rsid w:val="004428D0"/>
    <w:rsid w:val="00442B79"/>
    <w:rsid w:val="0044375D"/>
    <w:rsid w:val="00444088"/>
    <w:rsid w:val="00444185"/>
    <w:rsid w:val="004443A7"/>
    <w:rsid w:val="0044442C"/>
    <w:rsid w:val="004445C5"/>
    <w:rsid w:val="004449AF"/>
    <w:rsid w:val="00444BEF"/>
    <w:rsid w:val="00444C54"/>
    <w:rsid w:val="00445717"/>
    <w:rsid w:val="00445941"/>
    <w:rsid w:val="00445D95"/>
    <w:rsid w:val="00445E1B"/>
    <w:rsid w:val="004464EB"/>
    <w:rsid w:val="00446831"/>
    <w:rsid w:val="0044795D"/>
    <w:rsid w:val="00447CFD"/>
    <w:rsid w:val="00447D26"/>
    <w:rsid w:val="00447DFC"/>
    <w:rsid w:val="0045170B"/>
    <w:rsid w:val="00453AA7"/>
    <w:rsid w:val="00453D57"/>
    <w:rsid w:val="0045479D"/>
    <w:rsid w:val="00454C71"/>
    <w:rsid w:val="00455785"/>
    <w:rsid w:val="00455D45"/>
    <w:rsid w:val="00456191"/>
    <w:rsid w:val="004561BA"/>
    <w:rsid w:val="00460099"/>
    <w:rsid w:val="0046212B"/>
    <w:rsid w:val="004642E4"/>
    <w:rsid w:val="00464403"/>
    <w:rsid w:val="00464595"/>
    <w:rsid w:val="004646F0"/>
    <w:rsid w:val="004658B5"/>
    <w:rsid w:val="004666E0"/>
    <w:rsid w:val="004669A4"/>
    <w:rsid w:val="00466B57"/>
    <w:rsid w:val="00467AAC"/>
    <w:rsid w:val="00470B64"/>
    <w:rsid w:val="0047158A"/>
    <w:rsid w:val="004719BE"/>
    <w:rsid w:val="00471EA5"/>
    <w:rsid w:val="00472A79"/>
    <w:rsid w:val="004731E5"/>
    <w:rsid w:val="0047335B"/>
    <w:rsid w:val="004737F5"/>
    <w:rsid w:val="00473CC0"/>
    <w:rsid w:val="00473F19"/>
    <w:rsid w:val="00473FEB"/>
    <w:rsid w:val="004747A6"/>
    <w:rsid w:val="00474DCF"/>
    <w:rsid w:val="00475E22"/>
    <w:rsid w:val="004806EB"/>
    <w:rsid w:val="00480706"/>
    <w:rsid w:val="0048088E"/>
    <w:rsid w:val="00480F2B"/>
    <w:rsid w:val="00481496"/>
    <w:rsid w:val="00482720"/>
    <w:rsid w:val="00482A58"/>
    <w:rsid w:val="00482FCF"/>
    <w:rsid w:val="004835E7"/>
    <w:rsid w:val="0048412C"/>
    <w:rsid w:val="004859E1"/>
    <w:rsid w:val="004867E2"/>
    <w:rsid w:val="00486FC1"/>
    <w:rsid w:val="004904EF"/>
    <w:rsid w:val="004905E9"/>
    <w:rsid w:val="00490B17"/>
    <w:rsid w:val="00490D81"/>
    <w:rsid w:val="00490FDE"/>
    <w:rsid w:val="00491B3A"/>
    <w:rsid w:val="00491CC4"/>
    <w:rsid w:val="00492053"/>
    <w:rsid w:val="00492118"/>
    <w:rsid w:val="00492CFD"/>
    <w:rsid w:val="0049306A"/>
    <w:rsid w:val="004934BC"/>
    <w:rsid w:val="00494207"/>
    <w:rsid w:val="00494DD5"/>
    <w:rsid w:val="00494F71"/>
    <w:rsid w:val="0049577A"/>
    <w:rsid w:val="00495F02"/>
    <w:rsid w:val="004962D2"/>
    <w:rsid w:val="0049728E"/>
    <w:rsid w:val="004976ED"/>
    <w:rsid w:val="00497BB3"/>
    <w:rsid w:val="00497BED"/>
    <w:rsid w:val="00497E46"/>
    <w:rsid w:val="004A0202"/>
    <w:rsid w:val="004A0C0D"/>
    <w:rsid w:val="004A0DA1"/>
    <w:rsid w:val="004A13D6"/>
    <w:rsid w:val="004A1EF4"/>
    <w:rsid w:val="004A2B7A"/>
    <w:rsid w:val="004A2BBB"/>
    <w:rsid w:val="004A2EC3"/>
    <w:rsid w:val="004A3014"/>
    <w:rsid w:val="004A4414"/>
    <w:rsid w:val="004A52E9"/>
    <w:rsid w:val="004A54F1"/>
    <w:rsid w:val="004A6040"/>
    <w:rsid w:val="004A63DE"/>
    <w:rsid w:val="004A6597"/>
    <w:rsid w:val="004A6BC7"/>
    <w:rsid w:val="004A6CF3"/>
    <w:rsid w:val="004A7848"/>
    <w:rsid w:val="004A793B"/>
    <w:rsid w:val="004B1A9F"/>
    <w:rsid w:val="004B1CB4"/>
    <w:rsid w:val="004B1E08"/>
    <w:rsid w:val="004B2AD9"/>
    <w:rsid w:val="004B2F18"/>
    <w:rsid w:val="004B3C7C"/>
    <w:rsid w:val="004B3DDB"/>
    <w:rsid w:val="004B44FD"/>
    <w:rsid w:val="004B48EE"/>
    <w:rsid w:val="004B512D"/>
    <w:rsid w:val="004B5AE3"/>
    <w:rsid w:val="004B5CFC"/>
    <w:rsid w:val="004B6A39"/>
    <w:rsid w:val="004B6F79"/>
    <w:rsid w:val="004B774D"/>
    <w:rsid w:val="004C057E"/>
    <w:rsid w:val="004C065A"/>
    <w:rsid w:val="004C0F26"/>
    <w:rsid w:val="004C13BB"/>
    <w:rsid w:val="004C228A"/>
    <w:rsid w:val="004C2AC2"/>
    <w:rsid w:val="004C3B02"/>
    <w:rsid w:val="004C4AED"/>
    <w:rsid w:val="004C630C"/>
    <w:rsid w:val="004C734B"/>
    <w:rsid w:val="004D17B4"/>
    <w:rsid w:val="004D2C2D"/>
    <w:rsid w:val="004D3E6A"/>
    <w:rsid w:val="004D46B4"/>
    <w:rsid w:val="004D69B5"/>
    <w:rsid w:val="004D7227"/>
    <w:rsid w:val="004D791E"/>
    <w:rsid w:val="004D7B5E"/>
    <w:rsid w:val="004E0E7F"/>
    <w:rsid w:val="004E0EB8"/>
    <w:rsid w:val="004E18C1"/>
    <w:rsid w:val="004E18E9"/>
    <w:rsid w:val="004E1B99"/>
    <w:rsid w:val="004E20EB"/>
    <w:rsid w:val="004E2ADC"/>
    <w:rsid w:val="004E3CAA"/>
    <w:rsid w:val="004E43B2"/>
    <w:rsid w:val="004E4D13"/>
    <w:rsid w:val="004E4EA2"/>
    <w:rsid w:val="004E4EEC"/>
    <w:rsid w:val="004E666C"/>
    <w:rsid w:val="004E69CE"/>
    <w:rsid w:val="004E6CA3"/>
    <w:rsid w:val="004E6D08"/>
    <w:rsid w:val="004E7976"/>
    <w:rsid w:val="004E7D17"/>
    <w:rsid w:val="004F1495"/>
    <w:rsid w:val="004F1D02"/>
    <w:rsid w:val="004F2679"/>
    <w:rsid w:val="004F2A70"/>
    <w:rsid w:val="004F2C45"/>
    <w:rsid w:val="004F2F21"/>
    <w:rsid w:val="004F361D"/>
    <w:rsid w:val="004F3DE5"/>
    <w:rsid w:val="004F45E0"/>
    <w:rsid w:val="004F6913"/>
    <w:rsid w:val="004F7865"/>
    <w:rsid w:val="004F7C1F"/>
    <w:rsid w:val="0050174E"/>
    <w:rsid w:val="00501854"/>
    <w:rsid w:val="0050219B"/>
    <w:rsid w:val="00502C9F"/>
    <w:rsid w:val="00503201"/>
    <w:rsid w:val="00503F17"/>
    <w:rsid w:val="00503F3A"/>
    <w:rsid w:val="00504D48"/>
    <w:rsid w:val="0050505F"/>
    <w:rsid w:val="005052DE"/>
    <w:rsid w:val="00506928"/>
    <w:rsid w:val="005077EF"/>
    <w:rsid w:val="005078E1"/>
    <w:rsid w:val="00510343"/>
    <w:rsid w:val="00511AD5"/>
    <w:rsid w:val="00511DC7"/>
    <w:rsid w:val="005121A5"/>
    <w:rsid w:val="0051267A"/>
    <w:rsid w:val="00512AFA"/>
    <w:rsid w:val="0051378F"/>
    <w:rsid w:val="00513938"/>
    <w:rsid w:val="00513E34"/>
    <w:rsid w:val="005142C5"/>
    <w:rsid w:val="0051501B"/>
    <w:rsid w:val="005152B5"/>
    <w:rsid w:val="00515886"/>
    <w:rsid w:val="00515CE1"/>
    <w:rsid w:val="00515FB9"/>
    <w:rsid w:val="005167E7"/>
    <w:rsid w:val="00517D3D"/>
    <w:rsid w:val="00517E21"/>
    <w:rsid w:val="00520F43"/>
    <w:rsid w:val="0052123C"/>
    <w:rsid w:val="00521319"/>
    <w:rsid w:val="00521468"/>
    <w:rsid w:val="005217C6"/>
    <w:rsid w:val="00521F40"/>
    <w:rsid w:val="00522BC8"/>
    <w:rsid w:val="00522FC5"/>
    <w:rsid w:val="0052319B"/>
    <w:rsid w:val="00523895"/>
    <w:rsid w:val="00523C28"/>
    <w:rsid w:val="00524A6C"/>
    <w:rsid w:val="005259B3"/>
    <w:rsid w:val="00525A2F"/>
    <w:rsid w:val="00525F38"/>
    <w:rsid w:val="005263E0"/>
    <w:rsid w:val="005265A0"/>
    <w:rsid w:val="005270F3"/>
    <w:rsid w:val="0052714A"/>
    <w:rsid w:val="0052724D"/>
    <w:rsid w:val="0053132B"/>
    <w:rsid w:val="005314B2"/>
    <w:rsid w:val="0053176B"/>
    <w:rsid w:val="00532EE9"/>
    <w:rsid w:val="005341B3"/>
    <w:rsid w:val="00535E5D"/>
    <w:rsid w:val="005360B3"/>
    <w:rsid w:val="00536F42"/>
    <w:rsid w:val="00536FF3"/>
    <w:rsid w:val="00537182"/>
    <w:rsid w:val="00540A5D"/>
    <w:rsid w:val="00541EDD"/>
    <w:rsid w:val="00542595"/>
    <w:rsid w:val="00542743"/>
    <w:rsid w:val="00542C2D"/>
    <w:rsid w:val="00542F27"/>
    <w:rsid w:val="005437D4"/>
    <w:rsid w:val="0054394E"/>
    <w:rsid w:val="00544638"/>
    <w:rsid w:val="00545218"/>
    <w:rsid w:val="0054530C"/>
    <w:rsid w:val="00545765"/>
    <w:rsid w:val="005478BD"/>
    <w:rsid w:val="005479E3"/>
    <w:rsid w:val="0055108A"/>
    <w:rsid w:val="00551985"/>
    <w:rsid w:val="00551A06"/>
    <w:rsid w:val="00551A2B"/>
    <w:rsid w:val="00551BF9"/>
    <w:rsid w:val="00551EB2"/>
    <w:rsid w:val="00552BD3"/>
    <w:rsid w:val="005532A0"/>
    <w:rsid w:val="005533CF"/>
    <w:rsid w:val="005539BE"/>
    <w:rsid w:val="00553AAF"/>
    <w:rsid w:val="00553F35"/>
    <w:rsid w:val="00555109"/>
    <w:rsid w:val="0055580E"/>
    <w:rsid w:val="00555E13"/>
    <w:rsid w:val="00556B35"/>
    <w:rsid w:val="0055741A"/>
    <w:rsid w:val="0056033D"/>
    <w:rsid w:val="00560F12"/>
    <w:rsid w:val="005611B7"/>
    <w:rsid w:val="005618D4"/>
    <w:rsid w:val="00561D78"/>
    <w:rsid w:val="0056370A"/>
    <w:rsid w:val="0056383F"/>
    <w:rsid w:val="005641AE"/>
    <w:rsid w:val="00564867"/>
    <w:rsid w:val="0056544A"/>
    <w:rsid w:val="00565629"/>
    <w:rsid w:val="0056593A"/>
    <w:rsid w:val="00565C79"/>
    <w:rsid w:val="00565DF0"/>
    <w:rsid w:val="0056696F"/>
    <w:rsid w:val="00566997"/>
    <w:rsid w:val="005672BF"/>
    <w:rsid w:val="0056749D"/>
    <w:rsid w:val="00570B8C"/>
    <w:rsid w:val="00572269"/>
    <w:rsid w:val="0057244A"/>
    <w:rsid w:val="00572BBE"/>
    <w:rsid w:val="00572F26"/>
    <w:rsid w:val="005750C5"/>
    <w:rsid w:val="005752DE"/>
    <w:rsid w:val="00575D60"/>
    <w:rsid w:val="00575D8D"/>
    <w:rsid w:val="00576972"/>
    <w:rsid w:val="00576C06"/>
    <w:rsid w:val="00577248"/>
    <w:rsid w:val="005805A3"/>
    <w:rsid w:val="0058109F"/>
    <w:rsid w:val="005810F8"/>
    <w:rsid w:val="00581C27"/>
    <w:rsid w:val="005826C1"/>
    <w:rsid w:val="00583699"/>
    <w:rsid w:val="0058472B"/>
    <w:rsid w:val="00584A14"/>
    <w:rsid w:val="00584CA6"/>
    <w:rsid w:val="005859C3"/>
    <w:rsid w:val="00585CDD"/>
    <w:rsid w:val="00585FD5"/>
    <w:rsid w:val="00586755"/>
    <w:rsid w:val="00587058"/>
    <w:rsid w:val="00587617"/>
    <w:rsid w:val="00587A44"/>
    <w:rsid w:val="00587B75"/>
    <w:rsid w:val="00590F81"/>
    <w:rsid w:val="00591012"/>
    <w:rsid w:val="00591957"/>
    <w:rsid w:val="00593C9C"/>
    <w:rsid w:val="0059462B"/>
    <w:rsid w:val="00594D85"/>
    <w:rsid w:val="00594F05"/>
    <w:rsid w:val="00595133"/>
    <w:rsid w:val="00596E09"/>
    <w:rsid w:val="005978F6"/>
    <w:rsid w:val="00597BF9"/>
    <w:rsid w:val="005A0207"/>
    <w:rsid w:val="005A0C11"/>
    <w:rsid w:val="005A1356"/>
    <w:rsid w:val="005A21F3"/>
    <w:rsid w:val="005A27AA"/>
    <w:rsid w:val="005A29B5"/>
    <w:rsid w:val="005A2A80"/>
    <w:rsid w:val="005A309A"/>
    <w:rsid w:val="005A373D"/>
    <w:rsid w:val="005A4882"/>
    <w:rsid w:val="005A4B25"/>
    <w:rsid w:val="005A6116"/>
    <w:rsid w:val="005A6ABF"/>
    <w:rsid w:val="005B010B"/>
    <w:rsid w:val="005B0B58"/>
    <w:rsid w:val="005B21A8"/>
    <w:rsid w:val="005B23ED"/>
    <w:rsid w:val="005B30CA"/>
    <w:rsid w:val="005B3410"/>
    <w:rsid w:val="005B38DF"/>
    <w:rsid w:val="005B4108"/>
    <w:rsid w:val="005B46E3"/>
    <w:rsid w:val="005B49D4"/>
    <w:rsid w:val="005B4E53"/>
    <w:rsid w:val="005B5359"/>
    <w:rsid w:val="005B569A"/>
    <w:rsid w:val="005B5857"/>
    <w:rsid w:val="005B754C"/>
    <w:rsid w:val="005B7741"/>
    <w:rsid w:val="005B792F"/>
    <w:rsid w:val="005B7EE1"/>
    <w:rsid w:val="005C0CC5"/>
    <w:rsid w:val="005C1613"/>
    <w:rsid w:val="005C19C4"/>
    <w:rsid w:val="005C1B83"/>
    <w:rsid w:val="005C25FF"/>
    <w:rsid w:val="005C2D55"/>
    <w:rsid w:val="005C346B"/>
    <w:rsid w:val="005C3688"/>
    <w:rsid w:val="005C37D4"/>
    <w:rsid w:val="005C525D"/>
    <w:rsid w:val="005C5AB4"/>
    <w:rsid w:val="005C5ABC"/>
    <w:rsid w:val="005C62DF"/>
    <w:rsid w:val="005C68B4"/>
    <w:rsid w:val="005C71F5"/>
    <w:rsid w:val="005C73F4"/>
    <w:rsid w:val="005D0139"/>
    <w:rsid w:val="005D044D"/>
    <w:rsid w:val="005D0ABD"/>
    <w:rsid w:val="005D0AD0"/>
    <w:rsid w:val="005D18AD"/>
    <w:rsid w:val="005D1F24"/>
    <w:rsid w:val="005D26B4"/>
    <w:rsid w:val="005D36C7"/>
    <w:rsid w:val="005D446D"/>
    <w:rsid w:val="005D4E1C"/>
    <w:rsid w:val="005D51E0"/>
    <w:rsid w:val="005D5202"/>
    <w:rsid w:val="005D53B9"/>
    <w:rsid w:val="005D6375"/>
    <w:rsid w:val="005D6D4D"/>
    <w:rsid w:val="005D7623"/>
    <w:rsid w:val="005E0BAA"/>
    <w:rsid w:val="005E0BB4"/>
    <w:rsid w:val="005E0BDB"/>
    <w:rsid w:val="005E0D18"/>
    <w:rsid w:val="005E100E"/>
    <w:rsid w:val="005E157A"/>
    <w:rsid w:val="005E15DF"/>
    <w:rsid w:val="005E1952"/>
    <w:rsid w:val="005E1995"/>
    <w:rsid w:val="005E1D29"/>
    <w:rsid w:val="005E3466"/>
    <w:rsid w:val="005E4291"/>
    <w:rsid w:val="005E4516"/>
    <w:rsid w:val="005E5631"/>
    <w:rsid w:val="005E6CBC"/>
    <w:rsid w:val="005E72FF"/>
    <w:rsid w:val="005E73C0"/>
    <w:rsid w:val="005E779C"/>
    <w:rsid w:val="005E786A"/>
    <w:rsid w:val="005E7C9A"/>
    <w:rsid w:val="005F07ED"/>
    <w:rsid w:val="005F170C"/>
    <w:rsid w:val="005F2706"/>
    <w:rsid w:val="005F2D97"/>
    <w:rsid w:val="005F44D2"/>
    <w:rsid w:val="005F481B"/>
    <w:rsid w:val="005F56B6"/>
    <w:rsid w:val="005F66D2"/>
    <w:rsid w:val="005F67CF"/>
    <w:rsid w:val="005F6A8F"/>
    <w:rsid w:val="005F6BB7"/>
    <w:rsid w:val="005F7588"/>
    <w:rsid w:val="005F7E7E"/>
    <w:rsid w:val="005F7E97"/>
    <w:rsid w:val="00600279"/>
    <w:rsid w:val="00600B32"/>
    <w:rsid w:val="006028D3"/>
    <w:rsid w:val="00602BCF"/>
    <w:rsid w:val="006039EF"/>
    <w:rsid w:val="00603DB9"/>
    <w:rsid w:val="006045D7"/>
    <w:rsid w:val="00606FBA"/>
    <w:rsid w:val="00607669"/>
    <w:rsid w:val="006076F4"/>
    <w:rsid w:val="00607AFD"/>
    <w:rsid w:val="00607BB2"/>
    <w:rsid w:val="0061175D"/>
    <w:rsid w:val="00611B12"/>
    <w:rsid w:val="006120FC"/>
    <w:rsid w:val="00612E89"/>
    <w:rsid w:val="00612F97"/>
    <w:rsid w:val="0061302D"/>
    <w:rsid w:val="0061317D"/>
    <w:rsid w:val="0061345D"/>
    <w:rsid w:val="00613927"/>
    <w:rsid w:val="00613CCA"/>
    <w:rsid w:val="006141C2"/>
    <w:rsid w:val="00614376"/>
    <w:rsid w:val="00614693"/>
    <w:rsid w:val="0061549B"/>
    <w:rsid w:val="00616802"/>
    <w:rsid w:val="0061743F"/>
    <w:rsid w:val="00617E12"/>
    <w:rsid w:val="00620C25"/>
    <w:rsid w:val="00621477"/>
    <w:rsid w:val="00621728"/>
    <w:rsid w:val="00621ADA"/>
    <w:rsid w:val="0062314A"/>
    <w:rsid w:val="0062390D"/>
    <w:rsid w:val="006239C1"/>
    <w:rsid w:val="00623F7B"/>
    <w:rsid w:val="00624BD4"/>
    <w:rsid w:val="0062578D"/>
    <w:rsid w:val="00626884"/>
    <w:rsid w:val="006268C5"/>
    <w:rsid w:val="00627389"/>
    <w:rsid w:val="006310B5"/>
    <w:rsid w:val="0063158F"/>
    <w:rsid w:val="00631D6B"/>
    <w:rsid w:val="00632183"/>
    <w:rsid w:val="006328C4"/>
    <w:rsid w:val="006330A1"/>
    <w:rsid w:val="00633644"/>
    <w:rsid w:val="00633BE8"/>
    <w:rsid w:val="00633FA0"/>
    <w:rsid w:val="00634429"/>
    <w:rsid w:val="0063479F"/>
    <w:rsid w:val="00634CFA"/>
    <w:rsid w:val="006352B0"/>
    <w:rsid w:val="006353F0"/>
    <w:rsid w:val="006357B5"/>
    <w:rsid w:val="006359E7"/>
    <w:rsid w:val="006364A1"/>
    <w:rsid w:val="006366D3"/>
    <w:rsid w:val="0063678E"/>
    <w:rsid w:val="00637BFD"/>
    <w:rsid w:val="00637C0B"/>
    <w:rsid w:val="00637C5C"/>
    <w:rsid w:val="00637CAD"/>
    <w:rsid w:val="00640A21"/>
    <w:rsid w:val="00641A24"/>
    <w:rsid w:val="00641C4E"/>
    <w:rsid w:val="00641FB3"/>
    <w:rsid w:val="006421E3"/>
    <w:rsid w:val="00642D78"/>
    <w:rsid w:val="0064434C"/>
    <w:rsid w:val="006451DF"/>
    <w:rsid w:val="00645FEE"/>
    <w:rsid w:val="00646514"/>
    <w:rsid w:val="00646B21"/>
    <w:rsid w:val="006471CC"/>
    <w:rsid w:val="006472FE"/>
    <w:rsid w:val="00647A29"/>
    <w:rsid w:val="00647D57"/>
    <w:rsid w:val="0065079F"/>
    <w:rsid w:val="00650ACA"/>
    <w:rsid w:val="006521F0"/>
    <w:rsid w:val="00652A28"/>
    <w:rsid w:val="0065321E"/>
    <w:rsid w:val="0065379F"/>
    <w:rsid w:val="006541C6"/>
    <w:rsid w:val="006547CB"/>
    <w:rsid w:val="00655FFE"/>
    <w:rsid w:val="00656188"/>
    <w:rsid w:val="00656249"/>
    <w:rsid w:val="00656AE8"/>
    <w:rsid w:val="0065715A"/>
    <w:rsid w:val="006610F1"/>
    <w:rsid w:val="006615C9"/>
    <w:rsid w:val="00661C6B"/>
    <w:rsid w:val="00662419"/>
    <w:rsid w:val="006628B2"/>
    <w:rsid w:val="00662D3E"/>
    <w:rsid w:val="00662E20"/>
    <w:rsid w:val="00663485"/>
    <w:rsid w:val="00663559"/>
    <w:rsid w:val="0066605F"/>
    <w:rsid w:val="00667BE3"/>
    <w:rsid w:val="00670165"/>
    <w:rsid w:val="00670321"/>
    <w:rsid w:val="0067067F"/>
    <w:rsid w:val="00671004"/>
    <w:rsid w:val="006715CD"/>
    <w:rsid w:val="00671C5A"/>
    <w:rsid w:val="00672646"/>
    <w:rsid w:val="00673A9C"/>
    <w:rsid w:val="00674E42"/>
    <w:rsid w:val="00674E8C"/>
    <w:rsid w:val="00675357"/>
    <w:rsid w:val="00675B0C"/>
    <w:rsid w:val="0067633F"/>
    <w:rsid w:val="006764BE"/>
    <w:rsid w:val="00676563"/>
    <w:rsid w:val="00676749"/>
    <w:rsid w:val="006813F8"/>
    <w:rsid w:val="00682112"/>
    <w:rsid w:val="0068224E"/>
    <w:rsid w:val="006825A5"/>
    <w:rsid w:val="00682BA6"/>
    <w:rsid w:val="00684B3B"/>
    <w:rsid w:val="0068546D"/>
    <w:rsid w:val="0068571A"/>
    <w:rsid w:val="00686957"/>
    <w:rsid w:val="006872BA"/>
    <w:rsid w:val="00690426"/>
    <w:rsid w:val="00690795"/>
    <w:rsid w:val="00691648"/>
    <w:rsid w:val="006917D7"/>
    <w:rsid w:val="00691938"/>
    <w:rsid w:val="00692678"/>
    <w:rsid w:val="00693CB6"/>
    <w:rsid w:val="0069434C"/>
    <w:rsid w:val="006947DD"/>
    <w:rsid w:val="00694F44"/>
    <w:rsid w:val="006958C2"/>
    <w:rsid w:val="006965D2"/>
    <w:rsid w:val="00696EF9"/>
    <w:rsid w:val="00696F51"/>
    <w:rsid w:val="00697002"/>
    <w:rsid w:val="0069715C"/>
    <w:rsid w:val="006979A5"/>
    <w:rsid w:val="00697B69"/>
    <w:rsid w:val="006A016F"/>
    <w:rsid w:val="006A03B4"/>
    <w:rsid w:val="006A0BBC"/>
    <w:rsid w:val="006A0DF7"/>
    <w:rsid w:val="006A1443"/>
    <w:rsid w:val="006A4158"/>
    <w:rsid w:val="006A4321"/>
    <w:rsid w:val="006A4387"/>
    <w:rsid w:val="006A43D9"/>
    <w:rsid w:val="006A5012"/>
    <w:rsid w:val="006A5357"/>
    <w:rsid w:val="006A5812"/>
    <w:rsid w:val="006A6B99"/>
    <w:rsid w:val="006A73BF"/>
    <w:rsid w:val="006A746E"/>
    <w:rsid w:val="006A7E5F"/>
    <w:rsid w:val="006B10E4"/>
    <w:rsid w:val="006B123A"/>
    <w:rsid w:val="006B1F47"/>
    <w:rsid w:val="006B261B"/>
    <w:rsid w:val="006B2C90"/>
    <w:rsid w:val="006B35E6"/>
    <w:rsid w:val="006B3A98"/>
    <w:rsid w:val="006B465A"/>
    <w:rsid w:val="006B623E"/>
    <w:rsid w:val="006B6DD0"/>
    <w:rsid w:val="006B759C"/>
    <w:rsid w:val="006C0399"/>
    <w:rsid w:val="006C0E9F"/>
    <w:rsid w:val="006C1A79"/>
    <w:rsid w:val="006C2A8E"/>
    <w:rsid w:val="006C2AF2"/>
    <w:rsid w:val="006C2E94"/>
    <w:rsid w:val="006C3255"/>
    <w:rsid w:val="006C32B9"/>
    <w:rsid w:val="006C3360"/>
    <w:rsid w:val="006C3C6C"/>
    <w:rsid w:val="006C3D66"/>
    <w:rsid w:val="006C3F26"/>
    <w:rsid w:val="006C41DB"/>
    <w:rsid w:val="006C509C"/>
    <w:rsid w:val="006C561E"/>
    <w:rsid w:val="006C5D9D"/>
    <w:rsid w:val="006C5DB6"/>
    <w:rsid w:val="006C60BE"/>
    <w:rsid w:val="006C61D2"/>
    <w:rsid w:val="006C6B21"/>
    <w:rsid w:val="006C6DC1"/>
    <w:rsid w:val="006C77F8"/>
    <w:rsid w:val="006C7D60"/>
    <w:rsid w:val="006D0D17"/>
    <w:rsid w:val="006D1A08"/>
    <w:rsid w:val="006D20B7"/>
    <w:rsid w:val="006D3C7D"/>
    <w:rsid w:val="006D3E33"/>
    <w:rsid w:val="006D4659"/>
    <w:rsid w:val="006D47BC"/>
    <w:rsid w:val="006D4F3E"/>
    <w:rsid w:val="006D514D"/>
    <w:rsid w:val="006D5D5F"/>
    <w:rsid w:val="006D680A"/>
    <w:rsid w:val="006D68FB"/>
    <w:rsid w:val="006D6FCC"/>
    <w:rsid w:val="006D71F8"/>
    <w:rsid w:val="006E0178"/>
    <w:rsid w:val="006E04D0"/>
    <w:rsid w:val="006E0E88"/>
    <w:rsid w:val="006E133E"/>
    <w:rsid w:val="006E1F67"/>
    <w:rsid w:val="006E2868"/>
    <w:rsid w:val="006E3A1E"/>
    <w:rsid w:val="006E409C"/>
    <w:rsid w:val="006E4E57"/>
    <w:rsid w:val="006E63C8"/>
    <w:rsid w:val="006E75E2"/>
    <w:rsid w:val="006E778B"/>
    <w:rsid w:val="006F0067"/>
    <w:rsid w:val="006F023C"/>
    <w:rsid w:val="006F2B3A"/>
    <w:rsid w:val="006F306C"/>
    <w:rsid w:val="006F63A5"/>
    <w:rsid w:val="006F64AB"/>
    <w:rsid w:val="00700288"/>
    <w:rsid w:val="00700B7F"/>
    <w:rsid w:val="0070142B"/>
    <w:rsid w:val="00701ED4"/>
    <w:rsid w:val="0070276E"/>
    <w:rsid w:val="00702F8F"/>
    <w:rsid w:val="007033B6"/>
    <w:rsid w:val="007034D4"/>
    <w:rsid w:val="00703880"/>
    <w:rsid w:val="00703969"/>
    <w:rsid w:val="0070645F"/>
    <w:rsid w:val="0070660F"/>
    <w:rsid w:val="007073DB"/>
    <w:rsid w:val="007079FC"/>
    <w:rsid w:val="00710360"/>
    <w:rsid w:val="00710CAD"/>
    <w:rsid w:val="00711823"/>
    <w:rsid w:val="00711A36"/>
    <w:rsid w:val="007125D3"/>
    <w:rsid w:val="007141B9"/>
    <w:rsid w:val="007145AD"/>
    <w:rsid w:val="00714C26"/>
    <w:rsid w:val="0071529C"/>
    <w:rsid w:val="007155BB"/>
    <w:rsid w:val="00715BB3"/>
    <w:rsid w:val="007161B5"/>
    <w:rsid w:val="00716CD2"/>
    <w:rsid w:val="007170DA"/>
    <w:rsid w:val="007172AD"/>
    <w:rsid w:val="00717546"/>
    <w:rsid w:val="00720801"/>
    <w:rsid w:val="00721B28"/>
    <w:rsid w:val="0072278F"/>
    <w:rsid w:val="00722B1B"/>
    <w:rsid w:val="00723742"/>
    <w:rsid w:val="0072416F"/>
    <w:rsid w:val="00725926"/>
    <w:rsid w:val="00726075"/>
    <w:rsid w:val="007262D0"/>
    <w:rsid w:val="00727731"/>
    <w:rsid w:val="00727C94"/>
    <w:rsid w:val="00730A9A"/>
    <w:rsid w:val="00730F5B"/>
    <w:rsid w:val="0073107D"/>
    <w:rsid w:val="00731B0A"/>
    <w:rsid w:val="00731EAE"/>
    <w:rsid w:val="00732A34"/>
    <w:rsid w:val="00733073"/>
    <w:rsid w:val="00734C3F"/>
    <w:rsid w:val="00734D0F"/>
    <w:rsid w:val="00735033"/>
    <w:rsid w:val="00735328"/>
    <w:rsid w:val="0073685B"/>
    <w:rsid w:val="0073711B"/>
    <w:rsid w:val="0073757A"/>
    <w:rsid w:val="007416B7"/>
    <w:rsid w:val="0074266A"/>
    <w:rsid w:val="007442C6"/>
    <w:rsid w:val="007449BF"/>
    <w:rsid w:val="007459AC"/>
    <w:rsid w:val="007460D8"/>
    <w:rsid w:val="007462A7"/>
    <w:rsid w:val="007463FE"/>
    <w:rsid w:val="0074644B"/>
    <w:rsid w:val="00746BC0"/>
    <w:rsid w:val="007510B4"/>
    <w:rsid w:val="00751C98"/>
    <w:rsid w:val="00752142"/>
    <w:rsid w:val="007523F9"/>
    <w:rsid w:val="0075357E"/>
    <w:rsid w:val="007535F8"/>
    <w:rsid w:val="00753B29"/>
    <w:rsid w:val="00754887"/>
    <w:rsid w:val="00755144"/>
    <w:rsid w:val="0075643C"/>
    <w:rsid w:val="00756AAA"/>
    <w:rsid w:val="007573E8"/>
    <w:rsid w:val="007578CA"/>
    <w:rsid w:val="0076047F"/>
    <w:rsid w:val="00760A22"/>
    <w:rsid w:val="00760C4E"/>
    <w:rsid w:val="00760F9E"/>
    <w:rsid w:val="007616E6"/>
    <w:rsid w:val="00761B9E"/>
    <w:rsid w:val="00761DE1"/>
    <w:rsid w:val="007627BE"/>
    <w:rsid w:val="0076301A"/>
    <w:rsid w:val="00764F03"/>
    <w:rsid w:val="00765B1A"/>
    <w:rsid w:val="00765DC1"/>
    <w:rsid w:val="00765F22"/>
    <w:rsid w:val="00766410"/>
    <w:rsid w:val="00766F88"/>
    <w:rsid w:val="0076717D"/>
    <w:rsid w:val="00770DED"/>
    <w:rsid w:val="00770F48"/>
    <w:rsid w:val="00771737"/>
    <w:rsid w:val="00771C72"/>
    <w:rsid w:val="00774033"/>
    <w:rsid w:val="007741D2"/>
    <w:rsid w:val="00774ED5"/>
    <w:rsid w:val="00775DFB"/>
    <w:rsid w:val="0077621B"/>
    <w:rsid w:val="00776A29"/>
    <w:rsid w:val="007770AF"/>
    <w:rsid w:val="0077725F"/>
    <w:rsid w:val="00777335"/>
    <w:rsid w:val="00777ACE"/>
    <w:rsid w:val="007821EB"/>
    <w:rsid w:val="00783CAC"/>
    <w:rsid w:val="007843F2"/>
    <w:rsid w:val="007846FA"/>
    <w:rsid w:val="00785168"/>
    <w:rsid w:val="007851A9"/>
    <w:rsid w:val="00785A9F"/>
    <w:rsid w:val="00786A36"/>
    <w:rsid w:val="00787B9D"/>
    <w:rsid w:val="00790B6F"/>
    <w:rsid w:val="007920A1"/>
    <w:rsid w:val="007925DF"/>
    <w:rsid w:val="00792681"/>
    <w:rsid w:val="007934FD"/>
    <w:rsid w:val="00793524"/>
    <w:rsid w:val="007938F2"/>
    <w:rsid w:val="00793D52"/>
    <w:rsid w:val="00793D7A"/>
    <w:rsid w:val="00794536"/>
    <w:rsid w:val="00794BF8"/>
    <w:rsid w:val="00795004"/>
    <w:rsid w:val="0079576F"/>
    <w:rsid w:val="007957EB"/>
    <w:rsid w:val="00796C7D"/>
    <w:rsid w:val="007972C7"/>
    <w:rsid w:val="00797AB2"/>
    <w:rsid w:val="007A030E"/>
    <w:rsid w:val="007A08AA"/>
    <w:rsid w:val="007A0A12"/>
    <w:rsid w:val="007A0D99"/>
    <w:rsid w:val="007A132D"/>
    <w:rsid w:val="007A1345"/>
    <w:rsid w:val="007A13EC"/>
    <w:rsid w:val="007A2DDB"/>
    <w:rsid w:val="007A37BB"/>
    <w:rsid w:val="007A3DD8"/>
    <w:rsid w:val="007A4A6C"/>
    <w:rsid w:val="007A5175"/>
    <w:rsid w:val="007A638D"/>
    <w:rsid w:val="007A6683"/>
    <w:rsid w:val="007A678F"/>
    <w:rsid w:val="007A70BA"/>
    <w:rsid w:val="007A7F7D"/>
    <w:rsid w:val="007B0BDA"/>
    <w:rsid w:val="007B0D68"/>
    <w:rsid w:val="007B0EC3"/>
    <w:rsid w:val="007B251D"/>
    <w:rsid w:val="007B3533"/>
    <w:rsid w:val="007B3DFC"/>
    <w:rsid w:val="007B47C2"/>
    <w:rsid w:val="007B4F58"/>
    <w:rsid w:val="007B528D"/>
    <w:rsid w:val="007B63CA"/>
    <w:rsid w:val="007B6B7B"/>
    <w:rsid w:val="007B714B"/>
    <w:rsid w:val="007B77D1"/>
    <w:rsid w:val="007B7B38"/>
    <w:rsid w:val="007B7D7F"/>
    <w:rsid w:val="007C0512"/>
    <w:rsid w:val="007C051D"/>
    <w:rsid w:val="007C07C7"/>
    <w:rsid w:val="007C1965"/>
    <w:rsid w:val="007C1CD9"/>
    <w:rsid w:val="007C1DF2"/>
    <w:rsid w:val="007C2DE2"/>
    <w:rsid w:val="007C32EF"/>
    <w:rsid w:val="007C361D"/>
    <w:rsid w:val="007C3735"/>
    <w:rsid w:val="007C4B84"/>
    <w:rsid w:val="007C5375"/>
    <w:rsid w:val="007C5546"/>
    <w:rsid w:val="007C5641"/>
    <w:rsid w:val="007C5D32"/>
    <w:rsid w:val="007C70FF"/>
    <w:rsid w:val="007C7C25"/>
    <w:rsid w:val="007D004F"/>
    <w:rsid w:val="007D035F"/>
    <w:rsid w:val="007D06B2"/>
    <w:rsid w:val="007D0B38"/>
    <w:rsid w:val="007D1748"/>
    <w:rsid w:val="007D1E66"/>
    <w:rsid w:val="007D2530"/>
    <w:rsid w:val="007D26F6"/>
    <w:rsid w:val="007D2C48"/>
    <w:rsid w:val="007D343C"/>
    <w:rsid w:val="007D36A7"/>
    <w:rsid w:val="007D4A6D"/>
    <w:rsid w:val="007D5440"/>
    <w:rsid w:val="007D5D11"/>
    <w:rsid w:val="007D649B"/>
    <w:rsid w:val="007D69EB"/>
    <w:rsid w:val="007D6DC9"/>
    <w:rsid w:val="007E04A1"/>
    <w:rsid w:val="007E09AB"/>
    <w:rsid w:val="007E0BAD"/>
    <w:rsid w:val="007E0C9A"/>
    <w:rsid w:val="007E128F"/>
    <w:rsid w:val="007E1E3A"/>
    <w:rsid w:val="007E23A1"/>
    <w:rsid w:val="007E41B4"/>
    <w:rsid w:val="007E4FE9"/>
    <w:rsid w:val="007E5A83"/>
    <w:rsid w:val="007E6156"/>
    <w:rsid w:val="007E6D75"/>
    <w:rsid w:val="007E6E1F"/>
    <w:rsid w:val="007E714F"/>
    <w:rsid w:val="007E744B"/>
    <w:rsid w:val="007E747D"/>
    <w:rsid w:val="007F0790"/>
    <w:rsid w:val="007F1017"/>
    <w:rsid w:val="007F2359"/>
    <w:rsid w:val="007F4026"/>
    <w:rsid w:val="007F4A3F"/>
    <w:rsid w:val="007F4A61"/>
    <w:rsid w:val="007F5255"/>
    <w:rsid w:val="007F56CC"/>
    <w:rsid w:val="007F61C2"/>
    <w:rsid w:val="007F685D"/>
    <w:rsid w:val="007F6F86"/>
    <w:rsid w:val="007F7F22"/>
    <w:rsid w:val="0080090A"/>
    <w:rsid w:val="00800D24"/>
    <w:rsid w:val="00800D99"/>
    <w:rsid w:val="0080119D"/>
    <w:rsid w:val="00801BB7"/>
    <w:rsid w:val="00801D76"/>
    <w:rsid w:val="00802652"/>
    <w:rsid w:val="00803FD8"/>
    <w:rsid w:val="00805142"/>
    <w:rsid w:val="0080566B"/>
    <w:rsid w:val="00805A62"/>
    <w:rsid w:val="00805DF4"/>
    <w:rsid w:val="00805FCE"/>
    <w:rsid w:val="00806143"/>
    <w:rsid w:val="0080678F"/>
    <w:rsid w:val="008067D8"/>
    <w:rsid w:val="00807287"/>
    <w:rsid w:val="00807595"/>
    <w:rsid w:val="00807A8B"/>
    <w:rsid w:val="008103B7"/>
    <w:rsid w:val="00810CC6"/>
    <w:rsid w:val="00811383"/>
    <w:rsid w:val="00812149"/>
    <w:rsid w:val="0081292A"/>
    <w:rsid w:val="00812B08"/>
    <w:rsid w:val="00812CAC"/>
    <w:rsid w:val="008133D6"/>
    <w:rsid w:val="00814963"/>
    <w:rsid w:val="00815525"/>
    <w:rsid w:val="00816361"/>
    <w:rsid w:val="008166EF"/>
    <w:rsid w:val="008167F3"/>
    <w:rsid w:val="00816FEF"/>
    <w:rsid w:val="0082074D"/>
    <w:rsid w:val="00820A8C"/>
    <w:rsid w:val="00820E16"/>
    <w:rsid w:val="008215FB"/>
    <w:rsid w:val="008220CC"/>
    <w:rsid w:val="0082281F"/>
    <w:rsid w:val="00823013"/>
    <w:rsid w:val="00823174"/>
    <w:rsid w:val="00824304"/>
    <w:rsid w:val="00825751"/>
    <w:rsid w:val="008264EB"/>
    <w:rsid w:val="00826818"/>
    <w:rsid w:val="008268CE"/>
    <w:rsid w:val="0082750C"/>
    <w:rsid w:val="0082755D"/>
    <w:rsid w:val="00827C23"/>
    <w:rsid w:val="00830C71"/>
    <w:rsid w:val="00830D19"/>
    <w:rsid w:val="00830EFE"/>
    <w:rsid w:val="00831ED8"/>
    <w:rsid w:val="00832D52"/>
    <w:rsid w:val="008330AE"/>
    <w:rsid w:val="00833731"/>
    <w:rsid w:val="00833A9A"/>
    <w:rsid w:val="00833B05"/>
    <w:rsid w:val="008352F3"/>
    <w:rsid w:val="00835685"/>
    <w:rsid w:val="00835E30"/>
    <w:rsid w:val="00835E75"/>
    <w:rsid w:val="008361C7"/>
    <w:rsid w:val="008362B4"/>
    <w:rsid w:val="008377F6"/>
    <w:rsid w:val="008378FF"/>
    <w:rsid w:val="00837F2D"/>
    <w:rsid w:val="008408B2"/>
    <w:rsid w:val="00840CA2"/>
    <w:rsid w:val="00840DC2"/>
    <w:rsid w:val="008416B4"/>
    <w:rsid w:val="00841BB3"/>
    <w:rsid w:val="008424F9"/>
    <w:rsid w:val="00842500"/>
    <w:rsid w:val="0084374F"/>
    <w:rsid w:val="00843CDF"/>
    <w:rsid w:val="00844A22"/>
    <w:rsid w:val="00844A87"/>
    <w:rsid w:val="0084528C"/>
    <w:rsid w:val="00845403"/>
    <w:rsid w:val="00845B3B"/>
    <w:rsid w:val="00847703"/>
    <w:rsid w:val="00847810"/>
    <w:rsid w:val="00847DF5"/>
    <w:rsid w:val="00850660"/>
    <w:rsid w:val="0085080E"/>
    <w:rsid w:val="00851A3F"/>
    <w:rsid w:val="008524D0"/>
    <w:rsid w:val="00852BCE"/>
    <w:rsid w:val="0085309D"/>
    <w:rsid w:val="008532CB"/>
    <w:rsid w:val="0085362F"/>
    <w:rsid w:val="008536B0"/>
    <w:rsid w:val="00853897"/>
    <w:rsid w:val="00853AB0"/>
    <w:rsid w:val="008540DC"/>
    <w:rsid w:val="0085426B"/>
    <w:rsid w:val="0085529E"/>
    <w:rsid w:val="00855F02"/>
    <w:rsid w:val="00856897"/>
    <w:rsid w:val="00856E9A"/>
    <w:rsid w:val="008602EC"/>
    <w:rsid w:val="0086075D"/>
    <w:rsid w:val="00861B32"/>
    <w:rsid w:val="00861CA8"/>
    <w:rsid w:val="00862502"/>
    <w:rsid w:val="00862AA3"/>
    <w:rsid w:val="00862CC1"/>
    <w:rsid w:val="008638C2"/>
    <w:rsid w:val="008642A7"/>
    <w:rsid w:val="008660D4"/>
    <w:rsid w:val="00866567"/>
    <w:rsid w:val="008668C1"/>
    <w:rsid w:val="00867271"/>
    <w:rsid w:val="00867DA0"/>
    <w:rsid w:val="008702C5"/>
    <w:rsid w:val="008709B5"/>
    <w:rsid w:val="00871FA9"/>
    <w:rsid w:val="008728E9"/>
    <w:rsid w:val="00874086"/>
    <w:rsid w:val="00874C18"/>
    <w:rsid w:val="00875E12"/>
    <w:rsid w:val="00876A2B"/>
    <w:rsid w:val="00876CBD"/>
    <w:rsid w:val="0087743D"/>
    <w:rsid w:val="00880478"/>
    <w:rsid w:val="00880B96"/>
    <w:rsid w:val="00880F45"/>
    <w:rsid w:val="008811A2"/>
    <w:rsid w:val="0088143A"/>
    <w:rsid w:val="00881EF4"/>
    <w:rsid w:val="00881F12"/>
    <w:rsid w:val="008821F0"/>
    <w:rsid w:val="00882874"/>
    <w:rsid w:val="00882E3C"/>
    <w:rsid w:val="0088308A"/>
    <w:rsid w:val="00883402"/>
    <w:rsid w:val="00883787"/>
    <w:rsid w:val="00883A40"/>
    <w:rsid w:val="008844DF"/>
    <w:rsid w:val="008855E4"/>
    <w:rsid w:val="00885A9C"/>
    <w:rsid w:val="008867F2"/>
    <w:rsid w:val="00886CD2"/>
    <w:rsid w:val="008875BB"/>
    <w:rsid w:val="00887924"/>
    <w:rsid w:val="00891094"/>
    <w:rsid w:val="00891217"/>
    <w:rsid w:val="008918D3"/>
    <w:rsid w:val="00891B31"/>
    <w:rsid w:val="00891BA3"/>
    <w:rsid w:val="00891E6F"/>
    <w:rsid w:val="0089214D"/>
    <w:rsid w:val="0089275D"/>
    <w:rsid w:val="008928C3"/>
    <w:rsid w:val="00892A36"/>
    <w:rsid w:val="00893239"/>
    <w:rsid w:val="00893525"/>
    <w:rsid w:val="00893894"/>
    <w:rsid w:val="0089416D"/>
    <w:rsid w:val="0089420E"/>
    <w:rsid w:val="00894489"/>
    <w:rsid w:val="00894CD6"/>
    <w:rsid w:val="00895D0A"/>
    <w:rsid w:val="008963A5"/>
    <w:rsid w:val="00896538"/>
    <w:rsid w:val="008965B5"/>
    <w:rsid w:val="00896D5D"/>
    <w:rsid w:val="008A06CC"/>
    <w:rsid w:val="008A0E86"/>
    <w:rsid w:val="008A24CE"/>
    <w:rsid w:val="008A3158"/>
    <w:rsid w:val="008A3363"/>
    <w:rsid w:val="008A3371"/>
    <w:rsid w:val="008A33D6"/>
    <w:rsid w:val="008A3889"/>
    <w:rsid w:val="008A3C3E"/>
    <w:rsid w:val="008A507C"/>
    <w:rsid w:val="008A5CAC"/>
    <w:rsid w:val="008A6278"/>
    <w:rsid w:val="008A6C34"/>
    <w:rsid w:val="008A7227"/>
    <w:rsid w:val="008A79DE"/>
    <w:rsid w:val="008A7F53"/>
    <w:rsid w:val="008B07F0"/>
    <w:rsid w:val="008B08D4"/>
    <w:rsid w:val="008B10FC"/>
    <w:rsid w:val="008B114D"/>
    <w:rsid w:val="008B1514"/>
    <w:rsid w:val="008B1757"/>
    <w:rsid w:val="008B1859"/>
    <w:rsid w:val="008B1C33"/>
    <w:rsid w:val="008B2756"/>
    <w:rsid w:val="008B2C21"/>
    <w:rsid w:val="008B3245"/>
    <w:rsid w:val="008B3F09"/>
    <w:rsid w:val="008B4079"/>
    <w:rsid w:val="008B433F"/>
    <w:rsid w:val="008B4B6F"/>
    <w:rsid w:val="008B4EDD"/>
    <w:rsid w:val="008B5C49"/>
    <w:rsid w:val="008B6B37"/>
    <w:rsid w:val="008B7583"/>
    <w:rsid w:val="008B7597"/>
    <w:rsid w:val="008B7984"/>
    <w:rsid w:val="008B7992"/>
    <w:rsid w:val="008B7B1C"/>
    <w:rsid w:val="008B7D7E"/>
    <w:rsid w:val="008C04AF"/>
    <w:rsid w:val="008C09FE"/>
    <w:rsid w:val="008C153A"/>
    <w:rsid w:val="008C1610"/>
    <w:rsid w:val="008C1EFF"/>
    <w:rsid w:val="008C2F50"/>
    <w:rsid w:val="008C4A44"/>
    <w:rsid w:val="008C5610"/>
    <w:rsid w:val="008C5739"/>
    <w:rsid w:val="008C6F30"/>
    <w:rsid w:val="008C7282"/>
    <w:rsid w:val="008C7ECB"/>
    <w:rsid w:val="008D2C33"/>
    <w:rsid w:val="008D2F26"/>
    <w:rsid w:val="008D3201"/>
    <w:rsid w:val="008D37D9"/>
    <w:rsid w:val="008D3B86"/>
    <w:rsid w:val="008D43FD"/>
    <w:rsid w:val="008D4755"/>
    <w:rsid w:val="008D4C3D"/>
    <w:rsid w:val="008D6AA2"/>
    <w:rsid w:val="008D743C"/>
    <w:rsid w:val="008E0CC8"/>
    <w:rsid w:val="008E0D3C"/>
    <w:rsid w:val="008E1A2A"/>
    <w:rsid w:val="008E1B9E"/>
    <w:rsid w:val="008E1C60"/>
    <w:rsid w:val="008E1F54"/>
    <w:rsid w:val="008E3FB6"/>
    <w:rsid w:val="008E434A"/>
    <w:rsid w:val="008E55AB"/>
    <w:rsid w:val="008E5641"/>
    <w:rsid w:val="008E601D"/>
    <w:rsid w:val="008E6154"/>
    <w:rsid w:val="008E6526"/>
    <w:rsid w:val="008E7351"/>
    <w:rsid w:val="008E7704"/>
    <w:rsid w:val="008E7C91"/>
    <w:rsid w:val="008F0FB8"/>
    <w:rsid w:val="008F120A"/>
    <w:rsid w:val="008F195A"/>
    <w:rsid w:val="008F27E0"/>
    <w:rsid w:val="008F2B92"/>
    <w:rsid w:val="008F430B"/>
    <w:rsid w:val="008F439C"/>
    <w:rsid w:val="008F48EB"/>
    <w:rsid w:val="008F4F0B"/>
    <w:rsid w:val="00900030"/>
    <w:rsid w:val="0090163E"/>
    <w:rsid w:val="00903568"/>
    <w:rsid w:val="009046C4"/>
    <w:rsid w:val="00904820"/>
    <w:rsid w:val="009062A5"/>
    <w:rsid w:val="0090739D"/>
    <w:rsid w:val="00907699"/>
    <w:rsid w:val="0091041C"/>
    <w:rsid w:val="00910FA7"/>
    <w:rsid w:val="00911272"/>
    <w:rsid w:val="00911339"/>
    <w:rsid w:val="00912079"/>
    <w:rsid w:val="00912397"/>
    <w:rsid w:val="009123AD"/>
    <w:rsid w:val="0091256C"/>
    <w:rsid w:val="009135D6"/>
    <w:rsid w:val="00913CAC"/>
    <w:rsid w:val="00913DDA"/>
    <w:rsid w:val="00914C77"/>
    <w:rsid w:val="00915D2A"/>
    <w:rsid w:val="00915F16"/>
    <w:rsid w:val="00916CE7"/>
    <w:rsid w:val="009173B9"/>
    <w:rsid w:val="009209D8"/>
    <w:rsid w:val="00920B64"/>
    <w:rsid w:val="00921ACB"/>
    <w:rsid w:val="00921DFD"/>
    <w:rsid w:val="00922216"/>
    <w:rsid w:val="009224A9"/>
    <w:rsid w:val="0092369B"/>
    <w:rsid w:val="00924054"/>
    <w:rsid w:val="00924BC9"/>
    <w:rsid w:val="009255FC"/>
    <w:rsid w:val="0092590B"/>
    <w:rsid w:val="00927C86"/>
    <w:rsid w:val="00927DBE"/>
    <w:rsid w:val="00927E16"/>
    <w:rsid w:val="009300DD"/>
    <w:rsid w:val="00930450"/>
    <w:rsid w:val="00930496"/>
    <w:rsid w:val="00930523"/>
    <w:rsid w:val="009312AF"/>
    <w:rsid w:val="00933DE3"/>
    <w:rsid w:val="00934988"/>
    <w:rsid w:val="009349A4"/>
    <w:rsid w:val="00935175"/>
    <w:rsid w:val="00936926"/>
    <w:rsid w:val="00937089"/>
    <w:rsid w:val="009374C5"/>
    <w:rsid w:val="009407D2"/>
    <w:rsid w:val="00941325"/>
    <w:rsid w:val="00941D7E"/>
    <w:rsid w:val="00942922"/>
    <w:rsid w:val="0094377D"/>
    <w:rsid w:val="00943D44"/>
    <w:rsid w:val="0094445D"/>
    <w:rsid w:val="00944D3D"/>
    <w:rsid w:val="00944EAC"/>
    <w:rsid w:val="00944F8A"/>
    <w:rsid w:val="00945398"/>
    <w:rsid w:val="0094588F"/>
    <w:rsid w:val="00946389"/>
    <w:rsid w:val="00946F38"/>
    <w:rsid w:val="00947287"/>
    <w:rsid w:val="00947290"/>
    <w:rsid w:val="009500A4"/>
    <w:rsid w:val="009510A2"/>
    <w:rsid w:val="0095116B"/>
    <w:rsid w:val="0095187B"/>
    <w:rsid w:val="00951973"/>
    <w:rsid w:val="00951D26"/>
    <w:rsid w:val="009523A2"/>
    <w:rsid w:val="00952857"/>
    <w:rsid w:val="00953257"/>
    <w:rsid w:val="0095474C"/>
    <w:rsid w:val="00954D59"/>
    <w:rsid w:val="009558B3"/>
    <w:rsid w:val="009558CF"/>
    <w:rsid w:val="00955CF3"/>
    <w:rsid w:val="0095614C"/>
    <w:rsid w:val="00956CFB"/>
    <w:rsid w:val="00956EB6"/>
    <w:rsid w:val="009575C0"/>
    <w:rsid w:val="009579FA"/>
    <w:rsid w:val="00957D92"/>
    <w:rsid w:val="00960D88"/>
    <w:rsid w:val="009618F4"/>
    <w:rsid w:val="00961C89"/>
    <w:rsid w:val="00962CB9"/>
    <w:rsid w:val="0096319E"/>
    <w:rsid w:val="00963C18"/>
    <w:rsid w:val="00963FEC"/>
    <w:rsid w:val="009640A6"/>
    <w:rsid w:val="00964312"/>
    <w:rsid w:val="00964502"/>
    <w:rsid w:val="00965B8A"/>
    <w:rsid w:val="00965D9F"/>
    <w:rsid w:val="00965F41"/>
    <w:rsid w:val="00966021"/>
    <w:rsid w:val="00966FC0"/>
    <w:rsid w:val="00967188"/>
    <w:rsid w:val="00967BCB"/>
    <w:rsid w:val="0097019A"/>
    <w:rsid w:val="009704AD"/>
    <w:rsid w:val="0097071F"/>
    <w:rsid w:val="009717AC"/>
    <w:rsid w:val="00971B3A"/>
    <w:rsid w:val="009721DD"/>
    <w:rsid w:val="009723CB"/>
    <w:rsid w:val="009751C1"/>
    <w:rsid w:val="00975461"/>
    <w:rsid w:val="00975E67"/>
    <w:rsid w:val="00977CCF"/>
    <w:rsid w:val="0098008F"/>
    <w:rsid w:val="00980874"/>
    <w:rsid w:val="00980BB9"/>
    <w:rsid w:val="00980F07"/>
    <w:rsid w:val="009811D5"/>
    <w:rsid w:val="009811F1"/>
    <w:rsid w:val="00982278"/>
    <w:rsid w:val="0098262F"/>
    <w:rsid w:val="00982A25"/>
    <w:rsid w:val="00982B31"/>
    <w:rsid w:val="00982E68"/>
    <w:rsid w:val="00983E57"/>
    <w:rsid w:val="00985044"/>
    <w:rsid w:val="00985C08"/>
    <w:rsid w:val="00985DE2"/>
    <w:rsid w:val="00985E91"/>
    <w:rsid w:val="00985EA6"/>
    <w:rsid w:val="0098675D"/>
    <w:rsid w:val="00987BA4"/>
    <w:rsid w:val="00987CE4"/>
    <w:rsid w:val="00987D02"/>
    <w:rsid w:val="00990E8F"/>
    <w:rsid w:val="009917EA"/>
    <w:rsid w:val="009924D0"/>
    <w:rsid w:val="009926E0"/>
    <w:rsid w:val="00992A96"/>
    <w:rsid w:val="009936EC"/>
    <w:rsid w:val="0099451E"/>
    <w:rsid w:val="009956BF"/>
    <w:rsid w:val="00995E13"/>
    <w:rsid w:val="00996982"/>
    <w:rsid w:val="00996B1A"/>
    <w:rsid w:val="00996BD2"/>
    <w:rsid w:val="009A00BB"/>
    <w:rsid w:val="009A0CB8"/>
    <w:rsid w:val="009A0CDD"/>
    <w:rsid w:val="009A18F6"/>
    <w:rsid w:val="009A1A02"/>
    <w:rsid w:val="009A2739"/>
    <w:rsid w:val="009A27EB"/>
    <w:rsid w:val="009A29C5"/>
    <w:rsid w:val="009A2DCC"/>
    <w:rsid w:val="009A4E99"/>
    <w:rsid w:val="009A4F96"/>
    <w:rsid w:val="009A52C2"/>
    <w:rsid w:val="009A5A91"/>
    <w:rsid w:val="009A5ABC"/>
    <w:rsid w:val="009A73FB"/>
    <w:rsid w:val="009A78CD"/>
    <w:rsid w:val="009A79BD"/>
    <w:rsid w:val="009A7F10"/>
    <w:rsid w:val="009B0D0D"/>
    <w:rsid w:val="009B26F6"/>
    <w:rsid w:val="009B28A2"/>
    <w:rsid w:val="009B2D13"/>
    <w:rsid w:val="009B2ECE"/>
    <w:rsid w:val="009B30EC"/>
    <w:rsid w:val="009B34C0"/>
    <w:rsid w:val="009B3E26"/>
    <w:rsid w:val="009B414C"/>
    <w:rsid w:val="009B431F"/>
    <w:rsid w:val="009B64D1"/>
    <w:rsid w:val="009B68EF"/>
    <w:rsid w:val="009B7BAE"/>
    <w:rsid w:val="009C0333"/>
    <w:rsid w:val="009C0491"/>
    <w:rsid w:val="009C0691"/>
    <w:rsid w:val="009C0EAB"/>
    <w:rsid w:val="009C1271"/>
    <w:rsid w:val="009C13A6"/>
    <w:rsid w:val="009C2CCE"/>
    <w:rsid w:val="009C31AA"/>
    <w:rsid w:val="009C31E8"/>
    <w:rsid w:val="009C3706"/>
    <w:rsid w:val="009C3A3A"/>
    <w:rsid w:val="009C3FC2"/>
    <w:rsid w:val="009C426B"/>
    <w:rsid w:val="009C469C"/>
    <w:rsid w:val="009C50B3"/>
    <w:rsid w:val="009C618C"/>
    <w:rsid w:val="009C6550"/>
    <w:rsid w:val="009C6CEA"/>
    <w:rsid w:val="009C6E51"/>
    <w:rsid w:val="009C7B85"/>
    <w:rsid w:val="009D0254"/>
    <w:rsid w:val="009D10D3"/>
    <w:rsid w:val="009D1A64"/>
    <w:rsid w:val="009D1A81"/>
    <w:rsid w:val="009D2643"/>
    <w:rsid w:val="009D3D67"/>
    <w:rsid w:val="009D4F5A"/>
    <w:rsid w:val="009D545F"/>
    <w:rsid w:val="009D5B91"/>
    <w:rsid w:val="009D687D"/>
    <w:rsid w:val="009D792E"/>
    <w:rsid w:val="009E00D0"/>
    <w:rsid w:val="009E0DFE"/>
    <w:rsid w:val="009E0E3B"/>
    <w:rsid w:val="009E24BB"/>
    <w:rsid w:val="009E2A60"/>
    <w:rsid w:val="009E31F6"/>
    <w:rsid w:val="009E4C07"/>
    <w:rsid w:val="009E5F21"/>
    <w:rsid w:val="009E63AE"/>
    <w:rsid w:val="009E777F"/>
    <w:rsid w:val="009F14BF"/>
    <w:rsid w:val="009F1DD6"/>
    <w:rsid w:val="009F4ABB"/>
    <w:rsid w:val="009F4ADB"/>
    <w:rsid w:val="009F515C"/>
    <w:rsid w:val="009F5CFB"/>
    <w:rsid w:val="009F6120"/>
    <w:rsid w:val="009F6B4B"/>
    <w:rsid w:val="009F77CF"/>
    <w:rsid w:val="00A00D76"/>
    <w:rsid w:val="00A01184"/>
    <w:rsid w:val="00A013CD"/>
    <w:rsid w:val="00A01449"/>
    <w:rsid w:val="00A021E8"/>
    <w:rsid w:val="00A0270F"/>
    <w:rsid w:val="00A02BD2"/>
    <w:rsid w:val="00A037C2"/>
    <w:rsid w:val="00A03D43"/>
    <w:rsid w:val="00A04380"/>
    <w:rsid w:val="00A045EE"/>
    <w:rsid w:val="00A04786"/>
    <w:rsid w:val="00A0523A"/>
    <w:rsid w:val="00A05472"/>
    <w:rsid w:val="00A05894"/>
    <w:rsid w:val="00A058CB"/>
    <w:rsid w:val="00A05C32"/>
    <w:rsid w:val="00A05F35"/>
    <w:rsid w:val="00A0653F"/>
    <w:rsid w:val="00A0676A"/>
    <w:rsid w:val="00A07E8B"/>
    <w:rsid w:val="00A1193F"/>
    <w:rsid w:val="00A11BD2"/>
    <w:rsid w:val="00A11CD0"/>
    <w:rsid w:val="00A12757"/>
    <w:rsid w:val="00A13948"/>
    <w:rsid w:val="00A13B27"/>
    <w:rsid w:val="00A13B38"/>
    <w:rsid w:val="00A13F32"/>
    <w:rsid w:val="00A147BF"/>
    <w:rsid w:val="00A14DDF"/>
    <w:rsid w:val="00A1555B"/>
    <w:rsid w:val="00A155C5"/>
    <w:rsid w:val="00A156B1"/>
    <w:rsid w:val="00A16AD8"/>
    <w:rsid w:val="00A16FCF"/>
    <w:rsid w:val="00A2021E"/>
    <w:rsid w:val="00A21C95"/>
    <w:rsid w:val="00A21CF3"/>
    <w:rsid w:val="00A22AE4"/>
    <w:rsid w:val="00A23F57"/>
    <w:rsid w:val="00A23FED"/>
    <w:rsid w:val="00A24813"/>
    <w:rsid w:val="00A27AEC"/>
    <w:rsid w:val="00A27B6D"/>
    <w:rsid w:val="00A30124"/>
    <w:rsid w:val="00A31556"/>
    <w:rsid w:val="00A320DB"/>
    <w:rsid w:val="00A3402E"/>
    <w:rsid w:val="00A35228"/>
    <w:rsid w:val="00A356BD"/>
    <w:rsid w:val="00A3595A"/>
    <w:rsid w:val="00A35BF4"/>
    <w:rsid w:val="00A35D16"/>
    <w:rsid w:val="00A360A0"/>
    <w:rsid w:val="00A36776"/>
    <w:rsid w:val="00A36DC4"/>
    <w:rsid w:val="00A37BCD"/>
    <w:rsid w:val="00A40D38"/>
    <w:rsid w:val="00A41689"/>
    <w:rsid w:val="00A42007"/>
    <w:rsid w:val="00A4210B"/>
    <w:rsid w:val="00A4234D"/>
    <w:rsid w:val="00A42592"/>
    <w:rsid w:val="00A42A65"/>
    <w:rsid w:val="00A42CD7"/>
    <w:rsid w:val="00A43AB8"/>
    <w:rsid w:val="00A43C59"/>
    <w:rsid w:val="00A468DE"/>
    <w:rsid w:val="00A46B49"/>
    <w:rsid w:val="00A47EE7"/>
    <w:rsid w:val="00A50A5E"/>
    <w:rsid w:val="00A50DCF"/>
    <w:rsid w:val="00A50ECD"/>
    <w:rsid w:val="00A518F3"/>
    <w:rsid w:val="00A5236C"/>
    <w:rsid w:val="00A52729"/>
    <w:rsid w:val="00A53675"/>
    <w:rsid w:val="00A53707"/>
    <w:rsid w:val="00A54A97"/>
    <w:rsid w:val="00A5571D"/>
    <w:rsid w:val="00A55AEA"/>
    <w:rsid w:val="00A5633F"/>
    <w:rsid w:val="00A564D7"/>
    <w:rsid w:val="00A56B6A"/>
    <w:rsid w:val="00A5748D"/>
    <w:rsid w:val="00A57630"/>
    <w:rsid w:val="00A578DC"/>
    <w:rsid w:val="00A57EF9"/>
    <w:rsid w:val="00A61D9B"/>
    <w:rsid w:val="00A6240C"/>
    <w:rsid w:val="00A62FF3"/>
    <w:rsid w:val="00A640E2"/>
    <w:rsid w:val="00A64D65"/>
    <w:rsid w:val="00A651A0"/>
    <w:rsid w:val="00A65274"/>
    <w:rsid w:val="00A6725B"/>
    <w:rsid w:val="00A67931"/>
    <w:rsid w:val="00A70605"/>
    <w:rsid w:val="00A70761"/>
    <w:rsid w:val="00A73134"/>
    <w:rsid w:val="00A7365A"/>
    <w:rsid w:val="00A7477C"/>
    <w:rsid w:val="00A7481C"/>
    <w:rsid w:val="00A751D4"/>
    <w:rsid w:val="00A759A6"/>
    <w:rsid w:val="00A76001"/>
    <w:rsid w:val="00A76861"/>
    <w:rsid w:val="00A77208"/>
    <w:rsid w:val="00A77763"/>
    <w:rsid w:val="00A777B2"/>
    <w:rsid w:val="00A803F8"/>
    <w:rsid w:val="00A80402"/>
    <w:rsid w:val="00A811B1"/>
    <w:rsid w:val="00A825D4"/>
    <w:rsid w:val="00A828F6"/>
    <w:rsid w:val="00A82B4C"/>
    <w:rsid w:val="00A82B73"/>
    <w:rsid w:val="00A83048"/>
    <w:rsid w:val="00A830FB"/>
    <w:rsid w:val="00A8565F"/>
    <w:rsid w:val="00A856F1"/>
    <w:rsid w:val="00A866AD"/>
    <w:rsid w:val="00A86E8B"/>
    <w:rsid w:val="00A87075"/>
    <w:rsid w:val="00A87164"/>
    <w:rsid w:val="00A871A9"/>
    <w:rsid w:val="00A87970"/>
    <w:rsid w:val="00A87A66"/>
    <w:rsid w:val="00A9006C"/>
    <w:rsid w:val="00A90641"/>
    <w:rsid w:val="00A9081E"/>
    <w:rsid w:val="00A908B8"/>
    <w:rsid w:val="00A92A1D"/>
    <w:rsid w:val="00A93072"/>
    <w:rsid w:val="00A93332"/>
    <w:rsid w:val="00A938BD"/>
    <w:rsid w:val="00A93953"/>
    <w:rsid w:val="00A94AEB"/>
    <w:rsid w:val="00A959D8"/>
    <w:rsid w:val="00A97757"/>
    <w:rsid w:val="00A97D80"/>
    <w:rsid w:val="00AA113D"/>
    <w:rsid w:val="00AA128B"/>
    <w:rsid w:val="00AA1B48"/>
    <w:rsid w:val="00AA25E6"/>
    <w:rsid w:val="00AA2683"/>
    <w:rsid w:val="00AA29A7"/>
    <w:rsid w:val="00AA30E3"/>
    <w:rsid w:val="00AA3820"/>
    <w:rsid w:val="00AA405E"/>
    <w:rsid w:val="00AA52BC"/>
    <w:rsid w:val="00AA6501"/>
    <w:rsid w:val="00AA6949"/>
    <w:rsid w:val="00AA6BD5"/>
    <w:rsid w:val="00AA6BD8"/>
    <w:rsid w:val="00AA6C7D"/>
    <w:rsid w:val="00AA74FF"/>
    <w:rsid w:val="00AA7FD6"/>
    <w:rsid w:val="00AB042A"/>
    <w:rsid w:val="00AB080A"/>
    <w:rsid w:val="00AB0842"/>
    <w:rsid w:val="00AB11AD"/>
    <w:rsid w:val="00AB13F9"/>
    <w:rsid w:val="00AB19EF"/>
    <w:rsid w:val="00AB2495"/>
    <w:rsid w:val="00AB2984"/>
    <w:rsid w:val="00AB2D34"/>
    <w:rsid w:val="00AB2F5A"/>
    <w:rsid w:val="00AB3430"/>
    <w:rsid w:val="00AB37B9"/>
    <w:rsid w:val="00AB41E8"/>
    <w:rsid w:val="00AB48AF"/>
    <w:rsid w:val="00AB4AD1"/>
    <w:rsid w:val="00AB4F7A"/>
    <w:rsid w:val="00AB5E07"/>
    <w:rsid w:val="00AB6A77"/>
    <w:rsid w:val="00AB74E6"/>
    <w:rsid w:val="00AB77A6"/>
    <w:rsid w:val="00AB77AC"/>
    <w:rsid w:val="00AB790C"/>
    <w:rsid w:val="00AB7A41"/>
    <w:rsid w:val="00AB7CFA"/>
    <w:rsid w:val="00AC17F4"/>
    <w:rsid w:val="00AC2929"/>
    <w:rsid w:val="00AC2CB8"/>
    <w:rsid w:val="00AC2FA0"/>
    <w:rsid w:val="00AC346C"/>
    <w:rsid w:val="00AC3A3E"/>
    <w:rsid w:val="00AC5B42"/>
    <w:rsid w:val="00AC5B48"/>
    <w:rsid w:val="00AC6B86"/>
    <w:rsid w:val="00AC7341"/>
    <w:rsid w:val="00AC781F"/>
    <w:rsid w:val="00AD0DE2"/>
    <w:rsid w:val="00AD1450"/>
    <w:rsid w:val="00AD15E8"/>
    <w:rsid w:val="00AD356D"/>
    <w:rsid w:val="00AD3905"/>
    <w:rsid w:val="00AD3C12"/>
    <w:rsid w:val="00AD547E"/>
    <w:rsid w:val="00AD57D0"/>
    <w:rsid w:val="00AD6502"/>
    <w:rsid w:val="00AD6556"/>
    <w:rsid w:val="00AD7242"/>
    <w:rsid w:val="00AD7807"/>
    <w:rsid w:val="00AD7BB9"/>
    <w:rsid w:val="00AE0695"/>
    <w:rsid w:val="00AE0BF1"/>
    <w:rsid w:val="00AE1AFF"/>
    <w:rsid w:val="00AE218F"/>
    <w:rsid w:val="00AE2E9C"/>
    <w:rsid w:val="00AE3E7E"/>
    <w:rsid w:val="00AE4405"/>
    <w:rsid w:val="00AE634A"/>
    <w:rsid w:val="00AE73FC"/>
    <w:rsid w:val="00AE7E53"/>
    <w:rsid w:val="00AF1315"/>
    <w:rsid w:val="00AF19BF"/>
    <w:rsid w:val="00AF1FF6"/>
    <w:rsid w:val="00AF2DC3"/>
    <w:rsid w:val="00AF639F"/>
    <w:rsid w:val="00B02159"/>
    <w:rsid w:val="00B022B6"/>
    <w:rsid w:val="00B02750"/>
    <w:rsid w:val="00B03239"/>
    <w:rsid w:val="00B033E5"/>
    <w:rsid w:val="00B03A63"/>
    <w:rsid w:val="00B044F4"/>
    <w:rsid w:val="00B06972"/>
    <w:rsid w:val="00B06AEE"/>
    <w:rsid w:val="00B07D22"/>
    <w:rsid w:val="00B12377"/>
    <w:rsid w:val="00B12604"/>
    <w:rsid w:val="00B129A4"/>
    <w:rsid w:val="00B13760"/>
    <w:rsid w:val="00B1385B"/>
    <w:rsid w:val="00B15166"/>
    <w:rsid w:val="00B1787D"/>
    <w:rsid w:val="00B20035"/>
    <w:rsid w:val="00B201A4"/>
    <w:rsid w:val="00B201D1"/>
    <w:rsid w:val="00B213A6"/>
    <w:rsid w:val="00B215E9"/>
    <w:rsid w:val="00B21FFA"/>
    <w:rsid w:val="00B235B0"/>
    <w:rsid w:val="00B23A4B"/>
    <w:rsid w:val="00B24154"/>
    <w:rsid w:val="00B2457E"/>
    <w:rsid w:val="00B24902"/>
    <w:rsid w:val="00B24DF6"/>
    <w:rsid w:val="00B2613B"/>
    <w:rsid w:val="00B263D1"/>
    <w:rsid w:val="00B263DC"/>
    <w:rsid w:val="00B26DEC"/>
    <w:rsid w:val="00B2709A"/>
    <w:rsid w:val="00B270FC"/>
    <w:rsid w:val="00B27A61"/>
    <w:rsid w:val="00B31023"/>
    <w:rsid w:val="00B318F1"/>
    <w:rsid w:val="00B31C26"/>
    <w:rsid w:val="00B33713"/>
    <w:rsid w:val="00B34FE2"/>
    <w:rsid w:val="00B35166"/>
    <w:rsid w:val="00B357D8"/>
    <w:rsid w:val="00B36056"/>
    <w:rsid w:val="00B360F4"/>
    <w:rsid w:val="00B36262"/>
    <w:rsid w:val="00B36A00"/>
    <w:rsid w:val="00B37406"/>
    <w:rsid w:val="00B378CB"/>
    <w:rsid w:val="00B3792B"/>
    <w:rsid w:val="00B37BFC"/>
    <w:rsid w:val="00B40358"/>
    <w:rsid w:val="00B410DE"/>
    <w:rsid w:val="00B41614"/>
    <w:rsid w:val="00B41687"/>
    <w:rsid w:val="00B41982"/>
    <w:rsid w:val="00B42851"/>
    <w:rsid w:val="00B42F80"/>
    <w:rsid w:val="00B435CB"/>
    <w:rsid w:val="00B43628"/>
    <w:rsid w:val="00B43A46"/>
    <w:rsid w:val="00B44E26"/>
    <w:rsid w:val="00B450BD"/>
    <w:rsid w:val="00B451E1"/>
    <w:rsid w:val="00B45F00"/>
    <w:rsid w:val="00B465EC"/>
    <w:rsid w:val="00B46C20"/>
    <w:rsid w:val="00B46FB3"/>
    <w:rsid w:val="00B47E6C"/>
    <w:rsid w:val="00B5038F"/>
    <w:rsid w:val="00B505C8"/>
    <w:rsid w:val="00B50DB8"/>
    <w:rsid w:val="00B50F77"/>
    <w:rsid w:val="00B5181C"/>
    <w:rsid w:val="00B51F0D"/>
    <w:rsid w:val="00B5244B"/>
    <w:rsid w:val="00B52B9D"/>
    <w:rsid w:val="00B53654"/>
    <w:rsid w:val="00B53905"/>
    <w:rsid w:val="00B53FA1"/>
    <w:rsid w:val="00B546DB"/>
    <w:rsid w:val="00B54B5B"/>
    <w:rsid w:val="00B5562E"/>
    <w:rsid w:val="00B55862"/>
    <w:rsid w:val="00B55D65"/>
    <w:rsid w:val="00B56305"/>
    <w:rsid w:val="00B57000"/>
    <w:rsid w:val="00B606C7"/>
    <w:rsid w:val="00B606F8"/>
    <w:rsid w:val="00B60939"/>
    <w:rsid w:val="00B60AFD"/>
    <w:rsid w:val="00B60C9E"/>
    <w:rsid w:val="00B62715"/>
    <w:rsid w:val="00B646D2"/>
    <w:rsid w:val="00B65611"/>
    <w:rsid w:val="00B65C6D"/>
    <w:rsid w:val="00B664A3"/>
    <w:rsid w:val="00B66642"/>
    <w:rsid w:val="00B67658"/>
    <w:rsid w:val="00B709DF"/>
    <w:rsid w:val="00B70B57"/>
    <w:rsid w:val="00B70E8E"/>
    <w:rsid w:val="00B72CBB"/>
    <w:rsid w:val="00B734B6"/>
    <w:rsid w:val="00B74457"/>
    <w:rsid w:val="00B74CF7"/>
    <w:rsid w:val="00B7501D"/>
    <w:rsid w:val="00B761DB"/>
    <w:rsid w:val="00B7670F"/>
    <w:rsid w:val="00B76716"/>
    <w:rsid w:val="00B76C92"/>
    <w:rsid w:val="00B76D99"/>
    <w:rsid w:val="00B772F4"/>
    <w:rsid w:val="00B773EC"/>
    <w:rsid w:val="00B77A62"/>
    <w:rsid w:val="00B77B1D"/>
    <w:rsid w:val="00B80EFD"/>
    <w:rsid w:val="00B818A4"/>
    <w:rsid w:val="00B81DFD"/>
    <w:rsid w:val="00B82188"/>
    <w:rsid w:val="00B821A4"/>
    <w:rsid w:val="00B8289A"/>
    <w:rsid w:val="00B82D3E"/>
    <w:rsid w:val="00B83739"/>
    <w:rsid w:val="00B83D6E"/>
    <w:rsid w:val="00B84117"/>
    <w:rsid w:val="00B8460D"/>
    <w:rsid w:val="00B8498F"/>
    <w:rsid w:val="00B85399"/>
    <w:rsid w:val="00B85642"/>
    <w:rsid w:val="00B858F0"/>
    <w:rsid w:val="00B85993"/>
    <w:rsid w:val="00B85AA2"/>
    <w:rsid w:val="00B85CA8"/>
    <w:rsid w:val="00B85D6D"/>
    <w:rsid w:val="00B8649C"/>
    <w:rsid w:val="00B86574"/>
    <w:rsid w:val="00B8673B"/>
    <w:rsid w:val="00B8695D"/>
    <w:rsid w:val="00B87F0A"/>
    <w:rsid w:val="00B90A4D"/>
    <w:rsid w:val="00B90A6F"/>
    <w:rsid w:val="00B90F1E"/>
    <w:rsid w:val="00B91269"/>
    <w:rsid w:val="00B91C17"/>
    <w:rsid w:val="00B920C5"/>
    <w:rsid w:val="00B92859"/>
    <w:rsid w:val="00B92D0B"/>
    <w:rsid w:val="00B92FA9"/>
    <w:rsid w:val="00B9399F"/>
    <w:rsid w:val="00B94945"/>
    <w:rsid w:val="00B94DD6"/>
    <w:rsid w:val="00B95F10"/>
    <w:rsid w:val="00B9665D"/>
    <w:rsid w:val="00B96C2F"/>
    <w:rsid w:val="00B96E7D"/>
    <w:rsid w:val="00B97908"/>
    <w:rsid w:val="00B97C3F"/>
    <w:rsid w:val="00BA09DF"/>
    <w:rsid w:val="00BA134A"/>
    <w:rsid w:val="00BA2306"/>
    <w:rsid w:val="00BA322D"/>
    <w:rsid w:val="00BA55D3"/>
    <w:rsid w:val="00BA5978"/>
    <w:rsid w:val="00BA61D4"/>
    <w:rsid w:val="00BA63FA"/>
    <w:rsid w:val="00BA736B"/>
    <w:rsid w:val="00BA7CD4"/>
    <w:rsid w:val="00BB00B3"/>
    <w:rsid w:val="00BB075E"/>
    <w:rsid w:val="00BB0BDD"/>
    <w:rsid w:val="00BB1398"/>
    <w:rsid w:val="00BB176C"/>
    <w:rsid w:val="00BB230E"/>
    <w:rsid w:val="00BB2354"/>
    <w:rsid w:val="00BB27B6"/>
    <w:rsid w:val="00BB2A73"/>
    <w:rsid w:val="00BB30B1"/>
    <w:rsid w:val="00BB3968"/>
    <w:rsid w:val="00BB3A45"/>
    <w:rsid w:val="00BB4ACC"/>
    <w:rsid w:val="00BB4DF6"/>
    <w:rsid w:val="00BB65D1"/>
    <w:rsid w:val="00BB703E"/>
    <w:rsid w:val="00BB732D"/>
    <w:rsid w:val="00BB7405"/>
    <w:rsid w:val="00BB7928"/>
    <w:rsid w:val="00BC1121"/>
    <w:rsid w:val="00BC153D"/>
    <w:rsid w:val="00BC3631"/>
    <w:rsid w:val="00BC378B"/>
    <w:rsid w:val="00BC3B0C"/>
    <w:rsid w:val="00BC3C31"/>
    <w:rsid w:val="00BC53AB"/>
    <w:rsid w:val="00BC5616"/>
    <w:rsid w:val="00BC591F"/>
    <w:rsid w:val="00BC73B7"/>
    <w:rsid w:val="00BC77F5"/>
    <w:rsid w:val="00BC7D6D"/>
    <w:rsid w:val="00BD1E99"/>
    <w:rsid w:val="00BD2108"/>
    <w:rsid w:val="00BD2C95"/>
    <w:rsid w:val="00BD4E0A"/>
    <w:rsid w:val="00BD51C5"/>
    <w:rsid w:val="00BD668C"/>
    <w:rsid w:val="00BD68A3"/>
    <w:rsid w:val="00BD692A"/>
    <w:rsid w:val="00BD6938"/>
    <w:rsid w:val="00BD6CF3"/>
    <w:rsid w:val="00BD717A"/>
    <w:rsid w:val="00BD7712"/>
    <w:rsid w:val="00BD7F72"/>
    <w:rsid w:val="00BE0ECA"/>
    <w:rsid w:val="00BE13A3"/>
    <w:rsid w:val="00BE17E2"/>
    <w:rsid w:val="00BE1935"/>
    <w:rsid w:val="00BE1F83"/>
    <w:rsid w:val="00BE2180"/>
    <w:rsid w:val="00BE21F2"/>
    <w:rsid w:val="00BE2455"/>
    <w:rsid w:val="00BE28D7"/>
    <w:rsid w:val="00BE318B"/>
    <w:rsid w:val="00BE4275"/>
    <w:rsid w:val="00BE5574"/>
    <w:rsid w:val="00BE6C3F"/>
    <w:rsid w:val="00BE733F"/>
    <w:rsid w:val="00BE78CD"/>
    <w:rsid w:val="00BE7C2C"/>
    <w:rsid w:val="00BF02D9"/>
    <w:rsid w:val="00BF06AE"/>
    <w:rsid w:val="00BF0F95"/>
    <w:rsid w:val="00BF13E3"/>
    <w:rsid w:val="00BF1930"/>
    <w:rsid w:val="00BF1DD7"/>
    <w:rsid w:val="00BF1FDC"/>
    <w:rsid w:val="00BF2433"/>
    <w:rsid w:val="00BF291A"/>
    <w:rsid w:val="00BF2E6E"/>
    <w:rsid w:val="00BF4032"/>
    <w:rsid w:val="00BF429C"/>
    <w:rsid w:val="00BF470D"/>
    <w:rsid w:val="00BF5DE7"/>
    <w:rsid w:val="00BF61C9"/>
    <w:rsid w:val="00BF627F"/>
    <w:rsid w:val="00BF6C94"/>
    <w:rsid w:val="00BF7E62"/>
    <w:rsid w:val="00C00424"/>
    <w:rsid w:val="00C00AE8"/>
    <w:rsid w:val="00C00BB0"/>
    <w:rsid w:val="00C0105B"/>
    <w:rsid w:val="00C02AA4"/>
    <w:rsid w:val="00C02CD4"/>
    <w:rsid w:val="00C0370E"/>
    <w:rsid w:val="00C0566B"/>
    <w:rsid w:val="00C05A96"/>
    <w:rsid w:val="00C05B46"/>
    <w:rsid w:val="00C06102"/>
    <w:rsid w:val="00C06124"/>
    <w:rsid w:val="00C07262"/>
    <w:rsid w:val="00C1012D"/>
    <w:rsid w:val="00C106EE"/>
    <w:rsid w:val="00C1125B"/>
    <w:rsid w:val="00C1179F"/>
    <w:rsid w:val="00C127B9"/>
    <w:rsid w:val="00C128FA"/>
    <w:rsid w:val="00C12C05"/>
    <w:rsid w:val="00C12C14"/>
    <w:rsid w:val="00C15F04"/>
    <w:rsid w:val="00C179B3"/>
    <w:rsid w:val="00C17E3F"/>
    <w:rsid w:val="00C200AA"/>
    <w:rsid w:val="00C20E86"/>
    <w:rsid w:val="00C20EF0"/>
    <w:rsid w:val="00C2130F"/>
    <w:rsid w:val="00C21321"/>
    <w:rsid w:val="00C220AC"/>
    <w:rsid w:val="00C22862"/>
    <w:rsid w:val="00C22C0C"/>
    <w:rsid w:val="00C237ED"/>
    <w:rsid w:val="00C24632"/>
    <w:rsid w:val="00C246BE"/>
    <w:rsid w:val="00C24A50"/>
    <w:rsid w:val="00C24AA5"/>
    <w:rsid w:val="00C25418"/>
    <w:rsid w:val="00C2584B"/>
    <w:rsid w:val="00C25D9C"/>
    <w:rsid w:val="00C26597"/>
    <w:rsid w:val="00C26BB7"/>
    <w:rsid w:val="00C27600"/>
    <w:rsid w:val="00C2778B"/>
    <w:rsid w:val="00C30D6C"/>
    <w:rsid w:val="00C31649"/>
    <w:rsid w:val="00C32D46"/>
    <w:rsid w:val="00C32E8B"/>
    <w:rsid w:val="00C33BCA"/>
    <w:rsid w:val="00C3434C"/>
    <w:rsid w:val="00C34D24"/>
    <w:rsid w:val="00C35B7C"/>
    <w:rsid w:val="00C36788"/>
    <w:rsid w:val="00C40385"/>
    <w:rsid w:val="00C40D4A"/>
    <w:rsid w:val="00C411E7"/>
    <w:rsid w:val="00C41768"/>
    <w:rsid w:val="00C43886"/>
    <w:rsid w:val="00C44093"/>
    <w:rsid w:val="00C453E9"/>
    <w:rsid w:val="00C4683D"/>
    <w:rsid w:val="00C47512"/>
    <w:rsid w:val="00C475AA"/>
    <w:rsid w:val="00C50F42"/>
    <w:rsid w:val="00C524D8"/>
    <w:rsid w:val="00C527C7"/>
    <w:rsid w:val="00C530D1"/>
    <w:rsid w:val="00C53C98"/>
    <w:rsid w:val="00C5455C"/>
    <w:rsid w:val="00C549B1"/>
    <w:rsid w:val="00C54E78"/>
    <w:rsid w:val="00C55437"/>
    <w:rsid w:val="00C554BB"/>
    <w:rsid w:val="00C5552E"/>
    <w:rsid w:val="00C5599E"/>
    <w:rsid w:val="00C55F98"/>
    <w:rsid w:val="00C5620D"/>
    <w:rsid w:val="00C56F8C"/>
    <w:rsid w:val="00C56FCF"/>
    <w:rsid w:val="00C56FD0"/>
    <w:rsid w:val="00C572F6"/>
    <w:rsid w:val="00C57AFA"/>
    <w:rsid w:val="00C57B6C"/>
    <w:rsid w:val="00C602E5"/>
    <w:rsid w:val="00C6045F"/>
    <w:rsid w:val="00C60AC6"/>
    <w:rsid w:val="00C60BF0"/>
    <w:rsid w:val="00C61368"/>
    <w:rsid w:val="00C61659"/>
    <w:rsid w:val="00C61A59"/>
    <w:rsid w:val="00C61EEE"/>
    <w:rsid w:val="00C624D7"/>
    <w:rsid w:val="00C625CD"/>
    <w:rsid w:val="00C628A6"/>
    <w:rsid w:val="00C62998"/>
    <w:rsid w:val="00C62C2D"/>
    <w:rsid w:val="00C62FF6"/>
    <w:rsid w:val="00C63376"/>
    <w:rsid w:val="00C63608"/>
    <w:rsid w:val="00C63676"/>
    <w:rsid w:val="00C64093"/>
    <w:rsid w:val="00C64344"/>
    <w:rsid w:val="00C6476D"/>
    <w:rsid w:val="00C65108"/>
    <w:rsid w:val="00C65285"/>
    <w:rsid w:val="00C65576"/>
    <w:rsid w:val="00C66165"/>
    <w:rsid w:val="00C67362"/>
    <w:rsid w:val="00C67610"/>
    <w:rsid w:val="00C70609"/>
    <w:rsid w:val="00C7060A"/>
    <w:rsid w:val="00C7151A"/>
    <w:rsid w:val="00C71635"/>
    <w:rsid w:val="00C717E3"/>
    <w:rsid w:val="00C71F60"/>
    <w:rsid w:val="00C72241"/>
    <w:rsid w:val="00C737D6"/>
    <w:rsid w:val="00C74ACE"/>
    <w:rsid w:val="00C750C8"/>
    <w:rsid w:val="00C7560F"/>
    <w:rsid w:val="00C76809"/>
    <w:rsid w:val="00C76A5A"/>
    <w:rsid w:val="00C80A0E"/>
    <w:rsid w:val="00C810FF"/>
    <w:rsid w:val="00C820A4"/>
    <w:rsid w:val="00C8213F"/>
    <w:rsid w:val="00C82B1B"/>
    <w:rsid w:val="00C82E14"/>
    <w:rsid w:val="00C8303F"/>
    <w:rsid w:val="00C83052"/>
    <w:rsid w:val="00C834CF"/>
    <w:rsid w:val="00C83FAD"/>
    <w:rsid w:val="00C85154"/>
    <w:rsid w:val="00C85A70"/>
    <w:rsid w:val="00C85D36"/>
    <w:rsid w:val="00C85E63"/>
    <w:rsid w:val="00C86BA7"/>
    <w:rsid w:val="00C8797A"/>
    <w:rsid w:val="00C900B8"/>
    <w:rsid w:val="00C90197"/>
    <w:rsid w:val="00C90202"/>
    <w:rsid w:val="00C904B4"/>
    <w:rsid w:val="00C9076A"/>
    <w:rsid w:val="00C9076B"/>
    <w:rsid w:val="00C9087F"/>
    <w:rsid w:val="00C90C71"/>
    <w:rsid w:val="00C91FD1"/>
    <w:rsid w:val="00C926A7"/>
    <w:rsid w:val="00C931CF"/>
    <w:rsid w:val="00C934B4"/>
    <w:rsid w:val="00C938CF"/>
    <w:rsid w:val="00C93BD0"/>
    <w:rsid w:val="00C93BF8"/>
    <w:rsid w:val="00C94053"/>
    <w:rsid w:val="00C9624D"/>
    <w:rsid w:val="00C969DA"/>
    <w:rsid w:val="00C978A9"/>
    <w:rsid w:val="00CA02A1"/>
    <w:rsid w:val="00CA0B9E"/>
    <w:rsid w:val="00CA1AB9"/>
    <w:rsid w:val="00CA244D"/>
    <w:rsid w:val="00CA2B9F"/>
    <w:rsid w:val="00CA2C77"/>
    <w:rsid w:val="00CA2F05"/>
    <w:rsid w:val="00CA3174"/>
    <w:rsid w:val="00CA4089"/>
    <w:rsid w:val="00CA444F"/>
    <w:rsid w:val="00CA4509"/>
    <w:rsid w:val="00CA462B"/>
    <w:rsid w:val="00CA4E45"/>
    <w:rsid w:val="00CA4F6E"/>
    <w:rsid w:val="00CA5245"/>
    <w:rsid w:val="00CA5C3A"/>
    <w:rsid w:val="00CA6553"/>
    <w:rsid w:val="00CA71F4"/>
    <w:rsid w:val="00CA7B09"/>
    <w:rsid w:val="00CB0451"/>
    <w:rsid w:val="00CB12A5"/>
    <w:rsid w:val="00CB153D"/>
    <w:rsid w:val="00CB1CAC"/>
    <w:rsid w:val="00CB24DE"/>
    <w:rsid w:val="00CB2BFC"/>
    <w:rsid w:val="00CB2F2A"/>
    <w:rsid w:val="00CB35D2"/>
    <w:rsid w:val="00CB4406"/>
    <w:rsid w:val="00CB582D"/>
    <w:rsid w:val="00CB5B1A"/>
    <w:rsid w:val="00CB63D4"/>
    <w:rsid w:val="00CB6B22"/>
    <w:rsid w:val="00CB7F5F"/>
    <w:rsid w:val="00CC02C1"/>
    <w:rsid w:val="00CC10C8"/>
    <w:rsid w:val="00CC1644"/>
    <w:rsid w:val="00CC1B39"/>
    <w:rsid w:val="00CC1BFA"/>
    <w:rsid w:val="00CC2E9F"/>
    <w:rsid w:val="00CC35EA"/>
    <w:rsid w:val="00CC3848"/>
    <w:rsid w:val="00CC3B70"/>
    <w:rsid w:val="00CC4256"/>
    <w:rsid w:val="00CC5071"/>
    <w:rsid w:val="00CC63FD"/>
    <w:rsid w:val="00CC642F"/>
    <w:rsid w:val="00CC65CC"/>
    <w:rsid w:val="00CC6D5E"/>
    <w:rsid w:val="00CC6F5A"/>
    <w:rsid w:val="00CC7879"/>
    <w:rsid w:val="00CD0200"/>
    <w:rsid w:val="00CD184D"/>
    <w:rsid w:val="00CD196C"/>
    <w:rsid w:val="00CD27D1"/>
    <w:rsid w:val="00CD3F77"/>
    <w:rsid w:val="00CD4F87"/>
    <w:rsid w:val="00CD6ADC"/>
    <w:rsid w:val="00CD7193"/>
    <w:rsid w:val="00CE20FF"/>
    <w:rsid w:val="00CE22A2"/>
    <w:rsid w:val="00CE2429"/>
    <w:rsid w:val="00CE2596"/>
    <w:rsid w:val="00CE38C8"/>
    <w:rsid w:val="00CE524F"/>
    <w:rsid w:val="00CE58CC"/>
    <w:rsid w:val="00CE6274"/>
    <w:rsid w:val="00CE6B8C"/>
    <w:rsid w:val="00CE7193"/>
    <w:rsid w:val="00CE77B6"/>
    <w:rsid w:val="00CF05DE"/>
    <w:rsid w:val="00CF0A29"/>
    <w:rsid w:val="00CF1B92"/>
    <w:rsid w:val="00CF1D90"/>
    <w:rsid w:val="00CF1EA9"/>
    <w:rsid w:val="00CF2B8D"/>
    <w:rsid w:val="00CF3530"/>
    <w:rsid w:val="00CF358E"/>
    <w:rsid w:val="00CF3A1B"/>
    <w:rsid w:val="00CF3FA9"/>
    <w:rsid w:val="00CF43A7"/>
    <w:rsid w:val="00CF4530"/>
    <w:rsid w:val="00CF456B"/>
    <w:rsid w:val="00CF5435"/>
    <w:rsid w:val="00CF5502"/>
    <w:rsid w:val="00CF5557"/>
    <w:rsid w:val="00CF5A22"/>
    <w:rsid w:val="00CF5E86"/>
    <w:rsid w:val="00CF6768"/>
    <w:rsid w:val="00CF693B"/>
    <w:rsid w:val="00CF7AED"/>
    <w:rsid w:val="00D003DF"/>
    <w:rsid w:val="00D00668"/>
    <w:rsid w:val="00D009C1"/>
    <w:rsid w:val="00D00AE1"/>
    <w:rsid w:val="00D01206"/>
    <w:rsid w:val="00D02001"/>
    <w:rsid w:val="00D0262E"/>
    <w:rsid w:val="00D02960"/>
    <w:rsid w:val="00D02FA4"/>
    <w:rsid w:val="00D03679"/>
    <w:rsid w:val="00D0375C"/>
    <w:rsid w:val="00D03C4B"/>
    <w:rsid w:val="00D0430E"/>
    <w:rsid w:val="00D045D0"/>
    <w:rsid w:val="00D04F56"/>
    <w:rsid w:val="00D05CF9"/>
    <w:rsid w:val="00D05E3D"/>
    <w:rsid w:val="00D06139"/>
    <w:rsid w:val="00D06B7A"/>
    <w:rsid w:val="00D073ED"/>
    <w:rsid w:val="00D07B77"/>
    <w:rsid w:val="00D07B87"/>
    <w:rsid w:val="00D07CE5"/>
    <w:rsid w:val="00D07E30"/>
    <w:rsid w:val="00D10F76"/>
    <w:rsid w:val="00D110BD"/>
    <w:rsid w:val="00D13675"/>
    <w:rsid w:val="00D13F16"/>
    <w:rsid w:val="00D141E1"/>
    <w:rsid w:val="00D14A64"/>
    <w:rsid w:val="00D14AAD"/>
    <w:rsid w:val="00D15314"/>
    <w:rsid w:val="00D15871"/>
    <w:rsid w:val="00D15B48"/>
    <w:rsid w:val="00D16F63"/>
    <w:rsid w:val="00D171B5"/>
    <w:rsid w:val="00D17D6C"/>
    <w:rsid w:val="00D20008"/>
    <w:rsid w:val="00D201D7"/>
    <w:rsid w:val="00D2039C"/>
    <w:rsid w:val="00D212BC"/>
    <w:rsid w:val="00D2155B"/>
    <w:rsid w:val="00D223A4"/>
    <w:rsid w:val="00D23320"/>
    <w:rsid w:val="00D23C9D"/>
    <w:rsid w:val="00D23D11"/>
    <w:rsid w:val="00D244B6"/>
    <w:rsid w:val="00D25CEF"/>
    <w:rsid w:val="00D2754D"/>
    <w:rsid w:val="00D27B27"/>
    <w:rsid w:val="00D3064B"/>
    <w:rsid w:val="00D30917"/>
    <w:rsid w:val="00D30D5B"/>
    <w:rsid w:val="00D31F20"/>
    <w:rsid w:val="00D31FC9"/>
    <w:rsid w:val="00D320E4"/>
    <w:rsid w:val="00D3339D"/>
    <w:rsid w:val="00D33BE9"/>
    <w:rsid w:val="00D33F93"/>
    <w:rsid w:val="00D352A3"/>
    <w:rsid w:val="00D357FF"/>
    <w:rsid w:val="00D35CB5"/>
    <w:rsid w:val="00D37495"/>
    <w:rsid w:val="00D37A61"/>
    <w:rsid w:val="00D40874"/>
    <w:rsid w:val="00D41170"/>
    <w:rsid w:val="00D4121A"/>
    <w:rsid w:val="00D41EFC"/>
    <w:rsid w:val="00D41F0B"/>
    <w:rsid w:val="00D4246E"/>
    <w:rsid w:val="00D424C7"/>
    <w:rsid w:val="00D43B2A"/>
    <w:rsid w:val="00D43CF1"/>
    <w:rsid w:val="00D43D83"/>
    <w:rsid w:val="00D43DE9"/>
    <w:rsid w:val="00D442C9"/>
    <w:rsid w:val="00D44F7C"/>
    <w:rsid w:val="00D4514D"/>
    <w:rsid w:val="00D45DE7"/>
    <w:rsid w:val="00D463E6"/>
    <w:rsid w:val="00D465F5"/>
    <w:rsid w:val="00D46F94"/>
    <w:rsid w:val="00D47575"/>
    <w:rsid w:val="00D50F67"/>
    <w:rsid w:val="00D512F7"/>
    <w:rsid w:val="00D52436"/>
    <w:rsid w:val="00D5243B"/>
    <w:rsid w:val="00D52B18"/>
    <w:rsid w:val="00D533EC"/>
    <w:rsid w:val="00D536B9"/>
    <w:rsid w:val="00D537DF"/>
    <w:rsid w:val="00D53FC6"/>
    <w:rsid w:val="00D544C2"/>
    <w:rsid w:val="00D546CB"/>
    <w:rsid w:val="00D54916"/>
    <w:rsid w:val="00D549CD"/>
    <w:rsid w:val="00D56A95"/>
    <w:rsid w:val="00D56AF9"/>
    <w:rsid w:val="00D6076E"/>
    <w:rsid w:val="00D60A93"/>
    <w:rsid w:val="00D62A73"/>
    <w:rsid w:val="00D648A4"/>
    <w:rsid w:val="00D6495B"/>
    <w:rsid w:val="00D66639"/>
    <w:rsid w:val="00D70073"/>
    <w:rsid w:val="00D70385"/>
    <w:rsid w:val="00D70F16"/>
    <w:rsid w:val="00D71458"/>
    <w:rsid w:val="00D71CF5"/>
    <w:rsid w:val="00D72617"/>
    <w:rsid w:val="00D72F57"/>
    <w:rsid w:val="00D73C52"/>
    <w:rsid w:val="00D73FE3"/>
    <w:rsid w:val="00D74073"/>
    <w:rsid w:val="00D74C53"/>
    <w:rsid w:val="00D75FEF"/>
    <w:rsid w:val="00D76A44"/>
    <w:rsid w:val="00D76DD8"/>
    <w:rsid w:val="00D76F0E"/>
    <w:rsid w:val="00D815EF"/>
    <w:rsid w:val="00D81949"/>
    <w:rsid w:val="00D81F26"/>
    <w:rsid w:val="00D822E2"/>
    <w:rsid w:val="00D8295D"/>
    <w:rsid w:val="00D843F2"/>
    <w:rsid w:val="00D8444D"/>
    <w:rsid w:val="00D85826"/>
    <w:rsid w:val="00D85A77"/>
    <w:rsid w:val="00D85E66"/>
    <w:rsid w:val="00D86231"/>
    <w:rsid w:val="00D866BF"/>
    <w:rsid w:val="00D868AE"/>
    <w:rsid w:val="00D86D1E"/>
    <w:rsid w:val="00D90026"/>
    <w:rsid w:val="00D90BB2"/>
    <w:rsid w:val="00D912AB"/>
    <w:rsid w:val="00D91807"/>
    <w:rsid w:val="00D91923"/>
    <w:rsid w:val="00D91C5E"/>
    <w:rsid w:val="00D9243C"/>
    <w:rsid w:val="00D92941"/>
    <w:rsid w:val="00D92D9D"/>
    <w:rsid w:val="00D93753"/>
    <w:rsid w:val="00D93E9A"/>
    <w:rsid w:val="00D95603"/>
    <w:rsid w:val="00D95E1C"/>
    <w:rsid w:val="00D9669C"/>
    <w:rsid w:val="00D96D4C"/>
    <w:rsid w:val="00D97A2F"/>
    <w:rsid w:val="00D97B0F"/>
    <w:rsid w:val="00DA1E6F"/>
    <w:rsid w:val="00DA2B0B"/>
    <w:rsid w:val="00DA3167"/>
    <w:rsid w:val="00DA4DC3"/>
    <w:rsid w:val="00DA5BB6"/>
    <w:rsid w:val="00DA5E50"/>
    <w:rsid w:val="00DA5F2C"/>
    <w:rsid w:val="00DA77A5"/>
    <w:rsid w:val="00DA7F0A"/>
    <w:rsid w:val="00DA7FC6"/>
    <w:rsid w:val="00DB006F"/>
    <w:rsid w:val="00DB016A"/>
    <w:rsid w:val="00DB0E36"/>
    <w:rsid w:val="00DB19E7"/>
    <w:rsid w:val="00DB2723"/>
    <w:rsid w:val="00DB35CF"/>
    <w:rsid w:val="00DB3DBF"/>
    <w:rsid w:val="00DB484F"/>
    <w:rsid w:val="00DB4B11"/>
    <w:rsid w:val="00DB4C4A"/>
    <w:rsid w:val="00DB4D5E"/>
    <w:rsid w:val="00DB5C3A"/>
    <w:rsid w:val="00DB6578"/>
    <w:rsid w:val="00DC0383"/>
    <w:rsid w:val="00DC04F6"/>
    <w:rsid w:val="00DC05D6"/>
    <w:rsid w:val="00DC0690"/>
    <w:rsid w:val="00DC09A3"/>
    <w:rsid w:val="00DC128D"/>
    <w:rsid w:val="00DC1D65"/>
    <w:rsid w:val="00DC2421"/>
    <w:rsid w:val="00DC33A6"/>
    <w:rsid w:val="00DC3B91"/>
    <w:rsid w:val="00DC3C57"/>
    <w:rsid w:val="00DC4774"/>
    <w:rsid w:val="00DC4826"/>
    <w:rsid w:val="00DC5501"/>
    <w:rsid w:val="00DC5776"/>
    <w:rsid w:val="00DC5DE4"/>
    <w:rsid w:val="00DC621A"/>
    <w:rsid w:val="00DC6A6B"/>
    <w:rsid w:val="00DC7154"/>
    <w:rsid w:val="00DC761A"/>
    <w:rsid w:val="00DC783E"/>
    <w:rsid w:val="00DC7E8A"/>
    <w:rsid w:val="00DD0C57"/>
    <w:rsid w:val="00DD0ECB"/>
    <w:rsid w:val="00DD0F78"/>
    <w:rsid w:val="00DD196D"/>
    <w:rsid w:val="00DD1C8B"/>
    <w:rsid w:val="00DD1E1B"/>
    <w:rsid w:val="00DD273C"/>
    <w:rsid w:val="00DD2F1F"/>
    <w:rsid w:val="00DD39C2"/>
    <w:rsid w:val="00DD3F28"/>
    <w:rsid w:val="00DD437C"/>
    <w:rsid w:val="00DD4446"/>
    <w:rsid w:val="00DD4537"/>
    <w:rsid w:val="00DD4E15"/>
    <w:rsid w:val="00DD5FA6"/>
    <w:rsid w:val="00DD66EC"/>
    <w:rsid w:val="00DD6DB1"/>
    <w:rsid w:val="00DE069A"/>
    <w:rsid w:val="00DE0E4E"/>
    <w:rsid w:val="00DE1558"/>
    <w:rsid w:val="00DE1C1A"/>
    <w:rsid w:val="00DE1E14"/>
    <w:rsid w:val="00DE1E8A"/>
    <w:rsid w:val="00DE2304"/>
    <w:rsid w:val="00DE3138"/>
    <w:rsid w:val="00DE37F8"/>
    <w:rsid w:val="00DE4273"/>
    <w:rsid w:val="00DE4DD8"/>
    <w:rsid w:val="00DE4E69"/>
    <w:rsid w:val="00DE4FCB"/>
    <w:rsid w:val="00DE5D07"/>
    <w:rsid w:val="00DE6012"/>
    <w:rsid w:val="00DE72A7"/>
    <w:rsid w:val="00DE76AD"/>
    <w:rsid w:val="00DE7832"/>
    <w:rsid w:val="00DE7B58"/>
    <w:rsid w:val="00DE7EAE"/>
    <w:rsid w:val="00DF0E85"/>
    <w:rsid w:val="00DF121A"/>
    <w:rsid w:val="00DF18FC"/>
    <w:rsid w:val="00DF23F8"/>
    <w:rsid w:val="00DF242A"/>
    <w:rsid w:val="00DF29A8"/>
    <w:rsid w:val="00DF3F6F"/>
    <w:rsid w:val="00DF5B0E"/>
    <w:rsid w:val="00DF5D2B"/>
    <w:rsid w:val="00DF5F38"/>
    <w:rsid w:val="00DF628F"/>
    <w:rsid w:val="00DF6341"/>
    <w:rsid w:val="00DF724D"/>
    <w:rsid w:val="00DF7B0D"/>
    <w:rsid w:val="00DF7FC9"/>
    <w:rsid w:val="00E00E8E"/>
    <w:rsid w:val="00E0148B"/>
    <w:rsid w:val="00E01752"/>
    <w:rsid w:val="00E0287E"/>
    <w:rsid w:val="00E037D4"/>
    <w:rsid w:val="00E05630"/>
    <w:rsid w:val="00E06538"/>
    <w:rsid w:val="00E06DBB"/>
    <w:rsid w:val="00E072E9"/>
    <w:rsid w:val="00E10149"/>
    <w:rsid w:val="00E11340"/>
    <w:rsid w:val="00E116BF"/>
    <w:rsid w:val="00E122A1"/>
    <w:rsid w:val="00E13625"/>
    <w:rsid w:val="00E14334"/>
    <w:rsid w:val="00E14A3F"/>
    <w:rsid w:val="00E14E12"/>
    <w:rsid w:val="00E151E5"/>
    <w:rsid w:val="00E16372"/>
    <w:rsid w:val="00E1645D"/>
    <w:rsid w:val="00E16AD8"/>
    <w:rsid w:val="00E17724"/>
    <w:rsid w:val="00E17FFA"/>
    <w:rsid w:val="00E20071"/>
    <w:rsid w:val="00E20E4D"/>
    <w:rsid w:val="00E20ED6"/>
    <w:rsid w:val="00E21358"/>
    <w:rsid w:val="00E219F1"/>
    <w:rsid w:val="00E2249B"/>
    <w:rsid w:val="00E22898"/>
    <w:rsid w:val="00E22A0D"/>
    <w:rsid w:val="00E238E7"/>
    <w:rsid w:val="00E244F6"/>
    <w:rsid w:val="00E24959"/>
    <w:rsid w:val="00E24E05"/>
    <w:rsid w:val="00E258DB"/>
    <w:rsid w:val="00E25FE6"/>
    <w:rsid w:val="00E2610B"/>
    <w:rsid w:val="00E26C0A"/>
    <w:rsid w:val="00E2771E"/>
    <w:rsid w:val="00E3041F"/>
    <w:rsid w:val="00E311EF"/>
    <w:rsid w:val="00E31695"/>
    <w:rsid w:val="00E32180"/>
    <w:rsid w:val="00E333B1"/>
    <w:rsid w:val="00E34948"/>
    <w:rsid w:val="00E34E2A"/>
    <w:rsid w:val="00E34E32"/>
    <w:rsid w:val="00E351F8"/>
    <w:rsid w:val="00E356B4"/>
    <w:rsid w:val="00E36D3B"/>
    <w:rsid w:val="00E36E8B"/>
    <w:rsid w:val="00E37569"/>
    <w:rsid w:val="00E37CC9"/>
    <w:rsid w:val="00E37DA8"/>
    <w:rsid w:val="00E37F7B"/>
    <w:rsid w:val="00E401B2"/>
    <w:rsid w:val="00E41E30"/>
    <w:rsid w:val="00E420E3"/>
    <w:rsid w:val="00E42F73"/>
    <w:rsid w:val="00E43C9E"/>
    <w:rsid w:val="00E43D70"/>
    <w:rsid w:val="00E4584E"/>
    <w:rsid w:val="00E46553"/>
    <w:rsid w:val="00E466F3"/>
    <w:rsid w:val="00E46906"/>
    <w:rsid w:val="00E46F18"/>
    <w:rsid w:val="00E475EE"/>
    <w:rsid w:val="00E47B2C"/>
    <w:rsid w:val="00E50D38"/>
    <w:rsid w:val="00E51560"/>
    <w:rsid w:val="00E51821"/>
    <w:rsid w:val="00E527E4"/>
    <w:rsid w:val="00E52DD3"/>
    <w:rsid w:val="00E53FC8"/>
    <w:rsid w:val="00E54347"/>
    <w:rsid w:val="00E54771"/>
    <w:rsid w:val="00E55424"/>
    <w:rsid w:val="00E55915"/>
    <w:rsid w:val="00E55BB5"/>
    <w:rsid w:val="00E574CC"/>
    <w:rsid w:val="00E57A8B"/>
    <w:rsid w:val="00E57FDB"/>
    <w:rsid w:val="00E60781"/>
    <w:rsid w:val="00E609EC"/>
    <w:rsid w:val="00E61147"/>
    <w:rsid w:val="00E611DF"/>
    <w:rsid w:val="00E63CD3"/>
    <w:rsid w:val="00E63E36"/>
    <w:rsid w:val="00E65953"/>
    <w:rsid w:val="00E65AD0"/>
    <w:rsid w:val="00E65E79"/>
    <w:rsid w:val="00E65EB7"/>
    <w:rsid w:val="00E661AF"/>
    <w:rsid w:val="00E66BA2"/>
    <w:rsid w:val="00E670B1"/>
    <w:rsid w:val="00E67416"/>
    <w:rsid w:val="00E7085B"/>
    <w:rsid w:val="00E70D61"/>
    <w:rsid w:val="00E718B6"/>
    <w:rsid w:val="00E719DA"/>
    <w:rsid w:val="00E723BA"/>
    <w:rsid w:val="00E72DE6"/>
    <w:rsid w:val="00E73581"/>
    <w:rsid w:val="00E74C27"/>
    <w:rsid w:val="00E76162"/>
    <w:rsid w:val="00E77F36"/>
    <w:rsid w:val="00E81A7C"/>
    <w:rsid w:val="00E81DBB"/>
    <w:rsid w:val="00E82853"/>
    <w:rsid w:val="00E833F7"/>
    <w:rsid w:val="00E83506"/>
    <w:rsid w:val="00E835DB"/>
    <w:rsid w:val="00E83BDF"/>
    <w:rsid w:val="00E83D96"/>
    <w:rsid w:val="00E84B29"/>
    <w:rsid w:val="00E865F5"/>
    <w:rsid w:val="00E86E68"/>
    <w:rsid w:val="00E86FCC"/>
    <w:rsid w:val="00E87104"/>
    <w:rsid w:val="00E878A9"/>
    <w:rsid w:val="00E87A1D"/>
    <w:rsid w:val="00E87EAE"/>
    <w:rsid w:val="00E9094A"/>
    <w:rsid w:val="00E90DAC"/>
    <w:rsid w:val="00E90F06"/>
    <w:rsid w:val="00E91D35"/>
    <w:rsid w:val="00E91FF4"/>
    <w:rsid w:val="00E926A5"/>
    <w:rsid w:val="00E9280F"/>
    <w:rsid w:val="00E92883"/>
    <w:rsid w:val="00E936E1"/>
    <w:rsid w:val="00E93878"/>
    <w:rsid w:val="00E95B53"/>
    <w:rsid w:val="00E95ED8"/>
    <w:rsid w:val="00E962CC"/>
    <w:rsid w:val="00E9661A"/>
    <w:rsid w:val="00E9663C"/>
    <w:rsid w:val="00E96D5F"/>
    <w:rsid w:val="00E972CD"/>
    <w:rsid w:val="00EA17C3"/>
    <w:rsid w:val="00EA1D41"/>
    <w:rsid w:val="00EA2CAA"/>
    <w:rsid w:val="00EA3864"/>
    <w:rsid w:val="00EA39FB"/>
    <w:rsid w:val="00EA3F8E"/>
    <w:rsid w:val="00EA49EE"/>
    <w:rsid w:val="00EA4DE9"/>
    <w:rsid w:val="00EA5C82"/>
    <w:rsid w:val="00EA5DFE"/>
    <w:rsid w:val="00EA5F27"/>
    <w:rsid w:val="00EA6110"/>
    <w:rsid w:val="00EA6C5B"/>
    <w:rsid w:val="00EA7F1C"/>
    <w:rsid w:val="00EA7FA8"/>
    <w:rsid w:val="00EB0153"/>
    <w:rsid w:val="00EB03CA"/>
    <w:rsid w:val="00EB134C"/>
    <w:rsid w:val="00EB15B6"/>
    <w:rsid w:val="00EB1C9D"/>
    <w:rsid w:val="00EB3D06"/>
    <w:rsid w:val="00EB410C"/>
    <w:rsid w:val="00EB4614"/>
    <w:rsid w:val="00EB48DF"/>
    <w:rsid w:val="00EB4916"/>
    <w:rsid w:val="00EB4C6B"/>
    <w:rsid w:val="00EB52F4"/>
    <w:rsid w:val="00EB5346"/>
    <w:rsid w:val="00EB6346"/>
    <w:rsid w:val="00EB709D"/>
    <w:rsid w:val="00EB7309"/>
    <w:rsid w:val="00EC00C9"/>
    <w:rsid w:val="00EC068C"/>
    <w:rsid w:val="00EC0DD9"/>
    <w:rsid w:val="00EC114A"/>
    <w:rsid w:val="00EC1192"/>
    <w:rsid w:val="00EC2649"/>
    <w:rsid w:val="00EC31ED"/>
    <w:rsid w:val="00EC3896"/>
    <w:rsid w:val="00EC4364"/>
    <w:rsid w:val="00EC4441"/>
    <w:rsid w:val="00EC51D3"/>
    <w:rsid w:val="00EC53C3"/>
    <w:rsid w:val="00EC5836"/>
    <w:rsid w:val="00EC5E62"/>
    <w:rsid w:val="00EC5F31"/>
    <w:rsid w:val="00EC688C"/>
    <w:rsid w:val="00EC74BC"/>
    <w:rsid w:val="00EC7990"/>
    <w:rsid w:val="00ED051F"/>
    <w:rsid w:val="00ED0CBB"/>
    <w:rsid w:val="00ED12E3"/>
    <w:rsid w:val="00ED3ABB"/>
    <w:rsid w:val="00ED4B04"/>
    <w:rsid w:val="00ED568F"/>
    <w:rsid w:val="00ED57EA"/>
    <w:rsid w:val="00ED5B11"/>
    <w:rsid w:val="00ED5BD4"/>
    <w:rsid w:val="00ED5DC1"/>
    <w:rsid w:val="00ED68A4"/>
    <w:rsid w:val="00ED698E"/>
    <w:rsid w:val="00ED6A5E"/>
    <w:rsid w:val="00EE05AC"/>
    <w:rsid w:val="00EE05E0"/>
    <w:rsid w:val="00EE07D3"/>
    <w:rsid w:val="00EE136C"/>
    <w:rsid w:val="00EE1996"/>
    <w:rsid w:val="00EE1C01"/>
    <w:rsid w:val="00EE2180"/>
    <w:rsid w:val="00EE22AF"/>
    <w:rsid w:val="00EE38B4"/>
    <w:rsid w:val="00EE3F5D"/>
    <w:rsid w:val="00EE4410"/>
    <w:rsid w:val="00EE6EC0"/>
    <w:rsid w:val="00EE73D8"/>
    <w:rsid w:val="00EF0171"/>
    <w:rsid w:val="00EF04AF"/>
    <w:rsid w:val="00EF1A4D"/>
    <w:rsid w:val="00EF1B25"/>
    <w:rsid w:val="00EF1DA0"/>
    <w:rsid w:val="00EF292D"/>
    <w:rsid w:val="00EF31DA"/>
    <w:rsid w:val="00EF3825"/>
    <w:rsid w:val="00EF4747"/>
    <w:rsid w:val="00EF4BF8"/>
    <w:rsid w:val="00EF4EE6"/>
    <w:rsid w:val="00EF63BB"/>
    <w:rsid w:val="00EF76C5"/>
    <w:rsid w:val="00F00345"/>
    <w:rsid w:val="00F0086F"/>
    <w:rsid w:val="00F00A42"/>
    <w:rsid w:val="00F02253"/>
    <w:rsid w:val="00F030A6"/>
    <w:rsid w:val="00F03520"/>
    <w:rsid w:val="00F03987"/>
    <w:rsid w:val="00F03C2E"/>
    <w:rsid w:val="00F03CED"/>
    <w:rsid w:val="00F049F0"/>
    <w:rsid w:val="00F04A66"/>
    <w:rsid w:val="00F04B4B"/>
    <w:rsid w:val="00F0516C"/>
    <w:rsid w:val="00F05ED5"/>
    <w:rsid w:val="00F067A2"/>
    <w:rsid w:val="00F06C52"/>
    <w:rsid w:val="00F07108"/>
    <w:rsid w:val="00F07116"/>
    <w:rsid w:val="00F07B9E"/>
    <w:rsid w:val="00F104F4"/>
    <w:rsid w:val="00F106A0"/>
    <w:rsid w:val="00F1116F"/>
    <w:rsid w:val="00F112B5"/>
    <w:rsid w:val="00F11A20"/>
    <w:rsid w:val="00F11E1D"/>
    <w:rsid w:val="00F1263A"/>
    <w:rsid w:val="00F139C5"/>
    <w:rsid w:val="00F14361"/>
    <w:rsid w:val="00F15B77"/>
    <w:rsid w:val="00F21236"/>
    <w:rsid w:val="00F214D3"/>
    <w:rsid w:val="00F21940"/>
    <w:rsid w:val="00F239DF"/>
    <w:rsid w:val="00F24837"/>
    <w:rsid w:val="00F24A90"/>
    <w:rsid w:val="00F24CB0"/>
    <w:rsid w:val="00F2575F"/>
    <w:rsid w:val="00F259D3"/>
    <w:rsid w:val="00F2752F"/>
    <w:rsid w:val="00F27565"/>
    <w:rsid w:val="00F27B8A"/>
    <w:rsid w:val="00F3103B"/>
    <w:rsid w:val="00F310D4"/>
    <w:rsid w:val="00F31131"/>
    <w:rsid w:val="00F312AA"/>
    <w:rsid w:val="00F31D5A"/>
    <w:rsid w:val="00F32ECE"/>
    <w:rsid w:val="00F33975"/>
    <w:rsid w:val="00F33DE9"/>
    <w:rsid w:val="00F33E6C"/>
    <w:rsid w:val="00F35CB8"/>
    <w:rsid w:val="00F35E6D"/>
    <w:rsid w:val="00F3619A"/>
    <w:rsid w:val="00F36ABE"/>
    <w:rsid w:val="00F37AB1"/>
    <w:rsid w:val="00F4041D"/>
    <w:rsid w:val="00F40948"/>
    <w:rsid w:val="00F40AAA"/>
    <w:rsid w:val="00F40BA7"/>
    <w:rsid w:val="00F40F9D"/>
    <w:rsid w:val="00F41ACD"/>
    <w:rsid w:val="00F42054"/>
    <w:rsid w:val="00F44E97"/>
    <w:rsid w:val="00F4578B"/>
    <w:rsid w:val="00F46CB6"/>
    <w:rsid w:val="00F473A9"/>
    <w:rsid w:val="00F4756D"/>
    <w:rsid w:val="00F47DE8"/>
    <w:rsid w:val="00F514AC"/>
    <w:rsid w:val="00F517C5"/>
    <w:rsid w:val="00F517FE"/>
    <w:rsid w:val="00F52496"/>
    <w:rsid w:val="00F524AB"/>
    <w:rsid w:val="00F5275C"/>
    <w:rsid w:val="00F52E18"/>
    <w:rsid w:val="00F542C1"/>
    <w:rsid w:val="00F546D1"/>
    <w:rsid w:val="00F550E3"/>
    <w:rsid w:val="00F5537D"/>
    <w:rsid w:val="00F55D6F"/>
    <w:rsid w:val="00F55E73"/>
    <w:rsid w:val="00F55EDA"/>
    <w:rsid w:val="00F56130"/>
    <w:rsid w:val="00F568FB"/>
    <w:rsid w:val="00F56C80"/>
    <w:rsid w:val="00F574EE"/>
    <w:rsid w:val="00F57F9E"/>
    <w:rsid w:val="00F60092"/>
    <w:rsid w:val="00F602F4"/>
    <w:rsid w:val="00F60A63"/>
    <w:rsid w:val="00F61C18"/>
    <w:rsid w:val="00F6296E"/>
    <w:rsid w:val="00F630C9"/>
    <w:rsid w:val="00F6310F"/>
    <w:rsid w:val="00F638D6"/>
    <w:rsid w:val="00F645C9"/>
    <w:rsid w:val="00F65F4B"/>
    <w:rsid w:val="00F66A8A"/>
    <w:rsid w:val="00F676C4"/>
    <w:rsid w:val="00F67A69"/>
    <w:rsid w:val="00F7004A"/>
    <w:rsid w:val="00F70192"/>
    <w:rsid w:val="00F7065A"/>
    <w:rsid w:val="00F70BFF"/>
    <w:rsid w:val="00F70C41"/>
    <w:rsid w:val="00F70C9D"/>
    <w:rsid w:val="00F7117B"/>
    <w:rsid w:val="00F7200B"/>
    <w:rsid w:val="00F72DD6"/>
    <w:rsid w:val="00F73063"/>
    <w:rsid w:val="00F73966"/>
    <w:rsid w:val="00F73DDD"/>
    <w:rsid w:val="00F73E08"/>
    <w:rsid w:val="00F74CD9"/>
    <w:rsid w:val="00F76AB6"/>
    <w:rsid w:val="00F76DE6"/>
    <w:rsid w:val="00F77122"/>
    <w:rsid w:val="00F80A7B"/>
    <w:rsid w:val="00F80E5D"/>
    <w:rsid w:val="00F81E78"/>
    <w:rsid w:val="00F82093"/>
    <w:rsid w:val="00F829F6"/>
    <w:rsid w:val="00F83916"/>
    <w:rsid w:val="00F8406A"/>
    <w:rsid w:val="00F84561"/>
    <w:rsid w:val="00F851CE"/>
    <w:rsid w:val="00F8556F"/>
    <w:rsid w:val="00F85CFB"/>
    <w:rsid w:val="00F878E6"/>
    <w:rsid w:val="00F90799"/>
    <w:rsid w:val="00F91219"/>
    <w:rsid w:val="00F918AB"/>
    <w:rsid w:val="00F9195B"/>
    <w:rsid w:val="00F921B5"/>
    <w:rsid w:val="00F92444"/>
    <w:rsid w:val="00F927B3"/>
    <w:rsid w:val="00F9393E"/>
    <w:rsid w:val="00F93DC9"/>
    <w:rsid w:val="00F93E3A"/>
    <w:rsid w:val="00F944E2"/>
    <w:rsid w:val="00F9453A"/>
    <w:rsid w:val="00F95017"/>
    <w:rsid w:val="00F96309"/>
    <w:rsid w:val="00F966DA"/>
    <w:rsid w:val="00F96FD0"/>
    <w:rsid w:val="00F97A78"/>
    <w:rsid w:val="00F97FCC"/>
    <w:rsid w:val="00FA0B20"/>
    <w:rsid w:val="00FA24E7"/>
    <w:rsid w:val="00FA4DFE"/>
    <w:rsid w:val="00FA5675"/>
    <w:rsid w:val="00FA5EE6"/>
    <w:rsid w:val="00FA771F"/>
    <w:rsid w:val="00FA7956"/>
    <w:rsid w:val="00FB0726"/>
    <w:rsid w:val="00FB0824"/>
    <w:rsid w:val="00FB128F"/>
    <w:rsid w:val="00FB1A3C"/>
    <w:rsid w:val="00FB21A6"/>
    <w:rsid w:val="00FB2396"/>
    <w:rsid w:val="00FB2FCB"/>
    <w:rsid w:val="00FB4646"/>
    <w:rsid w:val="00FB4B89"/>
    <w:rsid w:val="00FB4C9C"/>
    <w:rsid w:val="00FB5316"/>
    <w:rsid w:val="00FB6FF1"/>
    <w:rsid w:val="00FB7C55"/>
    <w:rsid w:val="00FC0245"/>
    <w:rsid w:val="00FC1074"/>
    <w:rsid w:val="00FC15D1"/>
    <w:rsid w:val="00FC1884"/>
    <w:rsid w:val="00FC33EC"/>
    <w:rsid w:val="00FC3421"/>
    <w:rsid w:val="00FC371D"/>
    <w:rsid w:val="00FC4E4B"/>
    <w:rsid w:val="00FC5F0B"/>
    <w:rsid w:val="00FC64AE"/>
    <w:rsid w:val="00FC6BA3"/>
    <w:rsid w:val="00FC6DBF"/>
    <w:rsid w:val="00FD02C9"/>
    <w:rsid w:val="00FD02E8"/>
    <w:rsid w:val="00FD2100"/>
    <w:rsid w:val="00FD3723"/>
    <w:rsid w:val="00FD436C"/>
    <w:rsid w:val="00FD446D"/>
    <w:rsid w:val="00FD4F2C"/>
    <w:rsid w:val="00FD5ACC"/>
    <w:rsid w:val="00FD6113"/>
    <w:rsid w:val="00FD6394"/>
    <w:rsid w:val="00FD6789"/>
    <w:rsid w:val="00FD740F"/>
    <w:rsid w:val="00FE0779"/>
    <w:rsid w:val="00FE0CA0"/>
    <w:rsid w:val="00FE0E6C"/>
    <w:rsid w:val="00FE19DF"/>
    <w:rsid w:val="00FE1CDC"/>
    <w:rsid w:val="00FE1D32"/>
    <w:rsid w:val="00FE25CA"/>
    <w:rsid w:val="00FE2BF7"/>
    <w:rsid w:val="00FE2ECF"/>
    <w:rsid w:val="00FE4509"/>
    <w:rsid w:val="00FE48CA"/>
    <w:rsid w:val="00FE50C0"/>
    <w:rsid w:val="00FE5E2A"/>
    <w:rsid w:val="00FE70C3"/>
    <w:rsid w:val="00FE74C0"/>
    <w:rsid w:val="00FF1843"/>
    <w:rsid w:val="00FF1A8B"/>
    <w:rsid w:val="00FF2AD9"/>
    <w:rsid w:val="00FF359F"/>
    <w:rsid w:val="00FF3DCF"/>
    <w:rsid w:val="00FF3FA0"/>
    <w:rsid w:val="00FF4302"/>
    <w:rsid w:val="00FF492C"/>
    <w:rsid w:val="00FF4A21"/>
    <w:rsid w:val="00FF5AA3"/>
    <w:rsid w:val="00FF5AD8"/>
    <w:rsid w:val="00FF78CC"/>
    <w:rsid w:val="59491E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659"/>
    <w:pPr>
      <w:jc w:val="both"/>
    </w:pPr>
    <w:rPr>
      <w:rFonts w:asciiTheme="minorHAnsi" w:hAnsiTheme="minorHAnsi"/>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91C6C"/>
    <w:pPr>
      <w:outlineLvl w:val="2"/>
    </w:pPr>
    <w:rPr>
      <w:b/>
      <w:bCs/>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Section 3- footnotes,HTAtableplain,Table Grid No Line,MP Table Grid,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qFormat/>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546CB"/>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uiPriority w:val="99"/>
    <w:rsid w:val="00D0262E"/>
    <w:pPr>
      <w:ind w:left="660"/>
    </w:pPr>
    <w:rPr>
      <w:sz w:val="20"/>
    </w:rPr>
  </w:style>
  <w:style w:type="paragraph" w:styleId="TOC5">
    <w:name w:val="toc 5"/>
    <w:basedOn w:val="Normal"/>
    <w:next w:val="Normal"/>
    <w:autoRedefine/>
    <w:uiPriority w:val="99"/>
    <w:rsid w:val="00D0262E"/>
    <w:pPr>
      <w:ind w:left="880"/>
    </w:pPr>
    <w:rPr>
      <w:sz w:val="20"/>
    </w:rPr>
  </w:style>
  <w:style w:type="paragraph" w:styleId="TOC6">
    <w:name w:val="toc 6"/>
    <w:basedOn w:val="Normal"/>
    <w:next w:val="Normal"/>
    <w:autoRedefine/>
    <w:uiPriority w:val="99"/>
    <w:rsid w:val="00D0262E"/>
    <w:pPr>
      <w:ind w:left="1100"/>
    </w:pPr>
    <w:rPr>
      <w:sz w:val="20"/>
    </w:rPr>
  </w:style>
  <w:style w:type="paragraph" w:styleId="TOC7">
    <w:name w:val="toc 7"/>
    <w:basedOn w:val="Normal"/>
    <w:next w:val="Normal"/>
    <w:autoRedefine/>
    <w:uiPriority w:val="99"/>
    <w:rsid w:val="00D0262E"/>
    <w:pPr>
      <w:ind w:left="1320"/>
    </w:pPr>
    <w:rPr>
      <w:sz w:val="20"/>
    </w:rPr>
  </w:style>
  <w:style w:type="paragraph" w:styleId="TOC8">
    <w:name w:val="toc 8"/>
    <w:basedOn w:val="Normal"/>
    <w:next w:val="Normal"/>
    <w:autoRedefine/>
    <w:uiPriority w:val="99"/>
    <w:rsid w:val="00D0262E"/>
    <w:pPr>
      <w:ind w:left="1540"/>
    </w:pPr>
    <w:rPr>
      <w:sz w:val="20"/>
    </w:rPr>
  </w:style>
  <w:style w:type="paragraph" w:styleId="TOC9">
    <w:name w:val="toc 9"/>
    <w:basedOn w:val="Normal"/>
    <w:next w:val="Normal"/>
    <w:autoRedefine/>
    <w:uiPriority w:val="99"/>
    <w:rsid w:val="00D0262E"/>
    <w:pPr>
      <w:ind w:left="1760"/>
    </w:pPr>
    <w:rPr>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D68A4"/>
    <w:pPr>
      <w:keepNext/>
      <w:keepLines/>
    </w:pPr>
    <w:rPr>
      <w:rFonts w:ascii="Arial Narrow" w:eastAsiaTheme="majorEastAsia" w:hAnsi="Arial Narrow" w:cstheme="majorBidi"/>
      <w:bCs/>
      <w:szCs w:val="18"/>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A5357"/>
    <w:pPr>
      <w:keepNext/>
      <w:keepLines/>
    </w:pPr>
    <w:rPr>
      <w:rFonts w:ascii="Arial Narrow" w:eastAsiaTheme="majorEastAsia" w:hAnsi="Arial Narrow"/>
      <w:b/>
      <w:i/>
      <w:iCs/>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autoRedefine/>
    <w:qFormat/>
    <w:rsid w:val="003C6AB0"/>
    <w:pPr>
      <w:numPr>
        <w:ilvl w:val="1"/>
        <w:numId w:val="6"/>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3C6AB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eastAsiaTheme="majorEastAsia"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eastAsiaTheme="majorEastAsia" w:cstheme="majorBidi"/>
      <w:b w:val="0"/>
      <w:color w:val="000000" w:themeColor="text1"/>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uiPriority w:val="99"/>
    <w:rsid w:val="00ED68A4"/>
    <w:rPr>
      <w:rFonts w:ascii="Arial Narrow" w:eastAsiaTheme="majorEastAsia" w:hAnsi="Arial Narrow" w:cstheme="majorBidi"/>
      <w:bCs/>
      <w:szCs w:val="18"/>
    </w:rPr>
  </w:style>
  <w:style w:type="paragraph" w:customStyle="1" w:styleId="ExecSumBodyText">
    <w:name w:val="Exec Sum Body Text"/>
    <w:basedOn w:val="Normal"/>
    <w:link w:val="ExecSumBodyTextChar"/>
    <w:uiPriority w:val="99"/>
    <w:rsid w:val="00D30D5B"/>
    <w:pPr>
      <w:spacing w:after="120"/>
      <w:ind w:left="720" w:hanging="720"/>
    </w:pPr>
    <w:rPr>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uiPriority w:val="99"/>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uiPriority w:val="99"/>
    <w:rsid w:val="00D30D5B"/>
    <w:rPr>
      <w:rFonts w:ascii="Calibri" w:hAnsi="Calibri" w:cstheme="minorBidi"/>
      <w:i/>
      <w:sz w:val="22"/>
      <w:szCs w:val="22"/>
      <w:lang w:eastAsia="en-US"/>
    </w:rPr>
  </w:style>
  <w:style w:type="paragraph" w:customStyle="1" w:styleId="Default">
    <w:name w:val="Default"/>
    <w:uiPriority w:val="99"/>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B606F8"/>
    <w:pPr>
      <w:keepLines/>
      <w:spacing w:after="120"/>
      <w:contextualSpacing/>
    </w:pPr>
    <w:rPr>
      <w:rFonts w:ascii="Arial Narrow" w:hAnsi="Arial Narrow"/>
      <w:iCs/>
      <w:snapToGrid w:val="0"/>
      <w:sz w:val="18"/>
      <w:szCs w:val="22"/>
      <w:lang w:eastAsia="en-US"/>
    </w:rPr>
  </w:style>
  <w:style w:type="character" w:customStyle="1" w:styleId="TableFigureFooterChar">
    <w:name w:val="Table/Figure Footer Char"/>
    <w:link w:val="TableFigureFooter"/>
    <w:rsid w:val="00B606F8"/>
    <w:rPr>
      <w:rFonts w:ascii="Arial Narrow" w:hAnsi="Arial Narrow" w:cs="Arial"/>
      <w:iCs/>
      <w:snapToGrid w:val="0"/>
      <w:sz w:val="18"/>
      <w:szCs w:val="22"/>
      <w:lang w:eastAsia="en-US"/>
    </w:rPr>
  </w:style>
  <w:style w:type="character" w:styleId="UnresolvedMention">
    <w:name w:val="Unresolved Mention"/>
    <w:basedOn w:val="DefaultParagraphFont"/>
    <w:uiPriority w:val="99"/>
    <w:semiHidden/>
    <w:unhideWhenUsed/>
    <w:rsid w:val="00412E95"/>
    <w:rPr>
      <w:color w:val="605E5C"/>
      <w:shd w:val="clear" w:color="auto" w:fill="E1DFDD"/>
    </w:rPr>
  </w:style>
  <w:style w:type="paragraph" w:customStyle="1" w:styleId="Pa15">
    <w:name w:val="Pa15"/>
    <w:basedOn w:val="Default"/>
    <w:next w:val="Default"/>
    <w:uiPriority w:val="99"/>
    <w:rsid w:val="00BA5978"/>
    <w:pPr>
      <w:spacing w:line="140" w:lineRule="atLeast"/>
    </w:pPr>
    <w:rPr>
      <w:rFonts w:ascii="Shaker 2 Lancet" w:hAnsi="Shaker 2 Lancet" w:cs="Times New Roman"/>
      <w:color w:val="auto"/>
    </w:rPr>
  </w:style>
  <w:style w:type="table" w:customStyle="1" w:styleId="SummaryTable1">
    <w:name w:val="Summary Table1"/>
    <w:basedOn w:val="TableNormal"/>
    <w:next w:val="TableGrid"/>
    <w:uiPriority w:val="39"/>
    <w:rsid w:val="00FC33EC"/>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vl3">
    <w:name w:val="List Bullet lvl 3"/>
    <w:basedOn w:val="ListBullet"/>
    <w:qFormat/>
    <w:rsid w:val="008E3FB6"/>
    <w:pPr>
      <w:numPr>
        <w:numId w:val="0"/>
      </w:numPr>
      <w:spacing w:after="120" w:line="276" w:lineRule="auto"/>
      <w:ind w:left="2160" w:hanging="360"/>
      <w:contextualSpacing w:val="0"/>
    </w:pPr>
    <w:rPr>
      <w:rFonts w:ascii="Arial" w:eastAsiaTheme="minorHAnsi" w:hAnsi="Arial" w:cstheme="minorBidi"/>
      <w:sz w:val="22"/>
      <w:szCs w:val="22"/>
      <w:lang w:eastAsia="en-US"/>
    </w:rPr>
  </w:style>
  <w:style w:type="paragraph" w:customStyle="1" w:styleId="ListBulletlvl4">
    <w:name w:val="List Bullet lvl 4"/>
    <w:basedOn w:val="ListBullet"/>
    <w:qFormat/>
    <w:rsid w:val="008E3FB6"/>
    <w:pPr>
      <w:numPr>
        <w:numId w:val="0"/>
      </w:numPr>
      <w:spacing w:after="120" w:line="276" w:lineRule="auto"/>
      <w:ind w:left="2880" w:hanging="360"/>
      <w:contextualSpacing w:val="0"/>
    </w:pPr>
    <w:rPr>
      <w:rFonts w:ascii="Arial" w:eastAsiaTheme="minorHAnsi" w:hAnsi="Arial" w:cstheme="minorBidi"/>
      <w:sz w:val="22"/>
      <w:szCs w:val="22"/>
      <w:lang w:eastAsia="en-US"/>
    </w:rPr>
  </w:style>
  <w:style w:type="paragraph" w:customStyle="1" w:styleId="ListBulletlvl5">
    <w:name w:val="List Bullet lvl 5"/>
    <w:basedOn w:val="ListBullet"/>
    <w:qFormat/>
    <w:rsid w:val="008E3FB6"/>
    <w:pPr>
      <w:numPr>
        <w:numId w:val="0"/>
      </w:numPr>
      <w:spacing w:after="120" w:line="276" w:lineRule="auto"/>
      <w:ind w:left="3600" w:hanging="360"/>
      <w:contextualSpacing w:val="0"/>
    </w:pPr>
    <w:rPr>
      <w:rFonts w:ascii="Arial" w:eastAsiaTheme="minorHAnsi" w:hAnsi="Arial" w:cstheme="minorBidi"/>
      <w:sz w:val="22"/>
      <w:szCs w:val="22"/>
      <w:lang w:eastAsia="en-US"/>
    </w:rPr>
  </w:style>
  <w:style w:type="paragraph" w:customStyle="1" w:styleId="ListBulletlvl6">
    <w:name w:val="List Bullet lvl 6"/>
    <w:basedOn w:val="ListBullet"/>
    <w:qFormat/>
    <w:rsid w:val="008E3FB6"/>
    <w:pPr>
      <w:numPr>
        <w:numId w:val="0"/>
      </w:numPr>
      <w:spacing w:after="120" w:line="276" w:lineRule="auto"/>
      <w:ind w:left="4320" w:hanging="360"/>
      <w:contextualSpacing w:val="0"/>
    </w:pPr>
    <w:rPr>
      <w:rFonts w:ascii="Arial" w:eastAsiaTheme="minorHAnsi" w:hAnsi="Arial" w:cstheme="minorBidi"/>
      <w:sz w:val="22"/>
      <w:szCs w:val="22"/>
      <w:lang w:eastAsia="en-US"/>
    </w:rPr>
  </w:style>
  <w:style w:type="paragraph" w:customStyle="1" w:styleId="ListBulletlvl7">
    <w:name w:val="List Bullet lvl 7"/>
    <w:basedOn w:val="ListBullet"/>
    <w:qFormat/>
    <w:rsid w:val="008E3FB6"/>
    <w:pPr>
      <w:numPr>
        <w:numId w:val="0"/>
      </w:numPr>
      <w:spacing w:after="120" w:line="276" w:lineRule="auto"/>
      <w:ind w:left="5040" w:hanging="360"/>
      <w:contextualSpacing w:val="0"/>
    </w:pPr>
    <w:rPr>
      <w:rFonts w:ascii="Arial" w:eastAsiaTheme="minorHAnsi" w:hAnsi="Arial" w:cstheme="minorBidi"/>
      <w:sz w:val="22"/>
      <w:szCs w:val="22"/>
      <w:lang w:eastAsia="en-US"/>
    </w:rPr>
  </w:style>
  <w:style w:type="paragraph" w:customStyle="1" w:styleId="ListBulletlvl8">
    <w:name w:val="List Bullet lvl 8"/>
    <w:basedOn w:val="ListBullet"/>
    <w:qFormat/>
    <w:rsid w:val="008E3FB6"/>
    <w:pPr>
      <w:numPr>
        <w:numId w:val="0"/>
      </w:numPr>
      <w:spacing w:after="120" w:line="276" w:lineRule="auto"/>
      <w:ind w:left="5760" w:hanging="360"/>
      <w:contextualSpacing w:val="0"/>
    </w:pPr>
    <w:rPr>
      <w:rFonts w:ascii="Arial" w:eastAsiaTheme="minorHAnsi" w:hAnsi="Arial" w:cstheme="minorBidi"/>
      <w:sz w:val="22"/>
      <w:szCs w:val="22"/>
      <w:lang w:eastAsia="en-US"/>
    </w:rPr>
  </w:style>
  <w:style w:type="paragraph" w:customStyle="1" w:styleId="ListBulletlvl9">
    <w:name w:val="List Bullet lvl 9"/>
    <w:basedOn w:val="ListBullet"/>
    <w:qFormat/>
    <w:rsid w:val="008E3FB6"/>
    <w:pPr>
      <w:numPr>
        <w:numId w:val="0"/>
      </w:numPr>
      <w:spacing w:after="120" w:line="276" w:lineRule="auto"/>
      <w:ind w:left="6480" w:hanging="360"/>
      <w:contextualSpacing w:val="0"/>
    </w:pPr>
    <w:rPr>
      <w:rFonts w:ascii="Arial" w:eastAsiaTheme="minorHAnsi" w:hAnsi="Arial" w:cstheme="minorBidi"/>
      <w:sz w:val="22"/>
      <w:szCs w:val="22"/>
      <w:lang w:eastAsia="en-US"/>
    </w:rPr>
  </w:style>
  <w:style w:type="paragraph" w:customStyle="1" w:styleId="EndNoteBibliography">
    <w:name w:val="EndNote Bibliography"/>
    <w:basedOn w:val="Normal"/>
    <w:link w:val="EndNoteBibliographyChar"/>
    <w:rsid w:val="00807595"/>
    <w:pPr>
      <w:spacing w:after="240"/>
    </w:pPr>
    <w:rPr>
      <w:rFonts w:ascii="Arial Narrow" w:eastAsiaTheme="minorHAnsi" w:hAnsi="Arial Narrow"/>
      <w:noProof/>
      <w:sz w:val="18"/>
      <w:szCs w:val="22"/>
      <w:lang w:val="en-US" w:eastAsia="en-US"/>
    </w:rPr>
  </w:style>
  <w:style w:type="character" w:customStyle="1" w:styleId="EndNoteBibliographyChar">
    <w:name w:val="EndNote Bibliography Char"/>
    <w:basedOn w:val="DefaultParagraphFont"/>
    <w:link w:val="EndNoteBibliography"/>
    <w:rsid w:val="00807595"/>
    <w:rPr>
      <w:rFonts w:ascii="Arial Narrow" w:eastAsiaTheme="minorHAnsi" w:hAnsi="Arial Narrow" w:cs="Arial"/>
      <w:noProof/>
      <w:sz w:val="18"/>
      <w:szCs w:val="22"/>
      <w:lang w:val="en-US" w:eastAsia="en-US"/>
    </w:rPr>
  </w:style>
  <w:style w:type="table" w:customStyle="1" w:styleId="HTAtableplain1">
    <w:name w:val="HTAtableplain1"/>
    <w:basedOn w:val="TableNormal"/>
    <w:next w:val="TableGrid"/>
    <w:uiPriority w:val="39"/>
    <w:rsid w:val="006A746E"/>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plain2">
    <w:name w:val="HTAtableplain2"/>
    <w:basedOn w:val="TableNormal"/>
    <w:next w:val="TableGrid"/>
    <w:uiPriority w:val="39"/>
    <w:rsid w:val="006A746E"/>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D6DB1"/>
    <w:pPr>
      <w:jc w:val="center"/>
    </w:pPr>
    <w:rPr>
      <w:rFonts w:ascii="Arial Narrow" w:eastAsiaTheme="minorHAnsi" w:hAnsi="Arial Narrow" w:cstheme="minorBidi"/>
      <w:noProof/>
      <w:sz w:val="18"/>
      <w:szCs w:val="22"/>
      <w:lang w:val="en-US" w:eastAsia="en-US"/>
    </w:rPr>
  </w:style>
  <w:style w:type="character" w:customStyle="1" w:styleId="EndNoteBibliographyTitleChar">
    <w:name w:val="EndNote Bibliography Title Char"/>
    <w:basedOn w:val="DefaultParagraphFont"/>
    <w:link w:val="EndNoteBibliographyTitle"/>
    <w:rsid w:val="00DD6DB1"/>
    <w:rPr>
      <w:rFonts w:ascii="Arial Narrow" w:eastAsiaTheme="minorHAnsi" w:hAnsi="Arial Narrow" w:cstheme="minorBidi"/>
      <w:noProof/>
      <w:sz w:val="18"/>
      <w:szCs w:val="22"/>
      <w:lang w:val="en-US" w:eastAsia="en-US"/>
    </w:rPr>
  </w:style>
  <w:style w:type="paragraph" w:styleId="ListBullet3">
    <w:name w:val="List Bullet 3"/>
    <w:basedOn w:val="Normal"/>
    <w:semiHidden/>
    <w:unhideWhenUsed/>
    <w:rsid w:val="00DD6DB1"/>
    <w:pPr>
      <w:numPr>
        <w:numId w:val="7"/>
      </w:numPr>
      <w:tabs>
        <w:tab w:val="clear" w:pos="926"/>
      </w:tabs>
      <w:ind w:left="1146"/>
      <w:contextualSpacing/>
    </w:pPr>
  </w:style>
  <w:style w:type="table" w:customStyle="1" w:styleId="ASDTable1">
    <w:name w:val="ASD Table1"/>
    <w:basedOn w:val="TableNormal"/>
    <w:next w:val="TableGrid"/>
    <w:uiPriority w:val="39"/>
    <w:rsid w:val="00DD6DB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DD6D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6DB1"/>
    <w:rPr>
      <w:rFonts w:ascii="Calibri" w:hAnsi="Calibri" w:cs="Arial"/>
      <w:i/>
      <w:iCs/>
      <w:color w:val="404040" w:themeColor="text1" w:themeTint="BF"/>
      <w:sz w:val="24"/>
      <w:szCs w:val="24"/>
    </w:rPr>
  </w:style>
  <w:style w:type="paragraph" w:customStyle="1" w:styleId="TableBullet">
    <w:name w:val="Table Bullet"/>
    <w:basedOn w:val="TableText0"/>
    <w:qFormat/>
    <w:rsid w:val="00CE22A2"/>
    <w:pPr>
      <w:keepNext w:val="0"/>
      <w:keepLines w:val="0"/>
      <w:numPr>
        <w:numId w:val="9"/>
      </w:numPr>
      <w:spacing w:before="60" w:after="60"/>
    </w:pPr>
    <w:rPr>
      <w:rFonts w:ascii="Arial" w:eastAsiaTheme="minorHAnsi" w:hAnsi="Arial" w:cstheme="minorBidi"/>
      <w:bCs w:val="0"/>
      <w:sz w:val="18"/>
      <w:szCs w:val="22"/>
      <w:lang w:eastAsia="en-US"/>
    </w:rPr>
  </w:style>
  <w:style w:type="paragraph" w:customStyle="1" w:styleId="TextUnderTable">
    <w:name w:val="Text Under Table"/>
    <w:basedOn w:val="Normal"/>
    <w:qFormat/>
    <w:rsid w:val="00CE22A2"/>
    <w:pPr>
      <w:spacing w:before="120" w:after="120" w:line="276" w:lineRule="auto"/>
      <w:contextualSpacing/>
    </w:pPr>
    <w:rPr>
      <w:rFonts w:ascii="Arial" w:hAnsi="Arial"/>
      <w:i/>
      <w:sz w:val="16"/>
      <w:szCs w:val="22"/>
    </w:rPr>
  </w:style>
  <w:style w:type="paragraph" w:customStyle="1" w:styleId="TableTextHeading">
    <w:name w:val="Table Text Heading"/>
    <w:basedOn w:val="Normal"/>
    <w:uiPriority w:val="99"/>
    <w:rsid w:val="00CE22A2"/>
    <w:pPr>
      <w:spacing w:before="60" w:after="60"/>
      <w:jc w:val="center"/>
    </w:pPr>
    <w:rPr>
      <w:rFonts w:ascii="Arial Bold" w:hAnsi="Arial Bold"/>
      <w:b/>
      <w:sz w:val="18"/>
      <w:szCs w:val="20"/>
    </w:rPr>
  </w:style>
  <w:style w:type="character" w:customStyle="1" w:styleId="Heading1Char">
    <w:name w:val="Heading 1 Char"/>
    <w:basedOn w:val="DefaultParagraphFont"/>
    <w:link w:val="Heading1"/>
    <w:uiPriority w:val="1"/>
    <w:rsid w:val="009300DD"/>
    <w:rPr>
      <w:rFonts w:ascii="Calibri" w:hAnsi="Calibri" w:cs="Arial"/>
      <w:b/>
      <w:caps/>
      <w:sz w:val="32"/>
      <w:szCs w:val="24"/>
    </w:rPr>
  </w:style>
  <w:style w:type="character" w:customStyle="1" w:styleId="Heading3Char">
    <w:name w:val="Heading 3 Char"/>
    <w:basedOn w:val="DefaultParagraphFont"/>
    <w:link w:val="Heading3"/>
    <w:rsid w:val="00191C6C"/>
    <w:rPr>
      <w:rFonts w:ascii="Calibri" w:hAnsi="Calibri" w:cs="Arial"/>
      <w:b/>
      <w:bCs/>
      <w:sz w:val="24"/>
      <w:szCs w:val="24"/>
    </w:rPr>
  </w:style>
  <w:style w:type="character" w:customStyle="1" w:styleId="Heading4Char">
    <w:name w:val="Heading 4 Char"/>
    <w:basedOn w:val="DefaultParagraphFont"/>
    <w:link w:val="Heading4"/>
    <w:rsid w:val="009300DD"/>
    <w:rPr>
      <w:rFonts w:ascii="Calibri" w:hAnsi="Calibri" w:cs="Arial"/>
      <w:b/>
      <w:bCs/>
      <w:i/>
      <w:sz w:val="26"/>
      <w:szCs w:val="28"/>
    </w:rPr>
  </w:style>
  <w:style w:type="character" w:customStyle="1" w:styleId="Heading5Char">
    <w:name w:val="Heading 5 Char"/>
    <w:basedOn w:val="DefaultParagraphFont"/>
    <w:link w:val="Heading5"/>
    <w:rsid w:val="009300DD"/>
    <w:rPr>
      <w:rFonts w:ascii="Calibri" w:hAnsi="Calibri" w:cs="Arial"/>
      <w:b/>
      <w:bCs/>
      <w:iCs/>
      <w:sz w:val="26"/>
      <w:szCs w:val="26"/>
    </w:rPr>
  </w:style>
  <w:style w:type="character" w:customStyle="1" w:styleId="Heading6Char">
    <w:name w:val="Heading 6 Char"/>
    <w:basedOn w:val="DefaultParagraphFont"/>
    <w:link w:val="Heading6"/>
    <w:rsid w:val="009300DD"/>
    <w:rPr>
      <w:rFonts w:ascii="Calibri" w:hAnsi="Calibri" w:cs="Arial"/>
      <w:b/>
      <w:bCs/>
      <w:i/>
      <w:sz w:val="24"/>
      <w:szCs w:val="24"/>
    </w:rPr>
  </w:style>
  <w:style w:type="paragraph" w:customStyle="1" w:styleId="msonormal0">
    <w:name w:val="msonormal"/>
    <w:basedOn w:val="Normal"/>
    <w:uiPriority w:val="99"/>
    <w:rsid w:val="009300DD"/>
    <w:pPr>
      <w:snapToGrid w:val="0"/>
      <w:spacing w:before="100" w:after="100"/>
    </w:pPr>
    <w:rPr>
      <w:lang w:val="en-GB"/>
    </w:rPr>
  </w:style>
  <w:style w:type="character" w:customStyle="1" w:styleId="HeaderChar1">
    <w:name w:val="Header Char1"/>
    <w:aliases w:val="Page Header Char1,Header title Char1,he=header Char1,cntr/bld Char1"/>
    <w:basedOn w:val="DefaultParagraphFont"/>
    <w:semiHidden/>
    <w:rsid w:val="009300DD"/>
    <w:rPr>
      <w:rFonts w:ascii="Calibri" w:hAnsi="Calibri" w:cs="Arial"/>
      <w:sz w:val="24"/>
      <w:szCs w:val="24"/>
    </w:rPr>
  </w:style>
  <w:style w:type="table" w:customStyle="1" w:styleId="PlainTable211">
    <w:name w:val="Plain Table 211"/>
    <w:basedOn w:val="TableNormal"/>
    <w:uiPriority w:val="42"/>
    <w:rsid w:val="009300DD"/>
    <w:rPr>
      <w:rFonts w:ascii="Calibri" w:eastAsia="Calibri" w:hAnsi="Calibr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semiHidden/>
    <w:unhideWhenUsed/>
    <w:rsid w:val="00CA2F05"/>
    <w:rPr>
      <w:sz w:val="20"/>
      <w:szCs w:val="20"/>
    </w:rPr>
  </w:style>
  <w:style w:type="character" w:customStyle="1" w:styleId="FootnoteTextChar">
    <w:name w:val="Footnote Text Char"/>
    <w:basedOn w:val="DefaultParagraphFont"/>
    <w:link w:val="FootnoteText"/>
    <w:semiHidden/>
    <w:rsid w:val="00CA2F05"/>
    <w:rPr>
      <w:rFonts w:ascii="Calibri" w:hAnsi="Calibri" w:cs="Arial"/>
    </w:rPr>
  </w:style>
  <w:style w:type="character" w:styleId="FootnoteReference">
    <w:name w:val="footnote reference"/>
    <w:basedOn w:val="DefaultParagraphFont"/>
    <w:semiHidden/>
    <w:unhideWhenUsed/>
    <w:rsid w:val="00CA2F05"/>
    <w:rPr>
      <w:vertAlign w:val="superscript"/>
    </w:rPr>
  </w:style>
  <w:style w:type="paragraph" w:customStyle="1" w:styleId="TableText1">
    <w:name w:val="TableText"/>
    <w:basedOn w:val="Normal"/>
    <w:link w:val="TableTextChar1"/>
    <w:qFormat/>
    <w:rsid w:val="00633FA0"/>
    <w:pPr>
      <w:spacing w:before="60" w:after="60"/>
    </w:pPr>
    <w:rPr>
      <w:rFonts w:ascii="Arial" w:hAnsi="Arial"/>
      <w:sz w:val="18"/>
      <w:szCs w:val="22"/>
    </w:rPr>
  </w:style>
  <w:style w:type="character" w:customStyle="1" w:styleId="TableTextChar1">
    <w:name w:val="TableText Char"/>
    <w:link w:val="TableText1"/>
    <w:rsid w:val="00633FA0"/>
    <w:rPr>
      <w:rFonts w:ascii="Arial" w:hAnsi="Arial"/>
      <w:sz w:val="18"/>
      <w:szCs w:val="22"/>
    </w:rPr>
  </w:style>
  <w:style w:type="paragraph" w:customStyle="1" w:styleId="3-SubsectionHeading">
    <w:name w:val="3-Subsection Heading"/>
    <w:basedOn w:val="Heading2"/>
    <w:next w:val="Normal"/>
    <w:link w:val="3-SubsectionHeadingChar"/>
    <w:qFormat/>
    <w:rsid w:val="007E6D75"/>
    <w:pPr>
      <w:keepNext/>
      <w:spacing w:before="120" w:after="120"/>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7E6D75"/>
    <w:rPr>
      <w:rFonts w:asciiTheme="minorHAnsi" w:eastAsiaTheme="majorEastAsia" w:hAnsiTheme="minorHAnsi" w:cstheme="majorBidi"/>
      <w:b/>
      <w:i/>
      <w:snapToGrid/>
      <w:spacing w:val="5"/>
      <w:kern w:val="28"/>
      <w:sz w:val="28"/>
      <w:szCs w:val="36"/>
      <w:lang w:eastAsia="en-US"/>
    </w:rPr>
  </w:style>
  <w:style w:type="character" w:customStyle="1" w:styleId="fui-text">
    <w:name w:val="fui-text"/>
    <w:basedOn w:val="DefaultParagraphFont"/>
    <w:rsid w:val="0067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8102036">
      <w:bodyDiv w:val="1"/>
      <w:marLeft w:val="0"/>
      <w:marRight w:val="0"/>
      <w:marTop w:val="0"/>
      <w:marBottom w:val="0"/>
      <w:divBdr>
        <w:top w:val="none" w:sz="0" w:space="0" w:color="auto"/>
        <w:left w:val="none" w:sz="0" w:space="0" w:color="auto"/>
        <w:bottom w:val="none" w:sz="0" w:space="0" w:color="auto"/>
        <w:right w:val="none" w:sz="0" w:space="0" w:color="auto"/>
      </w:divBdr>
      <w:divsChild>
        <w:div w:id="1410038239">
          <w:marLeft w:val="0"/>
          <w:marRight w:val="0"/>
          <w:marTop w:val="0"/>
          <w:marBottom w:val="0"/>
          <w:divBdr>
            <w:top w:val="none" w:sz="0" w:space="0" w:color="auto"/>
            <w:left w:val="none" w:sz="0" w:space="0" w:color="auto"/>
            <w:bottom w:val="none" w:sz="0" w:space="0" w:color="auto"/>
            <w:right w:val="none" w:sz="0" w:space="0" w:color="auto"/>
          </w:divBdr>
        </w:div>
      </w:divsChild>
    </w:div>
    <w:div w:id="174154157">
      <w:bodyDiv w:val="1"/>
      <w:marLeft w:val="0"/>
      <w:marRight w:val="0"/>
      <w:marTop w:val="0"/>
      <w:marBottom w:val="0"/>
      <w:divBdr>
        <w:top w:val="none" w:sz="0" w:space="0" w:color="auto"/>
        <w:left w:val="none" w:sz="0" w:space="0" w:color="auto"/>
        <w:bottom w:val="none" w:sz="0" w:space="0" w:color="auto"/>
        <w:right w:val="none" w:sz="0" w:space="0" w:color="auto"/>
      </w:divBdr>
    </w:div>
    <w:div w:id="299187098">
      <w:bodyDiv w:val="1"/>
      <w:marLeft w:val="0"/>
      <w:marRight w:val="0"/>
      <w:marTop w:val="0"/>
      <w:marBottom w:val="0"/>
      <w:divBdr>
        <w:top w:val="none" w:sz="0" w:space="0" w:color="auto"/>
        <w:left w:val="none" w:sz="0" w:space="0" w:color="auto"/>
        <w:bottom w:val="none" w:sz="0" w:space="0" w:color="auto"/>
        <w:right w:val="none" w:sz="0" w:space="0" w:color="auto"/>
      </w:divBdr>
    </w:div>
    <w:div w:id="31302997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4907496">
      <w:bodyDiv w:val="1"/>
      <w:marLeft w:val="0"/>
      <w:marRight w:val="0"/>
      <w:marTop w:val="0"/>
      <w:marBottom w:val="0"/>
      <w:divBdr>
        <w:top w:val="none" w:sz="0" w:space="0" w:color="auto"/>
        <w:left w:val="none" w:sz="0" w:space="0" w:color="auto"/>
        <w:bottom w:val="none" w:sz="0" w:space="0" w:color="auto"/>
        <w:right w:val="none" w:sz="0" w:space="0" w:color="auto"/>
      </w:divBdr>
    </w:div>
    <w:div w:id="388457982">
      <w:bodyDiv w:val="1"/>
      <w:marLeft w:val="0"/>
      <w:marRight w:val="0"/>
      <w:marTop w:val="0"/>
      <w:marBottom w:val="0"/>
      <w:divBdr>
        <w:top w:val="none" w:sz="0" w:space="0" w:color="auto"/>
        <w:left w:val="none" w:sz="0" w:space="0" w:color="auto"/>
        <w:bottom w:val="none" w:sz="0" w:space="0" w:color="auto"/>
        <w:right w:val="none" w:sz="0" w:space="0" w:color="auto"/>
      </w:divBdr>
    </w:div>
    <w:div w:id="470487266">
      <w:bodyDiv w:val="1"/>
      <w:marLeft w:val="0"/>
      <w:marRight w:val="0"/>
      <w:marTop w:val="0"/>
      <w:marBottom w:val="0"/>
      <w:divBdr>
        <w:top w:val="none" w:sz="0" w:space="0" w:color="auto"/>
        <w:left w:val="none" w:sz="0" w:space="0" w:color="auto"/>
        <w:bottom w:val="none" w:sz="0" w:space="0" w:color="auto"/>
        <w:right w:val="none" w:sz="0" w:space="0" w:color="auto"/>
      </w:divBdr>
    </w:div>
    <w:div w:id="58407725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23363927">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sChild>
        <w:div w:id="2070372857">
          <w:marLeft w:val="0"/>
          <w:marRight w:val="0"/>
          <w:marTop w:val="0"/>
          <w:marBottom w:val="0"/>
          <w:divBdr>
            <w:top w:val="none" w:sz="0" w:space="0" w:color="auto"/>
            <w:left w:val="none" w:sz="0" w:space="0" w:color="auto"/>
            <w:bottom w:val="none" w:sz="0" w:space="0" w:color="auto"/>
            <w:right w:val="none" w:sz="0" w:space="0" w:color="auto"/>
          </w:divBdr>
          <w:divsChild>
            <w:div w:id="3716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73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2357198">
      <w:bodyDiv w:val="1"/>
      <w:marLeft w:val="0"/>
      <w:marRight w:val="0"/>
      <w:marTop w:val="0"/>
      <w:marBottom w:val="0"/>
      <w:divBdr>
        <w:top w:val="none" w:sz="0" w:space="0" w:color="auto"/>
        <w:left w:val="none" w:sz="0" w:space="0" w:color="auto"/>
        <w:bottom w:val="none" w:sz="0" w:space="0" w:color="auto"/>
        <w:right w:val="none" w:sz="0" w:space="0" w:color="auto"/>
      </w:divBdr>
    </w:div>
    <w:div w:id="122009295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0650964">
      <w:bodyDiv w:val="1"/>
      <w:marLeft w:val="0"/>
      <w:marRight w:val="0"/>
      <w:marTop w:val="0"/>
      <w:marBottom w:val="0"/>
      <w:divBdr>
        <w:top w:val="none" w:sz="0" w:space="0" w:color="auto"/>
        <w:left w:val="none" w:sz="0" w:space="0" w:color="auto"/>
        <w:bottom w:val="none" w:sz="0" w:space="0" w:color="auto"/>
        <w:right w:val="none" w:sz="0" w:space="0" w:color="auto"/>
      </w:divBdr>
    </w:div>
    <w:div w:id="1298338573">
      <w:bodyDiv w:val="1"/>
      <w:marLeft w:val="0"/>
      <w:marRight w:val="0"/>
      <w:marTop w:val="0"/>
      <w:marBottom w:val="0"/>
      <w:divBdr>
        <w:top w:val="none" w:sz="0" w:space="0" w:color="auto"/>
        <w:left w:val="none" w:sz="0" w:space="0" w:color="auto"/>
        <w:bottom w:val="none" w:sz="0" w:space="0" w:color="auto"/>
        <w:right w:val="none" w:sz="0" w:space="0" w:color="auto"/>
      </w:divBdr>
    </w:div>
    <w:div w:id="1456680478">
      <w:bodyDiv w:val="1"/>
      <w:marLeft w:val="0"/>
      <w:marRight w:val="0"/>
      <w:marTop w:val="0"/>
      <w:marBottom w:val="0"/>
      <w:divBdr>
        <w:top w:val="none" w:sz="0" w:space="0" w:color="auto"/>
        <w:left w:val="none" w:sz="0" w:space="0" w:color="auto"/>
        <w:bottom w:val="none" w:sz="0" w:space="0" w:color="auto"/>
        <w:right w:val="none" w:sz="0" w:space="0" w:color="auto"/>
      </w:divBdr>
    </w:div>
    <w:div w:id="1591502930">
      <w:bodyDiv w:val="1"/>
      <w:marLeft w:val="0"/>
      <w:marRight w:val="0"/>
      <w:marTop w:val="0"/>
      <w:marBottom w:val="0"/>
      <w:divBdr>
        <w:top w:val="none" w:sz="0" w:space="0" w:color="auto"/>
        <w:left w:val="none" w:sz="0" w:space="0" w:color="auto"/>
        <w:bottom w:val="none" w:sz="0" w:space="0" w:color="auto"/>
        <w:right w:val="none" w:sz="0" w:space="0" w:color="auto"/>
      </w:divBdr>
    </w:div>
    <w:div w:id="1684429336">
      <w:bodyDiv w:val="1"/>
      <w:marLeft w:val="0"/>
      <w:marRight w:val="0"/>
      <w:marTop w:val="0"/>
      <w:marBottom w:val="0"/>
      <w:divBdr>
        <w:top w:val="none" w:sz="0" w:space="0" w:color="auto"/>
        <w:left w:val="none" w:sz="0" w:space="0" w:color="auto"/>
        <w:bottom w:val="none" w:sz="0" w:space="0" w:color="auto"/>
        <w:right w:val="none" w:sz="0" w:space="0" w:color="auto"/>
      </w:divBdr>
    </w:div>
    <w:div w:id="1728140631">
      <w:bodyDiv w:val="1"/>
      <w:marLeft w:val="0"/>
      <w:marRight w:val="0"/>
      <w:marTop w:val="0"/>
      <w:marBottom w:val="0"/>
      <w:divBdr>
        <w:top w:val="none" w:sz="0" w:space="0" w:color="auto"/>
        <w:left w:val="none" w:sz="0" w:space="0" w:color="auto"/>
        <w:bottom w:val="none" w:sz="0" w:space="0" w:color="auto"/>
        <w:right w:val="none" w:sz="0" w:space="0" w:color="auto"/>
      </w:divBdr>
    </w:div>
    <w:div w:id="190606430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255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inicaltrials.gov/show/NCT03627767"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linicaltrials.gov/show/NCT043453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linicaltrials.gov/show/NCT03720470"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inicaltrials.gov/show/NCT03422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4AF00-445E-4109-A60C-6FBA9186696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345B0F0B-DF0C-4E0B-A33D-EF3660E40D21}">
  <ds:schemaRefs>
    <ds:schemaRef ds:uri="http://schemas.microsoft.com/sharepoint/v3/contenttype/forms"/>
  </ds:schemaRefs>
</ds:datastoreItem>
</file>

<file path=customXml/itemProps4.xml><?xml version="1.0" encoding="utf-8"?>
<ds:datastoreItem xmlns:ds="http://schemas.openxmlformats.org/officeDocument/2006/customXml" ds:itemID="{AE3F3EDD-4342-4E09-AD1F-D2150D40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57</Pages>
  <Words>23174</Words>
  <Characters>132096</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2025-03-02T23:42:00Z</dcterms:created>
  <dcterms:modified xsi:type="dcterms:W3CDTF">2025-03-07T01:25:00Z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0x0101007FED174C5281F747A8037A05221D6DBD</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