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65FA2" w14:textId="77777777" w:rsidR="005F2818" w:rsidRDefault="005F2818" w:rsidP="005F2818">
      <w:pPr>
        <w:rPr>
          <w:rFonts w:cs="Calibri"/>
          <w:color w:val="FF0000"/>
        </w:rPr>
      </w:pPr>
      <w:bookmarkStart w:id="0" w:name="_Toc156988645"/>
      <w:r w:rsidRPr="004A7389">
        <w:rPr>
          <w:rFonts w:cs="Calibri"/>
          <w:color w:val="FF0000"/>
        </w:rPr>
        <w:t xml:space="preserve">An addendum to </w:t>
      </w:r>
      <w:r>
        <w:rPr>
          <w:rFonts w:cs="Calibri"/>
          <w:color w:val="FF0000"/>
        </w:rPr>
        <w:t>the March 2024 minutes</w:t>
      </w:r>
      <w:r w:rsidRPr="004A7389">
        <w:rPr>
          <w:rFonts w:cs="Calibri"/>
          <w:color w:val="FF0000"/>
        </w:rPr>
        <w:t xml:space="preserve"> has been included at the end of the</w:t>
      </w:r>
      <w:r>
        <w:rPr>
          <w:rFonts w:cs="Calibri"/>
          <w:color w:val="FF0000"/>
        </w:rPr>
        <w:t xml:space="preserve"> </w:t>
      </w:r>
      <w:r w:rsidRPr="004A7389">
        <w:rPr>
          <w:rFonts w:cs="Calibri"/>
          <w:color w:val="FF0000"/>
        </w:rPr>
        <w:t>document.</w:t>
      </w:r>
    </w:p>
    <w:p w14:paraId="2F1EFAC2" w14:textId="25EE2155" w:rsidR="007D00BA" w:rsidRPr="007A4E7E" w:rsidRDefault="007D00BA" w:rsidP="00914C1A">
      <w:pPr>
        <w:pStyle w:val="1-MainHeading"/>
        <w:ind w:left="851" w:hanging="862"/>
      </w:pPr>
      <w:r w:rsidRPr="00984879">
        <w:t>7.06</w:t>
      </w:r>
      <w:r w:rsidRPr="00984879">
        <w:tab/>
      </w:r>
      <w:r w:rsidR="00CB4B91" w:rsidRPr="00984879">
        <w:t>OSILODROSTAT</w:t>
      </w:r>
      <w:r w:rsidRPr="00984879">
        <w:t>,</w:t>
      </w:r>
      <w:r w:rsidRPr="00984879">
        <w:br/>
        <w:t>Tablet 1 mg,</w:t>
      </w:r>
      <w:r w:rsidRPr="00984879">
        <w:br/>
        <w:t>Tablet 5 mg,</w:t>
      </w:r>
      <w:r w:rsidRPr="00984879">
        <w:br/>
        <w:t>Isturisa®,</w:t>
      </w:r>
      <w:r w:rsidRPr="00984879">
        <w:br/>
        <w:t>Recordati Rare Diseases Australia Pty. Ltd</w:t>
      </w:r>
      <w:r w:rsidRPr="007A4E7E">
        <w:t>.</w:t>
      </w:r>
      <w:bookmarkEnd w:id="0"/>
    </w:p>
    <w:p w14:paraId="5D02DC70" w14:textId="77777777" w:rsidR="007D00BA" w:rsidRPr="007A4E7E" w:rsidRDefault="007D00BA" w:rsidP="007D00BA">
      <w:pPr>
        <w:pStyle w:val="2-SectionHeading"/>
      </w:pPr>
      <w:bookmarkStart w:id="1" w:name="_Toc156988647"/>
      <w:bookmarkStart w:id="2" w:name="_Toc22897638"/>
      <w:r w:rsidRPr="007A4E7E">
        <w:t>Purpose of submission</w:t>
      </w:r>
      <w:bookmarkEnd w:id="1"/>
    </w:p>
    <w:p w14:paraId="51CF8A8E" w14:textId="77777777" w:rsidR="007D00BA" w:rsidRPr="007A4E7E" w:rsidRDefault="007D00BA" w:rsidP="007D00BA">
      <w:pPr>
        <w:pStyle w:val="3-BodyText"/>
        <w:ind w:left="567" w:hanging="567"/>
      </w:pPr>
      <w:r w:rsidRPr="007A4E7E">
        <w:t>The Standard Re-entry submission requested General Schedule Authority Required (Telephone/Online) listing for osilodrostat for the treatment of endogenous Cushing’s syndrome (CS).</w:t>
      </w:r>
      <w:r w:rsidRPr="007A4E7E">
        <w:rPr>
          <w:color w:val="0066FF"/>
        </w:rPr>
        <w:t xml:space="preserve"> </w:t>
      </w:r>
    </w:p>
    <w:p w14:paraId="22034992" w14:textId="77777777" w:rsidR="007D00BA" w:rsidRPr="007A4E7E" w:rsidRDefault="007D00BA" w:rsidP="007D00BA">
      <w:pPr>
        <w:pStyle w:val="3-BodyText"/>
        <w:ind w:left="567" w:hanging="567"/>
      </w:pPr>
      <w:r w:rsidRPr="007A4E7E">
        <w:t xml:space="preserve">Listing was requested on the basis of a cost-utility analysis versus placebo. </w:t>
      </w:r>
    </w:p>
    <w:p w14:paraId="732A33A9" w14:textId="33F667CD" w:rsidR="007D00BA" w:rsidRPr="00984879" w:rsidRDefault="007D00BA" w:rsidP="00984879">
      <w:pPr>
        <w:pStyle w:val="TableFigureHeading"/>
        <w:rPr>
          <w:rStyle w:val="CommentReference"/>
          <w:b/>
          <w:szCs w:val="24"/>
        </w:rPr>
      </w:pPr>
      <w:r w:rsidRPr="00984879">
        <w:t xml:space="preserve">Table </w:t>
      </w:r>
      <w:r w:rsidR="00397E6D" w:rsidRPr="00914C1A">
        <w:fldChar w:fldCharType="begin" w:fldLock="1"/>
      </w:r>
      <w:r w:rsidR="00397E6D" w:rsidRPr="00984879">
        <w:instrText xml:space="preserve"> SEQ Table \* ARABIC </w:instrText>
      </w:r>
      <w:r w:rsidR="00397E6D" w:rsidRPr="00914C1A">
        <w:fldChar w:fldCharType="separate"/>
      </w:r>
      <w:r w:rsidR="00043D39" w:rsidRPr="00914C1A">
        <w:t>1</w:t>
      </w:r>
      <w:r w:rsidR="00397E6D" w:rsidRPr="00914C1A">
        <w:fldChar w:fldCharType="end"/>
      </w:r>
      <w:r w:rsidRPr="00984879">
        <w:t>:</w:t>
      </w:r>
      <w:r w:rsidRPr="00914C1A">
        <w:rPr>
          <w:rStyle w:val="CommentReference"/>
          <w:b/>
          <w:szCs w:val="24"/>
        </w:rPr>
        <w:t xml:space="preserve"> Key components of the clinical issue addressed by the submission (as stated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4A0" w:firstRow="1" w:lastRow="0" w:firstColumn="1" w:lastColumn="0" w:noHBand="0" w:noVBand="1"/>
        <w:tblCaption w:val="Table 1: Key components of the clinical issue addressed by the submission (as stated in the resubmission)"/>
      </w:tblPr>
      <w:tblGrid>
        <w:gridCol w:w="1414"/>
        <w:gridCol w:w="7603"/>
      </w:tblGrid>
      <w:tr w:rsidR="007D00BA" w:rsidRPr="007A4E7E" w14:paraId="30C711D1" w14:textId="77777777" w:rsidTr="00EA6DFD">
        <w:tc>
          <w:tcPr>
            <w:tcW w:w="784" w:type="pct"/>
            <w:shd w:val="clear" w:color="auto" w:fill="D9E2F3" w:themeFill="accent1" w:themeFillTint="33"/>
            <w:vAlign w:val="center"/>
          </w:tcPr>
          <w:p w14:paraId="350CE17E" w14:textId="77777777" w:rsidR="007D00BA" w:rsidRPr="007A4E7E" w:rsidRDefault="007D00BA" w:rsidP="00EA6DFD">
            <w:pPr>
              <w:pStyle w:val="In-tableHeading"/>
              <w:rPr>
                <w:lang w:val="en-AU"/>
              </w:rPr>
            </w:pPr>
            <w:r w:rsidRPr="007A4E7E">
              <w:rPr>
                <w:lang w:val="en-AU"/>
              </w:rPr>
              <w:t>Component</w:t>
            </w:r>
          </w:p>
        </w:tc>
        <w:tc>
          <w:tcPr>
            <w:tcW w:w="4216" w:type="pct"/>
            <w:shd w:val="clear" w:color="auto" w:fill="D9E2F3" w:themeFill="accent1" w:themeFillTint="33"/>
            <w:vAlign w:val="center"/>
          </w:tcPr>
          <w:p w14:paraId="4A33656E" w14:textId="77777777" w:rsidR="007D00BA" w:rsidRPr="007A4E7E" w:rsidRDefault="007D00BA" w:rsidP="00EA6DFD">
            <w:pPr>
              <w:pStyle w:val="In-tableHeading"/>
              <w:rPr>
                <w:lang w:val="en-AU"/>
              </w:rPr>
            </w:pPr>
            <w:r w:rsidRPr="007A4E7E">
              <w:rPr>
                <w:lang w:val="en-AU"/>
              </w:rPr>
              <w:t>Description</w:t>
            </w:r>
          </w:p>
        </w:tc>
      </w:tr>
      <w:tr w:rsidR="007D00BA" w:rsidRPr="007A4E7E" w14:paraId="63299369" w14:textId="77777777" w:rsidTr="00EA6DFD">
        <w:tc>
          <w:tcPr>
            <w:tcW w:w="784" w:type="pct"/>
            <w:shd w:val="clear" w:color="auto" w:fill="D9E2F3" w:themeFill="accent1" w:themeFillTint="33"/>
            <w:vAlign w:val="center"/>
          </w:tcPr>
          <w:p w14:paraId="60034522" w14:textId="77777777" w:rsidR="007D00BA" w:rsidRPr="007A4E7E" w:rsidRDefault="007D00BA" w:rsidP="00EA6DFD">
            <w:pPr>
              <w:pStyle w:val="TableText0"/>
            </w:pPr>
            <w:r w:rsidRPr="007A4E7E">
              <w:t>Population</w:t>
            </w:r>
          </w:p>
        </w:tc>
        <w:tc>
          <w:tcPr>
            <w:tcW w:w="4216" w:type="pct"/>
            <w:shd w:val="clear" w:color="auto" w:fill="D9E2F3" w:themeFill="accent1" w:themeFillTint="33"/>
          </w:tcPr>
          <w:p w14:paraId="78800AC1" w14:textId="77777777" w:rsidR="007D00BA" w:rsidRPr="007A4E7E" w:rsidRDefault="007D00BA" w:rsidP="00EA6DFD">
            <w:pPr>
              <w:pStyle w:val="TableText0"/>
            </w:pPr>
            <w:r w:rsidRPr="007A4E7E">
              <w:t>Adult patients with endogenous Cushing’s syndrome who are not candidates for surgery or for whom surgery was not curative</w:t>
            </w:r>
          </w:p>
        </w:tc>
      </w:tr>
      <w:tr w:rsidR="007D00BA" w:rsidRPr="007A4E7E" w14:paraId="247B02DD" w14:textId="77777777" w:rsidTr="00EA6DFD">
        <w:tc>
          <w:tcPr>
            <w:tcW w:w="784" w:type="pct"/>
            <w:shd w:val="clear" w:color="auto" w:fill="D9E2F3" w:themeFill="accent1" w:themeFillTint="33"/>
            <w:vAlign w:val="center"/>
          </w:tcPr>
          <w:p w14:paraId="4D090261" w14:textId="77777777" w:rsidR="007D00BA" w:rsidRPr="007A4E7E" w:rsidRDefault="007D00BA" w:rsidP="00EA6DFD">
            <w:pPr>
              <w:pStyle w:val="TableText0"/>
            </w:pPr>
            <w:r w:rsidRPr="007A4E7E">
              <w:t>Intervention</w:t>
            </w:r>
          </w:p>
        </w:tc>
        <w:tc>
          <w:tcPr>
            <w:tcW w:w="4216" w:type="pct"/>
            <w:shd w:val="clear" w:color="auto" w:fill="D9E2F3" w:themeFill="accent1" w:themeFillTint="33"/>
          </w:tcPr>
          <w:p w14:paraId="6DAD17E8" w14:textId="77777777" w:rsidR="007D00BA" w:rsidRPr="007A4E7E" w:rsidRDefault="007D00BA" w:rsidP="00EA6DFD">
            <w:pPr>
              <w:pStyle w:val="TableText0"/>
            </w:pPr>
            <w:r w:rsidRPr="007A4E7E">
              <w:rPr>
                <w:iCs/>
                <w:szCs w:val="20"/>
              </w:rPr>
              <w:t>Osilodrostat ≤ 2 mg orally bid, with dose titration permitted up to 30 mg bid</w:t>
            </w:r>
          </w:p>
        </w:tc>
      </w:tr>
      <w:tr w:rsidR="007D00BA" w:rsidRPr="007A4E7E" w14:paraId="6DE4367A" w14:textId="77777777" w:rsidTr="00EA6DFD">
        <w:tc>
          <w:tcPr>
            <w:tcW w:w="784" w:type="pct"/>
            <w:shd w:val="clear" w:color="auto" w:fill="D9E2F3" w:themeFill="accent1" w:themeFillTint="33"/>
            <w:vAlign w:val="center"/>
          </w:tcPr>
          <w:p w14:paraId="1E299B33" w14:textId="77777777" w:rsidR="007D00BA" w:rsidRPr="007A4E7E" w:rsidRDefault="007D00BA" w:rsidP="00EA6DFD">
            <w:pPr>
              <w:pStyle w:val="TableText0"/>
            </w:pPr>
            <w:r w:rsidRPr="007A4E7E">
              <w:t>Comparator</w:t>
            </w:r>
          </w:p>
        </w:tc>
        <w:tc>
          <w:tcPr>
            <w:tcW w:w="4216" w:type="pct"/>
            <w:shd w:val="clear" w:color="auto" w:fill="D9E2F3" w:themeFill="accent1" w:themeFillTint="33"/>
            <w:vAlign w:val="center"/>
          </w:tcPr>
          <w:p w14:paraId="3D33AEDF" w14:textId="77777777" w:rsidR="007D00BA" w:rsidRPr="007A4E7E" w:rsidRDefault="007D00BA" w:rsidP="00EA6DFD">
            <w:pPr>
              <w:pStyle w:val="Default"/>
              <w:jc w:val="both"/>
              <w:rPr>
                <w:rFonts w:ascii="Arial Narrow" w:hAnsi="Arial Narrow"/>
                <w:iCs/>
                <w:sz w:val="20"/>
                <w:szCs w:val="20"/>
                <w:u w:val="single"/>
              </w:rPr>
            </w:pPr>
            <w:r w:rsidRPr="007A4E7E">
              <w:rPr>
                <w:rFonts w:ascii="Arial Narrow" w:hAnsi="Arial Narrow"/>
                <w:iCs/>
                <w:sz w:val="20"/>
                <w:szCs w:val="20"/>
                <w:u w:val="single"/>
              </w:rPr>
              <w:t>Main comparator</w:t>
            </w:r>
          </w:p>
          <w:p w14:paraId="02C87576" w14:textId="77777777" w:rsidR="007D00BA" w:rsidRPr="007A4E7E" w:rsidRDefault="007D00BA" w:rsidP="007D00BA">
            <w:pPr>
              <w:pStyle w:val="Default"/>
              <w:numPr>
                <w:ilvl w:val="0"/>
                <w:numId w:val="8"/>
              </w:numPr>
              <w:jc w:val="both"/>
              <w:rPr>
                <w:rFonts w:ascii="Arial Narrow" w:hAnsi="Arial Narrow"/>
                <w:iCs/>
                <w:sz w:val="20"/>
                <w:szCs w:val="20"/>
              </w:rPr>
            </w:pPr>
            <w:r w:rsidRPr="007A4E7E">
              <w:rPr>
                <w:rFonts w:ascii="Arial Narrow" w:hAnsi="Arial Narrow"/>
                <w:iCs/>
                <w:sz w:val="20"/>
                <w:szCs w:val="20"/>
              </w:rPr>
              <w:t>Placebo</w:t>
            </w:r>
          </w:p>
          <w:p w14:paraId="5F4ED82D" w14:textId="77777777" w:rsidR="007D00BA" w:rsidRPr="007A4E7E" w:rsidRDefault="007D00BA" w:rsidP="00EA6DFD">
            <w:pPr>
              <w:pStyle w:val="TableText0"/>
              <w:rPr>
                <w:iCs/>
                <w:u w:val="single"/>
              </w:rPr>
            </w:pPr>
            <w:r w:rsidRPr="007A4E7E">
              <w:rPr>
                <w:iCs/>
                <w:u w:val="single"/>
              </w:rPr>
              <w:t>Supplementary comparators</w:t>
            </w:r>
          </w:p>
          <w:p w14:paraId="6EC82BE9" w14:textId="77777777" w:rsidR="007D00BA" w:rsidRPr="007A4E7E" w:rsidRDefault="007D00BA" w:rsidP="007D00BA">
            <w:pPr>
              <w:pStyle w:val="TableText0"/>
              <w:numPr>
                <w:ilvl w:val="0"/>
                <w:numId w:val="8"/>
              </w:numPr>
            </w:pPr>
            <w:r w:rsidRPr="007A4E7E">
              <w:rPr>
                <w:iCs/>
              </w:rPr>
              <w:t xml:space="preserve">Metyrapone: 500-3000 mg/day* </w:t>
            </w:r>
          </w:p>
          <w:p w14:paraId="10497A44" w14:textId="77777777" w:rsidR="007D00BA" w:rsidRPr="007A4E7E" w:rsidRDefault="007D00BA" w:rsidP="007D00BA">
            <w:pPr>
              <w:pStyle w:val="TableText0"/>
              <w:numPr>
                <w:ilvl w:val="0"/>
                <w:numId w:val="8"/>
              </w:numPr>
            </w:pPr>
            <w:r w:rsidRPr="007A4E7E">
              <w:rPr>
                <w:iCs/>
              </w:rPr>
              <w:t>Ketoconazole: 400-2400 mg/day*</w:t>
            </w:r>
          </w:p>
        </w:tc>
      </w:tr>
      <w:tr w:rsidR="007D00BA" w:rsidRPr="007A4E7E" w14:paraId="4D413D82" w14:textId="77777777" w:rsidTr="00EA6DFD">
        <w:tc>
          <w:tcPr>
            <w:tcW w:w="784" w:type="pct"/>
            <w:shd w:val="clear" w:color="auto" w:fill="D9E2F3" w:themeFill="accent1" w:themeFillTint="33"/>
            <w:vAlign w:val="center"/>
          </w:tcPr>
          <w:p w14:paraId="670AD3DD" w14:textId="77777777" w:rsidR="007D00BA" w:rsidRPr="007A4E7E" w:rsidRDefault="007D00BA" w:rsidP="00EA6DFD">
            <w:pPr>
              <w:pStyle w:val="TableText0"/>
            </w:pPr>
            <w:r w:rsidRPr="007A4E7E">
              <w:t>Outcomes</w:t>
            </w:r>
          </w:p>
        </w:tc>
        <w:tc>
          <w:tcPr>
            <w:tcW w:w="4216" w:type="pct"/>
            <w:shd w:val="clear" w:color="auto" w:fill="D9E2F3" w:themeFill="accent1" w:themeFillTint="33"/>
            <w:vAlign w:val="center"/>
          </w:tcPr>
          <w:p w14:paraId="256EB4B5" w14:textId="77777777" w:rsidR="007D00BA" w:rsidRPr="007A4E7E" w:rsidRDefault="007D00BA" w:rsidP="00EA6DFD">
            <w:pPr>
              <w:pStyle w:val="TableText0"/>
              <w:rPr>
                <w:iCs/>
                <w:szCs w:val="20"/>
              </w:rPr>
            </w:pPr>
            <w:r w:rsidRPr="007A4E7E">
              <w:rPr>
                <w:iCs/>
                <w:szCs w:val="20"/>
              </w:rPr>
              <w:t xml:space="preserve">Complete response rate, defined as the proportion of patients achieving normalisation of mean urinary free </w:t>
            </w:r>
            <w:r w:rsidRPr="007A4E7E" w:rsidDel="002F0812">
              <w:rPr>
                <w:iCs/>
                <w:szCs w:val="20"/>
              </w:rPr>
              <w:t>cortisol</w:t>
            </w:r>
          </w:p>
          <w:p w14:paraId="23173B0E" w14:textId="77777777" w:rsidR="007D00BA" w:rsidRPr="007A4E7E" w:rsidRDefault="007D00BA" w:rsidP="00EA6DFD">
            <w:pPr>
              <w:pStyle w:val="TableText0"/>
            </w:pPr>
            <w:r w:rsidRPr="007A4E7E">
              <w:t>Overall response rate, defined as</w:t>
            </w:r>
            <w:r w:rsidRPr="007A4E7E">
              <w:rPr>
                <w:b/>
                <w:bCs w:val="0"/>
              </w:rPr>
              <w:t xml:space="preserve"> </w:t>
            </w:r>
            <w:r w:rsidRPr="007A4E7E">
              <w:t>patients who achieved either a complete or partial response**</w:t>
            </w:r>
          </w:p>
        </w:tc>
      </w:tr>
      <w:tr w:rsidR="007D00BA" w:rsidRPr="007A4E7E" w14:paraId="7C6C0AAE" w14:textId="77777777" w:rsidTr="00EA6DFD">
        <w:tc>
          <w:tcPr>
            <w:tcW w:w="784" w:type="pct"/>
            <w:shd w:val="clear" w:color="auto" w:fill="D9E2F3" w:themeFill="accent1" w:themeFillTint="33"/>
            <w:vAlign w:val="center"/>
          </w:tcPr>
          <w:p w14:paraId="5AE1919F" w14:textId="77777777" w:rsidR="007D00BA" w:rsidRPr="007A4E7E" w:rsidRDefault="007D00BA" w:rsidP="00EA6DFD">
            <w:pPr>
              <w:pStyle w:val="TableText0"/>
            </w:pPr>
            <w:r w:rsidRPr="007A4E7E">
              <w:t>Clinical claim</w:t>
            </w:r>
          </w:p>
        </w:tc>
        <w:tc>
          <w:tcPr>
            <w:tcW w:w="4216" w:type="pct"/>
            <w:shd w:val="clear" w:color="auto" w:fill="D9E2F3" w:themeFill="accent1" w:themeFillTint="33"/>
            <w:vAlign w:val="center"/>
          </w:tcPr>
          <w:p w14:paraId="1A9C6219" w14:textId="77777777" w:rsidR="007D00BA" w:rsidRPr="007A4E7E" w:rsidRDefault="007D00BA" w:rsidP="00EA6DFD">
            <w:pPr>
              <w:pStyle w:val="TableText0"/>
            </w:pPr>
            <w:r w:rsidRPr="007A4E7E">
              <w:t>In adults with endogenous Cushing’s Syndrome, osilodrostat is more effective than placebo at improving the proportion of patients achieving complete response</w:t>
            </w:r>
          </w:p>
        </w:tc>
      </w:tr>
    </w:tbl>
    <w:p w14:paraId="57E2BEDA" w14:textId="6CB64E15" w:rsidR="007D00BA" w:rsidRPr="007A4E7E" w:rsidRDefault="007D00BA" w:rsidP="007D00BA">
      <w:pPr>
        <w:pStyle w:val="FooterTableFigure"/>
      </w:pPr>
      <w:r w:rsidRPr="007A4E7E">
        <w:t>Source: Table 1.1-2 of the submission</w:t>
      </w:r>
    </w:p>
    <w:p w14:paraId="30C0A4F6" w14:textId="77777777" w:rsidR="007D00BA" w:rsidRPr="007A4E7E" w:rsidRDefault="007D00BA" w:rsidP="007D00BA">
      <w:pPr>
        <w:pStyle w:val="FooterTableFigure"/>
        <w:rPr>
          <w:iCs/>
          <w:szCs w:val="18"/>
        </w:rPr>
      </w:pPr>
      <w:r w:rsidRPr="007A4E7E">
        <w:rPr>
          <w:iCs/>
          <w:szCs w:val="18"/>
        </w:rPr>
        <w:t xml:space="preserve">*Typical maintenance doses according to clinicians experienced in the treatment of endogenous CS in Australia </w:t>
      </w:r>
    </w:p>
    <w:p w14:paraId="69853D31" w14:textId="77777777" w:rsidR="007D00BA" w:rsidRPr="007A4E7E" w:rsidRDefault="007D00BA" w:rsidP="007D00BA">
      <w:pPr>
        <w:pStyle w:val="FooterTableFigure"/>
        <w:rPr>
          <w:iCs/>
          <w:szCs w:val="18"/>
        </w:rPr>
      </w:pPr>
      <w:r w:rsidRPr="007A4E7E">
        <w:rPr>
          <w:iCs/>
          <w:szCs w:val="18"/>
        </w:rPr>
        <w:t xml:space="preserve">** </w:t>
      </w:r>
      <w:r w:rsidRPr="007A4E7E">
        <w:t>partial response was defined as patients with a mUFC &gt; ULN but who achieved ≥50% improvement from baseline</w:t>
      </w:r>
    </w:p>
    <w:p w14:paraId="37897A1C" w14:textId="77777777" w:rsidR="007D00BA" w:rsidRPr="007A4E7E" w:rsidRDefault="007D00BA" w:rsidP="007D00BA">
      <w:pPr>
        <w:pStyle w:val="FooterTableFigure"/>
        <w:rPr>
          <w:iCs/>
          <w:szCs w:val="18"/>
        </w:rPr>
      </w:pPr>
      <w:r w:rsidRPr="007A4E7E">
        <w:t xml:space="preserve">Bid = twice daily; </w:t>
      </w:r>
      <w:r w:rsidRPr="007A4E7E">
        <w:rPr>
          <w:szCs w:val="18"/>
          <w:lang w:eastAsia="en-US"/>
        </w:rPr>
        <w:t xml:space="preserve">mUFC = mean urinary free cortisol; </w:t>
      </w:r>
      <w:r w:rsidRPr="007A4E7E">
        <w:t>ULN = upper limit of normal</w:t>
      </w:r>
    </w:p>
    <w:p w14:paraId="301E60EF" w14:textId="77777777" w:rsidR="007D00BA" w:rsidRPr="007A4E7E" w:rsidRDefault="007D00BA" w:rsidP="007D00BA">
      <w:pPr>
        <w:pStyle w:val="FooterTableFigure"/>
        <w:rPr>
          <w:sz w:val="20"/>
        </w:rPr>
      </w:pPr>
      <w:r w:rsidRPr="007A4E7E">
        <w:rPr>
          <w:shd w:val="clear" w:color="auto" w:fill="D9E2F3" w:themeFill="accent1" w:themeFillTint="33"/>
        </w:rPr>
        <w:t>Blue shade</w:t>
      </w:r>
      <w:r w:rsidRPr="007A4E7E">
        <w:t xml:space="preserve"> indicates data previously seen by the PBAC</w:t>
      </w:r>
    </w:p>
    <w:p w14:paraId="187985B9" w14:textId="77777777" w:rsidR="007D00BA" w:rsidRPr="007A4E7E" w:rsidRDefault="007D00BA" w:rsidP="007D00BA">
      <w:pPr>
        <w:pStyle w:val="2-SectionHeading"/>
      </w:pPr>
      <w:bookmarkStart w:id="3" w:name="_Toc156988648"/>
      <w:r w:rsidRPr="007A4E7E">
        <w:t>Background</w:t>
      </w:r>
      <w:bookmarkEnd w:id="3"/>
    </w:p>
    <w:p w14:paraId="090BB5F8" w14:textId="77777777" w:rsidR="007D00BA" w:rsidRPr="007A4E7E" w:rsidRDefault="007D00BA" w:rsidP="007D00BA">
      <w:pPr>
        <w:pStyle w:val="4-SubsectionHeading"/>
      </w:pPr>
      <w:bookmarkStart w:id="4" w:name="_Toc156988649"/>
      <w:r w:rsidRPr="007A4E7E">
        <w:t>Registration status</w:t>
      </w:r>
      <w:bookmarkEnd w:id="4"/>
    </w:p>
    <w:p w14:paraId="2150A192" w14:textId="77777777" w:rsidR="007D00BA" w:rsidRPr="007A4E7E" w:rsidRDefault="007D00BA" w:rsidP="007D00BA">
      <w:pPr>
        <w:pStyle w:val="3-BodyText"/>
        <w:ind w:left="567" w:hanging="567"/>
      </w:pPr>
      <w:r w:rsidRPr="007A4E7E">
        <w:t>Osilodrostat was registered by the TGA on 12 May 2022 for the treatment of endogenous CS in adults.</w:t>
      </w:r>
    </w:p>
    <w:p w14:paraId="2D53138A" w14:textId="77777777" w:rsidR="007D00BA" w:rsidRPr="007A4E7E" w:rsidRDefault="007D00BA" w:rsidP="007D00BA">
      <w:pPr>
        <w:pStyle w:val="4-SubsectionHeading"/>
      </w:pPr>
      <w:bookmarkStart w:id="5" w:name="_Toc156988650"/>
      <w:r w:rsidRPr="007A4E7E">
        <w:t>Previous PBAC consideration</w:t>
      </w:r>
      <w:bookmarkEnd w:id="5"/>
    </w:p>
    <w:p w14:paraId="67216322" w14:textId="711A9365" w:rsidR="007D00BA" w:rsidRPr="007A4E7E" w:rsidRDefault="007D00BA" w:rsidP="007D00BA">
      <w:pPr>
        <w:pStyle w:val="3-BodyText"/>
        <w:ind w:left="567" w:hanging="567"/>
      </w:pPr>
      <w:r w:rsidRPr="007A4E7E">
        <w:t xml:space="preserve">The key matters of concern from the previous submission from March 2023 are presented in </w:t>
      </w:r>
      <w:r w:rsidRPr="007A4E7E">
        <w:fldChar w:fldCharType="begin" w:fldLock="1"/>
      </w:r>
      <w:r w:rsidRPr="007A4E7E">
        <w:instrText xml:space="preserve"> REF _Ref160005788 \h </w:instrText>
      </w:r>
      <w:r w:rsidRPr="007A4E7E">
        <w:fldChar w:fldCharType="separate"/>
      </w:r>
      <w:r w:rsidR="00043D39" w:rsidRPr="007A4E7E">
        <w:t xml:space="preserve">Table </w:t>
      </w:r>
      <w:r w:rsidR="00043D39">
        <w:rPr>
          <w:noProof/>
        </w:rPr>
        <w:t>2</w:t>
      </w:r>
      <w:r w:rsidRPr="007A4E7E">
        <w:fldChar w:fldCharType="end"/>
      </w:r>
      <w:r w:rsidRPr="007A4E7E">
        <w:t xml:space="preserve"> below.</w:t>
      </w:r>
    </w:p>
    <w:p w14:paraId="06E4EC91" w14:textId="234FA543" w:rsidR="007D00BA" w:rsidRPr="00984879" w:rsidRDefault="007D00BA" w:rsidP="00914C1A">
      <w:pPr>
        <w:pStyle w:val="TableFigureHeading"/>
        <w:rPr>
          <w:rStyle w:val="CommentReference"/>
          <w:rFonts w:cs="Arial"/>
          <w:b/>
          <w:bCs w:val="0"/>
          <w:snapToGrid w:val="0"/>
          <w:szCs w:val="24"/>
        </w:rPr>
      </w:pPr>
      <w:bookmarkStart w:id="6" w:name="_Ref160005788"/>
      <w:r w:rsidRPr="00984879">
        <w:lastRenderedPageBreak/>
        <w:t xml:space="preserve">Table </w:t>
      </w:r>
      <w:r w:rsidR="00397E6D" w:rsidRPr="00914C1A">
        <w:fldChar w:fldCharType="begin" w:fldLock="1"/>
      </w:r>
      <w:r w:rsidR="00397E6D" w:rsidRPr="00984879">
        <w:instrText xml:space="preserve"> SEQ Table \* ARABIC </w:instrText>
      </w:r>
      <w:r w:rsidR="00397E6D" w:rsidRPr="00914C1A">
        <w:fldChar w:fldCharType="separate"/>
      </w:r>
      <w:r w:rsidR="00043D39" w:rsidRPr="00914C1A">
        <w:t>2</w:t>
      </w:r>
      <w:r w:rsidR="00397E6D" w:rsidRPr="00914C1A">
        <w:fldChar w:fldCharType="end"/>
      </w:r>
      <w:bookmarkEnd w:id="6"/>
      <w:r w:rsidRPr="00984879">
        <w:t>:</w:t>
      </w:r>
      <w:r w:rsidRPr="00914C1A">
        <w:rPr>
          <w:rStyle w:val="CommentReference"/>
          <w:b/>
          <w:szCs w:val="24"/>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4A0" w:firstRow="1" w:lastRow="0" w:firstColumn="1" w:lastColumn="0" w:noHBand="0" w:noVBand="1"/>
        <w:tblCaption w:val="Table 2: Summary of key matters of concern"/>
      </w:tblPr>
      <w:tblGrid>
        <w:gridCol w:w="1214"/>
        <w:gridCol w:w="3735"/>
        <w:gridCol w:w="4068"/>
      </w:tblGrid>
      <w:tr w:rsidR="007D00BA" w:rsidRPr="007A4E7E" w14:paraId="5BEF424E" w14:textId="77777777" w:rsidTr="00EA6DFD">
        <w:trPr>
          <w:cantSplit/>
          <w:tblHeader/>
        </w:trPr>
        <w:tc>
          <w:tcPr>
            <w:tcW w:w="673" w:type="pct"/>
            <w:shd w:val="clear" w:color="auto" w:fill="auto"/>
            <w:tcMar>
              <w:left w:w="40" w:type="dxa"/>
              <w:right w:w="40" w:type="dxa"/>
            </w:tcMar>
            <w:vAlign w:val="center"/>
          </w:tcPr>
          <w:p w14:paraId="175428A8" w14:textId="77777777" w:rsidR="007D00BA" w:rsidRPr="007A4E7E" w:rsidRDefault="007D00BA" w:rsidP="00EA6DFD">
            <w:pPr>
              <w:pStyle w:val="In-tableHeading"/>
              <w:keepLines/>
              <w:rPr>
                <w:lang w:val="en-AU"/>
              </w:rPr>
            </w:pPr>
            <w:r w:rsidRPr="007A4E7E">
              <w:rPr>
                <w:lang w:val="en-AU"/>
              </w:rPr>
              <w:t>Component</w:t>
            </w:r>
          </w:p>
        </w:tc>
        <w:tc>
          <w:tcPr>
            <w:tcW w:w="2071" w:type="pct"/>
            <w:shd w:val="clear" w:color="auto" w:fill="auto"/>
            <w:tcMar>
              <w:left w:w="40" w:type="dxa"/>
              <w:right w:w="40" w:type="dxa"/>
            </w:tcMar>
            <w:vAlign w:val="center"/>
          </w:tcPr>
          <w:p w14:paraId="12A86E6E" w14:textId="77777777" w:rsidR="007D00BA" w:rsidRPr="007A4E7E" w:rsidRDefault="007D00BA" w:rsidP="00EA6DFD">
            <w:pPr>
              <w:pStyle w:val="In-tableHeading"/>
              <w:keepLines/>
              <w:rPr>
                <w:lang w:val="en-AU"/>
              </w:rPr>
            </w:pPr>
            <w:r w:rsidRPr="007A4E7E">
              <w:rPr>
                <w:lang w:val="en-AU"/>
              </w:rPr>
              <w:t>Matter of concern</w:t>
            </w:r>
          </w:p>
        </w:tc>
        <w:tc>
          <w:tcPr>
            <w:tcW w:w="2257" w:type="pct"/>
            <w:shd w:val="clear" w:color="auto" w:fill="auto"/>
            <w:tcMar>
              <w:left w:w="40" w:type="dxa"/>
              <w:right w:w="40" w:type="dxa"/>
            </w:tcMar>
            <w:vAlign w:val="center"/>
          </w:tcPr>
          <w:p w14:paraId="62A12AAE" w14:textId="77777777" w:rsidR="007D00BA" w:rsidRPr="007A4E7E" w:rsidRDefault="007D00BA" w:rsidP="00EA6DFD">
            <w:pPr>
              <w:pStyle w:val="In-tableHeading"/>
              <w:keepLines/>
              <w:rPr>
                <w:lang w:val="en-AU"/>
              </w:rPr>
            </w:pPr>
            <w:r w:rsidRPr="007A4E7E">
              <w:rPr>
                <w:lang w:val="en-AU"/>
              </w:rPr>
              <w:t>How the resubmission addresses it</w:t>
            </w:r>
          </w:p>
        </w:tc>
      </w:tr>
      <w:tr w:rsidR="007D00BA" w:rsidRPr="007A4E7E" w14:paraId="16D73AFF" w14:textId="77777777" w:rsidTr="00EA6DFD">
        <w:trPr>
          <w:cantSplit/>
        </w:trPr>
        <w:tc>
          <w:tcPr>
            <w:tcW w:w="673" w:type="pct"/>
            <w:shd w:val="clear" w:color="auto" w:fill="auto"/>
            <w:tcMar>
              <w:left w:w="40" w:type="dxa"/>
              <w:right w:w="40" w:type="dxa"/>
            </w:tcMar>
            <w:vAlign w:val="center"/>
          </w:tcPr>
          <w:p w14:paraId="04CF9629" w14:textId="77777777" w:rsidR="007D00BA" w:rsidRPr="007A4E7E" w:rsidRDefault="007D00BA" w:rsidP="00EA6DFD">
            <w:pPr>
              <w:pStyle w:val="In-tableHeading"/>
              <w:keepLines/>
              <w:rPr>
                <w:b w:val="0"/>
                <w:bCs/>
                <w:lang w:val="en-AU"/>
              </w:rPr>
            </w:pPr>
            <w:r w:rsidRPr="007A4E7E">
              <w:rPr>
                <w:b w:val="0"/>
                <w:bCs/>
                <w:lang w:val="en-AU"/>
              </w:rPr>
              <w:t>Comparator</w:t>
            </w:r>
          </w:p>
        </w:tc>
        <w:tc>
          <w:tcPr>
            <w:tcW w:w="2071" w:type="pct"/>
            <w:shd w:val="clear" w:color="auto" w:fill="auto"/>
            <w:tcMar>
              <w:left w:w="40" w:type="dxa"/>
              <w:right w:w="40" w:type="dxa"/>
            </w:tcMar>
            <w:vAlign w:val="center"/>
          </w:tcPr>
          <w:p w14:paraId="2AC064FC" w14:textId="77777777" w:rsidR="007D00BA" w:rsidRPr="007A4E7E" w:rsidRDefault="007D00BA" w:rsidP="00EA6DFD">
            <w:pPr>
              <w:pStyle w:val="In-tableHeading"/>
              <w:keepLines/>
              <w:rPr>
                <w:b w:val="0"/>
                <w:bCs/>
                <w:lang w:val="en-AU"/>
              </w:rPr>
            </w:pPr>
            <w:r w:rsidRPr="007A4E7E">
              <w:rPr>
                <w:b w:val="0"/>
                <w:bCs/>
                <w:lang w:val="en-AU"/>
              </w:rPr>
              <w:t>The placebo comparator was the most relevant given that ketoconazole was deregistered by the TGA and metyrapone was used as an off-label therapy (Para 7.5, March 2023 PSD)</w:t>
            </w:r>
          </w:p>
        </w:tc>
        <w:tc>
          <w:tcPr>
            <w:tcW w:w="2257" w:type="pct"/>
            <w:shd w:val="clear" w:color="auto" w:fill="auto"/>
            <w:tcMar>
              <w:left w:w="40" w:type="dxa"/>
              <w:right w:w="40" w:type="dxa"/>
            </w:tcMar>
            <w:vAlign w:val="center"/>
          </w:tcPr>
          <w:p w14:paraId="31EED2F7" w14:textId="0F2E569B" w:rsidR="007D00BA" w:rsidRPr="007A4E7E" w:rsidRDefault="007D00BA" w:rsidP="00EA6DFD">
            <w:pPr>
              <w:pStyle w:val="In-tableHeading"/>
              <w:keepLines/>
              <w:rPr>
                <w:b w:val="0"/>
                <w:bCs/>
                <w:iCs/>
                <w:lang w:val="en-AU"/>
              </w:rPr>
            </w:pPr>
            <w:r w:rsidRPr="007A4E7E">
              <w:rPr>
                <w:b w:val="0"/>
                <w:bCs/>
                <w:iCs/>
                <w:lang w:val="en-AU"/>
              </w:rPr>
              <w:t xml:space="preserve">Placebo was the primary comparator and metyrapone and ketoconazole were only included as supplementary comparators. While the submission noted that metyrapone and ketoconazole were supplementary comparators, these were only included in the economic evaluation as a sensitivity analysis for patients who received them as subsequent therapies after osilodrostat or placebo. </w:t>
            </w:r>
          </w:p>
          <w:p w14:paraId="32202925" w14:textId="77777777" w:rsidR="007D00BA" w:rsidRPr="007A4E7E" w:rsidRDefault="007D00BA" w:rsidP="00EA6DFD">
            <w:pPr>
              <w:pStyle w:val="In-tableHeading"/>
              <w:keepLines/>
              <w:rPr>
                <w:b w:val="0"/>
                <w:bCs/>
                <w:iCs/>
                <w:lang w:val="en-AU"/>
              </w:rPr>
            </w:pPr>
            <w:r w:rsidRPr="007A4E7E">
              <w:rPr>
                <w:b w:val="0"/>
                <w:bCs/>
                <w:iCs/>
                <w:lang w:val="en-AU"/>
              </w:rPr>
              <w:t>The ESC considered that placebo remained the relevant comparator.</w:t>
            </w:r>
          </w:p>
        </w:tc>
      </w:tr>
      <w:tr w:rsidR="007D00BA" w:rsidRPr="007A4E7E" w14:paraId="0BEA4039" w14:textId="77777777" w:rsidTr="00EA6DFD">
        <w:trPr>
          <w:cantSplit/>
        </w:trPr>
        <w:tc>
          <w:tcPr>
            <w:tcW w:w="673" w:type="pct"/>
            <w:shd w:val="clear" w:color="auto" w:fill="auto"/>
            <w:tcMar>
              <w:left w:w="40" w:type="dxa"/>
              <w:right w:w="40" w:type="dxa"/>
            </w:tcMar>
            <w:vAlign w:val="center"/>
          </w:tcPr>
          <w:p w14:paraId="59FF1836" w14:textId="77777777" w:rsidR="007D00BA" w:rsidRPr="007A4E7E" w:rsidRDefault="007D00BA" w:rsidP="00EA6DFD">
            <w:pPr>
              <w:pStyle w:val="In-tableHeading"/>
              <w:keepLines/>
              <w:rPr>
                <w:b w:val="0"/>
                <w:bCs/>
                <w:lang w:val="en-AU"/>
              </w:rPr>
            </w:pPr>
            <w:r w:rsidRPr="007A4E7E">
              <w:rPr>
                <w:b w:val="0"/>
                <w:bCs/>
                <w:lang w:val="en-AU"/>
              </w:rPr>
              <w:t>Effectiveness data</w:t>
            </w:r>
          </w:p>
        </w:tc>
        <w:tc>
          <w:tcPr>
            <w:tcW w:w="2071" w:type="pct"/>
            <w:shd w:val="clear" w:color="auto" w:fill="auto"/>
            <w:tcMar>
              <w:left w:w="40" w:type="dxa"/>
              <w:right w:w="40" w:type="dxa"/>
            </w:tcMar>
            <w:vAlign w:val="center"/>
          </w:tcPr>
          <w:p w14:paraId="2A50A5B6" w14:textId="77777777" w:rsidR="007D00BA" w:rsidRPr="007A4E7E" w:rsidRDefault="007D00BA" w:rsidP="00EA6DFD">
            <w:pPr>
              <w:pStyle w:val="In-tableHeading"/>
              <w:keepLines/>
              <w:rPr>
                <w:b w:val="0"/>
                <w:bCs/>
                <w:lang w:val="en-AU"/>
              </w:rPr>
            </w:pPr>
            <w:r w:rsidRPr="007A4E7E">
              <w:rPr>
                <w:b w:val="0"/>
                <w:bCs/>
                <w:lang w:val="en-AU"/>
              </w:rPr>
              <w:t>The PBAC considered that despite the limitations of the evidence, it was biologically plausible that if a patient is tolerating and responding to osilodrostat, that the response would be maintained (Para. 7.7, March 2023, PSD). The PBAC accepted the clinical claim of superior comparative effectiveness of osilodrostat to placebo for the surrogate outcome of complete response of UFC. However, it was noted that there was still uncertainty with translating this into the longer-term mortality and morbidity improvements. The PBAC considered that it was not uncommon for patients with CS to have a gradual improvement in symptoms after treatment, with clinical benefits usually seen after a year or so, requiring considerable amount of time to adapt to the normal cortisol level (Para 7.8, March 2023, PSD).</w:t>
            </w:r>
          </w:p>
        </w:tc>
        <w:tc>
          <w:tcPr>
            <w:tcW w:w="2257" w:type="pct"/>
            <w:shd w:val="clear" w:color="auto" w:fill="auto"/>
            <w:tcMar>
              <w:left w:w="40" w:type="dxa"/>
              <w:right w:w="40" w:type="dxa"/>
            </w:tcMar>
            <w:vAlign w:val="center"/>
          </w:tcPr>
          <w:p w14:paraId="72F205A4" w14:textId="77777777" w:rsidR="007D00BA" w:rsidRPr="007A4E7E" w:rsidRDefault="007D00BA" w:rsidP="00EA6DFD">
            <w:pPr>
              <w:pStyle w:val="In-tableHeading"/>
              <w:keepLines/>
              <w:rPr>
                <w:b w:val="0"/>
                <w:bCs/>
                <w:iCs/>
                <w:lang w:val="en-AU"/>
              </w:rPr>
            </w:pPr>
            <w:r w:rsidRPr="007A4E7E">
              <w:rPr>
                <w:b w:val="0"/>
                <w:bCs/>
                <w:iCs/>
                <w:lang w:val="en-AU"/>
              </w:rPr>
              <w:t>The ESC considered that this was</w:t>
            </w:r>
            <w:r w:rsidRPr="007A4E7E">
              <w:rPr>
                <w:b w:val="0"/>
                <w:bCs/>
                <w:i/>
                <w:lang w:val="en-AU"/>
              </w:rPr>
              <w:t xml:space="preserve"> </w:t>
            </w:r>
            <w:r w:rsidRPr="007A4E7E">
              <w:rPr>
                <w:b w:val="0"/>
                <w:bCs/>
                <w:iCs/>
                <w:lang w:val="en-AU"/>
              </w:rPr>
              <w:t>partially addressed.</w:t>
            </w:r>
          </w:p>
          <w:p w14:paraId="49CF4C34" w14:textId="77777777" w:rsidR="007D00BA" w:rsidRPr="007A4E7E" w:rsidRDefault="007D00BA" w:rsidP="00EA6DFD">
            <w:pPr>
              <w:pStyle w:val="In-tableHeading"/>
              <w:keepLines/>
              <w:rPr>
                <w:b w:val="0"/>
                <w:bCs/>
                <w:iCs/>
                <w:lang w:val="en-AU"/>
              </w:rPr>
            </w:pPr>
          </w:p>
          <w:p w14:paraId="30AB48D3" w14:textId="77777777" w:rsidR="007D00BA" w:rsidRPr="007A4E7E" w:rsidRDefault="007D00BA" w:rsidP="00EA6DFD">
            <w:pPr>
              <w:pStyle w:val="In-tableHeading"/>
              <w:keepLines/>
              <w:rPr>
                <w:b w:val="0"/>
                <w:bCs/>
                <w:iCs/>
                <w:lang w:val="en-AU"/>
              </w:rPr>
            </w:pPr>
            <w:r w:rsidRPr="007A4E7E">
              <w:rPr>
                <w:b w:val="0"/>
                <w:bCs/>
                <w:iCs/>
                <w:lang w:val="en-AU"/>
              </w:rPr>
              <w:t>Longer-term efficacy data was provided as well as the following additional analyses based on LINC 4 and LINC 3:</w:t>
            </w:r>
          </w:p>
          <w:p w14:paraId="361589A4" w14:textId="77777777" w:rsidR="007D00BA" w:rsidRPr="007A4E7E" w:rsidRDefault="007D00BA" w:rsidP="007D00BA">
            <w:pPr>
              <w:pStyle w:val="In-tableHeading"/>
              <w:keepLines/>
              <w:numPr>
                <w:ilvl w:val="0"/>
                <w:numId w:val="5"/>
              </w:numPr>
              <w:ind w:left="360"/>
              <w:rPr>
                <w:b w:val="0"/>
                <w:bCs/>
                <w:iCs/>
                <w:lang w:val="en-AU"/>
              </w:rPr>
            </w:pPr>
            <w:r w:rsidRPr="007A4E7E">
              <w:rPr>
                <w:b w:val="0"/>
                <w:bCs/>
                <w:iCs/>
                <w:lang w:val="en-AU"/>
              </w:rPr>
              <w:t xml:space="preserve">Swimmer plots of response and dose over time </w:t>
            </w:r>
          </w:p>
          <w:p w14:paraId="734E1AE3" w14:textId="77777777" w:rsidR="007D00BA" w:rsidRPr="007A4E7E" w:rsidRDefault="007D00BA" w:rsidP="007D00BA">
            <w:pPr>
              <w:pStyle w:val="In-tableHeading"/>
              <w:keepLines/>
              <w:numPr>
                <w:ilvl w:val="0"/>
                <w:numId w:val="5"/>
              </w:numPr>
              <w:ind w:left="360"/>
              <w:rPr>
                <w:b w:val="0"/>
                <w:bCs/>
                <w:iCs/>
                <w:lang w:val="en-AU"/>
              </w:rPr>
            </w:pPr>
            <w:r w:rsidRPr="007A4E7E">
              <w:rPr>
                <w:b w:val="0"/>
                <w:bCs/>
                <w:iCs/>
                <w:lang w:val="en-AU"/>
              </w:rPr>
              <w:t>Analysis of responders (including response rates, duration of response, and quality of life [QoL])</w:t>
            </w:r>
          </w:p>
          <w:p w14:paraId="166A6D27" w14:textId="77777777" w:rsidR="007D00BA" w:rsidRPr="007A4E7E" w:rsidRDefault="007D00BA" w:rsidP="00EA6DFD">
            <w:pPr>
              <w:pStyle w:val="In-tableHeading"/>
              <w:keepLines/>
              <w:rPr>
                <w:b w:val="0"/>
                <w:bCs/>
                <w:i/>
                <w:iCs/>
                <w:lang w:val="en-AU"/>
              </w:rPr>
            </w:pPr>
            <w:r w:rsidRPr="007A4E7E">
              <w:rPr>
                <w:b w:val="0"/>
                <w:bCs/>
                <w:iCs/>
                <w:lang w:val="en-AU"/>
              </w:rPr>
              <w:t xml:space="preserve">However, data was limited to 120 weeks and treatment was expected to be potentially lifelong. There was also no additional mortality data provided, and information regarding QoL improvements in the longer term were limited. Evidence from the literature provided suggested sustained remission from hypercortisolism irrespective of treatment received could improve CS comorbidities (Mondin 2023) however this was not incorporated in the consideration of the clinical evidence or the economic evaluation. </w:t>
            </w:r>
          </w:p>
        </w:tc>
      </w:tr>
      <w:tr w:rsidR="007D00BA" w:rsidRPr="007A4E7E" w14:paraId="0703E55A" w14:textId="77777777" w:rsidTr="00EA6DFD">
        <w:trPr>
          <w:cantSplit/>
        </w:trPr>
        <w:tc>
          <w:tcPr>
            <w:tcW w:w="673" w:type="pct"/>
            <w:shd w:val="clear" w:color="auto" w:fill="auto"/>
            <w:tcMar>
              <w:left w:w="40" w:type="dxa"/>
              <w:right w:w="40" w:type="dxa"/>
            </w:tcMar>
            <w:vAlign w:val="center"/>
          </w:tcPr>
          <w:p w14:paraId="34AE7006" w14:textId="77777777" w:rsidR="007D00BA" w:rsidRPr="007A4E7E" w:rsidRDefault="007D00BA" w:rsidP="00EA6DFD">
            <w:pPr>
              <w:pStyle w:val="In-tableHeading"/>
              <w:keepNext w:val="0"/>
              <w:rPr>
                <w:b w:val="0"/>
                <w:bCs/>
                <w:lang w:val="en-AU"/>
              </w:rPr>
            </w:pPr>
            <w:r w:rsidRPr="007A4E7E">
              <w:rPr>
                <w:b w:val="0"/>
                <w:bCs/>
                <w:lang w:val="en-AU"/>
              </w:rPr>
              <w:t>Safety data</w:t>
            </w:r>
          </w:p>
        </w:tc>
        <w:tc>
          <w:tcPr>
            <w:tcW w:w="2071" w:type="pct"/>
            <w:shd w:val="clear" w:color="auto" w:fill="auto"/>
            <w:tcMar>
              <w:left w:w="40" w:type="dxa"/>
              <w:right w:w="40" w:type="dxa"/>
            </w:tcMar>
            <w:vAlign w:val="center"/>
          </w:tcPr>
          <w:p w14:paraId="230C5B31" w14:textId="77777777" w:rsidR="007D00BA" w:rsidRPr="007A4E7E" w:rsidRDefault="007D00BA" w:rsidP="00EA6DFD">
            <w:pPr>
              <w:pStyle w:val="In-tableHeading"/>
              <w:keepNext w:val="0"/>
              <w:rPr>
                <w:b w:val="0"/>
                <w:bCs/>
                <w:lang w:val="en-AU"/>
              </w:rPr>
            </w:pPr>
            <w:r w:rsidRPr="007A4E7E">
              <w:rPr>
                <w:b w:val="0"/>
                <w:bCs/>
                <w:lang w:val="en-AU"/>
              </w:rPr>
              <w:t>It was considered that adverse events relating to pituitary tumour enlargement should be monitored and required further investigation to better understand the impact of this phenomenon (Para 7.9, March 2023 PSD)</w:t>
            </w:r>
          </w:p>
        </w:tc>
        <w:tc>
          <w:tcPr>
            <w:tcW w:w="2257" w:type="pct"/>
            <w:shd w:val="clear" w:color="auto" w:fill="auto"/>
            <w:tcMar>
              <w:left w:w="40" w:type="dxa"/>
              <w:right w:w="40" w:type="dxa"/>
            </w:tcMar>
            <w:vAlign w:val="center"/>
          </w:tcPr>
          <w:p w14:paraId="2C132571" w14:textId="77777777" w:rsidR="007D00BA" w:rsidRPr="007A4E7E" w:rsidRDefault="007D00BA" w:rsidP="00EA6DFD">
            <w:pPr>
              <w:pStyle w:val="In-tableHeading"/>
              <w:keepNext w:val="0"/>
              <w:rPr>
                <w:b w:val="0"/>
                <w:bCs/>
                <w:iCs/>
                <w:lang w:val="en-AU"/>
              </w:rPr>
            </w:pPr>
            <w:r w:rsidRPr="007A4E7E">
              <w:rPr>
                <w:b w:val="0"/>
                <w:bCs/>
                <w:iCs/>
                <w:lang w:val="en-AU"/>
              </w:rPr>
              <w:t>The ESC considered that this was adequately</w:t>
            </w:r>
            <w:r w:rsidRPr="007A4E7E">
              <w:rPr>
                <w:b w:val="0"/>
                <w:bCs/>
                <w:i/>
                <w:lang w:val="en-AU"/>
              </w:rPr>
              <w:t xml:space="preserve"> </w:t>
            </w:r>
            <w:r w:rsidRPr="007A4E7E">
              <w:rPr>
                <w:b w:val="0"/>
                <w:bCs/>
                <w:iCs/>
                <w:lang w:val="en-AU"/>
              </w:rPr>
              <w:t xml:space="preserve">addressed. </w:t>
            </w:r>
          </w:p>
          <w:p w14:paraId="75903431" w14:textId="77777777" w:rsidR="007D00BA" w:rsidRPr="007A4E7E" w:rsidRDefault="007D00BA" w:rsidP="00EA6DFD">
            <w:pPr>
              <w:pStyle w:val="In-tableHeading"/>
              <w:keepNext w:val="0"/>
              <w:rPr>
                <w:b w:val="0"/>
                <w:bCs/>
                <w:iCs/>
                <w:lang w:val="en-AU"/>
              </w:rPr>
            </w:pPr>
          </w:p>
          <w:p w14:paraId="382F3B54" w14:textId="77777777" w:rsidR="007D00BA" w:rsidRPr="007A4E7E" w:rsidRDefault="007D00BA" w:rsidP="00EA6DFD">
            <w:pPr>
              <w:pStyle w:val="In-tableHeading"/>
              <w:keepNext w:val="0"/>
              <w:rPr>
                <w:b w:val="0"/>
                <w:bCs/>
                <w:iCs/>
                <w:lang w:val="en-AU"/>
              </w:rPr>
            </w:pPr>
            <w:r w:rsidRPr="007A4E7E">
              <w:rPr>
                <w:b w:val="0"/>
                <w:bCs/>
                <w:iCs/>
                <w:lang w:val="en-AU"/>
              </w:rPr>
              <w:t xml:space="preserve">The resubmission presented patient narratives for patients who experience pituitary tumour enlargement in LINC 4 and LINC 3. </w:t>
            </w:r>
          </w:p>
        </w:tc>
      </w:tr>
      <w:tr w:rsidR="007D00BA" w:rsidRPr="007A4E7E" w14:paraId="1C7E9283" w14:textId="77777777" w:rsidTr="00EA6DFD">
        <w:trPr>
          <w:cantSplit/>
        </w:trPr>
        <w:tc>
          <w:tcPr>
            <w:tcW w:w="673" w:type="pct"/>
            <w:shd w:val="clear" w:color="auto" w:fill="auto"/>
            <w:tcMar>
              <w:left w:w="40" w:type="dxa"/>
              <w:right w:w="40" w:type="dxa"/>
            </w:tcMar>
            <w:vAlign w:val="center"/>
          </w:tcPr>
          <w:p w14:paraId="3B826D63" w14:textId="77777777" w:rsidR="007D00BA" w:rsidRPr="007A4E7E" w:rsidRDefault="007D00BA" w:rsidP="00EA6DFD">
            <w:pPr>
              <w:pStyle w:val="In-tableHeading"/>
              <w:keepNext w:val="0"/>
              <w:rPr>
                <w:b w:val="0"/>
                <w:bCs/>
                <w:lang w:val="en-AU"/>
              </w:rPr>
            </w:pPr>
            <w:r w:rsidRPr="007A4E7E">
              <w:rPr>
                <w:b w:val="0"/>
                <w:bCs/>
                <w:lang w:val="en-AU"/>
              </w:rPr>
              <w:t>Economic evaluation</w:t>
            </w:r>
          </w:p>
        </w:tc>
        <w:tc>
          <w:tcPr>
            <w:tcW w:w="2071" w:type="pct"/>
            <w:shd w:val="clear" w:color="auto" w:fill="auto"/>
            <w:tcMar>
              <w:left w:w="40" w:type="dxa"/>
              <w:right w:w="40" w:type="dxa"/>
            </w:tcMar>
            <w:vAlign w:val="center"/>
          </w:tcPr>
          <w:p w14:paraId="15AB3194" w14:textId="77777777" w:rsidR="007D00BA" w:rsidRPr="007A4E7E" w:rsidRDefault="007D00BA" w:rsidP="00EA6DFD">
            <w:pPr>
              <w:pStyle w:val="In-tableHeading"/>
              <w:keepNext w:val="0"/>
              <w:rPr>
                <w:b w:val="0"/>
                <w:bCs/>
                <w:lang w:val="en-AU"/>
              </w:rPr>
            </w:pPr>
            <w:r w:rsidRPr="007A4E7E">
              <w:rPr>
                <w:b w:val="0"/>
                <w:bCs/>
                <w:lang w:val="en-AU"/>
              </w:rPr>
              <w:t>The 12-week trial-based incremental cost per responder analyses did not allow for long-term assessment of osilodrostat’s cost-effectiveness. The PBAC considered there would be important long-term benefits not captured by the trial period and the surrogate outcome measured, and an alternative cost-effectiveness or cost utility analysis would need to be considered in any future resubmission. The economic analysis should incorporate longer durations of therapy and quality of life data, using literature and natural history data to supplement the available trial evidence. The PBAC considered that it is highly likely that responding patients would continue with treatment beyond three years (mean duration of treatment of 169.5 weeks as per the LINC trials). (Para 7.11, March 2023 PSD)</w:t>
            </w:r>
          </w:p>
        </w:tc>
        <w:tc>
          <w:tcPr>
            <w:tcW w:w="2257" w:type="pct"/>
            <w:shd w:val="clear" w:color="auto" w:fill="auto"/>
            <w:tcMar>
              <w:left w:w="40" w:type="dxa"/>
              <w:right w:w="40" w:type="dxa"/>
            </w:tcMar>
            <w:vAlign w:val="center"/>
          </w:tcPr>
          <w:p w14:paraId="6399C099" w14:textId="77777777" w:rsidR="007D00BA" w:rsidRPr="007A4E7E" w:rsidRDefault="007D00BA" w:rsidP="00EA6DFD">
            <w:pPr>
              <w:pStyle w:val="In-tableHeading"/>
              <w:keepNext w:val="0"/>
              <w:rPr>
                <w:b w:val="0"/>
                <w:bCs/>
                <w:iCs/>
                <w:lang w:val="en-AU"/>
              </w:rPr>
            </w:pPr>
            <w:r w:rsidRPr="007A4E7E">
              <w:rPr>
                <w:b w:val="0"/>
                <w:bCs/>
                <w:iCs/>
                <w:lang w:val="en-AU"/>
              </w:rPr>
              <w:t xml:space="preserve">The ESC considered that the submitted model was not suitable for decision making because it did not include the important long-term benefits expected with durable cortisol control. (See ESC advice in Section 6- Economic analysis). </w:t>
            </w:r>
          </w:p>
        </w:tc>
      </w:tr>
      <w:tr w:rsidR="007D00BA" w:rsidRPr="007A4E7E" w14:paraId="6499D47B" w14:textId="77777777" w:rsidTr="00EA6DFD">
        <w:trPr>
          <w:cantSplit/>
        </w:trPr>
        <w:tc>
          <w:tcPr>
            <w:tcW w:w="673" w:type="pct"/>
            <w:shd w:val="clear" w:color="auto" w:fill="auto"/>
            <w:tcMar>
              <w:left w:w="40" w:type="dxa"/>
              <w:right w:w="40" w:type="dxa"/>
            </w:tcMar>
            <w:vAlign w:val="center"/>
          </w:tcPr>
          <w:p w14:paraId="3EC778C4" w14:textId="77777777" w:rsidR="007D00BA" w:rsidRPr="007A4E7E" w:rsidRDefault="007D00BA" w:rsidP="00EA6DFD">
            <w:pPr>
              <w:pStyle w:val="In-tableHeading"/>
              <w:keepNext w:val="0"/>
              <w:rPr>
                <w:b w:val="0"/>
                <w:bCs/>
                <w:lang w:val="en-AU"/>
              </w:rPr>
            </w:pPr>
            <w:r w:rsidRPr="007A4E7E">
              <w:rPr>
                <w:b w:val="0"/>
                <w:bCs/>
                <w:lang w:val="en-AU"/>
              </w:rPr>
              <w:lastRenderedPageBreak/>
              <w:t>Financial estimates</w:t>
            </w:r>
          </w:p>
        </w:tc>
        <w:tc>
          <w:tcPr>
            <w:tcW w:w="2071" w:type="pct"/>
            <w:shd w:val="clear" w:color="auto" w:fill="auto"/>
            <w:tcMar>
              <w:left w:w="40" w:type="dxa"/>
              <w:right w:w="40" w:type="dxa"/>
            </w:tcMar>
            <w:vAlign w:val="center"/>
          </w:tcPr>
          <w:p w14:paraId="0570D47E" w14:textId="7031BD14" w:rsidR="007D00BA" w:rsidRPr="007A4E7E" w:rsidRDefault="007D00BA" w:rsidP="00EA6DFD">
            <w:pPr>
              <w:pStyle w:val="In-tableHeading"/>
              <w:keepNext w:val="0"/>
              <w:rPr>
                <w:b w:val="0"/>
                <w:bCs/>
                <w:lang w:val="en-AU"/>
              </w:rPr>
            </w:pPr>
            <w:r w:rsidRPr="007A4E7E">
              <w:rPr>
                <w:b w:val="0"/>
                <w:bCs/>
                <w:lang w:val="en-AU"/>
              </w:rPr>
              <w:t xml:space="preserve">The usage in the latter years was underestimated and that ongoing lifelong treatment for responding patients was more appropriate. The uptake rates were also underestimated and considered </w:t>
            </w:r>
            <w:r w:rsidR="00DE6661" w:rsidRPr="00DE6661">
              <w:rPr>
                <w:b w:val="0"/>
                <w:bCs/>
                <w:color w:val="000000"/>
                <w:spacing w:val="49"/>
                <w:shd w:val="solid" w:color="000000" w:fill="000000"/>
                <w:fitText w:val="318" w:id="-962329600"/>
                <w:lang w:val="en-AU"/>
                <w14:textFill>
                  <w14:solidFill>
                    <w14:srgbClr w14:val="000000">
                      <w14:alpha w14:val="100000"/>
                    </w14:srgbClr>
                  </w14:solidFill>
                </w14:textFill>
              </w:rPr>
              <w:t>|||</w:t>
            </w:r>
            <w:r w:rsidR="00DE6661" w:rsidRPr="00DE6661">
              <w:rPr>
                <w:b w:val="0"/>
                <w:bCs/>
                <w:color w:val="000000"/>
                <w:spacing w:val="1"/>
                <w:shd w:val="solid" w:color="000000" w:fill="000000"/>
                <w:fitText w:val="318" w:id="-962329600"/>
                <w:lang w:val="en-AU"/>
                <w14:textFill>
                  <w14:solidFill>
                    <w14:srgbClr w14:val="000000">
                      <w14:alpha w14:val="100000"/>
                    </w14:srgbClr>
                  </w14:solidFill>
                </w14:textFill>
              </w:rPr>
              <w:t>|</w:t>
            </w:r>
            <w:r w:rsidRPr="007A4E7E">
              <w:rPr>
                <w:b w:val="0"/>
                <w:bCs/>
                <w:lang w:val="en-AU"/>
              </w:rPr>
              <w:t xml:space="preserve">% uptake in Year 1, </w:t>
            </w:r>
            <w:r w:rsidR="00DE6661" w:rsidRPr="00DE6661">
              <w:rPr>
                <w:b w:val="0"/>
                <w:bCs/>
                <w:color w:val="000000"/>
                <w:spacing w:val="49"/>
                <w:shd w:val="solid" w:color="000000" w:fill="000000"/>
                <w:fitText w:val="318" w:id="-962329599"/>
                <w:lang w:val="en-AU"/>
                <w14:textFill>
                  <w14:solidFill>
                    <w14:srgbClr w14:val="000000">
                      <w14:alpha w14:val="100000"/>
                    </w14:srgbClr>
                  </w14:solidFill>
                </w14:textFill>
              </w:rPr>
              <w:t>|||</w:t>
            </w:r>
            <w:r w:rsidR="00DE6661" w:rsidRPr="00DE6661">
              <w:rPr>
                <w:b w:val="0"/>
                <w:bCs/>
                <w:color w:val="000000"/>
                <w:spacing w:val="1"/>
                <w:shd w:val="solid" w:color="000000" w:fill="000000"/>
                <w:fitText w:val="318" w:id="-962329599"/>
                <w:lang w:val="en-AU"/>
                <w14:textFill>
                  <w14:solidFill>
                    <w14:srgbClr w14:val="000000">
                      <w14:alpha w14:val="100000"/>
                    </w14:srgbClr>
                  </w14:solidFill>
                </w14:textFill>
              </w:rPr>
              <w:t>|</w:t>
            </w:r>
            <w:r w:rsidRPr="007A4E7E">
              <w:rPr>
                <w:b w:val="0"/>
                <w:bCs/>
                <w:lang w:val="en-AU"/>
              </w:rPr>
              <w:t xml:space="preserve">% in Year 2, and </w:t>
            </w:r>
            <w:r w:rsidR="00DE6661" w:rsidRPr="00DE6661">
              <w:rPr>
                <w:b w:val="0"/>
                <w:bCs/>
                <w:color w:val="000000"/>
                <w:spacing w:val="49"/>
                <w:shd w:val="solid" w:color="000000" w:fill="000000"/>
                <w:fitText w:val="318" w:id="-962329598"/>
                <w:lang w:val="en-AU"/>
                <w14:textFill>
                  <w14:solidFill>
                    <w14:srgbClr w14:val="000000">
                      <w14:alpha w14:val="100000"/>
                    </w14:srgbClr>
                  </w14:solidFill>
                </w14:textFill>
              </w:rPr>
              <w:t>|||</w:t>
            </w:r>
            <w:r w:rsidR="00DE6661" w:rsidRPr="00DE6661">
              <w:rPr>
                <w:b w:val="0"/>
                <w:bCs/>
                <w:color w:val="000000"/>
                <w:spacing w:val="1"/>
                <w:shd w:val="solid" w:color="000000" w:fill="000000"/>
                <w:fitText w:val="318" w:id="-962329598"/>
                <w:lang w:val="en-AU"/>
                <w14:textFill>
                  <w14:solidFill>
                    <w14:srgbClr w14:val="000000">
                      <w14:alpha w14:val="100000"/>
                    </w14:srgbClr>
                  </w14:solidFill>
                </w14:textFill>
              </w:rPr>
              <w:t>|</w:t>
            </w:r>
            <w:r w:rsidRPr="007A4E7E">
              <w:rPr>
                <w:b w:val="0"/>
                <w:bCs/>
                <w:lang w:val="en-AU"/>
              </w:rPr>
              <w:t>% in Year 3+ was reasonable (Para 7.12, March 2023 PSD)</w:t>
            </w:r>
          </w:p>
        </w:tc>
        <w:tc>
          <w:tcPr>
            <w:tcW w:w="2257" w:type="pct"/>
            <w:shd w:val="clear" w:color="auto" w:fill="auto"/>
            <w:tcMar>
              <w:left w:w="40" w:type="dxa"/>
              <w:right w:w="40" w:type="dxa"/>
            </w:tcMar>
            <w:vAlign w:val="center"/>
          </w:tcPr>
          <w:p w14:paraId="54949EB8" w14:textId="17828FA7" w:rsidR="007D00BA" w:rsidRPr="007A4E7E" w:rsidRDefault="007D00BA" w:rsidP="00EA6DFD">
            <w:pPr>
              <w:pStyle w:val="In-tableHeading"/>
              <w:keepNext w:val="0"/>
              <w:rPr>
                <w:b w:val="0"/>
                <w:bCs/>
                <w:iCs/>
                <w:lang w:val="en-AU"/>
              </w:rPr>
            </w:pPr>
            <w:r w:rsidRPr="007A4E7E">
              <w:rPr>
                <w:b w:val="0"/>
                <w:bCs/>
                <w:iCs/>
                <w:lang w:val="en-AU"/>
              </w:rPr>
              <w:t xml:space="preserve">Partially addressed. While the resubmission assumed that patients would continue treatment into subsequent years, the estimated usage was still likely underestimated since uptake rates were only assumed to be </w:t>
            </w:r>
            <w:r w:rsidR="00DE6661" w:rsidRPr="00DE6661">
              <w:rPr>
                <w:b w:val="0"/>
                <w:bCs/>
                <w:iCs/>
                <w:color w:val="000000"/>
                <w:spacing w:val="49"/>
                <w:shd w:val="solid" w:color="000000" w:fill="000000"/>
                <w:fitText w:val="318" w:id="-962329597"/>
                <w:lang w:val="en-AU"/>
                <w14:textFill>
                  <w14:solidFill>
                    <w14:srgbClr w14:val="000000">
                      <w14:alpha w14:val="100000"/>
                    </w14:srgbClr>
                  </w14:solidFill>
                </w14:textFill>
              </w:rPr>
              <w:t>|||</w:t>
            </w:r>
            <w:r w:rsidR="00DE6661" w:rsidRPr="00DE6661">
              <w:rPr>
                <w:b w:val="0"/>
                <w:bCs/>
                <w:iCs/>
                <w:color w:val="000000"/>
                <w:spacing w:val="1"/>
                <w:shd w:val="solid" w:color="000000" w:fill="000000"/>
                <w:fitText w:val="318" w:id="-962329597"/>
                <w:lang w:val="en-AU"/>
                <w14:textFill>
                  <w14:solidFill>
                    <w14:srgbClr w14:val="000000">
                      <w14:alpha w14:val="100000"/>
                    </w14:srgbClr>
                  </w14:solidFill>
                </w14:textFill>
              </w:rPr>
              <w:t>|</w:t>
            </w:r>
            <w:r w:rsidRPr="007A4E7E">
              <w:rPr>
                <w:b w:val="0"/>
                <w:bCs/>
                <w:iCs/>
                <w:lang w:val="en-AU"/>
              </w:rPr>
              <w:t xml:space="preserve">% in Year 1. </w:t>
            </w:r>
          </w:p>
        </w:tc>
      </w:tr>
      <w:tr w:rsidR="007D00BA" w:rsidRPr="007A4E7E" w14:paraId="5A24C94B" w14:textId="77777777" w:rsidTr="00EA6DFD">
        <w:trPr>
          <w:cantSplit/>
        </w:trPr>
        <w:tc>
          <w:tcPr>
            <w:tcW w:w="673" w:type="pct"/>
            <w:shd w:val="clear" w:color="auto" w:fill="auto"/>
            <w:tcMar>
              <w:left w:w="40" w:type="dxa"/>
              <w:right w:w="40" w:type="dxa"/>
            </w:tcMar>
            <w:vAlign w:val="center"/>
          </w:tcPr>
          <w:p w14:paraId="7C795224" w14:textId="77777777" w:rsidR="007D00BA" w:rsidRPr="007A4E7E" w:rsidRDefault="007D00BA" w:rsidP="00EA6DFD">
            <w:pPr>
              <w:pStyle w:val="In-tableHeading"/>
              <w:keepNext w:val="0"/>
              <w:rPr>
                <w:b w:val="0"/>
                <w:bCs/>
                <w:lang w:val="en-AU"/>
              </w:rPr>
            </w:pPr>
            <w:r w:rsidRPr="007A4E7E">
              <w:rPr>
                <w:b w:val="0"/>
                <w:bCs/>
                <w:lang w:val="en-AU"/>
              </w:rPr>
              <w:t>MBS costs</w:t>
            </w:r>
          </w:p>
        </w:tc>
        <w:tc>
          <w:tcPr>
            <w:tcW w:w="2071" w:type="pct"/>
            <w:shd w:val="clear" w:color="auto" w:fill="auto"/>
            <w:tcMar>
              <w:left w:w="40" w:type="dxa"/>
              <w:right w:w="40" w:type="dxa"/>
            </w:tcMar>
            <w:vAlign w:val="center"/>
          </w:tcPr>
          <w:p w14:paraId="555118A7" w14:textId="77777777" w:rsidR="007D00BA" w:rsidRPr="007A4E7E" w:rsidRDefault="007D00BA" w:rsidP="00EA6DFD">
            <w:pPr>
              <w:pStyle w:val="In-tableHeading"/>
              <w:keepNext w:val="0"/>
              <w:rPr>
                <w:b w:val="0"/>
                <w:bCs/>
                <w:lang w:val="en-AU"/>
              </w:rPr>
            </w:pPr>
            <w:r w:rsidRPr="007A4E7E">
              <w:rPr>
                <w:b w:val="0"/>
                <w:bCs/>
                <w:lang w:val="en-AU"/>
              </w:rPr>
              <w:t>The DUSC noted costs associated with dose titration and ongoing monitoring were not included in the financial estimates (Para 6.46, March 2023 PSD)</w:t>
            </w:r>
          </w:p>
        </w:tc>
        <w:tc>
          <w:tcPr>
            <w:tcW w:w="2257" w:type="pct"/>
            <w:shd w:val="clear" w:color="auto" w:fill="auto"/>
            <w:tcMar>
              <w:left w:w="40" w:type="dxa"/>
              <w:right w:w="40" w:type="dxa"/>
            </w:tcMar>
            <w:vAlign w:val="center"/>
          </w:tcPr>
          <w:p w14:paraId="232B95F6" w14:textId="77777777" w:rsidR="007D00BA" w:rsidRPr="007A4E7E" w:rsidRDefault="007D00BA" w:rsidP="00EA6DFD">
            <w:pPr>
              <w:pStyle w:val="In-tableHeading"/>
              <w:keepNext w:val="0"/>
              <w:rPr>
                <w:b w:val="0"/>
                <w:bCs/>
                <w:iCs/>
                <w:lang w:val="en-AU"/>
              </w:rPr>
            </w:pPr>
            <w:r w:rsidRPr="007A4E7E">
              <w:rPr>
                <w:b w:val="0"/>
                <w:bCs/>
                <w:iCs/>
                <w:lang w:val="en-AU"/>
              </w:rPr>
              <w:t xml:space="preserve">Addressed. MBS items for UFC testing and endocrinologist visits were included. </w:t>
            </w:r>
          </w:p>
        </w:tc>
      </w:tr>
    </w:tbl>
    <w:p w14:paraId="70301F3E" w14:textId="383F3E68" w:rsidR="007D00BA" w:rsidRPr="007A4E7E" w:rsidRDefault="007D00BA" w:rsidP="007D00BA">
      <w:pPr>
        <w:pStyle w:val="FooterTableFigure"/>
      </w:pPr>
      <w:r w:rsidRPr="007A4E7E">
        <w:t xml:space="preserve">Source: osilodrostat, PSD, March 2023 PBAC meeting; Sections 2.5.1; 2.5.2; 2.6.2; 2.6.3; Section 3; Table 4.2-5 and 4.2-7; and Tables 4.5-2 and 4.5-3 of the submission  </w:t>
      </w:r>
    </w:p>
    <w:p w14:paraId="012B844A" w14:textId="77777777" w:rsidR="007D00BA" w:rsidRPr="007A4E7E" w:rsidRDefault="007D00BA" w:rsidP="004249F1">
      <w:pPr>
        <w:pStyle w:val="3-BodyText"/>
        <w:numPr>
          <w:ilvl w:val="0"/>
          <w:numId w:val="0"/>
        </w:numPr>
        <w:ind w:left="720"/>
        <w:rPr>
          <w:i/>
          <w:iCs/>
        </w:rPr>
      </w:pPr>
      <w:r w:rsidRPr="007A4E7E">
        <w:rPr>
          <w:i/>
          <w:iCs/>
        </w:rPr>
        <w:t>For more detail on PBAC’s view, see section 7 PBAC outcome.</w:t>
      </w:r>
    </w:p>
    <w:p w14:paraId="7D7EBA9C" w14:textId="77777777" w:rsidR="007D00BA" w:rsidRPr="007A4E7E" w:rsidRDefault="007D00BA" w:rsidP="007D00BA">
      <w:pPr>
        <w:pStyle w:val="2-SectionHeading"/>
      </w:pPr>
      <w:bookmarkStart w:id="7" w:name="_Toc156988651"/>
      <w:bookmarkEnd w:id="2"/>
      <w:r w:rsidRPr="007A4E7E">
        <w:t>Requested listing</w:t>
      </w:r>
      <w:bookmarkEnd w:id="7"/>
    </w:p>
    <w:p w14:paraId="2D260A4B" w14:textId="7A9DD5C9" w:rsidR="00E76938" w:rsidRDefault="007D00BA" w:rsidP="00914C1A">
      <w:pPr>
        <w:pStyle w:val="3-BodyText"/>
        <w:ind w:left="567" w:hanging="567"/>
      </w:pPr>
      <w:r w:rsidRPr="007A4E7E">
        <w:t>Suggestions and additions proposed by the Secretariat are added in italics and suggested deletions are crossed out with strikethrough.</w:t>
      </w:r>
      <w:r w:rsidR="00E76938" w:rsidRPr="007A4E7E" w:rsidDel="00E76938">
        <w:t xml:space="preserve"> </w:t>
      </w:r>
    </w:p>
    <w:tbl>
      <w:tblPr>
        <w:tblW w:w="5055"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3 Requested listing"/>
      </w:tblPr>
      <w:tblGrid>
        <w:gridCol w:w="16"/>
        <w:gridCol w:w="380"/>
        <w:gridCol w:w="591"/>
        <w:gridCol w:w="1116"/>
        <w:gridCol w:w="1627"/>
        <w:gridCol w:w="992"/>
        <w:gridCol w:w="992"/>
        <w:gridCol w:w="962"/>
        <w:gridCol w:w="739"/>
        <w:gridCol w:w="1701"/>
      </w:tblGrid>
      <w:tr w:rsidR="00E76938" w14:paraId="173EBA39" w14:textId="77777777" w:rsidTr="00914C1A">
        <w:trPr>
          <w:gridBefore w:val="1"/>
          <w:wBefore w:w="16" w:type="dxa"/>
          <w:cantSplit/>
          <w:trHeight w:val="20"/>
        </w:trPr>
        <w:tc>
          <w:tcPr>
            <w:tcW w:w="2087" w:type="dxa"/>
            <w:gridSpan w:val="3"/>
            <w:tcBorders>
              <w:top w:val="single" w:sz="4" w:space="0" w:color="auto"/>
              <w:left w:val="single" w:sz="4" w:space="0" w:color="auto"/>
              <w:bottom w:val="single" w:sz="4" w:space="0" w:color="auto"/>
              <w:right w:val="single" w:sz="4" w:space="0" w:color="auto"/>
            </w:tcBorders>
            <w:vAlign w:val="center"/>
            <w:hideMark/>
          </w:tcPr>
          <w:p w14:paraId="27659E7D" w14:textId="77777777" w:rsidR="00E76938" w:rsidRPr="00914C1A" w:rsidRDefault="00E76938" w:rsidP="00984879">
            <w:pPr>
              <w:keepNext/>
              <w:keepLines/>
              <w:spacing w:line="256" w:lineRule="auto"/>
              <w:rPr>
                <w:rFonts w:ascii="Arial Narrow" w:hAnsi="Arial Narrow"/>
                <w:b/>
                <w:bCs/>
                <w:sz w:val="18"/>
                <w:szCs w:val="18"/>
              </w:rPr>
            </w:pPr>
            <w:r w:rsidRPr="00914C1A">
              <w:rPr>
                <w:rFonts w:ascii="Arial Narrow" w:hAnsi="Arial Narrow"/>
                <w:b/>
                <w:bCs/>
                <w:sz w:val="18"/>
                <w:szCs w:val="18"/>
              </w:rPr>
              <w:t>MEDICINAL PRODUCT</w:t>
            </w:r>
          </w:p>
          <w:p w14:paraId="007DE094" w14:textId="77777777" w:rsidR="00E76938" w:rsidRPr="00914C1A" w:rsidRDefault="00E76938" w:rsidP="00984879">
            <w:pPr>
              <w:keepNext/>
              <w:keepLines/>
              <w:spacing w:line="256" w:lineRule="auto"/>
              <w:rPr>
                <w:rFonts w:ascii="Arial Narrow" w:hAnsi="Arial Narrow"/>
                <w:b/>
                <w:sz w:val="18"/>
                <w:szCs w:val="18"/>
              </w:rPr>
            </w:pPr>
            <w:r w:rsidRPr="00914C1A">
              <w:rPr>
                <w:rFonts w:ascii="Arial Narrow" w:hAnsi="Arial Narrow"/>
                <w:b/>
                <w:bCs/>
                <w:sz w:val="18"/>
                <w:szCs w:val="18"/>
              </w:rPr>
              <w:t>medicinal product pack</w:t>
            </w:r>
          </w:p>
        </w:tc>
        <w:tc>
          <w:tcPr>
            <w:tcW w:w="1627" w:type="dxa"/>
            <w:tcBorders>
              <w:top w:val="single" w:sz="4" w:space="0" w:color="auto"/>
              <w:left w:val="single" w:sz="4" w:space="0" w:color="auto"/>
              <w:bottom w:val="single" w:sz="4" w:space="0" w:color="auto"/>
              <w:right w:val="single" w:sz="4" w:space="0" w:color="auto"/>
            </w:tcBorders>
            <w:vAlign w:val="center"/>
            <w:hideMark/>
          </w:tcPr>
          <w:p w14:paraId="781D45F5" w14:textId="77777777" w:rsidR="00E76938" w:rsidRPr="00914C1A" w:rsidRDefault="00E76938" w:rsidP="00984879">
            <w:pPr>
              <w:pStyle w:val="TableText0"/>
              <w:keepLines/>
              <w:spacing w:line="256" w:lineRule="auto"/>
              <w:rPr>
                <w:b/>
                <w:bCs w:val="0"/>
                <w:kern w:val="2"/>
                <w:sz w:val="18"/>
                <w:szCs w:val="18"/>
                <w:lang w:eastAsia="en-US"/>
              </w:rPr>
            </w:pPr>
            <w:r w:rsidRPr="00914C1A">
              <w:rPr>
                <w:b/>
                <w:bCs w:val="0"/>
                <w:snapToGrid w:val="0"/>
                <w:kern w:val="2"/>
                <w:sz w:val="18"/>
                <w:szCs w:val="18"/>
                <w:lang w:eastAsia="en-US"/>
              </w:rPr>
              <w:t>Dispensed Price for Max. Qty</w:t>
            </w:r>
          </w:p>
        </w:tc>
        <w:tc>
          <w:tcPr>
            <w:tcW w:w="992" w:type="dxa"/>
            <w:tcBorders>
              <w:top w:val="single" w:sz="4" w:space="0" w:color="auto"/>
              <w:left w:val="single" w:sz="4" w:space="0" w:color="auto"/>
              <w:bottom w:val="single" w:sz="4" w:space="0" w:color="auto"/>
              <w:right w:val="single" w:sz="4" w:space="0" w:color="auto"/>
            </w:tcBorders>
            <w:hideMark/>
          </w:tcPr>
          <w:p w14:paraId="1611D10D" w14:textId="77777777" w:rsidR="00E76938" w:rsidRPr="00914C1A" w:rsidRDefault="00E76938" w:rsidP="00984879">
            <w:pPr>
              <w:keepNext/>
              <w:keepLines/>
              <w:spacing w:line="256" w:lineRule="auto"/>
              <w:jc w:val="center"/>
              <w:rPr>
                <w:rFonts w:ascii="Arial Narrow" w:hAnsi="Arial Narrow"/>
                <w:b/>
                <w:sz w:val="18"/>
                <w:szCs w:val="18"/>
              </w:rPr>
            </w:pPr>
            <w:r w:rsidRPr="00914C1A">
              <w:rPr>
                <w:rFonts w:ascii="Arial Narrow" w:hAnsi="Arial Narrow"/>
                <w:b/>
                <w:sz w:val="18"/>
                <w:szCs w:val="18"/>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8DA747" w14:textId="77777777" w:rsidR="00E76938" w:rsidRPr="00914C1A" w:rsidRDefault="00E76938" w:rsidP="00984879">
            <w:pPr>
              <w:keepNext/>
              <w:keepLines/>
              <w:spacing w:line="256" w:lineRule="auto"/>
              <w:jc w:val="center"/>
              <w:rPr>
                <w:rFonts w:ascii="Arial Narrow" w:hAnsi="Arial Narrow"/>
                <w:b/>
                <w:sz w:val="18"/>
                <w:szCs w:val="18"/>
              </w:rPr>
            </w:pPr>
            <w:r w:rsidRPr="00914C1A">
              <w:rPr>
                <w:rFonts w:ascii="Arial Narrow" w:hAnsi="Arial Narrow"/>
                <w:b/>
                <w:sz w:val="18"/>
                <w:szCs w:val="18"/>
              </w:rPr>
              <w:t>Max. qty packs</w:t>
            </w:r>
          </w:p>
        </w:tc>
        <w:tc>
          <w:tcPr>
            <w:tcW w:w="962" w:type="dxa"/>
            <w:tcBorders>
              <w:top w:val="single" w:sz="4" w:space="0" w:color="auto"/>
              <w:left w:val="single" w:sz="4" w:space="0" w:color="auto"/>
              <w:bottom w:val="single" w:sz="4" w:space="0" w:color="auto"/>
              <w:right w:val="single" w:sz="4" w:space="0" w:color="auto"/>
            </w:tcBorders>
            <w:vAlign w:val="center"/>
            <w:hideMark/>
          </w:tcPr>
          <w:p w14:paraId="09573A8B" w14:textId="77777777" w:rsidR="00E76938" w:rsidRPr="00914C1A" w:rsidRDefault="00E76938" w:rsidP="00984879">
            <w:pPr>
              <w:keepNext/>
              <w:keepLines/>
              <w:spacing w:line="256" w:lineRule="auto"/>
              <w:jc w:val="center"/>
              <w:rPr>
                <w:rFonts w:ascii="Arial Narrow" w:hAnsi="Arial Narrow"/>
                <w:b/>
                <w:sz w:val="18"/>
                <w:szCs w:val="18"/>
              </w:rPr>
            </w:pPr>
            <w:r w:rsidRPr="00914C1A">
              <w:rPr>
                <w:rFonts w:ascii="Arial Narrow" w:hAnsi="Arial Narrow"/>
                <w:b/>
                <w:sz w:val="18"/>
                <w:szCs w:val="18"/>
              </w:rPr>
              <w:t>Max. qty units</w:t>
            </w:r>
          </w:p>
        </w:tc>
        <w:tc>
          <w:tcPr>
            <w:tcW w:w="739" w:type="dxa"/>
            <w:tcBorders>
              <w:top w:val="single" w:sz="4" w:space="0" w:color="auto"/>
              <w:left w:val="single" w:sz="4" w:space="0" w:color="auto"/>
              <w:bottom w:val="single" w:sz="4" w:space="0" w:color="auto"/>
              <w:right w:val="single" w:sz="4" w:space="0" w:color="auto"/>
            </w:tcBorders>
            <w:vAlign w:val="center"/>
            <w:hideMark/>
          </w:tcPr>
          <w:p w14:paraId="726DA19D" w14:textId="77777777" w:rsidR="00E76938" w:rsidRPr="00914C1A" w:rsidRDefault="00E76938" w:rsidP="00984879">
            <w:pPr>
              <w:keepNext/>
              <w:keepLines/>
              <w:spacing w:line="256" w:lineRule="auto"/>
              <w:jc w:val="center"/>
              <w:rPr>
                <w:rFonts w:ascii="Arial Narrow" w:hAnsi="Arial Narrow"/>
                <w:b/>
                <w:sz w:val="18"/>
                <w:szCs w:val="18"/>
              </w:rPr>
            </w:pPr>
            <w:r w:rsidRPr="00914C1A">
              <w:rPr>
                <w:rFonts w:ascii="Arial Narrow" w:hAnsi="Arial Narrow"/>
                <w:b/>
                <w:sz w:val="18"/>
                <w:szCs w:val="18"/>
              </w:rPr>
              <w:t>№.of</w:t>
            </w:r>
          </w:p>
          <w:p w14:paraId="72DDE9EF" w14:textId="77777777" w:rsidR="00E76938" w:rsidRPr="00914C1A" w:rsidRDefault="00E76938" w:rsidP="00984879">
            <w:pPr>
              <w:keepNext/>
              <w:keepLines/>
              <w:spacing w:line="256" w:lineRule="auto"/>
              <w:jc w:val="center"/>
              <w:rPr>
                <w:rFonts w:ascii="Arial Narrow" w:hAnsi="Arial Narrow"/>
                <w:b/>
                <w:sz w:val="18"/>
                <w:szCs w:val="18"/>
              </w:rPr>
            </w:pPr>
            <w:r w:rsidRPr="00914C1A">
              <w:rPr>
                <w:rFonts w:ascii="Arial Narrow" w:hAnsi="Arial Narrow"/>
                <w:b/>
                <w:sz w:val="18"/>
                <w:szCs w:val="18"/>
              </w:rPr>
              <w:t>Rpts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64773A" w14:textId="77777777" w:rsidR="00E76938" w:rsidRPr="00914C1A" w:rsidRDefault="00E76938" w:rsidP="00984879">
            <w:pPr>
              <w:keepNext/>
              <w:keepLines/>
              <w:spacing w:line="256" w:lineRule="auto"/>
              <w:rPr>
                <w:rFonts w:ascii="Arial Narrow" w:hAnsi="Arial Narrow"/>
                <w:b/>
                <w:sz w:val="18"/>
                <w:szCs w:val="18"/>
              </w:rPr>
            </w:pPr>
            <w:r w:rsidRPr="00914C1A">
              <w:rPr>
                <w:rFonts w:ascii="Arial Narrow" w:hAnsi="Arial Narrow"/>
                <w:b/>
                <w:sz w:val="18"/>
                <w:szCs w:val="18"/>
              </w:rPr>
              <w:t>Available brands</w:t>
            </w:r>
          </w:p>
        </w:tc>
      </w:tr>
      <w:tr w:rsidR="00E76938" w14:paraId="71296EDE" w14:textId="77777777" w:rsidTr="00914C1A">
        <w:trPr>
          <w:gridBefore w:val="1"/>
          <w:wBefore w:w="16" w:type="dxa"/>
          <w:cantSplit/>
          <w:trHeight w:val="20"/>
        </w:trPr>
        <w:tc>
          <w:tcPr>
            <w:tcW w:w="9100" w:type="dxa"/>
            <w:gridSpan w:val="9"/>
            <w:tcBorders>
              <w:top w:val="single" w:sz="4" w:space="0" w:color="auto"/>
              <w:left w:val="single" w:sz="4" w:space="0" w:color="auto"/>
              <w:bottom w:val="single" w:sz="4" w:space="0" w:color="auto"/>
              <w:right w:val="single" w:sz="4" w:space="0" w:color="auto"/>
            </w:tcBorders>
            <w:hideMark/>
          </w:tcPr>
          <w:p w14:paraId="5C7AE17D" w14:textId="77777777" w:rsidR="00E76938" w:rsidRPr="00914C1A" w:rsidRDefault="00E76938" w:rsidP="00984879">
            <w:pPr>
              <w:pStyle w:val="TableText0"/>
              <w:keepLines/>
              <w:spacing w:line="256" w:lineRule="auto"/>
              <w:rPr>
                <w:rFonts w:cs="Arial"/>
                <w:kern w:val="2"/>
                <w:sz w:val="18"/>
                <w:szCs w:val="18"/>
                <w:lang w:eastAsia="en-US"/>
              </w:rPr>
            </w:pPr>
            <w:r w:rsidRPr="00914C1A">
              <w:rPr>
                <w:rFonts w:cs="Arial"/>
                <w:kern w:val="2"/>
                <w:sz w:val="18"/>
                <w:szCs w:val="18"/>
                <w:lang w:eastAsia="en-US"/>
              </w:rPr>
              <w:t>OSILODROSTAT</w:t>
            </w:r>
          </w:p>
        </w:tc>
      </w:tr>
      <w:tr w:rsidR="00E76938" w:rsidRPr="00C952AC" w14:paraId="72DC9B88" w14:textId="77777777" w:rsidTr="00914C1A">
        <w:trPr>
          <w:gridBefore w:val="1"/>
          <w:wBefore w:w="16" w:type="dxa"/>
          <w:cantSplit/>
          <w:trHeight w:val="20"/>
        </w:trPr>
        <w:tc>
          <w:tcPr>
            <w:tcW w:w="2087" w:type="dxa"/>
            <w:gridSpan w:val="3"/>
            <w:tcBorders>
              <w:top w:val="single" w:sz="4" w:space="0" w:color="auto"/>
              <w:left w:val="single" w:sz="4" w:space="0" w:color="auto"/>
              <w:bottom w:val="single" w:sz="4" w:space="0" w:color="auto"/>
              <w:right w:val="single" w:sz="4" w:space="0" w:color="auto"/>
            </w:tcBorders>
            <w:vAlign w:val="center"/>
            <w:hideMark/>
          </w:tcPr>
          <w:p w14:paraId="5D8F4185" w14:textId="77777777" w:rsidR="00E76938" w:rsidRPr="00914C1A" w:rsidRDefault="00E76938" w:rsidP="00984879">
            <w:pPr>
              <w:pStyle w:val="TableText0"/>
              <w:keepLines/>
              <w:spacing w:line="256" w:lineRule="auto"/>
              <w:rPr>
                <w:color w:val="0066FF"/>
                <w:kern w:val="2"/>
                <w:sz w:val="18"/>
                <w:szCs w:val="18"/>
                <w:lang w:eastAsia="en-US"/>
              </w:rPr>
            </w:pPr>
            <w:r w:rsidRPr="00914C1A">
              <w:rPr>
                <w:kern w:val="2"/>
                <w:sz w:val="18"/>
                <w:szCs w:val="18"/>
                <w:lang w:eastAsia="en-US"/>
              </w:rPr>
              <w:t>Osilodrostat 1 mg tablet, 60</w:t>
            </w:r>
            <w:r w:rsidRPr="00914C1A">
              <w:rPr>
                <w:color w:val="0066FF"/>
                <w:kern w:val="2"/>
                <w:sz w:val="18"/>
                <w:szCs w:val="18"/>
                <w:lang w:eastAsia="en-US"/>
              </w:rPr>
              <w:t xml:space="preserve"> </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BD1635B" w14:textId="77777777" w:rsidR="00E76938" w:rsidRPr="00914C1A" w:rsidRDefault="00E76938" w:rsidP="00984879">
            <w:pPr>
              <w:pStyle w:val="TableText0"/>
              <w:keepLines/>
              <w:spacing w:line="256" w:lineRule="auto"/>
              <w:rPr>
                <w:kern w:val="2"/>
                <w:sz w:val="18"/>
                <w:szCs w:val="18"/>
                <w:lang w:eastAsia="en-US"/>
              </w:rPr>
            </w:pPr>
            <w:r w:rsidRPr="00914C1A">
              <w:rPr>
                <w:kern w:val="2"/>
                <w:sz w:val="18"/>
                <w:szCs w:val="18"/>
                <w:lang w:eastAsia="en-US"/>
              </w:rPr>
              <w:t xml:space="preserve">$2,400 published </w:t>
            </w:r>
          </w:p>
          <w:p w14:paraId="0ADD844F" w14:textId="23EC37F6" w:rsidR="00E76938" w:rsidRPr="00914C1A" w:rsidRDefault="00E76938" w:rsidP="00984879">
            <w:pPr>
              <w:pStyle w:val="TableText0"/>
              <w:keepLines/>
              <w:spacing w:line="256" w:lineRule="auto"/>
              <w:rPr>
                <w:kern w:val="2"/>
                <w:sz w:val="18"/>
                <w:szCs w:val="18"/>
                <w:lang w:eastAsia="en-US"/>
              </w:rPr>
            </w:pPr>
            <w:r w:rsidRPr="00914C1A">
              <w:rPr>
                <w:kern w:val="2"/>
                <w:sz w:val="18"/>
                <w:szCs w:val="18"/>
                <w:lang w:eastAsia="en-US"/>
              </w:rPr>
              <w:t>$</w:t>
            </w:r>
            <w:r w:rsidR="00DE6661" w:rsidRPr="00DE6661">
              <w:rPr>
                <w:color w:val="000000"/>
                <w:spacing w:val="204"/>
                <w:sz w:val="18"/>
                <w:szCs w:val="18"/>
                <w:shd w:val="solid" w:color="000000" w:fill="000000"/>
                <w:fitText w:val="281" w:id="-962329596"/>
                <w:lang w:eastAsia="en-US"/>
                <w14:textFill>
                  <w14:solidFill>
                    <w14:srgbClr w14:val="000000">
                      <w14:alpha w14:val="100000"/>
                    </w14:srgbClr>
                  </w14:solidFill>
                </w14:textFill>
              </w:rPr>
              <w:t>|</w:t>
            </w:r>
            <w:r w:rsidR="00DE6661" w:rsidRPr="00DE6661">
              <w:rPr>
                <w:color w:val="000000"/>
                <w:sz w:val="18"/>
                <w:szCs w:val="18"/>
                <w:shd w:val="solid" w:color="000000" w:fill="000000"/>
                <w:fitText w:val="281" w:id="-962329596"/>
                <w:lang w:eastAsia="en-US"/>
                <w14:textFill>
                  <w14:solidFill>
                    <w14:srgbClr w14:val="000000">
                      <w14:alpha w14:val="100000"/>
                    </w14:srgbClr>
                  </w14:solidFill>
                </w14:textFill>
              </w:rPr>
              <w:t>|</w:t>
            </w:r>
            <w:r w:rsidRPr="00914C1A">
              <w:rPr>
                <w:kern w:val="2"/>
                <w:sz w:val="18"/>
                <w:szCs w:val="18"/>
                <w:lang w:eastAsia="en-US"/>
              </w:rPr>
              <w:t xml:space="preserve"> effective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2993E7" w14:textId="77777777" w:rsidR="00E76938" w:rsidRPr="00914C1A" w:rsidRDefault="00E76938" w:rsidP="00984879">
            <w:pPr>
              <w:keepNext/>
              <w:keepLines/>
              <w:spacing w:line="256" w:lineRule="auto"/>
              <w:jc w:val="center"/>
              <w:rPr>
                <w:rFonts w:ascii="Arial Narrow" w:hAnsi="Arial Narrow"/>
                <w:sz w:val="18"/>
                <w:szCs w:val="18"/>
              </w:rPr>
            </w:pPr>
            <w:r w:rsidRPr="00914C1A">
              <w:rPr>
                <w:rFonts w:ascii="Arial Narrow" w:hAnsi="Arial Narrow"/>
                <w:sz w:val="18"/>
                <w:szCs w:val="18"/>
              </w:rPr>
              <w:t>New</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1BF084" w14:textId="77777777" w:rsidR="00E76938" w:rsidRPr="00914C1A" w:rsidRDefault="00E76938" w:rsidP="00984879">
            <w:pPr>
              <w:keepNext/>
              <w:keepLines/>
              <w:spacing w:line="256" w:lineRule="auto"/>
              <w:jc w:val="center"/>
              <w:rPr>
                <w:rFonts w:ascii="Arial Narrow" w:hAnsi="Arial Narrow"/>
                <w:sz w:val="18"/>
                <w:szCs w:val="18"/>
              </w:rPr>
            </w:pPr>
            <w:r w:rsidRPr="00914C1A">
              <w:rPr>
                <w:rFonts w:ascii="Arial Narrow" w:hAnsi="Arial Narrow"/>
                <w:sz w:val="18"/>
                <w:szCs w:val="18"/>
              </w:rPr>
              <w:t>1</w:t>
            </w:r>
          </w:p>
        </w:tc>
        <w:tc>
          <w:tcPr>
            <w:tcW w:w="962" w:type="dxa"/>
            <w:tcBorders>
              <w:top w:val="single" w:sz="4" w:space="0" w:color="auto"/>
              <w:left w:val="single" w:sz="4" w:space="0" w:color="auto"/>
              <w:bottom w:val="single" w:sz="4" w:space="0" w:color="auto"/>
              <w:right w:val="single" w:sz="4" w:space="0" w:color="auto"/>
            </w:tcBorders>
            <w:vAlign w:val="center"/>
            <w:hideMark/>
          </w:tcPr>
          <w:p w14:paraId="2FE6CB80" w14:textId="77777777" w:rsidR="00E76938" w:rsidRPr="00914C1A" w:rsidRDefault="00E76938" w:rsidP="00984879">
            <w:pPr>
              <w:keepNext/>
              <w:keepLines/>
              <w:spacing w:line="256" w:lineRule="auto"/>
              <w:jc w:val="center"/>
              <w:rPr>
                <w:rFonts w:ascii="Arial Narrow" w:hAnsi="Arial Narrow"/>
                <w:sz w:val="18"/>
                <w:szCs w:val="18"/>
              </w:rPr>
            </w:pPr>
            <w:r w:rsidRPr="00914C1A">
              <w:rPr>
                <w:rFonts w:ascii="Arial Narrow" w:hAnsi="Arial Narrow"/>
                <w:sz w:val="18"/>
                <w:szCs w:val="18"/>
              </w:rPr>
              <w:t>60</w:t>
            </w:r>
          </w:p>
        </w:tc>
        <w:tc>
          <w:tcPr>
            <w:tcW w:w="739" w:type="dxa"/>
            <w:tcBorders>
              <w:top w:val="single" w:sz="4" w:space="0" w:color="auto"/>
              <w:left w:val="single" w:sz="4" w:space="0" w:color="auto"/>
              <w:bottom w:val="single" w:sz="4" w:space="0" w:color="auto"/>
              <w:right w:val="single" w:sz="4" w:space="0" w:color="auto"/>
            </w:tcBorders>
            <w:vAlign w:val="center"/>
            <w:hideMark/>
          </w:tcPr>
          <w:p w14:paraId="4419B548" w14:textId="77777777" w:rsidR="00E76938" w:rsidRPr="00914C1A" w:rsidRDefault="00E76938" w:rsidP="00984879">
            <w:pPr>
              <w:keepNext/>
              <w:keepLines/>
              <w:spacing w:line="256" w:lineRule="auto"/>
              <w:jc w:val="center"/>
              <w:rPr>
                <w:rFonts w:ascii="Arial Narrow" w:hAnsi="Arial Narrow"/>
                <w:strike/>
                <w:sz w:val="18"/>
                <w:szCs w:val="18"/>
                <w:highlight w:val="yellow"/>
              </w:rPr>
            </w:pPr>
            <w:r w:rsidRPr="00914C1A">
              <w:rPr>
                <w:rFonts w:ascii="Arial Narrow" w:hAnsi="Arial Narrow"/>
                <w:strike/>
                <w:sz w:val="18"/>
                <w:szCs w:val="18"/>
              </w:rPr>
              <w:t>5</w:t>
            </w:r>
            <w:r w:rsidRPr="00914C1A">
              <w:rPr>
                <w:rFonts w:ascii="Arial Narrow" w:hAnsi="Arial Narrow"/>
                <w:i/>
                <w:iCs/>
                <w:sz w:val="18"/>
                <w:szCs w:val="18"/>
              </w:rPr>
              <w:t xml:space="preserve"> 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4C6572" w14:textId="77777777" w:rsidR="00E76938" w:rsidRPr="00C952AC" w:rsidRDefault="00E76938" w:rsidP="00984879">
            <w:pPr>
              <w:keepNext/>
              <w:keepLines/>
              <w:spacing w:line="256" w:lineRule="auto"/>
              <w:rPr>
                <w:rFonts w:ascii="Arial Narrow" w:hAnsi="Arial Narrow"/>
                <w:sz w:val="18"/>
                <w:szCs w:val="18"/>
                <w:lang w:val="pt-PT"/>
              </w:rPr>
            </w:pPr>
            <w:r w:rsidRPr="00C952AC">
              <w:rPr>
                <w:rFonts w:ascii="Arial Narrow" w:hAnsi="Arial Narrow"/>
                <w:sz w:val="18"/>
                <w:szCs w:val="18"/>
                <w:lang w:val="pt-PT"/>
              </w:rPr>
              <w:t>Isturisa, Recordati Rare Diseases Australia Pty Ltd.</w:t>
            </w:r>
          </w:p>
        </w:tc>
      </w:tr>
      <w:tr w:rsidR="00E76938" w:rsidRPr="00C952AC" w14:paraId="47884721" w14:textId="77777777" w:rsidTr="00914C1A">
        <w:trPr>
          <w:gridBefore w:val="1"/>
          <w:wBefore w:w="16" w:type="dxa"/>
          <w:cantSplit/>
          <w:trHeight w:val="20"/>
        </w:trPr>
        <w:tc>
          <w:tcPr>
            <w:tcW w:w="2087" w:type="dxa"/>
            <w:gridSpan w:val="3"/>
            <w:tcBorders>
              <w:top w:val="single" w:sz="4" w:space="0" w:color="auto"/>
              <w:left w:val="single" w:sz="4" w:space="0" w:color="auto"/>
              <w:bottom w:val="single" w:sz="4" w:space="0" w:color="auto"/>
              <w:right w:val="single" w:sz="4" w:space="0" w:color="auto"/>
            </w:tcBorders>
            <w:vAlign w:val="center"/>
            <w:hideMark/>
          </w:tcPr>
          <w:p w14:paraId="14479770" w14:textId="77777777" w:rsidR="00E76938" w:rsidRPr="00914C1A" w:rsidRDefault="00E76938" w:rsidP="00984879">
            <w:pPr>
              <w:pStyle w:val="TableText0"/>
              <w:keepLines/>
              <w:spacing w:line="256" w:lineRule="auto"/>
              <w:rPr>
                <w:kern w:val="2"/>
                <w:sz w:val="18"/>
                <w:szCs w:val="18"/>
                <w:lang w:eastAsia="en-US"/>
              </w:rPr>
            </w:pPr>
            <w:r w:rsidRPr="00914C1A">
              <w:rPr>
                <w:kern w:val="2"/>
                <w:sz w:val="18"/>
                <w:szCs w:val="18"/>
                <w:lang w:eastAsia="en-US"/>
              </w:rPr>
              <w:t>Osilodrostat 5 mg tablet, 60</w:t>
            </w:r>
            <w:r w:rsidRPr="00914C1A">
              <w:rPr>
                <w:color w:val="0066FF"/>
                <w:kern w:val="2"/>
                <w:sz w:val="18"/>
                <w:szCs w:val="18"/>
                <w:lang w:eastAsia="en-US"/>
              </w:rPr>
              <w:t xml:space="preserve"> </w:t>
            </w:r>
          </w:p>
        </w:tc>
        <w:tc>
          <w:tcPr>
            <w:tcW w:w="1627" w:type="dxa"/>
            <w:tcBorders>
              <w:top w:val="single" w:sz="4" w:space="0" w:color="auto"/>
              <w:left w:val="single" w:sz="4" w:space="0" w:color="auto"/>
              <w:bottom w:val="single" w:sz="4" w:space="0" w:color="auto"/>
              <w:right w:val="single" w:sz="4" w:space="0" w:color="auto"/>
            </w:tcBorders>
            <w:vAlign w:val="center"/>
            <w:hideMark/>
          </w:tcPr>
          <w:p w14:paraId="19894DE0" w14:textId="77777777" w:rsidR="00E76938" w:rsidRPr="00914C1A" w:rsidRDefault="00E76938" w:rsidP="00984879">
            <w:pPr>
              <w:pStyle w:val="TableText0"/>
              <w:keepLines/>
              <w:spacing w:line="256" w:lineRule="auto"/>
              <w:rPr>
                <w:kern w:val="2"/>
                <w:sz w:val="18"/>
                <w:szCs w:val="18"/>
                <w:lang w:eastAsia="en-US"/>
              </w:rPr>
            </w:pPr>
            <w:r w:rsidRPr="00914C1A">
              <w:rPr>
                <w:kern w:val="2"/>
                <w:sz w:val="18"/>
                <w:szCs w:val="18"/>
                <w:lang w:eastAsia="en-US"/>
              </w:rPr>
              <w:t xml:space="preserve">$9,660 published </w:t>
            </w:r>
          </w:p>
          <w:p w14:paraId="437D47F7" w14:textId="441DFAD1" w:rsidR="00E76938" w:rsidRPr="00914C1A" w:rsidRDefault="00E76938" w:rsidP="00984879">
            <w:pPr>
              <w:pStyle w:val="TableText0"/>
              <w:keepLines/>
              <w:spacing w:line="256" w:lineRule="auto"/>
              <w:rPr>
                <w:kern w:val="2"/>
                <w:sz w:val="18"/>
                <w:szCs w:val="18"/>
                <w:lang w:eastAsia="en-US"/>
              </w:rPr>
            </w:pPr>
            <w:r w:rsidRPr="00914C1A">
              <w:rPr>
                <w:kern w:val="2"/>
                <w:sz w:val="18"/>
                <w:szCs w:val="18"/>
                <w:lang w:eastAsia="en-US"/>
              </w:rPr>
              <w:t>$</w:t>
            </w:r>
            <w:r w:rsidR="00DE6661" w:rsidRPr="00DE6661">
              <w:rPr>
                <w:color w:val="000000"/>
                <w:spacing w:val="204"/>
                <w:sz w:val="18"/>
                <w:szCs w:val="18"/>
                <w:shd w:val="solid" w:color="000000" w:fill="000000"/>
                <w:fitText w:val="281" w:id="-962329595"/>
                <w:lang w:eastAsia="en-US"/>
                <w14:textFill>
                  <w14:solidFill>
                    <w14:srgbClr w14:val="000000">
                      <w14:alpha w14:val="100000"/>
                    </w14:srgbClr>
                  </w14:solidFill>
                </w14:textFill>
              </w:rPr>
              <w:t>|</w:t>
            </w:r>
            <w:r w:rsidR="00DE6661" w:rsidRPr="00DE6661">
              <w:rPr>
                <w:color w:val="000000"/>
                <w:sz w:val="18"/>
                <w:szCs w:val="18"/>
                <w:shd w:val="solid" w:color="000000" w:fill="000000"/>
                <w:fitText w:val="281" w:id="-962329595"/>
                <w:lang w:eastAsia="en-US"/>
                <w14:textFill>
                  <w14:solidFill>
                    <w14:srgbClr w14:val="000000">
                      <w14:alpha w14:val="100000"/>
                    </w14:srgbClr>
                  </w14:solidFill>
                </w14:textFill>
              </w:rPr>
              <w:t>|</w:t>
            </w:r>
            <w:r w:rsidRPr="00914C1A">
              <w:rPr>
                <w:kern w:val="2"/>
                <w:sz w:val="18"/>
                <w:szCs w:val="18"/>
                <w:lang w:eastAsia="en-US"/>
              </w:rPr>
              <w:t xml:space="preserve"> effective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3EB469" w14:textId="77777777" w:rsidR="00E76938" w:rsidRPr="00914C1A" w:rsidRDefault="00E76938" w:rsidP="00984879">
            <w:pPr>
              <w:keepNext/>
              <w:keepLines/>
              <w:spacing w:line="256" w:lineRule="auto"/>
              <w:jc w:val="center"/>
              <w:rPr>
                <w:rFonts w:ascii="Arial Narrow" w:hAnsi="Arial Narrow"/>
                <w:sz w:val="18"/>
                <w:szCs w:val="18"/>
              </w:rPr>
            </w:pPr>
            <w:r w:rsidRPr="00914C1A">
              <w:rPr>
                <w:rFonts w:ascii="Arial Narrow" w:hAnsi="Arial Narrow"/>
                <w:sz w:val="18"/>
                <w:szCs w:val="18"/>
              </w:rPr>
              <w:t>New</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9BE647" w14:textId="77777777" w:rsidR="00E76938" w:rsidRPr="00914C1A" w:rsidRDefault="00E76938" w:rsidP="00984879">
            <w:pPr>
              <w:keepNext/>
              <w:keepLines/>
              <w:spacing w:line="256" w:lineRule="auto"/>
              <w:jc w:val="center"/>
              <w:rPr>
                <w:rFonts w:ascii="Arial Narrow" w:hAnsi="Arial Narrow"/>
                <w:sz w:val="18"/>
                <w:szCs w:val="18"/>
              </w:rPr>
            </w:pPr>
            <w:r w:rsidRPr="00914C1A">
              <w:rPr>
                <w:rFonts w:ascii="Arial Narrow" w:hAnsi="Arial Narrow"/>
                <w:sz w:val="18"/>
                <w:szCs w:val="18"/>
              </w:rPr>
              <w:t>1</w:t>
            </w:r>
          </w:p>
        </w:tc>
        <w:tc>
          <w:tcPr>
            <w:tcW w:w="962" w:type="dxa"/>
            <w:tcBorders>
              <w:top w:val="single" w:sz="4" w:space="0" w:color="auto"/>
              <w:left w:val="single" w:sz="4" w:space="0" w:color="auto"/>
              <w:bottom w:val="single" w:sz="4" w:space="0" w:color="auto"/>
              <w:right w:val="single" w:sz="4" w:space="0" w:color="auto"/>
            </w:tcBorders>
            <w:vAlign w:val="center"/>
            <w:hideMark/>
          </w:tcPr>
          <w:p w14:paraId="6FDE0C3B" w14:textId="77777777" w:rsidR="00E76938" w:rsidRPr="00914C1A" w:rsidRDefault="00E76938" w:rsidP="00984879">
            <w:pPr>
              <w:keepNext/>
              <w:keepLines/>
              <w:spacing w:line="256" w:lineRule="auto"/>
              <w:jc w:val="center"/>
              <w:rPr>
                <w:rFonts w:ascii="Arial Narrow" w:hAnsi="Arial Narrow"/>
                <w:sz w:val="18"/>
                <w:szCs w:val="18"/>
              </w:rPr>
            </w:pPr>
            <w:r w:rsidRPr="00914C1A">
              <w:rPr>
                <w:rFonts w:ascii="Arial Narrow" w:hAnsi="Arial Narrow"/>
                <w:sz w:val="18"/>
                <w:szCs w:val="18"/>
              </w:rPr>
              <w:t>60</w:t>
            </w:r>
          </w:p>
        </w:tc>
        <w:tc>
          <w:tcPr>
            <w:tcW w:w="739" w:type="dxa"/>
            <w:tcBorders>
              <w:top w:val="single" w:sz="4" w:space="0" w:color="auto"/>
              <w:left w:val="single" w:sz="4" w:space="0" w:color="auto"/>
              <w:bottom w:val="single" w:sz="4" w:space="0" w:color="auto"/>
              <w:right w:val="single" w:sz="4" w:space="0" w:color="auto"/>
            </w:tcBorders>
            <w:vAlign w:val="center"/>
            <w:hideMark/>
          </w:tcPr>
          <w:p w14:paraId="3488167D" w14:textId="77777777" w:rsidR="00E76938" w:rsidRPr="00914C1A" w:rsidRDefault="00E76938" w:rsidP="00984879">
            <w:pPr>
              <w:keepNext/>
              <w:keepLines/>
              <w:spacing w:line="256" w:lineRule="auto"/>
              <w:jc w:val="center"/>
              <w:rPr>
                <w:rFonts w:ascii="Arial Narrow" w:hAnsi="Arial Narrow"/>
                <w:strike/>
                <w:sz w:val="18"/>
                <w:szCs w:val="18"/>
                <w:highlight w:val="yellow"/>
              </w:rPr>
            </w:pPr>
            <w:r w:rsidRPr="00914C1A">
              <w:rPr>
                <w:rFonts w:ascii="Arial Narrow" w:hAnsi="Arial Narrow"/>
                <w:strike/>
                <w:sz w:val="18"/>
                <w:szCs w:val="18"/>
              </w:rPr>
              <w:t>5</w:t>
            </w:r>
            <w:r w:rsidRPr="00914C1A">
              <w:rPr>
                <w:rFonts w:ascii="Arial Narrow" w:hAnsi="Arial Narrow"/>
                <w:i/>
                <w:iCs/>
                <w:sz w:val="18"/>
                <w:szCs w:val="18"/>
              </w:rPr>
              <w:t xml:space="preserve"> 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D39858" w14:textId="77777777" w:rsidR="00E76938" w:rsidRPr="00C952AC" w:rsidRDefault="00E76938" w:rsidP="00984879">
            <w:pPr>
              <w:keepNext/>
              <w:keepLines/>
              <w:spacing w:line="256" w:lineRule="auto"/>
              <w:rPr>
                <w:rFonts w:ascii="Arial Narrow" w:hAnsi="Arial Narrow"/>
                <w:sz w:val="18"/>
                <w:szCs w:val="18"/>
                <w:lang w:val="pt-PT"/>
              </w:rPr>
            </w:pPr>
            <w:r w:rsidRPr="00C952AC">
              <w:rPr>
                <w:rFonts w:ascii="Arial Narrow" w:hAnsi="Arial Narrow"/>
                <w:sz w:val="18"/>
                <w:szCs w:val="18"/>
                <w:lang w:val="pt-PT"/>
              </w:rPr>
              <w:t>Isturisa, Recordati Rare Diseases Australia Pty Ltd.</w:t>
            </w:r>
          </w:p>
        </w:tc>
      </w:tr>
      <w:tr w:rsidR="00E76938" w:rsidRPr="00C952AC" w14:paraId="525E69A3" w14:textId="77777777" w:rsidTr="00914C1A">
        <w:trPr>
          <w:gridBefore w:val="1"/>
          <w:wBefore w:w="16" w:type="dxa"/>
          <w:cantSplit/>
          <w:trHeight w:val="20"/>
        </w:trPr>
        <w:tc>
          <w:tcPr>
            <w:tcW w:w="9100" w:type="dxa"/>
            <w:gridSpan w:val="9"/>
            <w:tcBorders>
              <w:top w:val="single" w:sz="4" w:space="0" w:color="auto"/>
              <w:left w:val="single" w:sz="4" w:space="0" w:color="auto"/>
              <w:bottom w:val="single" w:sz="4" w:space="0" w:color="auto"/>
              <w:right w:val="single" w:sz="4" w:space="0" w:color="auto"/>
            </w:tcBorders>
            <w:vAlign w:val="center"/>
          </w:tcPr>
          <w:p w14:paraId="521D8AB0" w14:textId="77777777" w:rsidR="00E76938" w:rsidRPr="00C952AC" w:rsidRDefault="00E76938" w:rsidP="00984879">
            <w:pPr>
              <w:keepNext/>
              <w:keepLines/>
              <w:spacing w:line="256" w:lineRule="auto"/>
              <w:rPr>
                <w:rFonts w:ascii="Arial Narrow" w:hAnsi="Arial Narrow"/>
                <w:sz w:val="18"/>
                <w:szCs w:val="18"/>
                <w:lang w:val="pt-PT"/>
              </w:rPr>
            </w:pPr>
          </w:p>
        </w:tc>
      </w:tr>
      <w:tr w:rsidR="00E76938" w14:paraId="39080CE5" w14:textId="77777777" w:rsidTr="00914C1A">
        <w:trPr>
          <w:trHeight w:val="20"/>
        </w:trPr>
        <w:tc>
          <w:tcPr>
            <w:tcW w:w="9116" w:type="dxa"/>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077B0B" w14:textId="77777777" w:rsidR="00E76938" w:rsidRPr="00984879" w:rsidRDefault="00E76938" w:rsidP="00984879">
            <w:pPr>
              <w:keepNext/>
              <w:spacing w:line="256" w:lineRule="auto"/>
              <w:rPr>
                <w:rFonts w:ascii="Arial Narrow" w:eastAsia="Calibri" w:hAnsi="Arial Narrow"/>
                <w:b/>
                <w:sz w:val="18"/>
                <w:szCs w:val="18"/>
              </w:rPr>
            </w:pPr>
            <w:r w:rsidRPr="00914C1A">
              <w:rPr>
                <w:rFonts w:ascii="Arial Narrow" w:hAnsi="Arial Narrow"/>
                <w:b/>
                <w:sz w:val="18"/>
                <w:szCs w:val="18"/>
              </w:rPr>
              <w:t>Restriction Summary [new1]</w:t>
            </w:r>
            <w:r w:rsidRPr="00914C1A">
              <w:rPr>
                <w:rFonts w:ascii="Arial Narrow" w:hAnsi="Arial Narrow"/>
                <w:b/>
                <w:color w:val="FF0000"/>
                <w:sz w:val="18"/>
                <w:szCs w:val="18"/>
              </w:rPr>
              <w:t xml:space="preserve"> </w:t>
            </w:r>
            <w:r w:rsidRPr="00914C1A">
              <w:rPr>
                <w:rFonts w:ascii="Arial Narrow" w:hAnsi="Arial Narrow"/>
                <w:b/>
                <w:sz w:val="18"/>
                <w:szCs w:val="18"/>
              </w:rPr>
              <w:t xml:space="preserve">/ Treatment of Concept: [new2] </w:t>
            </w:r>
          </w:p>
        </w:tc>
      </w:tr>
      <w:tr w:rsidR="00E76938" w14:paraId="6C5310CB" w14:textId="77777777" w:rsidTr="00914C1A">
        <w:trPr>
          <w:trHeight w:val="20"/>
        </w:trPr>
        <w:tc>
          <w:tcPr>
            <w:tcW w:w="987"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E37401" w14:textId="77777777" w:rsidR="00E76938" w:rsidRDefault="00E76938" w:rsidP="00984879">
            <w:pPr>
              <w:keepNext/>
              <w:spacing w:line="256" w:lineRule="auto"/>
              <w:jc w:val="center"/>
              <w:rPr>
                <w:rFonts w:ascii="Arial Narrow" w:eastAsia="Calibri" w:hAnsi="Arial Narrow"/>
                <w:b/>
                <w:sz w:val="18"/>
                <w:szCs w:val="18"/>
              </w:rPr>
            </w:pPr>
            <w:r>
              <w:rPr>
                <w:rFonts w:ascii="Arial Narrow" w:eastAsia="Calibri" w:hAnsi="Arial Narrow"/>
                <w:b/>
                <w:sz w:val="18"/>
                <w:szCs w:val="18"/>
              </w:rPr>
              <w:t>Concept ID</w:t>
            </w:r>
          </w:p>
          <w:p w14:paraId="24E5F06E" w14:textId="77777777" w:rsidR="00E76938" w:rsidRDefault="00E76938" w:rsidP="00984879">
            <w:pPr>
              <w:keepNext/>
              <w:spacing w:line="256" w:lineRule="auto"/>
              <w:rPr>
                <w:rFonts w:ascii="Arial Narrow" w:eastAsia="Calibri" w:hAnsi="Arial Narrow"/>
                <w:i/>
                <w:sz w:val="18"/>
                <w:szCs w:val="18"/>
              </w:rPr>
            </w:pPr>
          </w:p>
          <w:p w14:paraId="15FD8B42" w14:textId="141F743C" w:rsidR="00E76938" w:rsidRDefault="00E76938" w:rsidP="00914C1A">
            <w:pPr>
              <w:keepNext/>
              <w:spacing w:line="256" w:lineRule="auto"/>
              <w:jc w:val="center"/>
              <w:rPr>
                <w:rFonts w:ascii="Arial Narrow" w:eastAsia="Calibri" w:hAnsi="Arial Narrow"/>
                <w:b/>
                <w:sz w:val="18"/>
                <w:szCs w:val="18"/>
              </w:rPr>
            </w:pPr>
            <w:r>
              <w:rPr>
                <w:rFonts w:ascii="Arial Narrow" w:eastAsia="Calibri" w:hAnsi="Arial Narrow"/>
                <w:sz w:val="18"/>
                <w:szCs w:val="18"/>
              </w:rPr>
              <w:t>(for internal Dept. use)</w:t>
            </w: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D41481" w14:textId="77777777" w:rsidR="00E76938" w:rsidRPr="00984879" w:rsidRDefault="00E76938" w:rsidP="00984879">
            <w:pPr>
              <w:keepNext/>
              <w:spacing w:line="256" w:lineRule="auto"/>
              <w:rPr>
                <w:rFonts w:ascii="Arial Narrow" w:eastAsia="Calibri" w:hAnsi="Arial Narrow"/>
                <w:sz w:val="18"/>
                <w:szCs w:val="18"/>
              </w:rPr>
            </w:pPr>
            <w:r w:rsidRPr="00984879">
              <w:rPr>
                <w:rFonts w:ascii="Arial Narrow" w:eastAsia="Calibri" w:hAnsi="Arial Narrow"/>
                <w:b/>
                <w:sz w:val="18"/>
                <w:szCs w:val="18"/>
              </w:rPr>
              <w:t xml:space="preserve">Category / Program: </w:t>
            </w:r>
          </w:p>
          <w:p w14:paraId="7523752C" w14:textId="77777777" w:rsidR="00E76938" w:rsidRPr="00984879" w:rsidRDefault="00E76938" w:rsidP="00984879">
            <w:pPr>
              <w:keepNext/>
              <w:spacing w:line="256" w:lineRule="auto"/>
              <w:rPr>
                <w:rFonts w:ascii="Arial Narrow" w:eastAsia="Calibri" w:hAnsi="Arial Narrow"/>
                <w:sz w:val="18"/>
                <w:szCs w:val="18"/>
              </w:rPr>
            </w:pPr>
            <w:r w:rsidRPr="00984879">
              <w:rPr>
                <w:rFonts w:ascii="Arial Narrow" w:eastAsia="Calibri" w:hAnsi="Arial Narrow"/>
                <w:sz w:val="18"/>
                <w:szCs w:val="18"/>
              </w:rPr>
              <w:t xml:space="preserve">Section 85 – General Schedule </w:t>
            </w:r>
          </w:p>
        </w:tc>
      </w:tr>
      <w:tr w:rsidR="00E76938" w14:paraId="5EF06C96" w14:textId="77777777" w:rsidTr="00914C1A">
        <w:trPr>
          <w:trHeight w:val="20"/>
        </w:trPr>
        <w:tc>
          <w:tcPr>
            <w:tcW w:w="987" w:type="dxa"/>
            <w:gridSpan w:val="3"/>
            <w:vMerge/>
            <w:tcBorders>
              <w:top w:val="single" w:sz="4" w:space="0" w:color="auto"/>
              <w:left w:val="single" w:sz="4" w:space="0" w:color="auto"/>
              <w:bottom w:val="single" w:sz="4" w:space="0" w:color="auto"/>
              <w:right w:val="single" w:sz="4" w:space="0" w:color="auto"/>
            </w:tcBorders>
            <w:vAlign w:val="center"/>
            <w:hideMark/>
          </w:tcPr>
          <w:p w14:paraId="49B826AB" w14:textId="77777777" w:rsidR="00E76938" w:rsidRDefault="00E76938" w:rsidP="00984879">
            <w:pPr>
              <w:spacing w:line="256" w:lineRule="auto"/>
              <w:rPr>
                <w:rFonts w:ascii="Arial Narrow" w:eastAsia="Calibri" w:hAnsi="Arial Narrow"/>
                <w:b/>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B04FC1" w14:textId="77777777" w:rsidR="00E76938" w:rsidRPr="00984879" w:rsidRDefault="00E76938" w:rsidP="00984879">
            <w:pPr>
              <w:keepNext/>
              <w:spacing w:line="256" w:lineRule="auto"/>
              <w:rPr>
                <w:rFonts w:ascii="Arial Narrow" w:eastAsia="Calibri" w:hAnsi="Arial Narrow"/>
                <w:b/>
                <w:sz w:val="18"/>
                <w:szCs w:val="18"/>
              </w:rPr>
            </w:pPr>
            <w:r w:rsidRPr="00984879">
              <w:rPr>
                <w:rFonts w:ascii="Arial Narrow" w:eastAsia="Calibri" w:hAnsi="Arial Narrow"/>
                <w:b/>
                <w:sz w:val="18"/>
                <w:szCs w:val="18"/>
              </w:rPr>
              <w:t xml:space="preserve">Prescriber type: </w:t>
            </w:r>
            <w:r w:rsidRPr="00984879">
              <w:rPr>
                <w:rFonts w:ascii="Arial Narrow" w:eastAsia="Calibri" w:hAnsi="Arial Narrow"/>
                <w:sz w:val="18"/>
                <w:szCs w:val="18"/>
              </w:rPr>
              <w:fldChar w:fldCharType="begin" w:fldLock="1">
                <w:ffData>
                  <w:name w:val=""/>
                  <w:enabled/>
                  <w:calcOnExit w:val="0"/>
                  <w:checkBox>
                    <w:sizeAuto/>
                    <w:default w:val="1"/>
                  </w:checkBox>
                </w:ffData>
              </w:fldChar>
            </w:r>
            <w:r w:rsidRPr="00984879">
              <w:rPr>
                <w:rFonts w:ascii="Arial Narrow" w:eastAsia="Calibri" w:hAnsi="Arial Narrow"/>
                <w:sz w:val="18"/>
                <w:szCs w:val="18"/>
              </w:rPr>
              <w:instrText xml:space="preserve"> FORMCHECKBOX </w:instrText>
            </w:r>
            <w:r w:rsidRPr="00984879">
              <w:rPr>
                <w:rFonts w:ascii="Arial Narrow" w:eastAsia="Calibri" w:hAnsi="Arial Narrow"/>
                <w:sz w:val="18"/>
                <w:szCs w:val="18"/>
              </w:rPr>
            </w:r>
            <w:r w:rsidRPr="00984879">
              <w:rPr>
                <w:rFonts w:ascii="Arial Narrow" w:eastAsia="Calibri" w:hAnsi="Arial Narrow"/>
                <w:sz w:val="18"/>
                <w:szCs w:val="18"/>
              </w:rPr>
              <w:fldChar w:fldCharType="separate"/>
            </w:r>
            <w:r w:rsidRPr="00984879">
              <w:rPr>
                <w:rFonts w:ascii="Arial Narrow" w:eastAsia="Calibri" w:hAnsi="Arial Narrow"/>
                <w:sz w:val="18"/>
                <w:szCs w:val="18"/>
              </w:rPr>
              <w:fldChar w:fldCharType="end"/>
            </w:r>
            <w:r w:rsidRPr="00984879">
              <w:rPr>
                <w:rFonts w:ascii="Arial Narrow" w:eastAsia="Calibri" w:hAnsi="Arial Narrow"/>
                <w:sz w:val="18"/>
                <w:szCs w:val="18"/>
              </w:rPr>
              <w:t xml:space="preserve">Medical Practitioners </w:t>
            </w:r>
          </w:p>
        </w:tc>
      </w:tr>
      <w:tr w:rsidR="00E76938" w14:paraId="104A86EA" w14:textId="77777777" w:rsidTr="00914C1A">
        <w:trPr>
          <w:trHeight w:val="20"/>
        </w:trPr>
        <w:tc>
          <w:tcPr>
            <w:tcW w:w="987" w:type="dxa"/>
            <w:gridSpan w:val="3"/>
            <w:vMerge/>
            <w:tcBorders>
              <w:top w:val="single" w:sz="4" w:space="0" w:color="auto"/>
              <w:left w:val="single" w:sz="4" w:space="0" w:color="auto"/>
              <w:bottom w:val="single" w:sz="4" w:space="0" w:color="auto"/>
              <w:right w:val="single" w:sz="4" w:space="0" w:color="auto"/>
            </w:tcBorders>
            <w:vAlign w:val="center"/>
            <w:hideMark/>
          </w:tcPr>
          <w:p w14:paraId="4882AFA7" w14:textId="77777777" w:rsidR="00E76938" w:rsidRDefault="00E76938" w:rsidP="00984879">
            <w:pPr>
              <w:spacing w:line="256" w:lineRule="auto"/>
              <w:rPr>
                <w:rFonts w:ascii="Arial Narrow" w:eastAsia="Calibri" w:hAnsi="Arial Narrow"/>
                <w:b/>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99687E" w14:textId="77777777" w:rsidR="00E76938" w:rsidRPr="00984879" w:rsidRDefault="00E76938" w:rsidP="00984879">
            <w:pPr>
              <w:keepNext/>
              <w:spacing w:line="256" w:lineRule="auto"/>
              <w:rPr>
                <w:rFonts w:ascii="Arial Narrow" w:eastAsia="Calibri" w:hAnsi="Arial Narrow"/>
                <w:b/>
                <w:sz w:val="18"/>
                <w:szCs w:val="18"/>
              </w:rPr>
            </w:pPr>
            <w:r w:rsidRPr="00984879">
              <w:rPr>
                <w:rFonts w:ascii="Arial Narrow" w:eastAsia="Calibri" w:hAnsi="Arial Narrow"/>
                <w:b/>
                <w:sz w:val="18"/>
                <w:szCs w:val="18"/>
              </w:rPr>
              <w:t>Restriction Type –</w:t>
            </w:r>
            <w:r w:rsidRPr="00984879">
              <w:rPr>
                <w:rFonts w:ascii="Arial Narrow" w:eastAsia="Calibri" w:hAnsi="Arial Narrow"/>
                <w:sz w:val="18"/>
                <w:szCs w:val="18"/>
              </w:rPr>
              <w:fldChar w:fldCharType="begin" w:fldLock="1">
                <w:ffData>
                  <w:name w:val="Check3"/>
                  <w:enabled/>
                  <w:calcOnExit w:val="0"/>
                  <w:checkBox>
                    <w:sizeAuto/>
                    <w:default w:val="1"/>
                  </w:checkBox>
                </w:ffData>
              </w:fldChar>
            </w:r>
            <w:r w:rsidRPr="00984879">
              <w:rPr>
                <w:rFonts w:ascii="Arial Narrow" w:eastAsia="Calibri" w:hAnsi="Arial Narrow"/>
                <w:sz w:val="18"/>
                <w:szCs w:val="18"/>
              </w:rPr>
              <w:instrText xml:space="preserve"> FORMCHECKBOX </w:instrText>
            </w:r>
            <w:r w:rsidRPr="00984879">
              <w:rPr>
                <w:rFonts w:ascii="Arial Narrow" w:eastAsia="Calibri" w:hAnsi="Arial Narrow"/>
                <w:sz w:val="18"/>
                <w:szCs w:val="18"/>
              </w:rPr>
            </w:r>
            <w:r w:rsidRPr="00984879">
              <w:rPr>
                <w:rFonts w:ascii="Arial Narrow" w:eastAsia="Calibri" w:hAnsi="Arial Narrow"/>
                <w:sz w:val="18"/>
                <w:szCs w:val="18"/>
              </w:rPr>
              <w:fldChar w:fldCharType="separate"/>
            </w:r>
            <w:r w:rsidRPr="00984879">
              <w:rPr>
                <w:rFonts w:ascii="Arial Narrow" w:eastAsia="Calibri" w:hAnsi="Arial Narrow"/>
                <w:sz w:val="18"/>
                <w:szCs w:val="18"/>
              </w:rPr>
              <w:fldChar w:fldCharType="end"/>
            </w:r>
            <w:r w:rsidRPr="00984879">
              <w:rPr>
                <w:rFonts w:ascii="Arial Narrow" w:eastAsia="Calibri" w:hAnsi="Arial Narrow"/>
                <w:sz w:val="18"/>
                <w:szCs w:val="18"/>
              </w:rPr>
              <w:t>Authority Required – immediate/real time assessment by Services Australia (telephone/online application avenues)</w:t>
            </w:r>
          </w:p>
        </w:tc>
      </w:tr>
      <w:tr w:rsidR="00E76938" w14:paraId="00836138" w14:textId="77777777" w:rsidTr="00914C1A">
        <w:trPr>
          <w:trHeight w:val="20"/>
        </w:trPr>
        <w:tc>
          <w:tcPr>
            <w:tcW w:w="396"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266A05" w14:textId="77777777" w:rsidR="00E76938" w:rsidRDefault="00E76938" w:rsidP="00984879">
            <w:pPr>
              <w:spacing w:line="256" w:lineRule="auto"/>
              <w:jc w:val="center"/>
              <w:rPr>
                <w:rFonts w:ascii="Arial Narrow" w:hAnsi="Arial Narrow"/>
                <w:i/>
                <w:iCs/>
                <w:color w:val="333333"/>
                <w:sz w:val="18"/>
                <w:szCs w:val="18"/>
              </w:rPr>
            </w:pPr>
            <w:r>
              <w:rPr>
                <w:rFonts w:ascii="Arial Narrow" w:hAnsi="Arial Narrow"/>
                <w:i/>
                <w:iCs/>
                <w:color w:val="333333"/>
                <w:sz w:val="18"/>
                <w:szCs w:val="18"/>
              </w:rPr>
              <w:t>PR level</w:t>
            </w:r>
          </w:p>
        </w:tc>
        <w:tc>
          <w:tcPr>
            <w:tcW w:w="5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BDFF55" w14:textId="15BAF126" w:rsid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F93E97" w14:textId="77777777" w:rsidR="00E76938" w:rsidRPr="00984879" w:rsidRDefault="00E76938" w:rsidP="00984879">
            <w:pPr>
              <w:spacing w:line="256" w:lineRule="auto"/>
              <w:rPr>
                <w:rFonts w:ascii="Arial Narrow" w:hAnsi="Arial Narrow"/>
                <w:i/>
                <w:iCs/>
                <w:color w:val="333333"/>
                <w:sz w:val="18"/>
                <w:szCs w:val="18"/>
              </w:rPr>
            </w:pPr>
            <w:r w:rsidRPr="00984879">
              <w:rPr>
                <w:rFonts w:ascii="Arial Narrow" w:hAnsi="Arial Narrow"/>
                <w:b/>
                <w:bCs/>
                <w:i/>
                <w:iCs/>
                <w:color w:val="333333"/>
                <w:sz w:val="18"/>
                <w:szCs w:val="18"/>
              </w:rPr>
              <w:t>Caution:</w:t>
            </w:r>
            <w:r w:rsidRPr="00984879">
              <w:rPr>
                <w:rFonts w:ascii="Arial Narrow" w:hAnsi="Arial Narrow"/>
                <w:i/>
                <w:iCs/>
                <w:color w:val="333333"/>
                <w:sz w:val="18"/>
                <w:szCs w:val="18"/>
              </w:rPr>
              <w:t xml:space="preserve"> </w:t>
            </w:r>
          </w:p>
          <w:p w14:paraId="05E2F11D" w14:textId="77777777" w:rsidR="00E76938" w:rsidRPr="00984879" w:rsidRDefault="00E76938" w:rsidP="00984879">
            <w:pPr>
              <w:spacing w:line="256" w:lineRule="auto"/>
              <w:rPr>
                <w:rFonts w:ascii="Arial Narrow" w:hAnsi="Arial Narrow"/>
                <w:i/>
                <w:iCs/>
                <w:color w:val="333333"/>
                <w:sz w:val="18"/>
                <w:szCs w:val="18"/>
              </w:rPr>
            </w:pPr>
            <w:r w:rsidRPr="00984879">
              <w:rPr>
                <w:rFonts w:ascii="Arial Narrow" w:hAnsi="Arial Narrow"/>
                <w:i/>
                <w:iCs/>
                <w:color w:val="333333"/>
                <w:sz w:val="18"/>
                <w:szCs w:val="18"/>
              </w:rPr>
              <w:t>The following should be assessed prior to receiving treatment and closely monitored throughout the treatment period:</w:t>
            </w:r>
          </w:p>
          <w:p w14:paraId="6E48993C" w14:textId="77777777" w:rsidR="00E76938" w:rsidRPr="00984879" w:rsidRDefault="00E76938" w:rsidP="00984879">
            <w:pPr>
              <w:numPr>
                <w:ilvl w:val="0"/>
                <w:numId w:val="10"/>
              </w:numPr>
              <w:spacing w:line="256" w:lineRule="auto"/>
              <w:contextualSpacing/>
              <w:rPr>
                <w:rFonts w:ascii="Arial Narrow" w:hAnsi="Arial Narrow"/>
                <w:i/>
                <w:iCs/>
                <w:strike/>
                <w:color w:val="333333"/>
                <w:sz w:val="18"/>
                <w:szCs w:val="18"/>
              </w:rPr>
            </w:pPr>
            <w:r w:rsidRPr="00984879">
              <w:rPr>
                <w:rFonts w:ascii="Arial Narrow" w:hAnsi="Arial Narrow"/>
                <w:i/>
                <w:iCs/>
                <w:color w:val="333333"/>
                <w:sz w:val="18"/>
                <w:szCs w:val="18"/>
              </w:rPr>
              <w:t>QTc prolongation via an electrocardiogram</w:t>
            </w:r>
          </w:p>
          <w:p w14:paraId="722B795F" w14:textId="77777777" w:rsidR="00E76938" w:rsidRPr="00984879" w:rsidRDefault="00E76938" w:rsidP="00984879">
            <w:pPr>
              <w:numPr>
                <w:ilvl w:val="0"/>
                <w:numId w:val="10"/>
              </w:numPr>
              <w:spacing w:line="256" w:lineRule="auto"/>
              <w:contextualSpacing/>
              <w:rPr>
                <w:rFonts w:ascii="Arial Narrow" w:hAnsi="Arial Narrow"/>
                <w:i/>
                <w:iCs/>
                <w:color w:val="333333"/>
                <w:sz w:val="18"/>
                <w:szCs w:val="18"/>
              </w:rPr>
            </w:pPr>
            <w:r w:rsidRPr="00984879">
              <w:rPr>
                <w:rFonts w:ascii="Arial Narrow" w:hAnsi="Arial Narrow"/>
                <w:i/>
                <w:iCs/>
                <w:color w:val="333333"/>
                <w:sz w:val="18"/>
                <w:szCs w:val="18"/>
              </w:rPr>
              <w:t>Hypocortisolism</w:t>
            </w:r>
          </w:p>
          <w:p w14:paraId="08DC24FB" w14:textId="77777777" w:rsidR="00E76938" w:rsidRPr="00984879" w:rsidRDefault="00E76938" w:rsidP="00984879">
            <w:pPr>
              <w:numPr>
                <w:ilvl w:val="0"/>
                <w:numId w:val="10"/>
              </w:numPr>
              <w:spacing w:line="256" w:lineRule="auto"/>
              <w:contextualSpacing/>
              <w:rPr>
                <w:rFonts w:ascii="Arial Narrow" w:hAnsi="Arial Narrow"/>
                <w:i/>
                <w:iCs/>
                <w:color w:val="333333"/>
                <w:sz w:val="18"/>
                <w:szCs w:val="18"/>
              </w:rPr>
            </w:pPr>
            <w:r w:rsidRPr="00984879">
              <w:rPr>
                <w:rFonts w:ascii="Arial Narrow" w:hAnsi="Arial Narrow"/>
                <w:i/>
                <w:iCs/>
                <w:color w:val="333333"/>
                <w:sz w:val="18"/>
                <w:szCs w:val="18"/>
              </w:rPr>
              <w:t>Corticotroph tumour growth</w:t>
            </w:r>
          </w:p>
        </w:tc>
      </w:tr>
      <w:tr w:rsidR="00E76938" w14:paraId="0E7F850A" w14:textId="77777777" w:rsidTr="00914C1A">
        <w:trPr>
          <w:trHeight w:val="20"/>
        </w:trPr>
        <w:tc>
          <w:tcPr>
            <w:tcW w:w="396" w:type="dxa"/>
            <w:gridSpan w:val="2"/>
            <w:vMerge/>
            <w:tcBorders>
              <w:top w:val="single" w:sz="4" w:space="0" w:color="auto"/>
              <w:left w:val="single" w:sz="4" w:space="0" w:color="auto"/>
              <w:bottom w:val="single" w:sz="4" w:space="0" w:color="auto"/>
              <w:right w:val="single" w:sz="4" w:space="0" w:color="auto"/>
            </w:tcBorders>
            <w:vAlign w:val="center"/>
            <w:hideMark/>
          </w:tcPr>
          <w:p w14:paraId="4B353F04" w14:textId="77777777" w:rsidR="00E76938" w:rsidRDefault="00E76938" w:rsidP="00984879">
            <w:pPr>
              <w:spacing w:line="256" w:lineRule="auto"/>
              <w:rPr>
                <w:rFonts w:ascii="Arial Narrow" w:hAnsi="Arial Narrow"/>
                <w:i/>
                <w:iCs/>
                <w:color w:val="333333"/>
                <w:sz w:val="18"/>
                <w:szCs w:val="18"/>
              </w:rPr>
            </w:pPr>
          </w:p>
        </w:tc>
        <w:tc>
          <w:tcPr>
            <w:tcW w:w="5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BF5398" w14:textId="3FC1FFFE" w:rsid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F6DD0A" w14:textId="77777777" w:rsidR="00E76938" w:rsidRPr="00984879" w:rsidRDefault="00E76938" w:rsidP="00984879">
            <w:pPr>
              <w:spacing w:line="256" w:lineRule="auto"/>
              <w:rPr>
                <w:rFonts w:ascii="Arial Narrow" w:eastAsia="Calibri" w:hAnsi="Arial Narrow"/>
                <w:b/>
                <w:i/>
                <w:iCs/>
                <w:sz w:val="18"/>
                <w:szCs w:val="18"/>
              </w:rPr>
            </w:pPr>
            <w:r w:rsidRPr="00984879">
              <w:rPr>
                <w:rFonts w:ascii="Arial Narrow" w:eastAsia="Calibri" w:hAnsi="Arial Narrow"/>
                <w:b/>
                <w:i/>
                <w:iCs/>
                <w:sz w:val="18"/>
                <w:szCs w:val="18"/>
              </w:rPr>
              <w:t xml:space="preserve">Administrative advice: </w:t>
            </w:r>
          </w:p>
          <w:p w14:paraId="7B8A94E8" w14:textId="77777777" w:rsidR="00E76938" w:rsidRPr="00984879" w:rsidRDefault="00E76938" w:rsidP="00984879">
            <w:pPr>
              <w:spacing w:line="256" w:lineRule="auto"/>
              <w:rPr>
                <w:rFonts w:ascii="Arial Narrow" w:hAnsi="Arial Narrow"/>
                <w:b/>
                <w:bCs/>
                <w:i/>
                <w:iCs/>
                <w:color w:val="333333"/>
                <w:sz w:val="18"/>
                <w:szCs w:val="18"/>
              </w:rPr>
            </w:pPr>
            <w:r w:rsidRPr="00984879">
              <w:rPr>
                <w:rFonts w:ascii="Arial Narrow" w:hAnsi="Arial Narrow"/>
                <w:i/>
                <w:iCs/>
                <w:color w:val="333333"/>
                <w:sz w:val="18"/>
                <w:szCs w:val="18"/>
              </w:rPr>
              <w:t>Cortisol levels should be monitored at regular intervals, since hypocortisolism-related events can occur at any time during treatment.</w:t>
            </w:r>
          </w:p>
        </w:tc>
      </w:tr>
      <w:tr w:rsidR="00E76938" w14:paraId="3631317A" w14:textId="77777777" w:rsidTr="00914C1A">
        <w:trPr>
          <w:trHeight w:val="20"/>
        </w:trPr>
        <w:tc>
          <w:tcPr>
            <w:tcW w:w="396" w:type="dxa"/>
            <w:gridSpan w:val="2"/>
            <w:vMerge/>
            <w:tcBorders>
              <w:top w:val="single" w:sz="4" w:space="0" w:color="auto"/>
              <w:left w:val="single" w:sz="4" w:space="0" w:color="auto"/>
              <w:bottom w:val="single" w:sz="4" w:space="0" w:color="auto"/>
              <w:right w:val="single" w:sz="4" w:space="0" w:color="auto"/>
            </w:tcBorders>
            <w:vAlign w:val="center"/>
            <w:hideMark/>
          </w:tcPr>
          <w:p w14:paraId="4D1F94BE" w14:textId="77777777" w:rsidR="00E76938" w:rsidRDefault="00E76938" w:rsidP="00984879">
            <w:pPr>
              <w:spacing w:line="256" w:lineRule="auto"/>
              <w:rPr>
                <w:rFonts w:ascii="Arial Narrow" w:hAnsi="Arial Narrow"/>
                <w:i/>
                <w:iCs/>
                <w:color w:val="333333"/>
                <w:sz w:val="18"/>
                <w:szCs w:val="18"/>
              </w:rPr>
            </w:pPr>
          </w:p>
        </w:tc>
        <w:tc>
          <w:tcPr>
            <w:tcW w:w="5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9A1B22" w14:textId="10868E2A" w:rsid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0FC695" w14:textId="77777777" w:rsidR="00E76938" w:rsidRPr="00984879" w:rsidRDefault="00E76938" w:rsidP="00984879">
            <w:pPr>
              <w:spacing w:line="256" w:lineRule="auto"/>
              <w:rPr>
                <w:rFonts w:ascii="Arial Narrow" w:eastAsia="Calibri" w:hAnsi="Arial Narrow"/>
                <w:b/>
                <w:i/>
                <w:iCs/>
                <w:sz w:val="18"/>
                <w:szCs w:val="18"/>
              </w:rPr>
            </w:pPr>
            <w:r w:rsidRPr="00984879">
              <w:rPr>
                <w:rFonts w:ascii="Arial Narrow" w:eastAsia="Calibri" w:hAnsi="Arial Narrow"/>
                <w:b/>
                <w:i/>
                <w:iCs/>
                <w:sz w:val="18"/>
                <w:szCs w:val="18"/>
              </w:rPr>
              <w:t xml:space="preserve">Administrative advice: </w:t>
            </w:r>
          </w:p>
          <w:p w14:paraId="06423D2A" w14:textId="77777777" w:rsidR="00E76938" w:rsidRPr="00984879" w:rsidRDefault="00E76938" w:rsidP="00984879">
            <w:pPr>
              <w:spacing w:line="256" w:lineRule="auto"/>
              <w:rPr>
                <w:rFonts w:ascii="Arial Narrow" w:hAnsi="Arial Narrow"/>
                <w:b/>
                <w:bCs/>
                <w:i/>
                <w:iCs/>
                <w:color w:val="333333"/>
                <w:sz w:val="18"/>
                <w:szCs w:val="18"/>
              </w:rPr>
            </w:pPr>
            <w:r w:rsidRPr="00984879">
              <w:rPr>
                <w:rFonts w:ascii="Arial Narrow" w:eastAsia="Calibri" w:hAnsi="Arial Narrow"/>
                <w:i/>
                <w:iCs/>
                <w:sz w:val="18"/>
                <w:szCs w:val="18"/>
              </w:rPr>
              <w:t>No increase in the maximum number of repeats may be authorised.</w:t>
            </w:r>
          </w:p>
        </w:tc>
      </w:tr>
      <w:tr w:rsidR="00E76938" w14:paraId="23C787A2" w14:textId="77777777" w:rsidTr="00914C1A">
        <w:trPr>
          <w:trHeight w:val="20"/>
        </w:trPr>
        <w:tc>
          <w:tcPr>
            <w:tcW w:w="396" w:type="dxa"/>
            <w:gridSpan w:val="2"/>
            <w:vMerge/>
            <w:tcBorders>
              <w:top w:val="single" w:sz="4" w:space="0" w:color="auto"/>
              <w:left w:val="single" w:sz="4" w:space="0" w:color="auto"/>
              <w:bottom w:val="single" w:sz="4" w:space="0" w:color="auto"/>
              <w:right w:val="single" w:sz="4" w:space="0" w:color="auto"/>
            </w:tcBorders>
            <w:vAlign w:val="center"/>
            <w:hideMark/>
          </w:tcPr>
          <w:p w14:paraId="1843D829" w14:textId="77777777" w:rsidR="00E76938" w:rsidRDefault="00E76938" w:rsidP="00984879">
            <w:pPr>
              <w:spacing w:line="256" w:lineRule="auto"/>
              <w:rPr>
                <w:rFonts w:ascii="Arial Narrow" w:hAnsi="Arial Narrow"/>
                <w:i/>
                <w:iCs/>
                <w:color w:val="333333"/>
                <w:sz w:val="18"/>
                <w:szCs w:val="18"/>
              </w:rPr>
            </w:pPr>
          </w:p>
        </w:tc>
        <w:tc>
          <w:tcPr>
            <w:tcW w:w="5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C85144" w14:textId="1508A166" w:rsid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E29CA3" w14:textId="77777777" w:rsidR="00E76938" w:rsidRPr="00984879" w:rsidRDefault="00E76938" w:rsidP="00984879">
            <w:pPr>
              <w:spacing w:line="256" w:lineRule="auto"/>
              <w:rPr>
                <w:rFonts w:ascii="Arial Narrow" w:eastAsia="Calibri" w:hAnsi="Arial Narrow"/>
                <w:b/>
                <w:i/>
                <w:iCs/>
                <w:sz w:val="18"/>
                <w:szCs w:val="18"/>
              </w:rPr>
            </w:pPr>
            <w:r w:rsidRPr="00984879">
              <w:rPr>
                <w:rFonts w:ascii="Arial Narrow" w:eastAsia="Calibri" w:hAnsi="Arial Narrow"/>
                <w:b/>
                <w:i/>
                <w:iCs/>
                <w:sz w:val="18"/>
                <w:szCs w:val="18"/>
              </w:rPr>
              <w:t xml:space="preserve">Administrative Advice: </w:t>
            </w:r>
          </w:p>
          <w:p w14:paraId="789FC14C" w14:textId="77777777" w:rsidR="00E76938" w:rsidRPr="00984879" w:rsidRDefault="00E76938" w:rsidP="00984879">
            <w:pPr>
              <w:spacing w:line="256" w:lineRule="auto"/>
              <w:rPr>
                <w:rFonts w:ascii="Arial Narrow" w:hAnsi="Arial Narrow"/>
                <w:b/>
                <w:bCs/>
                <w:i/>
                <w:iCs/>
                <w:color w:val="333333"/>
                <w:sz w:val="18"/>
                <w:szCs w:val="18"/>
              </w:rPr>
            </w:pPr>
            <w:r w:rsidRPr="00984879">
              <w:rPr>
                <w:rFonts w:ascii="Arial Narrow" w:eastAsia="Calibri" w:hAnsi="Arial Narrow"/>
                <w:bCs/>
                <w:i/>
                <w:iCs/>
                <w:sz w:val="18"/>
                <w:szCs w:val="18"/>
              </w:rPr>
              <w:t>Special Pricing Arrangements apply.</w:t>
            </w:r>
          </w:p>
        </w:tc>
      </w:tr>
      <w:tr w:rsidR="00E76938" w14:paraId="59D295E5"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AB119E" w14:textId="77777777"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CFA3FB" w14:textId="77777777" w:rsidR="00E76938" w:rsidRPr="00984879" w:rsidRDefault="00E76938" w:rsidP="00984879">
            <w:pPr>
              <w:spacing w:line="256" w:lineRule="auto"/>
              <w:rPr>
                <w:rFonts w:ascii="Arial Narrow" w:hAnsi="Arial Narrow"/>
                <w:bCs/>
                <w:color w:val="AEAAAA" w:themeColor="background2" w:themeShade="BF"/>
                <w:sz w:val="18"/>
                <w:szCs w:val="18"/>
              </w:rPr>
            </w:pPr>
            <w:r w:rsidRPr="00984879">
              <w:rPr>
                <w:rFonts w:ascii="Arial Narrow" w:hAnsi="Arial Narrow"/>
                <w:b/>
                <w:bCs/>
                <w:color w:val="AEAAAA" w:themeColor="background2" w:themeShade="BF"/>
                <w:sz w:val="18"/>
                <w:szCs w:val="18"/>
              </w:rPr>
              <w:t xml:space="preserve">Episodicity: </w:t>
            </w:r>
            <w:r w:rsidRPr="00984879">
              <w:rPr>
                <w:rFonts w:ascii="Arial Narrow" w:hAnsi="Arial Narrow"/>
                <w:color w:val="AEAAAA" w:themeColor="background2" w:themeShade="BF"/>
                <w:sz w:val="18"/>
                <w:szCs w:val="18"/>
              </w:rPr>
              <w:t>Chronic</w:t>
            </w:r>
          </w:p>
        </w:tc>
      </w:tr>
      <w:tr w:rsidR="00E76938" w14:paraId="40347080"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CD577E" w14:textId="77777777"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A26CCB" w14:textId="77777777" w:rsidR="00E76938" w:rsidRPr="00984879" w:rsidRDefault="00E76938" w:rsidP="00984879">
            <w:pPr>
              <w:spacing w:line="256" w:lineRule="auto"/>
              <w:rPr>
                <w:rFonts w:ascii="Arial Narrow" w:hAnsi="Arial Narrow"/>
                <w:b/>
                <w:bCs/>
                <w:color w:val="AEAAAA" w:themeColor="background2" w:themeShade="BF"/>
                <w:sz w:val="18"/>
                <w:szCs w:val="18"/>
              </w:rPr>
            </w:pPr>
            <w:r w:rsidRPr="00984879">
              <w:rPr>
                <w:rFonts w:ascii="Arial Narrow" w:hAnsi="Arial Narrow"/>
                <w:b/>
                <w:bCs/>
                <w:color w:val="AEAAAA" w:themeColor="background2" w:themeShade="BF"/>
                <w:sz w:val="18"/>
                <w:szCs w:val="18"/>
              </w:rPr>
              <w:t xml:space="preserve">Severity: </w:t>
            </w:r>
            <w:r w:rsidRPr="00984879">
              <w:rPr>
                <w:rFonts w:ascii="Arial Narrow" w:hAnsi="Arial Narrow"/>
                <w:color w:val="AEAAAA" w:themeColor="background2" w:themeShade="BF"/>
                <w:sz w:val="18"/>
                <w:szCs w:val="18"/>
              </w:rPr>
              <w:t>NA</w:t>
            </w:r>
          </w:p>
        </w:tc>
      </w:tr>
      <w:tr w:rsidR="00E76938" w14:paraId="031B854E"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CCC6A7" w14:textId="77777777"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EDBA93" w14:textId="77777777" w:rsidR="00E76938" w:rsidRPr="00984879" w:rsidRDefault="00E76938" w:rsidP="00984879">
            <w:pPr>
              <w:spacing w:line="256" w:lineRule="auto"/>
              <w:rPr>
                <w:rFonts w:ascii="Arial Narrow" w:hAnsi="Arial Narrow"/>
                <w:b/>
                <w:bCs/>
                <w:color w:val="AEAAAA" w:themeColor="background2" w:themeShade="BF"/>
                <w:sz w:val="18"/>
                <w:szCs w:val="18"/>
              </w:rPr>
            </w:pPr>
            <w:r w:rsidRPr="00984879">
              <w:rPr>
                <w:rFonts w:ascii="Arial Narrow" w:hAnsi="Arial Narrow"/>
                <w:b/>
                <w:bCs/>
                <w:color w:val="AEAAAA" w:themeColor="background2" w:themeShade="BF"/>
                <w:sz w:val="18"/>
                <w:szCs w:val="18"/>
              </w:rPr>
              <w:t xml:space="preserve">Condition: </w:t>
            </w:r>
            <w:r w:rsidRPr="00984879">
              <w:rPr>
                <w:rFonts w:ascii="Arial Narrow" w:hAnsi="Arial Narrow"/>
                <w:color w:val="AEAAAA" w:themeColor="background2" w:themeShade="BF"/>
                <w:sz w:val="18"/>
                <w:szCs w:val="18"/>
              </w:rPr>
              <w:t xml:space="preserve">Endogenous </w:t>
            </w:r>
            <w:r w:rsidRPr="00984879">
              <w:rPr>
                <w:rFonts w:ascii="Arial Narrow" w:hAnsi="Arial Narrow"/>
                <w:bCs/>
                <w:color w:val="AEAAAA" w:themeColor="background2" w:themeShade="BF"/>
                <w:sz w:val="18"/>
                <w:szCs w:val="18"/>
              </w:rPr>
              <w:t>Cushing’s Syndrome</w:t>
            </w:r>
          </w:p>
        </w:tc>
      </w:tr>
      <w:tr w:rsidR="00E76938" w14:paraId="56B083AE"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D5A407" w14:textId="07248C1E" w:rsid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027E36"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Indication:</w:t>
            </w:r>
            <w:r w:rsidRPr="00984879">
              <w:rPr>
                <w:rFonts w:ascii="Arial Narrow" w:hAnsi="Arial Narrow"/>
                <w:color w:val="333333"/>
                <w:sz w:val="18"/>
                <w:szCs w:val="18"/>
              </w:rPr>
              <w:t xml:space="preserve"> Endogenous Cushing’s syndrome</w:t>
            </w:r>
          </w:p>
        </w:tc>
      </w:tr>
      <w:tr w:rsidR="00E76938" w14:paraId="6166BCC6"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B88E8A" w14:textId="77777777" w:rsidR="00E76938" w:rsidRDefault="00E76938" w:rsidP="00984879">
            <w:pP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41264A"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Treatment Phase:</w:t>
            </w:r>
            <w:r w:rsidRPr="00984879">
              <w:rPr>
                <w:rFonts w:ascii="Arial Narrow" w:hAnsi="Arial Narrow"/>
                <w:color w:val="333333"/>
                <w:sz w:val="18"/>
                <w:szCs w:val="18"/>
              </w:rPr>
              <w:t xml:space="preserve"> Initial treatment</w:t>
            </w:r>
          </w:p>
        </w:tc>
      </w:tr>
      <w:tr w:rsidR="00E76938" w14:paraId="0AEA57F2"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64D43E" w14:textId="20200802"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2F1FF8"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Clinical criteria:</w:t>
            </w:r>
          </w:p>
        </w:tc>
      </w:tr>
      <w:tr w:rsidR="00E76938" w14:paraId="5872158E"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3C9323" w14:textId="07DFF58B" w:rsid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E596B5"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 xml:space="preserve">Patients must have failed surgery for the removal of the primary tumour </w:t>
            </w:r>
          </w:p>
          <w:p w14:paraId="2BD3744C" w14:textId="77777777" w:rsidR="00E76938" w:rsidRPr="00984879" w:rsidRDefault="00E76938" w:rsidP="00984879">
            <w:pPr>
              <w:spacing w:line="256" w:lineRule="auto"/>
              <w:rPr>
                <w:rFonts w:ascii="Arial Narrow" w:hAnsi="Arial Narrow"/>
                <w:i/>
                <w:iCs/>
                <w:color w:val="333333"/>
                <w:sz w:val="18"/>
                <w:szCs w:val="18"/>
              </w:rPr>
            </w:pPr>
            <w:r w:rsidRPr="00984879">
              <w:rPr>
                <w:rFonts w:ascii="Arial Narrow" w:hAnsi="Arial Narrow"/>
                <w:i/>
                <w:iCs/>
                <w:color w:val="333333"/>
                <w:sz w:val="18"/>
                <w:szCs w:val="18"/>
              </w:rPr>
              <w:t>The condition must be, at least one of:</w:t>
            </w:r>
          </w:p>
          <w:p w14:paraId="6A215994" w14:textId="77777777" w:rsidR="00E76938" w:rsidRPr="00984879" w:rsidRDefault="00E76938" w:rsidP="00984879">
            <w:pPr>
              <w:spacing w:line="256" w:lineRule="auto"/>
              <w:rPr>
                <w:rFonts w:ascii="Arial Narrow" w:hAnsi="Arial Narrow"/>
                <w:b/>
                <w:bCs/>
                <w:i/>
                <w:iCs/>
                <w:color w:val="333333"/>
                <w:sz w:val="18"/>
                <w:szCs w:val="18"/>
              </w:rPr>
            </w:pPr>
            <w:r w:rsidRPr="00984879">
              <w:rPr>
                <w:rFonts w:ascii="Arial Narrow" w:hAnsi="Arial Narrow"/>
                <w:i/>
                <w:iCs/>
                <w:color w:val="333333"/>
                <w:sz w:val="18"/>
                <w:szCs w:val="18"/>
              </w:rPr>
              <w:t xml:space="preserve">(i) persistent hypercortisolism after surgery </w:t>
            </w:r>
            <w:r w:rsidRPr="00984879">
              <w:rPr>
                <w:rFonts w:ascii="Arial Narrow" w:hAnsi="Arial Narrow"/>
                <w:b/>
                <w:bCs/>
                <w:i/>
                <w:iCs/>
                <w:color w:val="333333"/>
                <w:sz w:val="18"/>
                <w:szCs w:val="18"/>
              </w:rPr>
              <w:t>OR</w:t>
            </w:r>
          </w:p>
          <w:p w14:paraId="1C767808" w14:textId="77777777" w:rsidR="00E76938" w:rsidRPr="00984879" w:rsidRDefault="00E76938" w:rsidP="00984879">
            <w:pPr>
              <w:spacing w:line="256" w:lineRule="auto"/>
              <w:rPr>
                <w:rFonts w:ascii="Arial Narrow" w:hAnsi="Arial Narrow"/>
                <w:b/>
                <w:bCs/>
                <w:i/>
                <w:iCs/>
                <w:color w:val="333333"/>
                <w:sz w:val="18"/>
                <w:szCs w:val="18"/>
              </w:rPr>
            </w:pPr>
            <w:r w:rsidRPr="00984879">
              <w:rPr>
                <w:rFonts w:ascii="Arial Narrow" w:hAnsi="Arial Narrow"/>
                <w:i/>
                <w:iCs/>
                <w:color w:val="333333"/>
                <w:sz w:val="18"/>
                <w:szCs w:val="18"/>
              </w:rPr>
              <w:t xml:space="preserve">(ii) recurrent hypercortisolism after surgery, </w:t>
            </w:r>
            <w:r w:rsidRPr="00984879">
              <w:rPr>
                <w:rFonts w:ascii="Arial Narrow" w:hAnsi="Arial Narrow"/>
                <w:b/>
                <w:bCs/>
                <w:i/>
                <w:iCs/>
                <w:color w:val="333333"/>
                <w:sz w:val="18"/>
                <w:szCs w:val="18"/>
              </w:rPr>
              <w:t>OR</w:t>
            </w:r>
          </w:p>
          <w:p w14:paraId="07E788A7" w14:textId="77777777" w:rsidR="00E76938" w:rsidRPr="00984879" w:rsidRDefault="00E76938" w:rsidP="00984879">
            <w:pPr>
              <w:spacing w:line="256" w:lineRule="auto"/>
              <w:rPr>
                <w:rFonts w:ascii="Arial Narrow" w:hAnsi="Arial Narrow"/>
                <w:i/>
                <w:iCs/>
                <w:color w:val="333333"/>
                <w:sz w:val="18"/>
                <w:szCs w:val="18"/>
              </w:rPr>
            </w:pPr>
            <w:r w:rsidRPr="00984879">
              <w:rPr>
                <w:rFonts w:ascii="Arial Narrow" w:hAnsi="Arial Narrow"/>
                <w:i/>
                <w:iCs/>
                <w:color w:val="333333"/>
                <w:sz w:val="18"/>
                <w:szCs w:val="18"/>
              </w:rPr>
              <w:t>(iii) inappropriate for surgery</w:t>
            </w:r>
            <w:r w:rsidRPr="00984879">
              <w:rPr>
                <w:rFonts w:ascii="Arial Narrow" w:hAnsi="Arial Narrow"/>
                <w:color w:val="333333"/>
                <w:sz w:val="18"/>
                <w:szCs w:val="18"/>
              </w:rPr>
              <w:t>.</w:t>
            </w:r>
          </w:p>
        </w:tc>
      </w:tr>
      <w:tr w:rsidR="00E76938" w14:paraId="717F2C41"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B1CCD7" w14:textId="77777777" w:rsidR="00E76938" w:rsidRDefault="00E76938" w:rsidP="00984879">
            <w:pP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0C2F4B" w14:textId="77777777" w:rsidR="00E76938" w:rsidRPr="00984879" w:rsidRDefault="00E76938" w:rsidP="00984879">
            <w:pPr>
              <w:spacing w:line="256" w:lineRule="auto"/>
              <w:rPr>
                <w:rFonts w:ascii="Arial Narrow" w:hAnsi="Arial Narrow"/>
                <w:b/>
                <w:bCs/>
                <w:strike/>
                <w:color w:val="333333"/>
                <w:sz w:val="18"/>
                <w:szCs w:val="18"/>
              </w:rPr>
            </w:pPr>
            <w:r w:rsidRPr="00984879">
              <w:rPr>
                <w:rFonts w:ascii="Arial Narrow" w:hAnsi="Arial Narrow"/>
                <w:b/>
                <w:bCs/>
                <w:strike/>
                <w:color w:val="333333"/>
                <w:sz w:val="18"/>
                <w:szCs w:val="18"/>
              </w:rPr>
              <w:t>OR</w:t>
            </w:r>
          </w:p>
        </w:tc>
      </w:tr>
      <w:tr w:rsidR="00E76938" w14:paraId="7E5433C7"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D1BBEA" w14:textId="77777777"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22D50E"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Patients must not be considered candidates for surgery</w:t>
            </w:r>
          </w:p>
        </w:tc>
      </w:tr>
      <w:tr w:rsidR="00E76938" w14:paraId="70DB802F"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53543F" w14:textId="77777777"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D3F7F0" w14:textId="77777777" w:rsidR="00E76938" w:rsidRPr="00984879" w:rsidRDefault="00E76938" w:rsidP="00984879">
            <w:pPr>
              <w:spacing w:line="256" w:lineRule="auto"/>
              <w:rPr>
                <w:rFonts w:ascii="Arial Narrow" w:hAnsi="Arial Narrow"/>
                <w:b/>
                <w:bCs/>
                <w:color w:val="333333"/>
                <w:sz w:val="18"/>
                <w:szCs w:val="18"/>
              </w:rPr>
            </w:pPr>
            <w:r w:rsidRPr="00984879">
              <w:rPr>
                <w:rFonts w:ascii="Arial Narrow" w:hAnsi="Arial Narrow"/>
                <w:b/>
                <w:bCs/>
                <w:color w:val="333333"/>
                <w:sz w:val="18"/>
                <w:szCs w:val="18"/>
              </w:rPr>
              <w:t>AND</w:t>
            </w:r>
          </w:p>
        </w:tc>
      </w:tr>
      <w:tr w:rsidR="00E76938" w14:paraId="4487EFB3"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D18EA6" w14:textId="35DB8D8B"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5A4EA6" w14:textId="77777777" w:rsidR="00E76938" w:rsidRPr="00984879" w:rsidRDefault="00E76938" w:rsidP="00984879">
            <w:pPr>
              <w:spacing w:line="256" w:lineRule="auto"/>
              <w:rPr>
                <w:rFonts w:ascii="Arial Narrow" w:hAnsi="Arial Narrow"/>
                <w:b/>
                <w:bCs/>
                <w:color w:val="333333"/>
                <w:sz w:val="18"/>
                <w:szCs w:val="18"/>
              </w:rPr>
            </w:pPr>
            <w:r w:rsidRPr="00984879">
              <w:rPr>
                <w:rFonts w:ascii="Arial Narrow" w:hAnsi="Arial Narrow"/>
                <w:b/>
                <w:bCs/>
                <w:color w:val="333333"/>
                <w:sz w:val="18"/>
                <w:szCs w:val="18"/>
              </w:rPr>
              <w:t>Clinical criteria:</w:t>
            </w:r>
          </w:p>
        </w:tc>
      </w:tr>
      <w:tr w:rsidR="00E76938" w14:paraId="6FDDCC86"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03851D" w14:textId="42D1E23D" w:rsidR="00E76938" w:rsidRP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167044" w14:textId="77777777" w:rsidR="00E76938" w:rsidRPr="00984879" w:rsidRDefault="00E76938" w:rsidP="00984879">
            <w:pPr>
              <w:spacing w:line="256" w:lineRule="auto"/>
              <w:rPr>
                <w:rFonts w:ascii="Arial Narrow" w:hAnsi="Arial Narrow"/>
                <w:b/>
                <w:bCs/>
                <w:color w:val="333333"/>
                <w:sz w:val="18"/>
                <w:szCs w:val="18"/>
              </w:rPr>
            </w:pPr>
            <w:r w:rsidRPr="00984879">
              <w:rPr>
                <w:rFonts w:ascii="Arial Narrow" w:hAnsi="Arial Narrow"/>
                <w:color w:val="333333"/>
                <w:sz w:val="18"/>
                <w:szCs w:val="18"/>
              </w:rPr>
              <w:t xml:space="preserve">Patient must have active endogenous Cushing’s Syndrome </w:t>
            </w:r>
            <w:r w:rsidRPr="00984879">
              <w:rPr>
                <w:rFonts w:ascii="Arial Narrow" w:hAnsi="Arial Narrow"/>
                <w:strike/>
                <w:color w:val="333333"/>
                <w:sz w:val="18"/>
                <w:szCs w:val="18"/>
              </w:rPr>
              <w:t xml:space="preserve">as </w:t>
            </w:r>
            <w:r w:rsidRPr="00984879">
              <w:rPr>
                <w:rFonts w:ascii="Arial Narrow" w:hAnsi="Arial Narrow"/>
                <w:color w:val="333333"/>
                <w:sz w:val="18"/>
                <w:szCs w:val="18"/>
              </w:rPr>
              <w:t>determined by a mean urinary free cortisol (UFC) level greater than 1.3 times the upper limit of normal (ULN)</w:t>
            </w:r>
            <w:r w:rsidRPr="00984879">
              <w:rPr>
                <w:rFonts w:ascii="Arial Narrow" w:hAnsi="Arial Narrow"/>
                <w:i/>
                <w:iCs/>
                <w:color w:val="333333"/>
                <w:sz w:val="18"/>
                <w:szCs w:val="18"/>
              </w:rPr>
              <w:t xml:space="preserve">. </w:t>
            </w:r>
            <w:r w:rsidRPr="00984879">
              <w:rPr>
                <w:rFonts w:ascii="Arial Narrow" w:hAnsi="Arial Narrow"/>
                <w:b/>
                <w:bCs/>
                <w:i/>
                <w:iCs/>
                <w:color w:val="333333"/>
                <w:sz w:val="18"/>
                <w:szCs w:val="18"/>
              </w:rPr>
              <w:t>OR</w:t>
            </w:r>
          </w:p>
        </w:tc>
      </w:tr>
      <w:tr w:rsidR="00E76938" w14:paraId="1B6068B9"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FC1922" w14:textId="08E128B6" w:rsidR="00E76938" w:rsidRP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5CE8EC"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color w:val="333333"/>
                <w:sz w:val="18"/>
                <w:szCs w:val="18"/>
              </w:rPr>
              <w:t>Patient must have undergone treatment for this condition with</w:t>
            </w:r>
            <w:r w:rsidRPr="00984879">
              <w:rPr>
                <w:rFonts w:ascii="Arial Narrow" w:hAnsi="Arial Narrow"/>
                <w:i/>
                <w:iCs/>
                <w:color w:val="FF0000"/>
                <w:sz w:val="18"/>
                <w:szCs w:val="18"/>
              </w:rPr>
              <w:t xml:space="preserve"> </w:t>
            </w:r>
            <w:r w:rsidRPr="00984879">
              <w:rPr>
                <w:rFonts w:ascii="Arial Narrow" w:hAnsi="Arial Narrow"/>
                <w:i/>
                <w:iCs/>
                <w:sz w:val="18"/>
                <w:szCs w:val="18"/>
              </w:rPr>
              <w:t>conventional therapies to control cortisol production resulting in an improved UFC level</w:t>
            </w:r>
            <w:r w:rsidRPr="00984879">
              <w:rPr>
                <w:rFonts w:ascii="Arial Narrow" w:hAnsi="Arial Narrow"/>
                <w:sz w:val="18"/>
                <w:szCs w:val="18"/>
              </w:rPr>
              <w:t xml:space="preserve"> </w:t>
            </w:r>
            <w:r w:rsidRPr="00984879">
              <w:rPr>
                <w:rFonts w:ascii="Arial Narrow" w:hAnsi="Arial Narrow"/>
                <w:color w:val="333333"/>
                <w:sz w:val="18"/>
                <w:szCs w:val="18"/>
              </w:rPr>
              <w:t>prior to applying for the initial authority application of this drug.</w:t>
            </w:r>
          </w:p>
        </w:tc>
      </w:tr>
      <w:tr w:rsidR="00E76938" w14:paraId="5EF803A0"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9E4384" w14:textId="77777777" w:rsidR="00E76938" w:rsidRP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9115A4" w14:textId="77777777" w:rsidR="00E76938" w:rsidRPr="00984879" w:rsidRDefault="00E76938" w:rsidP="00984879">
            <w:pPr>
              <w:spacing w:line="256" w:lineRule="auto"/>
              <w:rPr>
                <w:rFonts w:ascii="Arial Narrow" w:hAnsi="Arial Narrow"/>
                <w:b/>
                <w:bCs/>
                <w:color w:val="333333"/>
                <w:sz w:val="18"/>
                <w:szCs w:val="18"/>
              </w:rPr>
            </w:pPr>
            <w:r w:rsidRPr="00984879">
              <w:rPr>
                <w:rFonts w:ascii="Arial Narrow" w:hAnsi="Arial Narrow"/>
                <w:b/>
                <w:bCs/>
                <w:color w:val="333333"/>
                <w:sz w:val="18"/>
                <w:szCs w:val="18"/>
              </w:rPr>
              <w:t>AND</w:t>
            </w:r>
          </w:p>
        </w:tc>
      </w:tr>
      <w:tr w:rsidR="00E76938" w14:paraId="078CFE92"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B0032A" w14:textId="40E38CD5" w:rsidR="00E76938" w:rsidRP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764DA1"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Treatment criteria:</w:t>
            </w:r>
          </w:p>
        </w:tc>
      </w:tr>
      <w:tr w:rsidR="00E76938" w14:paraId="570BF3A0"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0EDBCA" w14:textId="749EA27D" w:rsidR="00E76938" w:rsidRP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12A96E" w14:textId="77777777" w:rsidR="00E76938" w:rsidRPr="00984879" w:rsidRDefault="00E76938" w:rsidP="00984879">
            <w:pPr>
              <w:autoSpaceDE w:val="0"/>
              <w:autoSpaceDN w:val="0"/>
              <w:adjustRightInd w:val="0"/>
              <w:spacing w:line="256" w:lineRule="auto"/>
              <w:rPr>
                <w:rFonts w:ascii="Arial Narrow" w:hAnsi="Arial Narrow"/>
                <w:i/>
                <w:iCs/>
                <w:strike/>
                <w:color w:val="333333"/>
                <w:sz w:val="18"/>
                <w:szCs w:val="18"/>
              </w:rPr>
            </w:pPr>
            <w:r w:rsidRPr="00984879">
              <w:rPr>
                <w:rFonts w:ascii="Arial Narrow" w:hAnsi="Arial Narrow"/>
                <w:strike/>
                <w:color w:val="333333"/>
                <w:sz w:val="18"/>
                <w:szCs w:val="18"/>
              </w:rPr>
              <w:t>Patients must be treated and supervised by a physician experienced in endocrinology or internal medicine</w:t>
            </w:r>
            <w:r w:rsidRPr="00984879">
              <w:rPr>
                <w:rFonts w:ascii="Arial Narrow" w:hAnsi="Arial Narrow"/>
                <w:i/>
                <w:iCs/>
                <w:strike/>
                <w:color w:val="333333"/>
                <w:sz w:val="18"/>
                <w:szCs w:val="18"/>
              </w:rPr>
              <w:t>.</w:t>
            </w:r>
          </w:p>
          <w:p w14:paraId="06FA9AA9" w14:textId="77777777" w:rsidR="00E76938" w:rsidRPr="00914C1A" w:rsidRDefault="00E76938" w:rsidP="00984879">
            <w:pPr>
              <w:autoSpaceDE w:val="0"/>
              <w:autoSpaceDN w:val="0"/>
              <w:adjustRightInd w:val="0"/>
              <w:spacing w:line="256" w:lineRule="auto"/>
              <w:rPr>
                <w:rFonts w:ascii="Arial Narrow" w:eastAsia="Calibri" w:hAnsi="Arial Narrow" w:cs="Arial Narrow"/>
                <w:i/>
                <w:iCs/>
                <w:sz w:val="18"/>
                <w:szCs w:val="18"/>
              </w:rPr>
            </w:pPr>
            <w:r w:rsidRPr="00984879">
              <w:rPr>
                <w:rFonts w:ascii="Arial Narrow" w:hAnsi="Arial Narrow"/>
                <w:i/>
                <w:iCs/>
                <w:color w:val="333333"/>
                <w:sz w:val="18"/>
                <w:szCs w:val="18"/>
              </w:rPr>
              <w:t xml:space="preserve">Must be treated by an endocrinologist. </w:t>
            </w:r>
          </w:p>
        </w:tc>
      </w:tr>
      <w:tr w:rsidR="00E76938" w14:paraId="10C661C4"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8E1DBE" w14:textId="77777777" w:rsidR="00E76938" w:rsidRP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17A29D" w14:textId="77777777" w:rsidR="00E76938" w:rsidRPr="00984879" w:rsidRDefault="00E76938" w:rsidP="00984879">
            <w:pPr>
              <w:autoSpaceDE w:val="0"/>
              <w:autoSpaceDN w:val="0"/>
              <w:adjustRightInd w:val="0"/>
              <w:spacing w:line="256" w:lineRule="auto"/>
              <w:rPr>
                <w:rFonts w:ascii="Arial Narrow" w:hAnsi="Arial Narrow"/>
                <w:strike/>
                <w:color w:val="333333"/>
                <w:sz w:val="18"/>
                <w:szCs w:val="18"/>
              </w:rPr>
            </w:pPr>
          </w:p>
        </w:tc>
      </w:tr>
      <w:tr w:rsidR="00E76938" w14:paraId="2677447C"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A15D65" w14:textId="77777777"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88A038"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Population criteria:</w:t>
            </w:r>
          </w:p>
        </w:tc>
      </w:tr>
      <w:tr w:rsidR="00E76938" w14:paraId="419454F8"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8B0F1B" w14:textId="36DC820F"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CF5248"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color w:val="333333"/>
                <w:sz w:val="18"/>
                <w:szCs w:val="18"/>
              </w:rPr>
              <w:t>Patient</w:t>
            </w:r>
            <w:r w:rsidRPr="00984879">
              <w:rPr>
                <w:rFonts w:ascii="Arial Narrow" w:hAnsi="Arial Narrow"/>
                <w:strike/>
                <w:color w:val="333333"/>
                <w:sz w:val="18"/>
                <w:szCs w:val="18"/>
              </w:rPr>
              <w:t>s</w:t>
            </w:r>
            <w:r w:rsidRPr="00984879">
              <w:rPr>
                <w:rFonts w:ascii="Arial Narrow" w:hAnsi="Arial Narrow"/>
                <w:color w:val="333333"/>
                <w:sz w:val="18"/>
                <w:szCs w:val="18"/>
              </w:rPr>
              <w:t xml:space="preserve"> must be </w:t>
            </w:r>
            <w:r w:rsidRPr="00984879">
              <w:rPr>
                <w:rFonts w:ascii="Arial Narrow" w:hAnsi="Arial Narrow"/>
                <w:strike/>
                <w:color w:val="333333"/>
                <w:sz w:val="18"/>
                <w:szCs w:val="18"/>
              </w:rPr>
              <w:t>aged 18 years or older</w:t>
            </w:r>
            <w:r w:rsidRPr="00984879">
              <w:rPr>
                <w:rFonts w:ascii="Arial Narrow" w:hAnsi="Arial Narrow"/>
                <w:color w:val="333333"/>
                <w:sz w:val="18"/>
                <w:szCs w:val="18"/>
              </w:rPr>
              <w:t xml:space="preserve"> at least 18 years of age.</w:t>
            </w:r>
          </w:p>
        </w:tc>
      </w:tr>
      <w:tr w:rsidR="00E76938" w14:paraId="639EF5EE"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8C8C80" w14:textId="77777777"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F7059C" w14:textId="77777777" w:rsidR="00E76938" w:rsidRPr="00984879" w:rsidRDefault="00E76938" w:rsidP="00984879">
            <w:pPr>
              <w:spacing w:line="256" w:lineRule="auto"/>
              <w:rPr>
                <w:rFonts w:ascii="Arial Narrow" w:hAnsi="Arial Narrow"/>
                <w:color w:val="333333"/>
                <w:sz w:val="18"/>
                <w:szCs w:val="18"/>
              </w:rPr>
            </w:pPr>
          </w:p>
        </w:tc>
      </w:tr>
      <w:tr w:rsidR="00E76938" w14:paraId="404EF979"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4D9781" w14:textId="0AA82C95"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BA2D39"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Prescribing Instructions:</w:t>
            </w:r>
            <w:r w:rsidRPr="00984879">
              <w:rPr>
                <w:rFonts w:ascii="Arial Narrow" w:hAnsi="Arial Narrow"/>
                <w:color w:val="333333"/>
                <w:sz w:val="18"/>
                <w:szCs w:val="18"/>
              </w:rPr>
              <w:t xml:space="preserve"> </w:t>
            </w:r>
          </w:p>
          <w:p w14:paraId="746592C2"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strike/>
                <w:color w:val="333333"/>
                <w:sz w:val="18"/>
                <w:szCs w:val="18"/>
              </w:rPr>
              <w:t>To assess patients eligible for initial treatment, the mean UFC should be the average of two values being 1.3 times greater than the ULN</w:t>
            </w:r>
            <w:r w:rsidRPr="00984879">
              <w:rPr>
                <w:rFonts w:ascii="Arial Narrow" w:hAnsi="Arial Narrow"/>
                <w:color w:val="333333"/>
                <w:sz w:val="18"/>
                <w:szCs w:val="18"/>
              </w:rPr>
              <w:t xml:space="preserve">. </w:t>
            </w:r>
          </w:p>
          <w:p w14:paraId="77BC1F60" w14:textId="77777777" w:rsidR="00E76938" w:rsidRPr="00984879" w:rsidRDefault="00E76938" w:rsidP="00984879">
            <w:pPr>
              <w:spacing w:line="256" w:lineRule="auto"/>
              <w:rPr>
                <w:rFonts w:ascii="Arial Narrow" w:hAnsi="Arial Narrow"/>
                <w:i/>
                <w:iCs/>
                <w:color w:val="333333"/>
                <w:sz w:val="18"/>
                <w:szCs w:val="18"/>
              </w:rPr>
            </w:pPr>
            <w:r w:rsidRPr="00984879">
              <w:rPr>
                <w:rFonts w:ascii="Arial Narrow" w:hAnsi="Arial Narrow"/>
                <w:i/>
                <w:iCs/>
                <w:color w:val="333333"/>
                <w:sz w:val="18"/>
                <w:szCs w:val="18"/>
              </w:rPr>
              <w:t>For the purposes of administering this restriction, the mean UFC is the average of at least two values being 1.3 times greater than the ULN.</w:t>
            </w:r>
          </w:p>
          <w:p w14:paraId="070C8C4E" w14:textId="77777777" w:rsidR="00E76938" w:rsidRPr="00984879" w:rsidRDefault="00E76938" w:rsidP="00984879">
            <w:pPr>
              <w:spacing w:line="256" w:lineRule="auto"/>
              <w:rPr>
                <w:rFonts w:ascii="Arial Narrow" w:hAnsi="Arial Narrow"/>
                <w:strike/>
                <w:color w:val="333333"/>
                <w:sz w:val="18"/>
                <w:szCs w:val="18"/>
              </w:rPr>
            </w:pPr>
          </w:p>
          <w:p w14:paraId="076F4B81"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 xml:space="preserve">Patients must undergo a dose titration period whereby doses are gradually titrated (initially by dose increments of 1 or 2 mg). Increases in dose should not occur more frequently than once every 1-2 weeks and should be guided by the results of cortisol assessments and by the individual clinical response. </w:t>
            </w:r>
          </w:p>
          <w:p w14:paraId="53B04C0F" w14:textId="77777777" w:rsidR="00E76938" w:rsidRPr="00984879" w:rsidRDefault="00E76938" w:rsidP="00984879">
            <w:pPr>
              <w:spacing w:line="256" w:lineRule="auto"/>
              <w:rPr>
                <w:rFonts w:ascii="Arial Narrow" w:hAnsi="Arial Narrow"/>
                <w:strike/>
                <w:color w:val="333333"/>
                <w:sz w:val="18"/>
                <w:szCs w:val="18"/>
              </w:rPr>
            </w:pPr>
          </w:p>
          <w:p w14:paraId="2D62BE22"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 xml:space="preserve">Only patients who demonstrate either a complete response (mean UFC ≤ ULN) or a partial response (mean UFC &gt; ULN but a 50% reduction from the baseline value) after 6 months of treatment are eligible for continuing treatment. </w:t>
            </w:r>
          </w:p>
          <w:p w14:paraId="4024DA4B" w14:textId="77777777" w:rsidR="00E76938" w:rsidRPr="00984879" w:rsidRDefault="00E76938" w:rsidP="00984879">
            <w:pPr>
              <w:spacing w:line="256" w:lineRule="auto"/>
              <w:rPr>
                <w:rFonts w:ascii="Arial Narrow" w:hAnsi="Arial Narrow"/>
                <w:strike/>
                <w:color w:val="333333"/>
                <w:sz w:val="18"/>
                <w:szCs w:val="18"/>
              </w:rPr>
            </w:pPr>
          </w:p>
          <w:p w14:paraId="60D75512"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 xml:space="preserve">At the time of authority application, medical practitioners should request the appropriate number of packs to provide sufficient drug, based on the prescribed dose of the patient, for one month of treatment. The dose must not exceed 30 mg twice daily. Up to a maximum of 5 repeats will be authorised. Patients must not exceed more than 6 months of treatment under this restriction. </w:t>
            </w:r>
          </w:p>
          <w:p w14:paraId="3FE78DF9" w14:textId="77777777" w:rsidR="00E76938" w:rsidRPr="00984879" w:rsidRDefault="00E76938" w:rsidP="00984879">
            <w:pPr>
              <w:spacing w:line="256" w:lineRule="auto"/>
              <w:rPr>
                <w:rFonts w:ascii="Arial Narrow" w:hAnsi="Arial Narrow"/>
                <w:strike/>
                <w:color w:val="333333"/>
                <w:sz w:val="18"/>
                <w:szCs w:val="18"/>
              </w:rPr>
            </w:pPr>
          </w:p>
          <w:p w14:paraId="313E5BA8"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Treatment should be discontinued, or the dose reduced, if mean UFC levels fall below the lower limit of normal (LLN) or there are signs of adrenal insufficiency.</w:t>
            </w:r>
          </w:p>
        </w:tc>
      </w:tr>
      <w:tr w:rsidR="00E76938" w14:paraId="35F309E8"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C56EB3" w14:textId="70C31775"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349768"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Prescribing Instructions:</w:t>
            </w:r>
            <w:r w:rsidRPr="00984879">
              <w:rPr>
                <w:rFonts w:ascii="Arial Narrow" w:hAnsi="Arial Narrow"/>
                <w:color w:val="333333"/>
                <w:sz w:val="18"/>
                <w:szCs w:val="18"/>
              </w:rPr>
              <w:t xml:space="preserve"> </w:t>
            </w:r>
          </w:p>
          <w:p w14:paraId="79A1241B"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color w:val="333333"/>
                <w:sz w:val="18"/>
                <w:szCs w:val="18"/>
              </w:rPr>
              <w:t>Patient must undergo a dose titration period whereby responses must be assessed every 1-2 weeks until the mean UFC levels are within the normal range.</w:t>
            </w:r>
            <w:r w:rsidRPr="00914C1A">
              <w:rPr>
                <w:rFonts w:ascii="Arial Narrow" w:eastAsia="Calibri" w:hAnsi="Arial Narrow"/>
                <w:sz w:val="18"/>
                <w:szCs w:val="18"/>
              </w:rPr>
              <w:t xml:space="preserve"> </w:t>
            </w:r>
          </w:p>
        </w:tc>
      </w:tr>
      <w:tr w:rsidR="00E76938" w14:paraId="243A784C"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CFEAEA" w14:textId="0767E0B6"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73E07D"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Prescribing Instructions:</w:t>
            </w:r>
            <w:r w:rsidRPr="00984879">
              <w:rPr>
                <w:rFonts w:ascii="Arial Narrow" w:hAnsi="Arial Narrow"/>
                <w:color w:val="333333"/>
                <w:sz w:val="18"/>
                <w:szCs w:val="18"/>
              </w:rPr>
              <w:t xml:space="preserve"> </w:t>
            </w:r>
          </w:p>
          <w:p w14:paraId="0E77C7D9"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color w:val="333333"/>
                <w:sz w:val="18"/>
                <w:szCs w:val="18"/>
              </w:rPr>
              <w:t xml:space="preserve">At the time of authority application, medical practitioners </w:t>
            </w:r>
            <w:proofErr w:type="gramStart"/>
            <w:r w:rsidRPr="00984879">
              <w:rPr>
                <w:rFonts w:ascii="Arial Narrow" w:hAnsi="Arial Narrow"/>
                <w:color w:val="333333"/>
                <w:sz w:val="18"/>
                <w:szCs w:val="18"/>
              </w:rPr>
              <w:t xml:space="preserve">must </w:t>
            </w:r>
            <w:r w:rsidRPr="00984879">
              <w:rPr>
                <w:rFonts w:ascii="Arial Narrow" w:hAnsi="Arial Narrow"/>
                <w:strike/>
                <w:color w:val="333333"/>
                <w:sz w:val="18"/>
                <w:szCs w:val="18"/>
              </w:rPr>
              <w:t>should</w:t>
            </w:r>
            <w:proofErr w:type="gramEnd"/>
            <w:r w:rsidRPr="00984879">
              <w:rPr>
                <w:rFonts w:ascii="Arial Narrow" w:hAnsi="Arial Narrow"/>
                <w:color w:val="333333"/>
                <w:sz w:val="18"/>
                <w:szCs w:val="18"/>
              </w:rPr>
              <w:t xml:space="preserve"> request the appropriate number of packs to provide sufficient drug, based on the prescribed dose of the patient, for 4 weeks </w:t>
            </w:r>
            <w:r w:rsidRPr="00984879">
              <w:rPr>
                <w:rFonts w:ascii="Arial Narrow" w:hAnsi="Arial Narrow"/>
                <w:strike/>
                <w:color w:val="333333"/>
                <w:sz w:val="18"/>
                <w:szCs w:val="18"/>
              </w:rPr>
              <w:t>one month</w:t>
            </w:r>
            <w:r w:rsidRPr="00984879">
              <w:rPr>
                <w:rFonts w:ascii="Arial Narrow" w:hAnsi="Arial Narrow"/>
                <w:color w:val="333333"/>
                <w:sz w:val="18"/>
                <w:szCs w:val="18"/>
              </w:rPr>
              <w:t xml:space="preserve"> of treatment. </w:t>
            </w:r>
            <w:r w:rsidRPr="00984879">
              <w:rPr>
                <w:rFonts w:ascii="Arial Narrow" w:hAnsi="Arial Narrow"/>
                <w:i/>
                <w:iCs/>
                <w:color w:val="333333"/>
                <w:sz w:val="18"/>
                <w:szCs w:val="18"/>
              </w:rPr>
              <w:t>A separate authority prescription form must be completed for each strength requested.</w:t>
            </w:r>
            <w:r w:rsidRPr="00984879">
              <w:rPr>
                <w:rFonts w:ascii="Arial Narrow" w:hAnsi="Arial Narrow"/>
                <w:color w:val="333333"/>
                <w:sz w:val="18"/>
                <w:szCs w:val="18"/>
              </w:rPr>
              <w:t xml:space="preserve"> The dose must not exceed 30 mg twice daily. Up to a maximum of 5 repeats will be authorised. </w:t>
            </w:r>
            <w:r w:rsidRPr="00984879">
              <w:rPr>
                <w:rFonts w:ascii="Arial Narrow" w:hAnsi="Arial Narrow"/>
                <w:strike/>
                <w:color w:val="333333"/>
                <w:sz w:val="18"/>
                <w:szCs w:val="18"/>
              </w:rPr>
              <w:t xml:space="preserve">Patients must not exceed more than 6 months of treatment under this restriction. </w:t>
            </w:r>
          </w:p>
        </w:tc>
      </w:tr>
      <w:tr w:rsidR="00E76938" w14:paraId="69F85FB1"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25B261" w14:textId="37246DAD" w:rsidR="00E76938" w:rsidRDefault="00E76938" w:rsidP="00984879">
            <w:pPr>
              <w:spacing w:line="256" w:lineRule="auto"/>
              <w:jc w:val="center"/>
              <w:rPr>
                <w:rFonts w:ascii="Arial Narrow" w:hAnsi="Arial Narrow"/>
                <w:i/>
                <w:iCs/>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392AFA" w14:textId="77777777" w:rsidR="00E76938" w:rsidRPr="00984879" w:rsidRDefault="00E76938" w:rsidP="00984879">
            <w:pPr>
              <w:spacing w:line="256" w:lineRule="auto"/>
              <w:rPr>
                <w:rFonts w:ascii="Arial Narrow" w:hAnsi="Arial Narrow"/>
                <w:i/>
                <w:iCs/>
                <w:color w:val="333333"/>
                <w:sz w:val="18"/>
                <w:szCs w:val="18"/>
              </w:rPr>
            </w:pPr>
            <w:r w:rsidRPr="00984879">
              <w:rPr>
                <w:rFonts w:ascii="Arial Narrow" w:hAnsi="Arial Narrow"/>
                <w:b/>
                <w:bCs/>
                <w:i/>
                <w:iCs/>
                <w:color w:val="333333"/>
                <w:sz w:val="18"/>
                <w:szCs w:val="18"/>
              </w:rPr>
              <w:t>Prescribing Instructions:</w:t>
            </w:r>
            <w:r w:rsidRPr="00984879">
              <w:rPr>
                <w:rFonts w:ascii="Arial Narrow" w:hAnsi="Arial Narrow"/>
                <w:i/>
                <w:iCs/>
                <w:color w:val="333333"/>
                <w:sz w:val="18"/>
                <w:szCs w:val="18"/>
              </w:rPr>
              <w:t xml:space="preserve"> </w:t>
            </w:r>
          </w:p>
          <w:p w14:paraId="4B32767C" w14:textId="77777777" w:rsidR="00E76938" w:rsidRPr="00984879" w:rsidRDefault="00E76938" w:rsidP="00984879">
            <w:pPr>
              <w:spacing w:line="256" w:lineRule="auto"/>
              <w:rPr>
                <w:rFonts w:ascii="Arial Narrow" w:hAnsi="Arial Narrow"/>
                <w:b/>
                <w:bCs/>
                <w:i/>
                <w:iCs/>
                <w:color w:val="333333"/>
                <w:sz w:val="18"/>
                <w:szCs w:val="18"/>
              </w:rPr>
            </w:pPr>
            <w:r w:rsidRPr="00984879">
              <w:rPr>
                <w:rFonts w:ascii="Arial Narrow" w:hAnsi="Arial Narrow"/>
                <w:i/>
                <w:iCs/>
                <w:color w:val="333333"/>
                <w:sz w:val="18"/>
                <w:szCs w:val="18"/>
              </w:rPr>
              <w:t>Where there is a current, approved PBS prescription with valid repeat prescriptions specified (i.e., where the dose is changing), mark the prescription that is intended for no further supply as 'Cancelled'.</w:t>
            </w:r>
          </w:p>
        </w:tc>
      </w:tr>
      <w:tr w:rsidR="00E76938" w14:paraId="03FC331C"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7BF1AC" w14:textId="0B904B3C"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F354A9"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Prescribing Instructions:</w:t>
            </w:r>
            <w:r w:rsidRPr="00984879">
              <w:rPr>
                <w:rFonts w:ascii="Arial Narrow" w:hAnsi="Arial Narrow"/>
                <w:color w:val="333333"/>
                <w:sz w:val="18"/>
                <w:szCs w:val="18"/>
              </w:rPr>
              <w:t xml:space="preserve"> </w:t>
            </w:r>
          </w:p>
          <w:p w14:paraId="2303B6EE"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Patients who failed surgery are defined as those with recurrent or persistent hypercortisolism (UFC &gt; 1.3x ULN).</w:t>
            </w:r>
          </w:p>
          <w:p w14:paraId="608D92A3" w14:textId="77777777" w:rsidR="00E76938" w:rsidRPr="00984879" w:rsidRDefault="00E76938" w:rsidP="00984879">
            <w:pPr>
              <w:spacing w:line="256" w:lineRule="auto"/>
              <w:rPr>
                <w:rFonts w:ascii="Arial Narrow" w:hAnsi="Arial Narrow"/>
                <w:color w:val="333333"/>
                <w:sz w:val="18"/>
                <w:szCs w:val="18"/>
              </w:rPr>
            </w:pPr>
          </w:p>
          <w:p w14:paraId="323F70AD"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 xml:space="preserve">Patients who are not candidates for surgery are defined as: </w:t>
            </w:r>
          </w:p>
          <w:p w14:paraId="46D2612F"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color w:val="333333"/>
                <w:sz w:val="18"/>
                <w:szCs w:val="18"/>
              </w:rPr>
              <w:t>The condition is inappropriate for surgery if the patient:</w:t>
            </w:r>
          </w:p>
          <w:p w14:paraId="0FE714BB" w14:textId="77777777" w:rsidR="00E76938" w:rsidRPr="00984879" w:rsidRDefault="00E76938" w:rsidP="00984879">
            <w:pPr>
              <w:numPr>
                <w:ilvl w:val="0"/>
                <w:numId w:val="11"/>
              </w:numPr>
              <w:spacing w:line="256" w:lineRule="auto"/>
              <w:contextualSpacing/>
              <w:rPr>
                <w:rFonts w:ascii="Arial Narrow" w:hAnsi="Arial Narrow"/>
                <w:color w:val="333333"/>
                <w:sz w:val="18"/>
                <w:szCs w:val="18"/>
              </w:rPr>
            </w:pPr>
            <w:r w:rsidRPr="00984879">
              <w:rPr>
                <w:rFonts w:ascii="Arial Narrow" w:hAnsi="Arial Narrow"/>
                <w:strike/>
                <w:color w:val="333333"/>
                <w:sz w:val="18"/>
                <w:szCs w:val="18"/>
              </w:rPr>
              <w:t>those with</w:t>
            </w:r>
            <w:r w:rsidRPr="00984879">
              <w:rPr>
                <w:rFonts w:ascii="Arial Narrow" w:hAnsi="Arial Narrow"/>
                <w:i/>
                <w:iCs/>
                <w:color w:val="333333"/>
                <w:sz w:val="18"/>
                <w:szCs w:val="18"/>
              </w:rPr>
              <w:t xml:space="preserve"> has</w:t>
            </w:r>
            <w:r w:rsidRPr="00984879">
              <w:rPr>
                <w:rFonts w:ascii="Arial Narrow" w:hAnsi="Arial Narrow"/>
                <w:color w:val="333333"/>
                <w:sz w:val="18"/>
                <w:szCs w:val="18"/>
              </w:rPr>
              <w:t xml:space="preserve"> a medical contraindication for surgery</w:t>
            </w:r>
          </w:p>
          <w:p w14:paraId="2F12F671" w14:textId="77777777" w:rsidR="00E76938" w:rsidRPr="00984879" w:rsidRDefault="00E76938" w:rsidP="00984879">
            <w:pPr>
              <w:numPr>
                <w:ilvl w:val="0"/>
                <w:numId w:val="11"/>
              </w:numPr>
              <w:spacing w:line="256" w:lineRule="auto"/>
              <w:contextualSpacing/>
              <w:rPr>
                <w:rFonts w:ascii="Arial Narrow" w:hAnsi="Arial Narrow"/>
                <w:color w:val="333333"/>
                <w:sz w:val="18"/>
                <w:szCs w:val="18"/>
              </w:rPr>
            </w:pPr>
            <w:r w:rsidRPr="00984879">
              <w:rPr>
                <w:rFonts w:ascii="Arial Narrow" w:hAnsi="Arial Narrow"/>
                <w:strike/>
                <w:color w:val="333333"/>
                <w:sz w:val="18"/>
                <w:szCs w:val="18"/>
              </w:rPr>
              <w:t>those with</w:t>
            </w:r>
            <w:r w:rsidRPr="00984879">
              <w:rPr>
                <w:rFonts w:ascii="Arial Narrow" w:hAnsi="Arial Narrow"/>
                <w:color w:val="333333"/>
                <w:sz w:val="18"/>
                <w:szCs w:val="18"/>
              </w:rPr>
              <w:t xml:space="preserve"> </w:t>
            </w:r>
            <w:r w:rsidRPr="00984879">
              <w:rPr>
                <w:rFonts w:ascii="Arial Narrow" w:hAnsi="Arial Narrow"/>
                <w:i/>
                <w:iCs/>
                <w:color w:val="333333"/>
                <w:sz w:val="18"/>
                <w:szCs w:val="18"/>
              </w:rPr>
              <w:t>has</w:t>
            </w:r>
            <w:r w:rsidRPr="00984879">
              <w:rPr>
                <w:rFonts w:ascii="Arial Narrow" w:hAnsi="Arial Narrow"/>
                <w:color w:val="333333"/>
                <w:sz w:val="18"/>
                <w:szCs w:val="18"/>
              </w:rPr>
              <w:t xml:space="preserve"> inoperable tumours</w:t>
            </w:r>
          </w:p>
          <w:p w14:paraId="058522D9" w14:textId="77777777" w:rsidR="00E76938" w:rsidRPr="00984879" w:rsidRDefault="00E76938" w:rsidP="00984879">
            <w:pPr>
              <w:numPr>
                <w:ilvl w:val="0"/>
                <w:numId w:val="11"/>
              </w:numPr>
              <w:spacing w:line="256" w:lineRule="auto"/>
              <w:contextualSpacing/>
              <w:rPr>
                <w:rFonts w:ascii="Arial Narrow" w:hAnsi="Arial Narrow"/>
                <w:color w:val="333333"/>
                <w:sz w:val="18"/>
                <w:szCs w:val="18"/>
              </w:rPr>
            </w:pPr>
            <w:r w:rsidRPr="00984879">
              <w:rPr>
                <w:rFonts w:ascii="Arial Narrow" w:hAnsi="Arial Narrow"/>
                <w:i/>
                <w:iCs/>
                <w:color w:val="333333"/>
                <w:sz w:val="18"/>
                <w:szCs w:val="18"/>
              </w:rPr>
              <w:t xml:space="preserve">has been determined that </w:t>
            </w:r>
            <w:r w:rsidRPr="00984879">
              <w:rPr>
                <w:rFonts w:ascii="Arial Narrow" w:hAnsi="Arial Narrow"/>
                <w:color w:val="333333"/>
                <w:sz w:val="18"/>
                <w:szCs w:val="18"/>
              </w:rPr>
              <w:t>surgery is unlikely to reduce hypercortisolism</w:t>
            </w:r>
          </w:p>
          <w:p w14:paraId="5F96917B" w14:textId="77777777" w:rsidR="00E76938" w:rsidRPr="00984879" w:rsidRDefault="00E76938" w:rsidP="00984879">
            <w:pPr>
              <w:numPr>
                <w:ilvl w:val="0"/>
                <w:numId w:val="11"/>
              </w:numPr>
              <w:spacing w:line="256" w:lineRule="auto"/>
              <w:contextualSpacing/>
              <w:rPr>
                <w:rFonts w:ascii="Arial Narrow" w:hAnsi="Arial Narrow"/>
                <w:color w:val="333333"/>
                <w:sz w:val="18"/>
                <w:szCs w:val="18"/>
              </w:rPr>
            </w:pPr>
            <w:r w:rsidRPr="00984879">
              <w:rPr>
                <w:rFonts w:ascii="Arial Narrow" w:hAnsi="Arial Narrow"/>
                <w:strike/>
                <w:color w:val="333333"/>
                <w:sz w:val="18"/>
                <w:szCs w:val="18"/>
              </w:rPr>
              <w:t>those who</w:t>
            </w:r>
            <w:r w:rsidRPr="00984879">
              <w:rPr>
                <w:rFonts w:ascii="Arial Narrow" w:hAnsi="Arial Narrow"/>
                <w:color w:val="333333"/>
                <w:sz w:val="18"/>
                <w:szCs w:val="18"/>
              </w:rPr>
              <w:t xml:space="preserve"> </w:t>
            </w:r>
            <w:r w:rsidRPr="00984879">
              <w:rPr>
                <w:rFonts w:ascii="Arial Narrow" w:hAnsi="Arial Narrow"/>
                <w:i/>
                <w:iCs/>
                <w:color w:val="333333"/>
                <w:sz w:val="18"/>
                <w:szCs w:val="18"/>
              </w:rPr>
              <w:t>refuses surgery</w:t>
            </w:r>
          </w:p>
          <w:p w14:paraId="2E5813CC" w14:textId="77777777" w:rsidR="00E76938" w:rsidRPr="00984879" w:rsidRDefault="00E76938" w:rsidP="00984879">
            <w:pPr>
              <w:numPr>
                <w:ilvl w:val="0"/>
                <w:numId w:val="11"/>
              </w:numPr>
              <w:spacing w:line="256" w:lineRule="auto"/>
              <w:contextualSpacing/>
              <w:rPr>
                <w:rFonts w:ascii="Arial Narrow" w:hAnsi="Arial Narrow"/>
                <w:strike/>
                <w:color w:val="333333"/>
                <w:sz w:val="18"/>
                <w:szCs w:val="18"/>
              </w:rPr>
            </w:pPr>
            <w:r w:rsidRPr="00984879">
              <w:rPr>
                <w:rFonts w:ascii="Arial Narrow" w:hAnsi="Arial Narrow"/>
                <w:i/>
                <w:iCs/>
                <w:color w:val="333333"/>
                <w:sz w:val="18"/>
                <w:szCs w:val="18"/>
              </w:rPr>
              <w:t>can’t access surgical treatment</w:t>
            </w:r>
            <w:r w:rsidRPr="00984879">
              <w:rPr>
                <w:rFonts w:ascii="Arial Narrow" w:hAnsi="Arial Narrow"/>
                <w:strike/>
                <w:color w:val="333333"/>
                <w:sz w:val="18"/>
                <w:szCs w:val="18"/>
              </w:rPr>
              <w:t xml:space="preserve"> being unavailable to the patient</w:t>
            </w:r>
          </w:p>
        </w:tc>
      </w:tr>
      <w:tr w:rsidR="00E76938" w14:paraId="53808C2B"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415CE9" w14:textId="39A2F7EA"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964922"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b/>
                <w:bCs/>
                <w:color w:val="333333"/>
                <w:sz w:val="18"/>
                <w:szCs w:val="18"/>
              </w:rPr>
              <w:t>Administrative advice:</w:t>
            </w:r>
            <w:r w:rsidRPr="00984879">
              <w:rPr>
                <w:rFonts w:ascii="Arial Narrow" w:hAnsi="Arial Narrow"/>
                <w:color w:val="333333"/>
                <w:sz w:val="18"/>
                <w:szCs w:val="18"/>
              </w:rPr>
              <w:t xml:space="preserve"> Applications for authorisation under this restriction may be made in real time using the Online PBS Authorities system (see www.servicesaustralia.gov.au/HPOS) or by telephone by contacting Services Australia on 1800 888 333.</w:t>
            </w:r>
          </w:p>
        </w:tc>
      </w:tr>
      <w:tr w:rsidR="00E76938" w14:paraId="05EF516D"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8E4044" w14:textId="3C0DB1E9"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4420BC"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Notes:</w:t>
            </w:r>
          </w:p>
          <w:p w14:paraId="79A89054"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Patients who failed surgery are defined as those with recurrent or persistent hypercortisolism (UFC &gt; 1.3x ULN).</w:t>
            </w:r>
          </w:p>
          <w:p w14:paraId="52B5E405" w14:textId="77777777" w:rsidR="00E76938" w:rsidRPr="00984879" w:rsidRDefault="00E76938" w:rsidP="00984879">
            <w:pPr>
              <w:spacing w:line="256" w:lineRule="auto"/>
              <w:rPr>
                <w:rFonts w:ascii="Arial Narrow" w:hAnsi="Arial Narrow"/>
                <w:strike/>
                <w:color w:val="333333"/>
                <w:sz w:val="18"/>
                <w:szCs w:val="18"/>
              </w:rPr>
            </w:pPr>
          </w:p>
          <w:p w14:paraId="26F97740"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Patients who are not candidates for surgery are defined as:</w:t>
            </w:r>
          </w:p>
          <w:p w14:paraId="4B608726" w14:textId="77777777" w:rsidR="00E76938" w:rsidRPr="00984879" w:rsidRDefault="00E76938" w:rsidP="00914C1A">
            <w:pPr>
              <w:pStyle w:val="ListParagraph"/>
              <w:numPr>
                <w:ilvl w:val="0"/>
                <w:numId w:val="12"/>
              </w:numPr>
              <w:snapToGrid w:val="0"/>
              <w:spacing w:after="0" w:line="256" w:lineRule="auto"/>
              <w:contextualSpacing/>
              <w:rPr>
                <w:rFonts w:ascii="Arial Narrow" w:hAnsi="Arial Narrow"/>
                <w:strike/>
                <w:color w:val="333333"/>
                <w:kern w:val="2"/>
                <w:sz w:val="18"/>
                <w:szCs w:val="18"/>
                <w:lang w:eastAsia="en-US"/>
              </w:rPr>
            </w:pPr>
            <w:r w:rsidRPr="00984879">
              <w:rPr>
                <w:rFonts w:ascii="Arial Narrow" w:hAnsi="Arial Narrow"/>
                <w:strike/>
                <w:color w:val="333333"/>
                <w:kern w:val="2"/>
                <w:sz w:val="18"/>
                <w:szCs w:val="18"/>
                <w:lang w:eastAsia="en-US"/>
              </w:rPr>
              <w:t>those with a medical contraindication for surgery</w:t>
            </w:r>
          </w:p>
          <w:p w14:paraId="512D9FC9" w14:textId="77777777" w:rsidR="00E76938" w:rsidRPr="00984879" w:rsidRDefault="00E76938" w:rsidP="00914C1A">
            <w:pPr>
              <w:pStyle w:val="ListParagraph"/>
              <w:numPr>
                <w:ilvl w:val="0"/>
                <w:numId w:val="12"/>
              </w:numPr>
              <w:snapToGrid w:val="0"/>
              <w:spacing w:after="0" w:line="256" w:lineRule="auto"/>
              <w:contextualSpacing/>
              <w:rPr>
                <w:rFonts w:ascii="Arial Narrow" w:hAnsi="Arial Narrow"/>
                <w:strike/>
                <w:color w:val="333333"/>
                <w:kern w:val="2"/>
                <w:sz w:val="18"/>
                <w:szCs w:val="18"/>
                <w:lang w:eastAsia="en-US"/>
              </w:rPr>
            </w:pPr>
            <w:r w:rsidRPr="00984879">
              <w:rPr>
                <w:rFonts w:ascii="Arial Narrow" w:hAnsi="Arial Narrow"/>
                <w:strike/>
                <w:color w:val="333333"/>
                <w:kern w:val="2"/>
                <w:sz w:val="18"/>
                <w:szCs w:val="18"/>
                <w:lang w:eastAsia="en-US"/>
              </w:rPr>
              <w:t>those with inoperable tumours</w:t>
            </w:r>
          </w:p>
          <w:p w14:paraId="5E57B9D5" w14:textId="77777777" w:rsidR="00E76938" w:rsidRPr="00984879" w:rsidRDefault="00E76938" w:rsidP="00914C1A">
            <w:pPr>
              <w:pStyle w:val="ListParagraph"/>
              <w:numPr>
                <w:ilvl w:val="0"/>
                <w:numId w:val="12"/>
              </w:numPr>
              <w:snapToGrid w:val="0"/>
              <w:spacing w:after="0" w:line="256" w:lineRule="auto"/>
              <w:contextualSpacing/>
              <w:rPr>
                <w:rFonts w:ascii="Arial Narrow" w:hAnsi="Arial Narrow"/>
                <w:strike/>
                <w:color w:val="333333"/>
                <w:kern w:val="2"/>
                <w:sz w:val="18"/>
                <w:szCs w:val="18"/>
                <w:lang w:eastAsia="en-US"/>
              </w:rPr>
            </w:pPr>
            <w:r w:rsidRPr="00984879">
              <w:rPr>
                <w:rFonts w:ascii="Arial Narrow" w:hAnsi="Arial Narrow"/>
                <w:strike/>
                <w:color w:val="333333"/>
                <w:kern w:val="2"/>
                <w:sz w:val="18"/>
                <w:szCs w:val="18"/>
                <w:lang w:eastAsia="en-US"/>
              </w:rPr>
              <w:t>surgery unlikely to reduce hypercortisolism</w:t>
            </w:r>
          </w:p>
          <w:p w14:paraId="66811C15" w14:textId="77777777" w:rsidR="00E76938" w:rsidRPr="00984879" w:rsidRDefault="00E76938" w:rsidP="00914C1A">
            <w:pPr>
              <w:pStyle w:val="ListParagraph"/>
              <w:numPr>
                <w:ilvl w:val="0"/>
                <w:numId w:val="12"/>
              </w:numPr>
              <w:snapToGrid w:val="0"/>
              <w:spacing w:after="0" w:line="256" w:lineRule="auto"/>
              <w:contextualSpacing/>
              <w:rPr>
                <w:rFonts w:ascii="Arial Narrow" w:hAnsi="Arial Narrow"/>
                <w:strike/>
                <w:color w:val="333333"/>
                <w:kern w:val="2"/>
                <w:sz w:val="18"/>
                <w:szCs w:val="18"/>
                <w:lang w:eastAsia="en-US"/>
              </w:rPr>
            </w:pPr>
            <w:r w:rsidRPr="00984879">
              <w:rPr>
                <w:rFonts w:ascii="Arial Narrow" w:hAnsi="Arial Narrow"/>
                <w:strike/>
                <w:color w:val="333333"/>
                <w:kern w:val="2"/>
                <w:sz w:val="18"/>
                <w:szCs w:val="18"/>
                <w:lang w:eastAsia="en-US"/>
              </w:rPr>
              <w:t>those who refuse surgery</w:t>
            </w:r>
          </w:p>
          <w:p w14:paraId="021F4D90" w14:textId="77777777" w:rsidR="00E76938" w:rsidRPr="00984879" w:rsidRDefault="00E76938" w:rsidP="00914C1A">
            <w:pPr>
              <w:pStyle w:val="ListParagraph"/>
              <w:numPr>
                <w:ilvl w:val="0"/>
                <w:numId w:val="12"/>
              </w:numPr>
              <w:snapToGrid w:val="0"/>
              <w:spacing w:after="0" w:line="256" w:lineRule="auto"/>
              <w:contextualSpacing/>
              <w:rPr>
                <w:rFonts w:ascii="Arial Narrow" w:hAnsi="Arial Narrow"/>
                <w:strike/>
                <w:color w:val="333333"/>
                <w:kern w:val="2"/>
                <w:sz w:val="18"/>
                <w:szCs w:val="18"/>
                <w:lang w:eastAsia="en-US"/>
              </w:rPr>
            </w:pPr>
            <w:r w:rsidRPr="00984879">
              <w:rPr>
                <w:rFonts w:ascii="Arial Narrow" w:hAnsi="Arial Narrow"/>
                <w:strike/>
                <w:color w:val="333333"/>
                <w:kern w:val="2"/>
                <w:sz w:val="18"/>
                <w:szCs w:val="18"/>
                <w:lang w:eastAsia="en-US"/>
              </w:rPr>
              <w:t>surgical treatment being unavailable to the patient</w:t>
            </w:r>
          </w:p>
        </w:tc>
      </w:tr>
      <w:tr w:rsidR="00E76938" w14:paraId="1C94F8D9"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137A59" w14:textId="746F12AE" w:rsidR="00E76938" w:rsidRDefault="00E76938" w:rsidP="00984879">
            <w:pPr>
              <w:spacing w:line="256" w:lineRule="auto"/>
              <w:jc w:val="center"/>
              <w:rPr>
                <w:rFonts w:ascii="Arial Narrow" w:hAnsi="Arial Narrow"/>
                <w:strike/>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497833" w14:textId="77777777" w:rsidR="00E76938" w:rsidRPr="00984879" w:rsidRDefault="00E76938" w:rsidP="00984879">
            <w:pPr>
              <w:spacing w:line="256" w:lineRule="auto"/>
              <w:rPr>
                <w:rFonts w:ascii="Arial Narrow" w:hAnsi="Arial Narrow"/>
                <w:b/>
                <w:bCs/>
                <w:strike/>
                <w:color w:val="333333"/>
                <w:sz w:val="18"/>
                <w:szCs w:val="18"/>
              </w:rPr>
            </w:pPr>
            <w:r w:rsidRPr="00984879">
              <w:rPr>
                <w:rFonts w:ascii="Arial Narrow" w:eastAsia="Calibri" w:hAnsi="Arial Narrow"/>
                <w:b/>
                <w:strike/>
                <w:sz w:val="18"/>
                <w:szCs w:val="18"/>
              </w:rPr>
              <w:t>Administrative advice:</w:t>
            </w:r>
            <w:r w:rsidRPr="00984879">
              <w:rPr>
                <w:rFonts w:ascii="Arial Narrow" w:eastAsia="Calibri" w:hAnsi="Arial Narrow"/>
                <w:strike/>
                <w:sz w:val="18"/>
                <w:szCs w:val="18"/>
              </w:rPr>
              <w:t xml:space="preserve"> No increase in the maximum number of repeats may be authorised.</w:t>
            </w:r>
          </w:p>
        </w:tc>
      </w:tr>
      <w:tr w:rsidR="00E76938" w14:paraId="2296AB8C"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1B58C7" w14:textId="642C91A6" w:rsidR="00E76938" w:rsidRDefault="00E76938" w:rsidP="00984879">
            <w:pPr>
              <w:spacing w:line="256" w:lineRule="auto"/>
              <w:jc w:val="center"/>
              <w:rPr>
                <w:rFonts w:ascii="Arial Narrow" w:hAnsi="Arial Narrow"/>
                <w:strike/>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2989C2" w14:textId="77777777" w:rsidR="00E76938" w:rsidRPr="00984879" w:rsidRDefault="00E76938" w:rsidP="00984879">
            <w:pPr>
              <w:spacing w:line="256" w:lineRule="auto"/>
              <w:rPr>
                <w:rFonts w:ascii="Arial Narrow" w:eastAsia="Calibri" w:hAnsi="Arial Narrow"/>
                <w:b/>
                <w:strike/>
                <w:sz w:val="18"/>
                <w:szCs w:val="18"/>
              </w:rPr>
            </w:pPr>
            <w:r w:rsidRPr="00984879">
              <w:rPr>
                <w:rFonts w:ascii="Arial Narrow" w:eastAsia="Calibri" w:hAnsi="Arial Narrow"/>
                <w:b/>
                <w:strike/>
                <w:sz w:val="18"/>
                <w:szCs w:val="18"/>
              </w:rPr>
              <w:t xml:space="preserve">Administrative Advice: </w:t>
            </w:r>
            <w:r w:rsidRPr="00984879">
              <w:rPr>
                <w:rFonts w:ascii="Arial Narrow" w:eastAsia="Calibri" w:hAnsi="Arial Narrow"/>
                <w:bCs/>
                <w:strike/>
                <w:sz w:val="18"/>
                <w:szCs w:val="18"/>
              </w:rPr>
              <w:t>Special Pricing Arrangements apply.</w:t>
            </w:r>
          </w:p>
        </w:tc>
      </w:tr>
      <w:tr w:rsidR="00E76938" w14:paraId="57D22D15" w14:textId="77777777" w:rsidTr="00914C1A">
        <w:trPr>
          <w:trHeight w:val="20"/>
        </w:trPr>
        <w:tc>
          <w:tcPr>
            <w:tcW w:w="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3FEC0F" w14:textId="1CDC71A3" w:rsidR="00E76938" w:rsidRDefault="00E76938" w:rsidP="00984879">
            <w:pPr>
              <w:spacing w:line="256" w:lineRule="auto"/>
              <w:jc w:val="center"/>
              <w:rPr>
                <w:rFonts w:ascii="Arial Narrow" w:hAnsi="Arial Narrow"/>
                <w:color w:val="333333"/>
                <w:sz w:val="18"/>
                <w:szCs w:val="18"/>
              </w:rPr>
            </w:pPr>
          </w:p>
        </w:tc>
        <w:tc>
          <w:tcPr>
            <w:tcW w:w="812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4FB8E3"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b/>
                <w:bCs/>
                <w:strike/>
                <w:color w:val="333333"/>
                <w:sz w:val="18"/>
                <w:szCs w:val="18"/>
              </w:rPr>
              <w:t>Caution:</w:t>
            </w:r>
            <w:r w:rsidRPr="00984879">
              <w:rPr>
                <w:rFonts w:ascii="Arial Narrow" w:hAnsi="Arial Narrow"/>
                <w:strike/>
                <w:color w:val="333333"/>
                <w:sz w:val="18"/>
                <w:szCs w:val="18"/>
              </w:rPr>
              <w:t xml:space="preserve"> </w:t>
            </w:r>
          </w:p>
          <w:p w14:paraId="3174DA92" w14:textId="77777777" w:rsidR="00E76938" w:rsidRPr="00984879" w:rsidRDefault="00E76938" w:rsidP="00984879">
            <w:pPr>
              <w:spacing w:line="256" w:lineRule="auto"/>
              <w:rPr>
                <w:rFonts w:ascii="Arial Narrow" w:hAnsi="Arial Narrow"/>
                <w:strike/>
                <w:color w:val="333333"/>
                <w:sz w:val="18"/>
                <w:szCs w:val="18"/>
              </w:rPr>
            </w:pPr>
            <w:r w:rsidRPr="00984879">
              <w:rPr>
                <w:rFonts w:ascii="Arial Narrow" w:hAnsi="Arial Narrow"/>
                <w:strike/>
                <w:color w:val="333333"/>
                <w:sz w:val="18"/>
                <w:szCs w:val="18"/>
              </w:rPr>
              <w:t>The following should be assessed prior to receiving treatment and closely monitored throughout the treatment period:</w:t>
            </w:r>
          </w:p>
          <w:p w14:paraId="6AF1E17D" w14:textId="77777777" w:rsidR="00E76938" w:rsidRPr="00984879" w:rsidRDefault="00E76938" w:rsidP="00984879">
            <w:pPr>
              <w:numPr>
                <w:ilvl w:val="0"/>
                <w:numId w:val="10"/>
              </w:numPr>
              <w:spacing w:line="256" w:lineRule="auto"/>
              <w:contextualSpacing/>
              <w:rPr>
                <w:rFonts w:ascii="Arial Narrow" w:hAnsi="Arial Narrow"/>
                <w:strike/>
                <w:color w:val="333333"/>
                <w:sz w:val="18"/>
                <w:szCs w:val="18"/>
              </w:rPr>
            </w:pPr>
            <w:r w:rsidRPr="00984879">
              <w:rPr>
                <w:rFonts w:ascii="Arial Narrow" w:hAnsi="Arial Narrow"/>
                <w:strike/>
                <w:color w:val="333333"/>
                <w:sz w:val="18"/>
                <w:szCs w:val="18"/>
              </w:rPr>
              <w:t>QTc prolongation via an electrocardiogram</w:t>
            </w:r>
          </w:p>
          <w:p w14:paraId="5C645911" w14:textId="77777777" w:rsidR="00E76938" w:rsidRPr="00984879" w:rsidRDefault="00E76938" w:rsidP="00984879">
            <w:pPr>
              <w:numPr>
                <w:ilvl w:val="0"/>
                <w:numId w:val="10"/>
              </w:numPr>
              <w:spacing w:line="256" w:lineRule="auto"/>
              <w:contextualSpacing/>
              <w:rPr>
                <w:rFonts w:ascii="Arial Narrow" w:hAnsi="Arial Narrow"/>
                <w:strike/>
                <w:color w:val="333333"/>
                <w:sz w:val="18"/>
                <w:szCs w:val="18"/>
              </w:rPr>
            </w:pPr>
            <w:r w:rsidRPr="00984879">
              <w:rPr>
                <w:rFonts w:ascii="Arial Narrow" w:hAnsi="Arial Narrow"/>
                <w:strike/>
                <w:color w:val="333333"/>
                <w:sz w:val="18"/>
                <w:szCs w:val="18"/>
              </w:rPr>
              <w:t>HypocortisolismCorticotroph tumour growth</w:t>
            </w:r>
          </w:p>
          <w:p w14:paraId="10B9C74E" w14:textId="77777777" w:rsidR="00E76938" w:rsidRPr="00984879" w:rsidRDefault="00E76938" w:rsidP="00984879">
            <w:pPr>
              <w:spacing w:line="256" w:lineRule="auto"/>
              <w:rPr>
                <w:rFonts w:ascii="Arial Narrow" w:hAnsi="Arial Narrow"/>
                <w:color w:val="333333"/>
                <w:sz w:val="18"/>
                <w:szCs w:val="18"/>
              </w:rPr>
            </w:pPr>
          </w:p>
          <w:p w14:paraId="421FC4EA" w14:textId="77777777" w:rsidR="00E76938" w:rsidRPr="00984879" w:rsidRDefault="00E76938" w:rsidP="00984879">
            <w:pPr>
              <w:spacing w:line="256" w:lineRule="auto"/>
              <w:rPr>
                <w:rFonts w:ascii="Arial Narrow" w:hAnsi="Arial Narrow"/>
                <w:color w:val="333333"/>
                <w:sz w:val="18"/>
                <w:szCs w:val="18"/>
              </w:rPr>
            </w:pPr>
            <w:r w:rsidRPr="00984879">
              <w:rPr>
                <w:rFonts w:ascii="Arial Narrow" w:hAnsi="Arial Narrow"/>
                <w:strike/>
                <w:color w:val="333333"/>
                <w:sz w:val="18"/>
                <w:szCs w:val="18"/>
              </w:rPr>
              <w:t>Inhibition of cortisol synthesis by osilodrostat has led to hypocortisolism-related events such as cortisol withdrawal syndrome (symptomatic decrease of cortisol levels, but still above the lower limit of the normal range) and adrenal insufficiency (cortisol levels below the normal range). Cortisol levels should be monitored at regular intervals, since hypocortisolism-related events can occur at any time during treatment</w:t>
            </w:r>
          </w:p>
        </w:tc>
      </w:tr>
    </w:tbl>
    <w:p w14:paraId="40DFE45D" w14:textId="77777777" w:rsidR="00E76938" w:rsidRDefault="00E76938" w:rsidP="00914C1A">
      <w:pPr>
        <w:spacing w:before="120" w:after="120"/>
        <w:rPr>
          <w:rFonts w:asciiTheme="minorHAnsi" w:hAnsiTheme="minorHAnsi" w:cstheme="minorHAnsi"/>
        </w:rPr>
      </w:pPr>
      <w:r>
        <w:rPr>
          <w:rFonts w:asciiTheme="minorHAnsi" w:hAnsiTheme="minorHAnsi" w:cstheme="minorHAnsi"/>
        </w:rPr>
        <w:t>The requested restriction for continuing treatment is presented below.</w:t>
      </w:r>
    </w:p>
    <w:p w14:paraId="6848A4F7" w14:textId="77777777" w:rsidR="00E76938" w:rsidRDefault="00E76938" w:rsidP="00E76938">
      <w:pPr>
        <w:spacing w:line="360" w:lineRule="auto"/>
        <w:rPr>
          <w:rFonts w:eastAsia="Calibri"/>
          <w:b/>
          <w:bCs/>
          <w:sz w:val="22"/>
          <w:szCs w:val="18"/>
        </w:rPr>
      </w:pPr>
      <w:r>
        <w:rPr>
          <w:rFonts w:eastAsia="Calibri"/>
          <w:b/>
          <w:bCs/>
          <w:sz w:val="22"/>
          <w:szCs w:val="18"/>
        </w:rPr>
        <w:t>Proposed listing of medicine – Continuing Treatment</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sed listing of medicine – Continuing Treatment"/>
      </w:tblPr>
      <w:tblGrid>
        <w:gridCol w:w="461"/>
        <w:gridCol w:w="670"/>
        <w:gridCol w:w="2409"/>
        <w:gridCol w:w="1136"/>
        <w:gridCol w:w="993"/>
        <w:gridCol w:w="994"/>
        <w:gridCol w:w="1250"/>
        <w:gridCol w:w="1295"/>
      </w:tblGrid>
      <w:tr w:rsidR="00984879" w14:paraId="0F2E9278" w14:textId="77777777" w:rsidTr="00914C1A">
        <w:trPr>
          <w:trHeight w:val="20"/>
        </w:trPr>
        <w:tc>
          <w:tcPr>
            <w:tcW w:w="1922"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ED881F" w14:textId="77777777" w:rsidR="00E76938" w:rsidRDefault="00E76938" w:rsidP="00660892">
            <w:pPr>
              <w:keepLines/>
              <w:spacing w:line="256" w:lineRule="auto"/>
              <w:rPr>
                <w:rFonts w:ascii="Arial Narrow" w:hAnsi="Arial Narrow"/>
                <w:b/>
                <w:bCs/>
                <w:sz w:val="20"/>
                <w:szCs w:val="20"/>
              </w:rPr>
            </w:pPr>
            <w:r>
              <w:rPr>
                <w:rFonts w:ascii="Arial Narrow" w:hAnsi="Arial Narrow"/>
                <w:b/>
                <w:bCs/>
                <w:sz w:val="20"/>
                <w:szCs w:val="20"/>
              </w:rPr>
              <w:t>MEDICINAL PRODUCT</w:t>
            </w:r>
          </w:p>
          <w:p w14:paraId="448BF8C9" w14:textId="77777777" w:rsidR="00E76938" w:rsidRDefault="00E76938" w:rsidP="00660892">
            <w:pPr>
              <w:spacing w:line="256" w:lineRule="auto"/>
              <w:rPr>
                <w:rFonts w:ascii="Arial Narrow" w:eastAsia="Calibri" w:hAnsi="Arial Narrow"/>
                <w:b/>
                <w:sz w:val="18"/>
                <w:szCs w:val="18"/>
              </w:rPr>
            </w:pPr>
            <w:r>
              <w:rPr>
                <w:rFonts w:ascii="Arial Narrow" w:hAnsi="Arial Narrow"/>
                <w:b/>
                <w:bCs/>
                <w:sz w:val="20"/>
                <w:szCs w:val="20"/>
              </w:rPr>
              <w:t>medicinal product pack</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D40399" w14:textId="77777777" w:rsidR="00E76938" w:rsidRDefault="00E76938" w:rsidP="00660892">
            <w:pPr>
              <w:spacing w:line="256" w:lineRule="auto"/>
              <w:jc w:val="center"/>
              <w:rPr>
                <w:rFonts w:ascii="Arial Narrow" w:eastAsia="Calibri" w:hAnsi="Arial Narrow"/>
                <w:b/>
                <w:sz w:val="18"/>
                <w:szCs w:val="18"/>
              </w:rPr>
            </w:pPr>
            <w:r>
              <w:rPr>
                <w:rFonts w:ascii="Arial Narrow" w:hAnsi="Arial Narrow"/>
                <w:b/>
                <w:sz w:val="20"/>
                <w:szCs w:val="20"/>
              </w:rPr>
              <w:t>PBS item code</w:t>
            </w:r>
          </w:p>
        </w:tc>
        <w:tc>
          <w:tcPr>
            <w:tcW w:w="5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9AD07D" w14:textId="77777777" w:rsidR="00E76938" w:rsidRDefault="00E76938" w:rsidP="00660892">
            <w:pPr>
              <w:spacing w:line="256" w:lineRule="auto"/>
              <w:jc w:val="center"/>
              <w:rPr>
                <w:rFonts w:ascii="Arial Narrow" w:eastAsia="Calibri" w:hAnsi="Arial Narrow"/>
                <w:b/>
                <w:sz w:val="18"/>
                <w:szCs w:val="18"/>
              </w:rPr>
            </w:pPr>
            <w:r>
              <w:rPr>
                <w:rFonts w:ascii="Arial Narrow" w:hAnsi="Arial Narrow"/>
                <w:b/>
                <w:sz w:val="20"/>
                <w:szCs w:val="20"/>
              </w:rPr>
              <w:t>Max. qty packs</w:t>
            </w:r>
          </w:p>
        </w:tc>
        <w:tc>
          <w:tcPr>
            <w:tcW w:w="54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3CFEF6" w14:textId="77777777" w:rsidR="00E76938" w:rsidRDefault="00E76938" w:rsidP="00660892">
            <w:pPr>
              <w:spacing w:line="256" w:lineRule="auto"/>
              <w:jc w:val="center"/>
              <w:rPr>
                <w:rFonts w:ascii="Arial Narrow" w:eastAsia="Calibri" w:hAnsi="Arial Narrow"/>
                <w:b/>
                <w:sz w:val="18"/>
                <w:szCs w:val="18"/>
              </w:rPr>
            </w:pPr>
            <w:r>
              <w:rPr>
                <w:rFonts w:ascii="Arial Narrow" w:hAnsi="Arial Narrow"/>
                <w:b/>
                <w:sz w:val="20"/>
                <w:szCs w:val="20"/>
              </w:rPr>
              <w:t>Max. qty units</w:t>
            </w:r>
          </w:p>
        </w:tc>
        <w:tc>
          <w:tcPr>
            <w:tcW w:w="6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0DFC02" w14:textId="77777777" w:rsidR="00E76938" w:rsidRDefault="00E76938" w:rsidP="00660892">
            <w:pPr>
              <w:keepLines/>
              <w:spacing w:line="256" w:lineRule="auto"/>
              <w:jc w:val="center"/>
              <w:rPr>
                <w:rFonts w:ascii="Arial Narrow" w:hAnsi="Arial Narrow"/>
                <w:b/>
                <w:sz w:val="20"/>
                <w:szCs w:val="20"/>
              </w:rPr>
            </w:pPr>
            <w:r>
              <w:rPr>
                <w:rFonts w:ascii="Arial Narrow" w:hAnsi="Arial Narrow"/>
                <w:b/>
                <w:sz w:val="20"/>
                <w:szCs w:val="20"/>
              </w:rPr>
              <w:t>№. of</w:t>
            </w:r>
          </w:p>
          <w:p w14:paraId="7C89ADFE" w14:textId="77777777" w:rsidR="00E76938" w:rsidRDefault="00E76938" w:rsidP="00660892">
            <w:pPr>
              <w:spacing w:line="256" w:lineRule="auto"/>
              <w:jc w:val="center"/>
              <w:rPr>
                <w:rFonts w:ascii="Arial Narrow" w:eastAsia="Calibri" w:hAnsi="Arial Narrow"/>
                <w:b/>
                <w:sz w:val="18"/>
                <w:szCs w:val="18"/>
              </w:rPr>
            </w:pPr>
            <w:r>
              <w:rPr>
                <w:rFonts w:ascii="Arial Narrow" w:hAnsi="Arial Narrow"/>
                <w:b/>
                <w:sz w:val="20"/>
                <w:szCs w:val="20"/>
              </w:rPr>
              <w:t>Rpts</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4DE3C" w14:textId="77777777" w:rsidR="00E76938" w:rsidRDefault="00E76938" w:rsidP="00660892">
            <w:pPr>
              <w:spacing w:line="256" w:lineRule="auto"/>
              <w:jc w:val="center"/>
              <w:rPr>
                <w:rFonts w:ascii="Arial Narrow" w:eastAsia="Calibri" w:hAnsi="Arial Narrow"/>
                <w:b/>
                <w:sz w:val="18"/>
                <w:szCs w:val="18"/>
              </w:rPr>
            </w:pPr>
            <w:r>
              <w:rPr>
                <w:rFonts w:ascii="Arial Narrow" w:hAnsi="Arial Narrow"/>
                <w:b/>
                <w:sz w:val="20"/>
                <w:szCs w:val="20"/>
              </w:rPr>
              <w:t>Available brands</w:t>
            </w:r>
          </w:p>
        </w:tc>
      </w:tr>
      <w:tr w:rsidR="00E76938" w14:paraId="402A8675" w14:textId="77777777" w:rsidTr="00914C1A">
        <w:trPr>
          <w:trHeight w:val="20"/>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B5C3F0" w14:textId="77777777" w:rsidR="00E76938" w:rsidRDefault="00E76938" w:rsidP="00660892">
            <w:pPr>
              <w:spacing w:line="256" w:lineRule="auto"/>
              <w:rPr>
                <w:rFonts w:ascii="Arial Narrow" w:eastAsia="Calibri" w:hAnsi="Arial Narrow"/>
                <w:b/>
                <w:sz w:val="18"/>
                <w:szCs w:val="18"/>
              </w:rPr>
            </w:pPr>
            <w:r>
              <w:rPr>
                <w:rFonts w:ascii="Arial Narrow" w:hAnsi="Arial Narrow"/>
                <w:sz w:val="20"/>
                <w:szCs w:val="20"/>
              </w:rPr>
              <w:t>OSILODROSTAT</w:t>
            </w:r>
          </w:p>
        </w:tc>
      </w:tr>
      <w:tr w:rsidR="00984879" w14:paraId="7CA1EB51" w14:textId="77777777" w:rsidTr="00914C1A">
        <w:trPr>
          <w:trHeight w:val="20"/>
        </w:trPr>
        <w:tc>
          <w:tcPr>
            <w:tcW w:w="1922"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752027" w14:textId="77777777" w:rsidR="00E76938" w:rsidRDefault="00E76938" w:rsidP="00660892">
            <w:pPr>
              <w:spacing w:line="256" w:lineRule="auto"/>
              <w:rPr>
                <w:rFonts w:ascii="Arial Narrow" w:eastAsia="Calibri" w:hAnsi="Arial Narrow"/>
                <w:b/>
                <w:sz w:val="18"/>
                <w:szCs w:val="18"/>
              </w:rPr>
            </w:pPr>
            <w:r>
              <w:rPr>
                <w:rFonts w:ascii="Arial Narrow" w:eastAsia="Calibri" w:hAnsi="Arial Narrow"/>
                <w:bCs/>
                <w:sz w:val="18"/>
                <w:szCs w:val="18"/>
              </w:rPr>
              <w:t>Osilodrostat, 1 mg oral tablet</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5F565A" w14:textId="77777777" w:rsidR="00E76938" w:rsidRDefault="00E76938" w:rsidP="00660892">
            <w:pPr>
              <w:spacing w:line="256" w:lineRule="auto"/>
              <w:jc w:val="center"/>
              <w:rPr>
                <w:rFonts w:ascii="Arial Narrow" w:eastAsia="Calibri" w:hAnsi="Arial Narrow"/>
                <w:b/>
                <w:sz w:val="18"/>
                <w:szCs w:val="18"/>
              </w:rPr>
            </w:pPr>
            <w:r>
              <w:rPr>
                <w:rFonts w:ascii="Arial Narrow" w:eastAsia="Calibri" w:hAnsi="Arial Narrow"/>
                <w:bCs/>
                <w:sz w:val="18"/>
                <w:szCs w:val="18"/>
              </w:rPr>
              <w:t>New</w:t>
            </w:r>
          </w:p>
        </w:tc>
        <w:tc>
          <w:tcPr>
            <w:tcW w:w="5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80A0E5" w14:textId="77777777" w:rsidR="00E76938" w:rsidRDefault="00E76938" w:rsidP="00660892">
            <w:pPr>
              <w:spacing w:line="256" w:lineRule="auto"/>
              <w:jc w:val="center"/>
              <w:rPr>
                <w:rFonts w:ascii="Arial Narrow" w:eastAsia="Calibri" w:hAnsi="Arial Narrow"/>
                <w:b/>
                <w:sz w:val="18"/>
                <w:szCs w:val="18"/>
              </w:rPr>
            </w:pPr>
            <w:r>
              <w:rPr>
                <w:rFonts w:ascii="Arial Narrow" w:eastAsia="Calibri" w:hAnsi="Arial Narrow"/>
                <w:bCs/>
                <w:sz w:val="18"/>
                <w:szCs w:val="18"/>
              </w:rPr>
              <w:t>1</w:t>
            </w:r>
          </w:p>
        </w:tc>
        <w:tc>
          <w:tcPr>
            <w:tcW w:w="54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A9681A" w14:textId="77777777" w:rsidR="00E76938" w:rsidRDefault="00E76938" w:rsidP="00660892">
            <w:pPr>
              <w:spacing w:line="256" w:lineRule="auto"/>
              <w:jc w:val="center"/>
              <w:rPr>
                <w:rFonts w:ascii="Arial Narrow" w:eastAsia="Calibri" w:hAnsi="Arial Narrow"/>
                <w:b/>
                <w:sz w:val="18"/>
                <w:szCs w:val="18"/>
              </w:rPr>
            </w:pPr>
            <w:r>
              <w:rPr>
                <w:rFonts w:ascii="Arial Narrow" w:eastAsia="Calibri" w:hAnsi="Arial Narrow"/>
                <w:bCs/>
                <w:sz w:val="18"/>
                <w:szCs w:val="18"/>
              </w:rPr>
              <w:t>60</w:t>
            </w:r>
          </w:p>
        </w:tc>
        <w:tc>
          <w:tcPr>
            <w:tcW w:w="6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0B9179" w14:textId="77777777" w:rsidR="00E76938" w:rsidRDefault="00E76938" w:rsidP="00660892">
            <w:pPr>
              <w:spacing w:line="256" w:lineRule="auto"/>
              <w:jc w:val="center"/>
              <w:rPr>
                <w:rFonts w:ascii="Arial Narrow" w:eastAsia="Calibri" w:hAnsi="Arial Narrow"/>
                <w:bCs/>
                <w:sz w:val="18"/>
                <w:szCs w:val="18"/>
              </w:rPr>
            </w:pPr>
            <w:r>
              <w:rPr>
                <w:rFonts w:ascii="Arial Narrow" w:eastAsia="Calibri" w:hAnsi="Arial Narrow"/>
                <w:bCs/>
                <w:sz w:val="18"/>
                <w:szCs w:val="18"/>
              </w:rPr>
              <w:t>5</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D8BB9B" w14:textId="77777777" w:rsidR="00E76938" w:rsidRDefault="00E76938" w:rsidP="00660892">
            <w:pPr>
              <w:spacing w:line="256" w:lineRule="auto"/>
              <w:jc w:val="center"/>
              <w:rPr>
                <w:rFonts w:ascii="Arial Narrow" w:eastAsia="Calibri" w:hAnsi="Arial Narrow"/>
                <w:b/>
                <w:sz w:val="18"/>
                <w:szCs w:val="18"/>
              </w:rPr>
            </w:pPr>
            <w:r>
              <w:rPr>
                <w:rFonts w:ascii="Arial Narrow" w:eastAsia="Calibri" w:hAnsi="Arial Narrow"/>
                <w:bCs/>
                <w:sz w:val="18"/>
                <w:szCs w:val="18"/>
              </w:rPr>
              <w:t>ISTURISA</w:t>
            </w:r>
          </w:p>
        </w:tc>
      </w:tr>
      <w:tr w:rsidR="00984879" w14:paraId="045B335A" w14:textId="77777777" w:rsidTr="00914C1A">
        <w:trPr>
          <w:trHeight w:val="20"/>
        </w:trPr>
        <w:tc>
          <w:tcPr>
            <w:tcW w:w="1922"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CD839A" w14:textId="77777777" w:rsidR="00E76938" w:rsidRDefault="00E76938" w:rsidP="00660892">
            <w:pPr>
              <w:spacing w:line="256" w:lineRule="auto"/>
              <w:rPr>
                <w:rFonts w:ascii="Arial Narrow" w:eastAsia="Calibri" w:hAnsi="Arial Narrow"/>
                <w:b/>
                <w:sz w:val="18"/>
                <w:szCs w:val="18"/>
              </w:rPr>
            </w:pPr>
            <w:r>
              <w:rPr>
                <w:rFonts w:ascii="Arial Narrow" w:eastAsia="Calibri" w:hAnsi="Arial Narrow"/>
                <w:bCs/>
                <w:sz w:val="18"/>
                <w:szCs w:val="18"/>
              </w:rPr>
              <w:t>Osilodrostat, 5 mg oral tablet</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3E8A7A" w14:textId="77777777" w:rsidR="00E76938" w:rsidRDefault="00E76938" w:rsidP="00660892">
            <w:pPr>
              <w:spacing w:line="256" w:lineRule="auto"/>
              <w:jc w:val="center"/>
              <w:rPr>
                <w:rFonts w:ascii="Arial Narrow" w:eastAsia="Calibri" w:hAnsi="Arial Narrow"/>
                <w:b/>
                <w:sz w:val="18"/>
                <w:szCs w:val="18"/>
              </w:rPr>
            </w:pPr>
            <w:r>
              <w:rPr>
                <w:rFonts w:ascii="Arial Narrow" w:eastAsia="Calibri" w:hAnsi="Arial Narrow"/>
                <w:bCs/>
                <w:sz w:val="18"/>
                <w:szCs w:val="18"/>
              </w:rPr>
              <w:t>New</w:t>
            </w:r>
          </w:p>
        </w:tc>
        <w:tc>
          <w:tcPr>
            <w:tcW w:w="53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535AF1" w14:textId="77777777" w:rsidR="00E76938" w:rsidRDefault="00E76938" w:rsidP="00660892">
            <w:pPr>
              <w:spacing w:line="256" w:lineRule="auto"/>
              <w:jc w:val="center"/>
              <w:rPr>
                <w:rFonts w:ascii="Arial Narrow" w:eastAsia="Calibri" w:hAnsi="Arial Narrow"/>
                <w:b/>
                <w:sz w:val="18"/>
                <w:szCs w:val="18"/>
              </w:rPr>
            </w:pPr>
            <w:r>
              <w:rPr>
                <w:rFonts w:ascii="Arial Narrow" w:eastAsia="Calibri" w:hAnsi="Arial Narrow"/>
                <w:bCs/>
                <w:sz w:val="18"/>
                <w:szCs w:val="18"/>
              </w:rPr>
              <w:t>1</w:t>
            </w:r>
          </w:p>
        </w:tc>
        <w:tc>
          <w:tcPr>
            <w:tcW w:w="54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D48340" w14:textId="77777777" w:rsidR="00E76938" w:rsidRDefault="00E76938" w:rsidP="00660892">
            <w:pPr>
              <w:spacing w:line="256" w:lineRule="auto"/>
              <w:jc w:val="center"/>
              <w:rPr>
                <w:rFonts w:ascii="Arial Narrow" w:eastAsia="Calibri" w:hAnsi="Arial Narrow"/>
                <w:b/>
                <w:sz w:val="18"/>
                <w:szCs w:val="18"/>
              </w:rPr>
            </w:pPr>
            <w:r>
              <w:rPr>
                <w:rFonts w:ascii="Arial Narrow" w:eastAsia="Calibri" w:hAnsi="Arial Narrow"/>
                <w:bCs/>
                <w:sz w:val="18"/>
                <w:szCs w:val="18"/>
              </w:rPr>
              <w:t>60</w:t>
            </w:r>
          </w:p>
        </w:tc>
        <w:tc>
          <w:tcPr>
            <w:tcW w:w="6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BC14D5" w14:textId="77777777" w:rsidR="00E76938" w:rsidRDefault="00E76938" w:rsidP="00660892">
            <w:pPr>
              <w:spacing w:line="256" w:lineRule="auto"/>
              <w:jc w:val="center"/>
              <w:rPr>
                <w:rFonts w:ascii="Arial Narrow" w:eastAsia="Calibri" w:hAnsi="Arial Narrow"/>
                <w:bCs/>
                <w:sz w:val="18"/>
                <w:szCs w:val="18"/>
              </w:rPr>
            </w:pPr>
            <w:r>
              <w:rPr>
                <w:rFonts w:ascii="Arial Narrow" w:eastAsia="Calibri" w:hAnsi="Arial Narrow"/>
                <w:bCs/>
                <w:sz w:val="18"/>
                <w:szCs w:val="18"/>
              </w:rPr>
              <w:t>5</w:t>
            </w:r>
          </w:p>
        </w:tc>
        <w:tc>
          <w:tcPr>
            <w:tcW w:w="7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77D60C" w14:textId="77777777" w:rsidR="00E76938" w:rsidRDefault="00E76938" w:rsidP="00660892">
            <w:pPr>
              <w:spacing w:line="256" w:lineRule="auto"/>
              <w:jc w:val="center"/>
              <w:rPr>
                <w:rFonts w:ascii="Arial Narrow" w:eastAsia="Calibri" w:hAnsi="Arial Narrow"/>
                <w:b/>
                <w:sz w:val="18"/>
                <w:szCs w:val="18"/>
              </w:rPr>
            </w:pPr>
            <w:r>
              <w:rPr>
                <w:rFonts w:ascii="Arial Narrow" w:eastAsia="Calibri" w:hAnsi="Arial Narrow"/>
                <w:bCs/>
                <w:sz w:val="18"/>
                <w:szCs w:val="18"/>
              </w:rPr>
              <w:t>ISTURISA</w:t>
            </w:r>
          </w:p>
        </w:tc>
      </w:tr>
      <w:tr w:rsidR="00E76938" w14:paraId="23B94B85" w14:textId="77777777" w:rsidTr="00914C1A">
        <w:trPr>
          <w:trHeight w:val="20"/>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CDB584" w14:textId="77777777" w:rsidR="00E76938" w:rsidRDefault="00E76938" w:rsidP="00660892">
            <w:pPr>
              <w:spacing w:line="256" w:lineRule="auto"/>
              <w:rPr>
                <w:rFonts w:ascii="Arial Narrow" w:eastAsia="Calibri" w:hAnsi="Arial Narrow"/>
                <w:b/>
                <w:sz w:val="18"/>
                <w:szCs w:val="18"/>
              </w:rPr>
            </w:pPr>
          </w:p>
        </w:tc>
      </w:tr>
      <w:tr w:rsidR="00E76938" w14:paraId="1E981CF6" w14:textId="77777777" w:rsidTr="00914C1A">
        <w:trPr>
          <w:trHeight w:val="20"/>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92F39A" w14:textId="77777777" w:rsidR="00E76938" w:rsidRDefault="00E76938" w:rsidP="00660892">
            <w:pPr>
              <w:spacing w:line="256" w:lineRule="auto"/>
              <w:rPr>
                <w:rFonts w:ascii="Arial Narrow" w:eastAsia="Calibri" w:hAnsi="Arial Narrow"/>
                <w:b/>
                <w:sz w:val="18"/>
                <w:szCs w:val="18"/>
              </w:rPr>
            </w:pPr>
            <w:r>
              <w:rPr>
                <w:rFonts w:ascii="Arial Narrow" w:hAnsi="Arial Narrow"/>
                <w:b/>
                <w:sz w:val="20"/>
                <w:szCs w:val="20"/>
              </w:rPr>
              <w:t>Restriction Summary [new3]</w:t>
            </w:r>
            <w:r>
              <w:rPr>
                <w:rFonts w:ascii="Arial Narrow" w:hAnsi="Arial Narrow"/>
                <w:b/>
                <w:color w:val="FF0000"/>
                <w:sz w:val="20"/>
                <w:szCs w:val="20"/>
              </w:rPr>
              <w:t xml:space="preserve"> </w:t>
            </w:r>
            <w:r>
              <w:rPr>
                <w:rFonts w:ascii="Arial Narrow" w:hAnsi="Arial Narrow"/>
                <w:b/>
                <w:sz w:val="20"/>
                <w:szCs w:val="20"/>
              </w:rPr>
              <w:t xml:space="preserve">/ Treatment of Concept: [new4] </w:t>
            </w:r>
          </w:p>
        </w:tc>
      </w:tr>
      <w:tr w:rsidR="00E76938" w14:paraId="2CBDBB6C" w14:textId="77777777" w:rsidTr="00914C1A">
        <w:trPr>
          <w:trHeight w:val="20"/>
        </w:trPr>
        <w:tc>
          <w:tcPr>
            <w:tcW w:w="614"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9BBDD1" w14:textId="77777777" w:rsidR="00E76938" w:rsidRDefault="00E76938" w:rsidP="00660892">
            <w:pPr>
              <w:spacing w:line="256" w:lineRule="auto"/>
              <w:jc w:val="center"/>
              <w:rPr>
                <w:rFonts w:ascii="Arial Narrow" w:eastAsia="Calibri" w:hAnsi="Arial Narrow"/>
                <w:b/>
                <w:sz w:val="18"/>
                <w:szCs w:val="18"/>
              </w:rPr>
            </w:pPr>
            <w:r>
              <w:rPr>
                <w:rFonts w:ascii="Arial Narrow" w:eastAsia="Calibri" w:hAnsi="Arial Narrow"/>
                <w:b/>
                <w:sz w:val="18"/>
                <w:szCs w:val="18"/>
              </w:rPr>
              <w:t>Concept ID</w:t>
            </w:r>
          </w:p>
          <w:p w14:paraId="0DCDDA76" w14:textId="77777777" w:rsidR="00E76938" w:rsidRDefault="00E76938" w:rsidP="00660892">
            <w:pPr>
              <w:spacing w:line="256" w:lineRule="auto"/>
              <w:rPr>
                <w:rFonts w:ascii="Arial Narrow" w:eastAsia="Calibri" w:hAnsi="Arial Narrow"/>
                <w:i/>
                <w:sz w:val="18"/>
                <w:szCs w:val="18"/>
              </w:rPr>
            </w:pPr>
          </w:p>
          <w:p w14:paraId="2D42AB0C" w14:textId="77777777" w:rsidR="00E76938" w:rsidRDefault="00E76938" w:rsidP="00660892">
            <w:pPr>
              <w:spacing w:line="256" w:lineRule="auto"/>
              <w:jc w:val="center"/>
              <w:rPr>
                <w:rFonts w:ascii="Arial Narrow" w:eastAsia="Calibri" w:hAnsi="Arial Narrow"/>
                <w:sz w:val="18"/>
                <w:szCs w:val="18"/>
              </w:rPr>
            </w:pPr>
            <w:r>
              <w:rPr>
                <w:rFonts w:ascii="Arial Narrow" w:eastAsia="Calibri" w:hAnsi="Arial Narrow"/>
                <w:sz w:val="18"/>
                <w:szCs w:val="18"/>
              </w:rPr>
              <w:t>(for internal Dept. use)</w:t>
            </w:r>
          </w:p>
          <w:p w14:paraId="71A8BE74" w14:textId="77777777" w:rsidR="00E76938" w:rsidRDefault="00E76938" w:rsidP="00660892">
            <w:pPr>
              <w:spacing w:line="256" w:lineRule="auto"/>
              <w:rPr>
                <w:rFonts w:ascii="Arial Narrow" w:eastAsia="Calibri" w:hAnsi="Arial Narrow"/>
                <w:b/>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9F52D6" w14:textId="77777777" w:rsidR="00E76938" w:rsidRDefault="00E76938" w:rsidP="00660892">
            <w:pPr>
              <w:spacing w:line="256" w:lineRule="auto"/>
              <w:rPr>
                <w:rFonts w:ascii="Arial Narrow" w:eastAsia="Calibri" w:hAnsi="Arial Narrow"/>
                <w:sz w:val="18"/>
                <w:szCs w:val="18"/>
              </w:rPr>
            </w:pPr>
            <w:r>
              <w:rPr>
                <w:rFonts w:ascii="Arial Narrow" w:eastAsia="Calibri" w:hAnsi="Arial Narrow"/>
                <w:b/>
                <w:sz w:val="18"/>
                <w:szCs w:val="18"/>
              </w:rPr>
              <w:t xml:space="preserve">Category / Program: </w:t>
            </w:r>
          </w:p>
          <w:p w14:paraId="0839CEC3" w14:textId="77777777" w:rsidR="00E76938" w:rsidRDefault="00E76938" w:rsidP="00660892">
            <w:pPr>
              <w:spacing w:line="256" w:lineRule="auto"/>
              <w:rPr>
                <w:rFonts w:ascii="Arial Narrow" w:eastAsia="Calibri" w:hAnsi="Arial Narrow"/>
                <w:sz w:val="18"/>
                <w:szCs w:val="18"/>
              </w:rPr>
            </w:pPr>
            <w:r>
              <w:rPr>
                <w:rFonts w:ascii="Arial Narrow" w:eastAsia="Calibri" w:hAnsi="Arial Narrow"/>
                <w:sz w:val="18"/>
                <w:szCs w:val="18"/>
              </w:rPr>
              <w:t>Section 85 – General Schedule</w:t>
            </w:r>
          </w:p>
        </w:tc>
      </w:tr>
      <w:tr w:rsidR="00E76938" w14:paraId="3B077C87" w14:textId="77777777" w:rsidTr="00914C1A">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CBFB00" w14:textId="77777777" w:rsidR="00E76938" w:rsidRDefault="00E76938" w:rsidP="00660892">
            <w:pPr>
              <w:spacing w:line="256" w:lineRule="auto"/>
              <w:rPr>
                <w:rFonts w:ascii="Arial Narrow" w:eastAsia="Calibri" w:hAnsi="Arial Narrow"/>
                <w:b/>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68DD87" w14:textId="77777777" w:rsidR="00E76938" w:rsidRDefault="00E76938" w:rsidP="00660892">
            <w:pPr>
              <w:spacing w:line="256" w:lineRule="auto"/>
              <w:rPr>
                <w:rFonts w:ascii="Arial Narrow" w:eastAsia="Calibri" w:hAnsi="Arial Narrow"/>
                <w:b/>
                <w:sz w:val="18"/>
                <w:szCs w:val="18"/>
              </w:rPr>
            </w:pPr>
            <w:r>
              <w:rPr>
                <w:rFonts w:ascii="Arial Narrow" w:eastAsia="Calibri" w:hAnsi="Arial Narrow"/>
                <w:b/>
                <w:sz w:val="18"/>
                <w:szCs w:val="18"/>
              </w:rPr>
              <w:t xml:space="preserve">Prescriber type: </w:t>
            </w:r>
            <w:r>
              <w:rPr>
                <w:rFonts w:ascii="Arial Narrow" w:eastAsia="Calibri" w:hAnsi="Arial Narrow"/>
                <w:sz w:val="18"/>
                <w:szCs w:val="18"/>
              </w:rPr>
              <w:fldChar w:fldCharType="begin" w:fldLock="1">
                <w:ffData>
                  <w:name w:val=""/>
                  <w:enabled/>
                  <w:calcOnExit w:val="0"/>
                  <w:checkBox>
                    <w:sizeAuto/>
                    <w:default w:val="1"/>
                  </w:checkBox>
                </w:ffData>
              </w:fldChar>
            </w:r>
            <w:r>
              <w:rPr>
                <w:rFonts w:ascii="Arial Narrow" w:eastAsia="Calibri" w:hAnsi="Arial Narrow"/>
                <w:sz w:val="18"/>
                <w:szCs w:val="18"/>
              </w:rPr>
              <w:instrText xml:space="preserve"> FORMCHECKBOX </w:instrText>
            </w:r>
            <w:r>
              <w:rPr>
                <w:rFonts w:ascii="Arial Narrow" w:eastAsia="Calibri" w:hAnsi="Arial Narrow"/>
                <w:sz w:val="18"/>
                <w:szCs w:val="18"/>
              </w:rPr>
            </w:r>
            <w:r>
              <w:rPr>
                <w:rFonts w:ascii="Arial Narrow" w:eastAsia="Calibri" w:hAnsi="Arial Narrow"/>
                <w:sz w:val="18"/>
                <w:szCs w:val="18"/>
              </w:rPr>
              <w:fldChar w:fldCharType="separate"/>
            </w:r>
            <w:r>
              <w:rPr>
                <w:rFonts w:ascii="Arial Narrow" w:eastAsia="Calibri" w:hAnsi="Arial Narrow"/>
                <w:sz w:val="18"/>
                <w:szCs w:val="18"/>
              </w:rPr>
              <w:fldChar w:fldCharType="end"/>
            </w:r>
            <w:r>
              <w:rPr>
                <w:rFonts w:ascii="Arial Narrow" w:eastAsia="Calibri" w:hAnsi="Arial Narrow"/>
                <w:sz w:val="18"/>
                <w:szCs w:val="18"/>
              </w:rPr>
              <w:t xml:space="preserve">Medical Practitioners </w:t>
            </w:r>
          </w:p>
        </w:tc>
      </w:tr>
      <w:tr w:rsidR="00E76938" w14:paraId="3C55F820" w14:textId="77777777" w:rsidTr="00914C1A">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4123E1" w14:textId="77777777" w:rsidR="00E76938" w:rsidRDefault="00E76938" w:rsidP="00660892">
            <w:pPr>
              <w:spacing w:line="256" w:lineRule="auto"/>
              <w:rPr>
                <w:rFonts w:ascii="Arial Narrow" w:eastAsia="Calibri" w:hAnsi="Arial Narrow"/>
                <w:b/>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DCC3F1" w14:textId="50003602" w:rsidR="00E76938" w:rsidRDefault="00E76938" w:rsidP="00660892">
            <w:pPr>
              <w:spacing w:line="256" w:lineRule="auto"/>
              <w:rPr>
                <w:rFonts w:ascii="Arial Narrow" w:eastAsia="Calibri" w:hAnsi="Arial Narrow"/>
                <w:sz w:val="18"/>
                <w:szCs w:val="18"/>
              </w:rPr>
            </w:pPr>
            <w:r>
              <w:rPr>
                <w:rFonts w:ascii="Arial Narrow" w:eastAsia="Calibri" w:hAnsi="Arial Narrow"/>
                <w:b/>
                <w:sz w:val="18"/>
                <w:szCs w:val="18"/>
              </w:rPr>
              <w:t xml:space="preserve">Restriction Type – </w:t>
            </w:r>
            <w:r>
              <w:rPr>
                <w:rFonts w:ascii="Arial Narrow" w:eastAsia="Calibri" w:hAnsi="Arial Narrow"/>
                <w:sz w:val="18"/>
                <w:szCs w:val="18"/>
              </w:rPr>
              <w:fldChar w:fldCharType="begin" w:fldLock="1">
                <w:ffData>
                  <w:name w:val=""/>
                  <w:enabled/>
                  <w:calcOnExit w:val="0"/>
                  <w:checkBox>
                    <w:sizeAuto/>
                    <w:default w:val="1"/>
                  </w:checkBox>
                </w:ffData>
              </w:fldChar>
            </w:r>
            <w:r>
              <w:rPr>
                <w:rFonts w:ascii="Arial Narrow" w:eastAsia="Calibri" w:hAnsi="Arial Narrow"/>
                <w:sz w:val="18"/>
                <w:szCs w:val="18"/>
              </w:rPr>
              <w:instrText xml:space="preserve"> FORMCHECKBOX </w:instrText>
            </w:r>
            <w:r>
              <w:rPr>
                <w:rFonts w:ascii="Arial Narrow" w:eastAsia="Calibri" w:hAnsi="Arial Narrow"/>
                <w:sz w:val="18"/>
                <w:szCs w:val="18"/>
              </w:rPr>
            </w:r>
            <w:r>
              <w:rPr>
                <w:rFonts w:ascii="Arial Narrow" w:eastAsia="Calibri" w:hAnsi="Arial Narrow"/>
                <w:sz w:val="18"/>
                <w:szCs w:val="18"/>
              </w:rPr>
              <w:fldChar w:fldCharType="separate"/>
            </w:r>
            <w:r>
              <w:rPr>
                <w:rFonts w:ascii="Arial Narrow" w:eastAsia="Calibri" w:hAnsi="Arial Narrow"/>
                <w:sz w:val="18"/>
                <w:szCs w:val="18"/>
              </w:rPr>
              <w:fldChar w:fldCharType="end"/>
            </w:r>
            <w:r>
              <w:rPr>
                <w:rFonts w:ascii="Arial Narrow" w:eastAsia="Calibri" w:hAnsi="Arial Narrow"/>
                <w:sz w:val="18"/>
                <w:szCs w:val="18"/>
              </w:rPr>
              <w:t>Authority Required – immediate/real time assessment by Services Australia (telephone/online application avenues)</w:t>
            </w:r>
          </w:p>
        </w:tc>
      </w:tr>
      <w:tr w:rsidR="00E76938" w14:paraId="2BADA606" w14:textId="77777777" w:rsidTr="00914C1A">
        <w:trPr>
          <w:trHeight w:val="20"/>
        </w:trPr>
        <w:tc>
          <w:tcPr>
            <w:tcW w:w="25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1CBBF7" w14:textId="77777777" w:rsidR="00E76938" w:rsidRDefault="00E76938" w:rsidP="00660892">
            <w:pPr>
              <w:spacing w:line="256" w:lineRule="auto"/>
              <w:rPr>
                <w:rFonts w:ascii="Arial Narrow" w:eastAsia="Calibri" w:hAnsi="Arial Narrow"/>
                <w:i/>
                <w:iCs/>
                <w:sz w:val="18"/>
                <w:szCs w:val="18"/>
              </w:rPr>
            </w:pPr>
            <w:r>
              <w:rPr>
                <w:rFonts w:ascii="Arial Narrow" w:eastAsia="Calibri" w:hAnsi="Arial Narrow"/>
                <w:i/>
                <w:iCs/>
                <w:sz w:val="18"/>
                <w:szCs w:val="18"/>
              </w:rPr>
              <w:t>PR level</w:t>
            </w:r>
          </w:p>
        </w:tc>
        <w:tc>
          <w:tcPr>
            <w:tcW w:w="36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63D27C" w14:textId="3324C29E" w:rsidR="00E76938" w:rsidRDefault="00E76938" w:rsidP="00660892">
            <w:pPr>
              <w:spacing w:line="256" w:lineRule="auto"/>
              <w:rPr>
                <w:rFonts w:ascii="Arial Narrow" w:eastAsia="Calibri" w:hAnsi="Arial Narrow"/>
                <w:i/>
                <w:iCs/>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8EE47F" w14:textId="77777777" w:rsidR="00E76938" w:rsidRDefault="00E76938" w:rsidP="00660892">
            <w:pPr>
              <w:spacing w:line="256" w:lineRule="auto"/>
              <w:rPr>
                <w:rFonts w:ascii="Arial Narrow" w:hAnsi="Arial Narrow"/>
                <w:i/>
                <w:iCs/>
                <w:color w:val="333333"/>
                <w:sz w:val="18"/>
                <w:szCs w:val="18"/>
              </w:rPr>
            </w:pPr>
            <w:r>
              <w:rPr>
                <w:rFonts w:ascii="Arial Narrow" w:hAnsi="Arial Narrow"/>
                <w:b/>
                <w:bCs/>
                <w:i/>
                <w:iCs/>
                <w:color w:val="333333"/>
                <w:sz w:val="18"/>
                <w:szCs w:val="18"/>
              </w:rPr>
              <w:t>Caution:</w:t>
            </w:r>
            <w:r>
              <w:rPr>
                <w:rFonts w:ascii="Arial Narrow" w:hAnsi="Arial Narrow"/>
                <w:i/>
                <w:iCs/>
                <w:color w:val="333333"/>
                <w:sz w:val="18"/>
                <w:szCs w:val="18"/>
              </w:rPr>
              <w:t xml:space="preserve"> </w:t>
            </w:r>
          </w:p>
          <w:p w14:paraId="32E0A2F2" w14:textId="77777777" w:rsidR="00E76938" w:rsidRDefault="00E76938" w:rsidP="00660892">
            <w:pPr>
              <w:spacing w:line="256" w:lineRule="auto"/>
              <w:rPr>
                <w:rFonts w:ascii="Arial Narrow" w:hAnsi="Arial Narrow"/>
                <w:i/>
                <w:iCs/>
                <w:color w:val="333333"/>
                <w:sz w:val="18"/>
                <w:szCs w:val="18"/>
              </w:rPr>
            </w:pPr>
            <w:r>
              <w:rPr>
                <w:rFonts w:ascii="Arial Narrow" w:hAnsi="Arial Narrow"/>
                <w:i/>
                <w:iCs/>
                <w:color w:val="333333"/>
                <w:sz w:val="18"/>
                <w:szCs w:val="18"/>
              </w:rPr>
              <w:t>The following should be assessed prior to receiving treatment and closely monitored throughout the treatment period:</w:t>
            </w:r>
          </w:p>
          <w:p w14:paraId="6ED7EA57" w14:textId="77777777" w:rsidR="00E76938" w:rsidRDefault="00E76938" w:rsidP="00E76938">
            <w:pPr>
              <w:numPr>
                <w:ilvl w:val="0"/>
                <w:numId w:val="10"/>
              </w:numPr>
              <w:spacing w:line="256" w:lineRule="auto"/>
              <w:contextualSpacing/>
              <w:rPr>
                <w:rFonts w:ascii="Arial Narrow" w:hAnsi="Arial Narrow"/>
                <w:i/>
                <w:iCs/>
                <w:strike/>
                <w:color w:val="333333"/>
                <w:sz w:val="18"/>
                <w:szCs w:val="18"/>
              </w:rPr>
            </w:pPr>
            <w:r>
              <w:rPr>
                <w:rFonts w:ascii="Arial Narrow" w:hAnsi="Arial Narrow"/>
                <w:i/>
                <w:iCs/>
                <w:color w:val="333333"/>
                <w:sz w:val="18"/>
                <w:szCs w:val="18"/>
              </w:rPr>
              <w:t>QTc prolongation via an electrocardiogram</w:t>
            </w:r>
          </w:p>
          <w:p w14:paraId="6C45EFEF" w14:textId="77777777" w:rsidR="00E76938" w:rsidRDefault="00E76938" w:rsidP="00E76938">
            <w:pPr>
              <w:pStyle w:val="ListParagraph"/>
              <w:numPr>
                <w:ilvl w:val="0"/>
                <w:numId w:val="10"/>
              </w:numPr>
              <w:snapToGrid w:val="0"/>
              <w:spacing w:after="0" w:line="256" w:lineRule="auto"/>
              <w:contextualSpacing/>
              <w:rPr>
                <w:rFonts w:ascii="Arial Narrow" w:eastAsia="Calibri" w:hAnsi="Arial Narrow"/>
                <w:b/>
                <w:i/>
                <w:iCs/>
                <w:kern w:val="2"/>
                <w:sz w:val="18"/>
                <w:szCs w:val="18"/>
                <w:lang w:eastAsia="en-US"/>
              </w:rPr>
            </w:pPr>
            <w:r>
              <w:rPr>
                <w:rFonts w:ascii="Arial Narrow" w:hAnsi="Arial Narrow"/>
                <w:i/>
                <w:iCs/>
                <w:color w:val="333333"/>
                <w:kern w:val="2"/>
                <w:sz w:val="18"/>
                <w:szCs w:val="18"/>
                <w:lang w:eastAsia="en-US"/>
              </w:rPr>
              <w:t>Hypocortisolism</w:t>
            </w:r>
          </w:p>
          <w:p w14:paraId="5212860E" w14:textId="77777777" w:rsidR="00E76938" w:rsidRDefault="00E76938" w:rsidP="00E76938">
            <w:pPr>
              <w:numPr>
                <w:ilvl w:val="0"/>
                <w:numId w:val="10"/>
              </w:numPr>
              <w:spacing w:line="256" w:lineRule="auto"/>
              <w:contextualSpacing/>
              <w:rPr>
                <w:rFonts w:ascii="Arial Narrow" w:hAnsi="Arial Narrow"/>
                <w:i/>
                <w:iCs/>
                <w:color w:val="333333"/>
                <w:sz w:val="18"/>
                <w:szCs w:val="18"/>
              </w:rPr>
            </w:pPr>
            <w:r>
              <w:rPr>
                <w:rFonts w:ascii="Arial Narrow" w:hAnsi="Arial Narrow"/>
                <w:i/>
                <w:iCs/>
                <w:color w:val="333333"/>
                <w:sz w:val="18"/>
                <w:szCs w:val="18"/>
              </w:rPr>
              <w:lastRenderedPageBreak/>
              <w:t>Corticotroph tumour growth</w:t>
            </w:r>
          </w:p>
        </w:tc>
      </w:tr>
      <w:tr w:rsidR="00E76938" w14:paraId="1887C221" w14:textId="77777777" w:rsidTr="00914C1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FC6ECFA" w14:textId="77777777" w:rsidR="00E76938" w:rsidRDefault="00E76938" w:rsidP="00660892">
            <w:pPr>
              <w:spacing w:line="256" w:lineRule="auto"/>
              <w:rPr>
                <w:rFonts w:ascii="Arial Narrow" w:eastAsia="Calibri" w:hAnsi="Arial Narrow"/>
                <w:i/>
                <w:iCs/>
                <w:sz w:val="18"/>
                <w:szCs w:val="18"/>
              </w:rPr>
            </w:pPr>
          </w:p>
        </w:tc>
        <w:tc>
          <w:tcPr>
            <w:tcW w:w="36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E0085" w14:textId="244B03B6" w:rsidR="00E76938" w:rsidRDefault="00E76938" w:rsidP="00660892">
            <w:pPr>
              <w:spacing w:line="256" w:lineRule="auto"/>
              <w:rPr>
                <w:rFonts w:ascii="Arial Narrow" w:eastAsia="Calibri" w:hAnsi="Arial Narrow"/>
                <w:i/>
                <w:iCs/>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E6D604" w14:textId="77777777" w:rsidR="00E76938" w:rsidRDefault="00E76938" w:rsidP="00660892">
            <w:pPr>
              <w:spacing w:line="256" w:lineRule="auto"/>
              <w:rPr>
                <w:rFonts w:ascii="Arial Narrow" w:eastAsia="Calibri" w:hAnsi="Arial Narrow"/>
                <w:b/>
                <w:i/>
                <w:iCs/>
                <w:sz w:val="18"/>
                <w:szCs w:val="18"/>
              </w:rPr>
            </w:pPr>
            <w:r>
              <w:rPr>
                <w:rFonts w:ascii="Arial Narrow" w:eastAsia="Calibri" w:hAnsi="Arial Narrow"/>
                <w:b/>
                <w:i/>
                <w:iCs/>
                <w:sz w:val="18"/>
                <w:szCs w:val="18"/>
              </w:rPr>
              <w:t xml:space="preserve">Administrative advice: </w:t>
            </w:r>
          </w:p>
          <w:p w14:paraId="33AD4047" w14:textId="77777777" w:rsidR="00E76938" w:rsidRDefault="00E76938" w:rsidP="00660892">
            <w:pPr>
              <w:spacing w:line="256" w:lineRule="auto"/>
              <w:rPr>
                <w:rFonts w:ascii="Arial Narrow" w:eastAsia="Calibri" w:hAnsi="Arial Narrow"/>
                <w:b/>
                <w:i/>
                <w:iCs/>
                <w:sz w:val="18"/>
                <w:szCs w:val="18"/>
              </w:rPr>
            </w:pPr>
            <w:r>
              <w:rPr>
                <w:rFonts w:ascii="Arial Narrow" w:hAnsi="Arial Narrow"/>
                <w:i/>
                <w:iCs/>
                <w:color w:val="333333"/>
                <w:sz w:val="18"/>
                <w:szCs w:val="18"/>
              </w:rPr>
              <w:t>Cortisol levels should be monitored at regular intervals, since hypocortisolism-related events can occur at any time during treatment.</w:t>
            </w:r>
          </w:p>
        </w:tc>
      </w:tr>
      <w:tr w:rsidR="00E76938" w14:paraId="405D2A5E" w14:textId="77777777" w:rsidTr="00914C1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B2F39C4" w14:textId="77777777" w:rsidR="00E76938" w:rsidRDefault="00E76938" w:rsidP="00660892">
            <w:pPr>
              <w:spacing w:line="256" w:lineRule="auto"/>
              <w:rPr>
                <w:rFonts w:ascii="Arial Narrow" w:eastAsia="Calibri" w:hAnsi="Arial Narrow"/>
                <w:i/>
                <w:iCs/>
                <w:sz w:val="18"/>
                <w:szCs w:val="18"/>
              </w:rPr>
            </w:pPr>
          </w:p>
        </w:tc>
        <w:tc>
          <w:tcPr>
            <w:tcW w:w="36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C7DC82" w14:textId="6CDA2E90" w:rsidR="00E76938" w:rsidRDefault="00E76938" w:rsidP="00660892">
            <w:pPr>
              <w:spacing w:line="256" w:lineRule="auto"/>
              <w:rPr>
                <w:rFonts w:ascii="Arial Narrow" w:eastAsia="Calibri" w:hAnsi="Arial Narrow"/>
                <w:i/>
                <w:iCs/>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634BEF" w14:textId="77777777" w:rsidR="00E76938" w:rsidRDefault="00E76938" w:rsidP="00660892">
            <w:pPr>
              <w:spacing w:line="256" w:lineRule="auto"/>
              <w:rPr>
                <w:rFonts w:ascii="Arial Narrow" w:eastAsia="Calibri" w:hAnsi="Arial Narrow"/>
                <w:b/>
                <w:i/>
                <w:iCs/>
                <w:sz w:val="18"/>
                <w:szCs w:val="18"/>
              </w:rPr>
            </w:pPr>
            <w:r>
              <w:rPr>
                <w:rFonts w:ascii="Arial Narrow" w:eastAsia="Calibri" w:hAnsi="Arial Narrow"/>
                <w:b/>
                <w:i/>
                <w:iCs/>
                <w:sz w:val="18"/>
                <w:szCs w:val="18"/>
              </w:rPr>
              <w:t xml:space="preserve">Administrative advice: </w:t>
            </w:r>
          </w:p>
          <w:p w14:paraId="0764C819" w14:textId="77777777" w:rsidR="00E76938" w:rsidRDefault="00E76938" w:rsidP="00660892">
            <w:pPr>
              <w:spacing w:line="256" w:lineRule="auto"/>
              <w:rPr>
                <w:rFonts w:ascii="Arial Narrow" w:eastAsia="Calibri" w:hAnsi="Arial Narrow"/>
                <w:b/>
                <w:i/>
                <w:iCs/>
                <w:sz w:val="18"/>
                <w:szCs w:val="18"/>
              </w:rPr>
            </w:pPr>
            <w:r>
              <w:rPr>
                <w:rFonts w:ascii="Arial Narrow" w:eastAsia="Calibri" w:hAnsi="Arial Narrow"/>
                <w:i/>
                <w:iCs/>
                <w:sz w:val="18"/>
                <w:szCs w:val="18"/>
              </w:rPr>
              <w:t>No increase in the maximum number of repeats may be authorised.</w:t>
            </w:r>
          </w:p>
        </w:tc>
      </w:tr>
      <w:tr w:rsidR="00E76938" w14:paraId="5B89B4A6" w14:textId="77777777" w:rsidTr="00914C1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12F3655" w14:textId="77777777" w:rsidR="00E76938" w:rsidRDefault="00E76938" w:rsidP="00660892">
            <w:pPr>
              <w:spacing w:line="256" w:lineRule="auto"/>
              <w:rPr>
                <w:rFonts w:ascii="Arial Narrow" w:eastAsia="Calibri" w:hAnsi="Arial Narrow"/>
                <w:i/>
                <w:iCs/>
                <w:sz w:val="18"/>
                <w:szCs w:val="18"/>
              </w:rPr>
            </w:pPr>
          </w:p>
        </w:tc>
        <w:tc>
          <w:tcPr>
            <w:tcW w:w="36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444115" w14:textId="0939352A" w:rsidR="00E76938" w:rsidRDefault="00E76938" w:rsidP="00660892">
            <w:pPr>
              <w:spacing w:line="256" w:lineRule="auto"/>
              <w:rPr>
                <w:rFonts w:ascii="Arial Narrow" w:eastAsia="Calibri" w:hAnsi="Arial Narrow"/>
                <w:i/>
                <w:iCs/>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81932E" w14:textId="77777777" w:rsidR="00E76938" w:rsidRDefault="00E76938" w:rsidP="00660892">
            <w:pPr>
              <w:spacing w:line="256" w:lineRule="auto"/>
              <w:rPr>
                <w:rFonts w:ascii="Arial Narrow" w:eastAsia="Calibri" w:hAnsi="Arial Narrow"/>
                <w:b/>
                <w:i/>
                <w:iCs/>
                <w:sz w:val="18"/>
                <w:szCs w:val="18"/>
              </w:rPr>
            </w:pPr>
            <w:r>
              <w:rPr>
                <w:rFonts w:ascii="Arial Narrow" w:eastAsia="Calibri" w:hAnsi="Arial Narrow"/>
                <w:b/>
                <w:i/>
                <w:iCs/>
                <w:sz w:val="18"/>
                <w:szCs w:val="18"/>
              </w:rPr>
              <w:t xml:space="preserve">Administrative Advice: </w:t>
            </w:r>
          </w:p>
          <w:p w14:paraId="19F8094E" w14:textId="77777777" w:rsidR="00E76938" w:rsidRDefault="00E76938" w:rsidP="00660892">
            <w:pPr>
              <w:spacing w:line="256" w:lineRule="auto"/>
              <w:rPr>
                <w:rFonts w:ascii="Arial Narrow" w:eastAsia="Calibri" w:hAnsi="Arial Narrow"/>
                <w:b/>
                <w:i/>
                <w:iCs/>
                <w:sz w:val="18"/>
                <w:szCs w:val="18"/>
              </w:rPr>
            </w:pPr>
            <w:r>
              <w:rPr>
                <w:rFonts w:ascii="Arial Narrow" w:eastAsia="Calibri" w:hAnsi="Arial Narrow"/>
                <w:bCs/>
                <w:i/>
                <w:iCs/>
                <w:sz w:val="18"/>
                <w:szCs w:val="18"/>
              </w:rPr>
              <w:t>Special Pricing Arrangements apply.</w:t>
            </w:r>
          </w:p>
        </w:tc>
      </w:tr>
      <w:tr w:rsidR="00E76938" w14:paraId="184987B4"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E430CD" w14:textId="77777777" w:rsidR="00E76938" w:rsidRDefault="00E76938" w:rsidP="00660892">
            <w:pPr>
              <w:spacing w:line="256" w:lineRule="auto"/>
              <w:rPr>
                <w:rFonts w:ascii="Arial Narrow" w:eastAsia="Calibri" w:hAnsi="Arial Narrow"/>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3102E9" w14:textId="77777777" w:rsidR="00E76938" w:rsidRDefault="00E76938" w:rsidP="00660892">
            <w:pPr>
              <w:spacing w:line="256" w:lineRule="auto"/>
              <w:rPr>
                <w:rFonts w:ascii="Arial Narrow" w:eastAsia="Calibri" w:hAnsi="Arial Narrow"/>
                <w:b/>
                <w:sz w:val="18"/>
                <w:szCs w:val="18"/>
              </w:rPr>
            </w:pPr>
          </w:p>
        </w:tc>
      </w:tr>
      <w:tr w:rsidR="00E76938" w14:paraId="604C1CF6"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E7BCCF" w14:textId="77777777" w:rsidR="00E76938" w:rsidRDefault="00E76938" w:rsidP="00660892">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4348C8" w14:textId="77777777" w:rsidR="00E76938" w:rsidRPr="00217E33" w:rsidRDefault="00E76938" w:rsidP="00660892">
            <w:pPr>
              <w:spacing w:line="256" w:lineRule="auto"/>
              <w:rPr>
                <w:rFonts w:ascii="Arial Narrow" w:hAnsi="Arial Narrow"/>
                <w:bCs/>
                <w:color w:val="AEAAAA" w:themeColor="background2" w:themeShade="BF"/>
                <w:sz w:val="18"/>
                <w:szCs w:val="18"/>
              </w:rPr>
            </w:pPr>
            <w:r w:rsidRPr="00217E33">
              <w:rPr>
                <w:rFonts w:ascii="Arial Narrow" w:hAnsi="Arial Narrow"/>
                <w:b/>
                <w:bCs/>
                <w:color w:val="AEAAAA" w:themeColor="background2" w:themeShade="BF"/>
                <w:sz w:val="18"/>
                <w:szCs w:val="18"/>
              </w:rPr>
              <w:t xml:space="preserve">Episodicity: </w:t>
            </w:r>
            <w:r w:rsidRPr="00217E33">
              <w:rPr>
                <w:rFonts w:ascii="Arial Narrow" w:hAnsi="Arial Narrow"/>
                <w:color w:val="AEAAAA" w:themeColor="background2" w:themeShade="BF"/>
                <w:sz w:val="18"/>
                <w:szCs w:val="18"/>
              </w:rPr>
              <w:t>Chronic</w:t>
            </w:r>
          </w:p>
        </w:tc>
      </w:tr>
      <w:tr w:rsidR="00E76938" w14:paraId="596FDF3E"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FFF064" w14:textId="77777777" w:rsidR="00E76938" w:rsidRDefault="00E76938" w:rsidP="00660892">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B6232B" w14:textId="77777777" w:rsidR="00E76938" w:rsidRPr="00217E33" w:rsidRDefault="00E76938" w:rsidP="00660892">
            <w:pPr>
              <w:spacing w:line="256" w:lineRule="auto"/>
              <w:rPr>
                <w:rFonts w:ascii="Arial Narrow" w:hAnsi="Arial Narrow"/>
                <w:b/>
                <w:bCs/>
                <w:color w:val="AEAAAA" w:themeColor="background2" w:themeShade="BF"/>
                <w:sz w:val="18"/>
                <w:szCs w:val="18"/>
              </w:rPr>
            </w:pPr>
            <w:r w:rsidRPr="00217E33">
              <w:rPr>
                <w:rFonts w:ascii="Arial Narrow" w:hAnsi="Arial Narrow"/>
                <w:b/>
                <w:bCs/>
                <w:color w:val="AEAAAA" w:themeColor="background2" w:themeShade="BF"/>
                <w:sz w:val="18"/>
                <w:szCs w:val="18"/>
              </w:rPr>
              <w:t xml:space="preserve">Severity: </w:t>
            </w:r>
            <w:r w:rsidRPr="00217E33">
              <w:rPr>
                <w:rFonts w:ascii="Arial Narrow" w:hAnsi="Arial Narrow"/>
                <w:color w:val="AEAAAA" w:themeColor="background2" w:themeShade="BF"/>
                <w:sz w:val="18"/>
                <w:szCs w:val="18"/>
              </w:rPr>
              <w:t>NA</w:t>
            </w:r>
          </w:p>
        </w:tc>
      </w:tr>
      <w:tr w:rsidR="00E76938" w14:paraId="1870389B"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D43753" w14:textId="77777777" w:rsidR="00E76938" w:rsidRDefault="00E76938" w:rsidP="00660892">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5B30E8" w14:textId="77777777" w:rsidR="00E76938" w:rsidRPr="00217E33" w:rsidRDefault="00E76938" w:rsidP="00660892">
            <w:pPr>
              <w:spacing w:line="256" w:lineRule="auto"/>
              <w:rPr>
                <w:rFonts w:ascii="Arial Narrow" w:hAnsi="Arial Narrow"/>
                <w:b/>
                <w:bCs/>
                <w:color w:val="AEAAAA" w:themeColor="background2" w:themeShade="BF"/>
                <w:sz w:val="18"/>
                <w:szCs w:val="18"/>
              </w:rPr>
            </w:pPr>
            <w:r w:rsidRPr="00217E33">
              <w:rPr>
                <w:rFonts w:ascii="Arial Narrow" w:hAnsi="Arial Narrow"/>
                <w:b/>
                <w:bCs/>
                <w:color w:val="AEAAAA" w:themeColor="background2" w:themeShade="BF"/>
                <w:sz w:val="18"/>
                <w:szCs w:val="18"/>
              </w:rPr>
              <w:t xml:space="preserve">Condition: </w:t>
            </w:r>
            <w:r w:rsidRPr="00217E33">
              <w:rPr>
                <w:rFonts w:ascii="Arial Narrow" w:hAnsi="Arial Narrow"/>
                <w:color w:val="AEAAAA" w:themeColor="background2" w:themeShade="BF"/>
                <w:sz w:val="18"/>
                <w:szCs w:val="18"/>
              </w:rPr>
              <w:t>Endogenous</w:t>
            </w:r>
            <w:r w:rsidRPr="00217E33">
              <w:rPr>
                <w:rFonts w:ascii="Arial Narrow" w:hAnsi="Arial Narrow"/>
                <w:b/>
                <w:bCs/>
                <w:color w:val="AEAAAA" w:themeColor="background2" w:themeShade="BF"/>
                <w:sz w:val="18"/>
                <w:szCs w:val="18"/>
              </w:rPr>
              <w:t xml:space="preserve"> </w:t>
            </w:r>
            <w:r w:rsidRPr="00217E33">
              <w:rPr>
                <w:rFonts w:ascii="Arial Narrow" w:hAnsi="Arial Narrow"/>
                <w:bCs/>
                <w:color w:val="AEAAAA" w:themeColor="background2" w:themeShade="BF"/>
                <w:sz w:val="18"/>
                <w:szCs w:val="18"/>
              </w:rPr>
              <w:t>Cushing’s Syndrome</w:t>
            </w:r>
          </w:p>
        </w:tc>
      </w:tr>
      <w:tr w:rsidR="00E76938" w14:paraId="19B3F1A3"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3863C2" w14:textId="72B940A1" w:rsidR="00E76938" w:rsidRDefault="00E76938" w:rsidP="00660892">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57CDF7" w14:textId="77777777" w:rsidR="00E76938" w:rsidRDefault="00E76938" w:rsidP="00660892">
            <w:pPr>
              <w:spacing w:line="256" w:lineRule="auto"/>
              <w:rPr>
                <w:rFonts w:ascii="Arial Narrow" w:hAnsi="Arial Narrow"/>
                <w:color w:val="333333"/>
                <w:sz w:val="18"/>
                <w:szCs w:val="18"/>
              </w:rPr>
            </w:pPr>
            <w:r>
              <w:rPr>
                <w:rFonts w:ascii="Arial Narrow" w:hAnsi="Arial Narrow"/>
                <w:b/>
                <w:bCs/>
                <w:color w:val="333333"/>
                <w:sz w:val="18"/>
                <w:szCs w:val="18"/>
              </w:rPr>
              <w:t>Indication:</w:t>
            </w:r>
            <w:r>
              <w:rPr>
                <w:rFonts w:ascii="Arial Narrow" w:hAnsi="Arial Narrow"/>
                <w:color w:val="333333"/>
                <w:sz w:val="18"/>
                <w:szCs w:val="18"/>
              </w:rPr>
              <w:t xml:space="preserve"> </w:t>
            </w:r>
            <w:r>
              <w:rPr>
                <w:rFonts w:ascii="Arial Narrow" w:hAnsi="Arial Narrow"/>
                <w:strike/>
                <w:color w:val="333333"/>
                <w:sz w:val="18"/>
                <w:szCs w:val="18"/>
              </w:rPr>
              <w:t xml:space="preserve">Patients with </w:t>
            </w:r>
            <w:r>
              <w:rPr>
                <w:rFonts w:ascii="Arial Narrow" w:hAnsi="Arial Narrow"/>
                <w:i/>
                <w:iCs/>
                <w:strike/>
                <w:color w:val="333333"/>
                <w:sz w:val="18"/>
                <w:szCs w:val="18"/>
              </w:rPr>
              <w:t>Chronic</w:t>
            </w:r>
            <w:r>
              <w:rPr>
                <w:rFonts w:ascii="Arial Narrow" w:hAnsi="Arial Narrow"/>
                <w:color w:val="333333"/>
                <w:sz w:val="18"/>
                <w:szCs w:val="18"/>
              </w:rPr>
              <w:t xml:space="preserve"> </w:t>
            </w:r>
          </w:p>
          <w:p w14:paraId="1D8530F5" w14:textId="77777777" w:rsidR="00E76938" w:rsidRDefault="00E76938" w:rsidP="00660892">
            <w:pPr>
              <w:spacing w:line="256" w:lineRule="auto"/>
              <w:rPr>
                <w:rFonts w:ascii="Arial Narrow" w:hAnsi="Arial Narrow"/>
                <w:color w:val="333333"/>
                <w:sz w:val="18"/>
                <w:szCs w:val="18"/>
              </w:rPr>
            </w:pPr>
            <w:r>
              <w:rPr>
                <w:rFonts w:ascii="Arial Narrow" w:hAnsi="Arial Narrow"/>
                <w:color w:val="333333"/>
                <w:sz w:val="18"/>
                <w:szCs w:val="18"/>
              </w:rPr>
              <w:t>Endogenous Cushing’s syndrome</w:t>
            </w:r>
          </w:p>
        </w:tc>
      </w:tr>
      <w:tr w:rsidR="00E76938" w14:paraId="2BDE66A9"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49AA65" w14:textId="77777777" w:rsidR="00E76938" w:rsidRDefault="00E76938" w:rsidP="00660892">
            <w:pP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1AB6AA" w14:textId="77777777" w:rsidR="00E76938" w:rsidRDefault="00E76938" w:rsidP="00660892">
            <w:pPr>
              <w:spacing w:line="256" w:lineRule="auto"/>
              <w:rPr>
                <w:rFonts w:ascii="Arial Narrow" w:hAnsi="Arial Narrow"/>
                <w:color w:val="333333"/>
                <w:sz w:val="18"/>
                <w:szCs w:val="18"/>
              </w:rPr>
            </w:pPr>
            <w:r>
              <w:rPr>
                <w:rFonts w:ascii="Arial Narrow" w:hAnsi="Arial Narrow"/>
                <w:b/>
                <w:bCs/>
                <w:color w:val="333333"/>
                <w:sz w:val="18"/>
                <w:szCs w:val="18"/>
              </w:rPr>
              <w:t>Treatment Phase:</w:t>
            </w:r>
            <w:r>
              <w:rPr>
                <w:rFonts w:ascii="Arial Narrow" w:hAnsi="Arial Narrow"/>
                <w:color w:val="333333"/>
                <w:sz w:val="18"/>
                <w:szCs w:val="18"/>
              </w:rPr>
              <w:t xml:space="preserve"> Continuing treatment</w:t>
            </w:r>
          </w:p>
        </w:tc>
      </w:tr>
      <w:tr w:rsidR="00E76938" w14:paraId="65DA3DFC"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151F24" w14:textId="77777777" w:rsidR="00E76938" w:rsidRDefault="00E76938" w:rsidP="00660892">
            <w:pP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584EF7" w14:textId="77777777" w:rsidR="00E76938" w:rsidRDefault="00E76938" w:rsidP="00660892">
            <w:pPr>
              <w:spacing w:line="256" w:lineRule="auto"/>
              <w:rPr>
                <w:rFonts w:ascii="Arial Narrow" w:hAnsi="Arial Narrow"/>
                <w:color w:val="333333"/>
                <w:sz w:val="18"/>
                <w:szCs w:val="18"/>
              </w:rPr>
            </w:pPr>
            <w:r>
              <w:rPr>
                <w:rFonts w:ascii="Arial Narrow" w:hAnsi="Arial Narrow"/>
                <w:b/>
                <w:bCs/>
                <w:color w:val="333333"/>
                <w:sz w:val="18"/>
                <w:szCs w:val="18"/>
              </w:rPr>
              <w:t>Clinical criteria:</w:t>
            </w:r>
          </w:p>
        </w:tc>
      </w:tr>
      <w:tr w:rsidR="00E76938" w14:paraId="6F7FD9A3"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88C7BD" w14:textId="47F15F6B" w:rsidR="00E76938" w:rsidRDefault="00E76938" w:rsidP="00660892">
            <w:pPr>
              <w:spacing w:line="256" w:lineRule="auto"/>
              <w:jc w:val="center"/>
              <w:rPr>
                <w:rFonts w:ascii="Arial Narrow" w:hAnsi="Arial Narrow"/>
                <w:i/>
                <w:iCs/>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635350" w14:textId="77777777" w:rsidR="00E76938" w:rsidRDefault="00E76938" w:rsidP="00660892">
            <w:pPr>
              <w:spacing w:line="256" w:lineRule="auto"/>
              <w:rPr>
                <w:rFonts w:ascii="Arial Narrow" w:hAnsi="Arial Narrow"/>
                <w:color w:val="333333"/>
                <w:sz w:val="18"/>
                <w:szCs w:val="18"/>
              </w:rPr>
            </w:pPr>
            <w:r>
              <w:rPr>
                <w:rFonts w:ascii="Arial Narrow" w:hAnsi="Arial Narrow"/>
                <w:color w:val="333333"/>
                <w:sz w:val="18"/>
                <w:szCs w:val="18"/>
              </w:rPr>
              <w:t>Patient must have received PBS-subsidised treatment with this drug for this condition</w:t>
            </w:r>
          </w:p>
        </w:tc>
      </w:tr>
      <w:tr w:rsidR="00E76938" w14:paraId="7E60F51F"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CD22B0" w14:textId="77777777" w:rsidR="00E76938" w:rsidRDefault="00E76938" w:rsidP="00660892">
            <w:pP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B87B59" w14:textId="77777777" w:rsidR="00E76938" w:rsidRDefault="00E76938" w:rsidP="00660892">
            <w:pPr>
              <w:spacing w:line="256" w:lineRule="auto"/>
              <w:rPr>
                <w:rFonts w:ascii="Arial Narrow" w:hAnsi="Arial Narrow"/>
                <w:b/>
                <w:bCs/>
                <w:color w:val="333333"/>
                <w:sz w:val="18"/>
                <w:szCs w:val="18"/>
              </w:rPr>
            </w:pPr>
            <w:r>
              <w:rPr>
                <w:rFonts w:ascii="Arial Narrow" w:hAnsi="Arial Narrow"/>
                <w:b/>
                <w:bCs/>
                <w:color w:val="333333"/>
                <w:sz w:val="18"/>
                <w:szCs w:val="18"/>
              </w:rPr>
              <w:t>AND</w:t>
            </w:r>
          </w:p>
        </w:tc>
      </w:tr>
      <w:tr w:rsidR="00E76938" w14:paraId="440AA2BE"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A8A6C3" w14:textId="11E65A53" w:rsidR="00E76938" w:rsidRDefault="00E76938" w:rsidP="00660892">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127476" w14:textId="77777777" w:rsidR="00E76938" w:rsidRDefault="00E76938" w:rsidP="00660892">
            <w:pPr>
              <w:spacing w:line="256" w:lineRule="auto"/>
              <w:rPr>
                <w:rFonts w:ascii="Arial Narrow" w:hAnsi="Arial Narrow"/>
                <w:b/>
                <w:bCs/>
                <w:i/>
                <w:iCs/>
                <w:color w:val="333333"/>
                <w:sz w:val="18"/>
                <w:szCs w:val="18"/>
              </w:rPr>
            </w:pPr>
            <w:r>
              <w:rPr>
                <w:rFonts w:ascii="Arial Narrow" w:hAnsi="Arial Narrow"/>
                <w:b/>
                <w:bCs/>
                <w:i/>
                <w:iCs/>
                <w:color w:val="333333"/>
                <w:sz w:val="18"/>
                <w:szCs w:val="18"/>
              </w:rPr>
              <w:t>Clinical criteria:</w:t>
            </w:r>
          </w:p>
        </w:tc>
      </w:tr>
      <w:tr w:rsidR="00E76938" w14:paraId="1FD9582B"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121EA0" w14:textId="4D23DC72" w:rsidR="00E76938" w:rsidRPr="00E76938" w:rsidRDefault="00E76938" w:rsidP="00660892">
            <w:pPr>
              <w:spacing w:line="256" w:lineRule="auto"/>
              <w:jc w:val="center"/>
              <w:rPr>
                <w:rFonts w:ascii="Arial Narrow" w:hAnsi="Arial Narrow"/>
                <w:i/>
                <w:iCs/>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2DC488" w14:textId="77777777" w:rsidR="00E76938" w:rsidRPr="00E76938" w:rsidRDefault="00E76938" w:rsidP="00660892">
            <w:pPr>
              <w:spacing w:line="256" w:lineRule="auto"/>
              <w:rPr>
                <w:rFonts w:ascii="Arial Narrow" w:hAnsi="Arial Narrow"/>
                <w:color w:val="333333"/>
                <w:sz w:val="18"/>
                <w:szCs w:val="18"/>
              </w:rPr>
            </w:pPr>
            <w:r w:rsidRPr="00E76938">
              <w:rPr>
                <w:rFonts w:ascii="Arial Narrow" w:hAnsi="Arial Narrow"/>
                <w:strike/>
                <w:color w:val="333333"/>
                <w:sz w:val="18"/>
                <w:szCs w:val="18"/>
              </w:rPr>
              <w:t>Patients</w:t>
            </w:r>
            <w:r w:rsidRPr="00E76938">
              <w:rPr>
                <w:rFonts w:ascii="Arial Narrow" w:hAnsi="Arial Narrow"/>
                <w:color w:val="333333"/>
                <w:sz w:val="18"/>
                <w:szCs w:val="18"/>
              </w:rPr>
              <w:t xml:space="preserve"> </w:t>
            </w:r>
            <w:r w:rsidRPr="00E76938">
              <w:rPr>
                <w:rFonts w:ascii="Arial Narrow" w:hAnsi="Arial Narrow"/>
                <w:i/>
                <w:iCs/>
                <w:color w:val="333333"/>
                <w:sz w:val="18"/>
                <w:szCs w:val="18"/>
              </w:rPr>
              <w:t xml:space="preserve">Patient </w:t>
            </w:r>
            <w:r w:rsidRPr="00E76938">
              <w:rPr>
                <w:rFonts w:ascii="Arial Narrow" w:hAnsi="Arial Narrow"/>
                <w:color w:val="333333"/>
                <w:sz w:val="18"/>
                <w:szCs w:val="18"/>
              </w:rPr>
              <w:t xml:space="preserve">must have demonstrated a complete response </w:t>
            </w:r>
            <w:r w:rsidRPr="00E76938">
              <w:rPr>
                <w:rFonts w:ascii="Arial Narrow" w:hAnsi="Arial Narrow"/>
                <w:strike/>
                <w:color w:val="333333"/>
                <w:sz w:val="18"/>
                <w:szCs w:val="18"/>
              </w:rPr>
              <w:t>or a partial response</w:t>
            </w:r>
            <w:r w:rsidRPr="00E76938">
              <w:rPr>
                <w:rFonts w:ascii="Arial Narrow" w:hAnsi="Arial Narrow"/>
                <w:color w:val="333333"/>
                <w:sz w:val="18"/>
                <w:szCs w:val="18"/>
              </w:rPr>
              <w:t xml:space="preserve"> after </w:t>
            </w:r>
            <w:r w:rsidRPr="00E76938">
              <w:rPr>
                <w:rFonts w:ascii="Arial Narrow" w:hAnsi="Arial Narrow"/>
                <w:i/>
                <w:iCs/>
                <w:color w:val="333333"/>
                <w:sz w:val="18"/>
                <w:szCs w:val="18"/>
              </w:rPr>
              <w:t>at least</w:t>
            </w:r>
            <w:r w:rsidRPr="00E76938">
              <w:rPr>
                <w:rFonts w:ascii="Arial Narrow" w:hAnsi="Arial Narrow"/>
                <w:color w:val="333333"/>
                <w:sz w:val="18"/>
                <w:szCs w:val="18"/>
              </w:rPr>
              <w:t xml:space="preserve"> </w:t>
            </w:r>
            <w:r w:rsidRPr="00E76938">
              <w:rPr>
                <w:rFonts w:ascii="Arial Narrow" w:hAnsi="Arial Narrow"/>
                <w:strike/>
                <w:color w:val="333333"/>
                <w:sz w:val="18"/>
                <w:szCs w:val="18"/>
              </w:rPr>
              <w:t>6 months</w:t>
            </w:r>
            <w:r w:rsidRPr="00E76938">
              <w:rPr>
                <w:rFonts w:ascii="Arial Narrow" w:hAnsi="Arial Narrow"/>
                <w:color w:val="333333"/>
                <w:sz w:val="18"/>
                <w:szCs w:val="18"/>
              </w:rPr>
              <w:t xml:space="preserve"> </w:t>
            </w:r>
            <w:r w:rsidRPr="00E76938">
              <w:rPr>
                <w:rFonts w:ascii="Arial Narrow" w:hAnsi="Arial Narrow"/>
                <w:i/>
                <w:iCs/>
                <w:sz w:val="18"/>
                <w:szCs w:val="18"/>
              </w:rPr>
              <w:t>26 weeks</w:t>
            </w:r>
            <w:r w:rsidRPr="00E76938">
              <w:rPr>
                <w:rFonts w:ascii="Arial Narrow" w:hAnsi="Arial Narrow"/>
                <w:sz w:val="18"/>
                <w:szCs w:val="18"/>
              </w:rPr>
              <w:t xml:space="preserve"> </w:t>
            </w:r>
            <w:r w:rsidRPr="00E76938">
              <w:rPr>
                <w:rFonts w:ascii="Arial Narrow" w:hAnsi="Arial Narrow"/>
                <w:color w:val="333333"/>
                <w:sz w:val="18"/>
                <w:szCs w:val="18"/>
              </w:rPr>
              <w:t xml:space="preserve">of treatment with this drug </w:t>
            </w:r>
            <w:r w:rsidRPr="00E76938">
              <w:rPr>
                <w:rFonts w:ascii="Arial Narrow" w:hAnsi="Arial Narrow"/>
                <w:b/>
                <w:bCs/>
                <w:color w:val="333333"/>
                <w:sz w:val="18"/>
                <w:szCs w:val="18"/>
              </w:rPr>
              <w:t>OR</w:t>
            </w:r>
          </w:p>
        </w:tc>
      </w:tr>
      <w:tr w:rsidR="00E76938" w14:paraId="01722175"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183D63" w14:textId="73CCE763" w:rsidR="00E76938" w:rsidRPr="00E76938" w:rsidRDefault="00E76938" w:rsidP="00660892">
            <w:pPr>
              <w:spacing w:line="256" w:lineRule="auto"/>
              <w:jc w:val="center"/>
              <w:rPr>
                <w:rFonts w:ascii="Arial Narrow" w:hAnsi="Arial Narrow"/>
                <w:i/>
                <w:iCs/>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F80203" w14:textId="77777777" w:rsidR="00E76938" w:rsidRPr="00E76938" w:rsidRDefault="00E76938" w:rsidP="00660892">
            <w:pPr>
              <w:spacing w:line="256" w:lineRule="auto"/>
              <w:rPr>
                <w:rFonts w:ascii="Arial Narrow" w:hAnsi="Arial Narrow"/>
                <w:i/>
                <w:iCs/>
                <w:color w:val="333333"/>
                <w:sz w:val="18"/>
                <w:szCs w:val="18"/>
              </w:rPr>
            </w:pPr>
            <w:r w:rsidRPr="00E76938">
              <w:rPr>
                <w:rFonts w:ascii="Arial Narrow" w:hAnsi="Arial Narrow"/>
                <w:i/>
                <w:iCs/>
                <w:color w:val="333333"/>
                <w:sz w:val="18"/>
                <w:szCs w:val="18"/>
              </w:rPr>
              <w:t xml:space="preserve">Patient must have demonstrated a partial response after at least </w:t>
            </w:r>
            <w:r w:rsidRPr="00E76938">
              <w:rPr>
                <w:rFonts w:ascii="Arial Narrow" w:hAnsi="Arial Narrow"/>
                <w:i/>
                <w:iCs/>
                <w:strike/>
                <w:color w:val="333333"/>
                <w:sz w:val="18"/>
                <w:szCs w:val="18"/>
              </w:rPr>
              <w:t>6 months</w:t>
            </w:r>
            <w:r w:rsidRPr="00E76938">
              <w:rPr>
                <w:rFonts w:ascii="Arial Narrow" w:hAnsi="Arial Narrow"/>
                <w:i/>
                <w:iCs/>
                <w:color w:val="333333"/>
                <w:sz w:val="18"/>
                <w:szCs w:val="18"/>
              </w:rPr>
              <w:t xml:space="preserve"> </w:t>
            </w:r>
            <w:r w:rsidRPr="00E76938">
              <w:rPr>
                <w:rFonts w:ascii="Arial Narrow" w:hAnsi="Arial Narrow"/>
                <w:i/>
                <w:iCs/>
                <w:sz w:val="18"/>
                <w:szCs w:val="18"/>
              </w:rPr>
              <w:t xml:space="preserve">26 weeks </w:t>
            </w:r>
            <w:r w:rsidRPr="00E76938">
              <w:rPr>
                <w:rFonts w:ascii="Arial Narrow" w:hAnsi="Arial Narrow"/>
                <w:i/>
                <w:iCs/>
                <w:color w:val="333333"/>
                <w:sz w:val="18"/>
                <w:szCs w:val="18"/>
              </w:rPr>
              <w:t>of treatment with this drug</w:t>
            </w:r>
          </w:p>
        </w:tc>
      </w:tr>
      <w:tr w:rsidR="00E76938" w14:paraId="4EC8AB6B"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7A3C6E" w14:textId="77777777" w:rsidR="00E76938" w:rsidRPr="00E76938" w:rsidRDefault="00E76938" w:rsidP="00660892">
            <w:pPr>
              <w:spacing w:line="256" w:lineRule="auto"/>
              <w:jc w:val="center"/>
              <w:rPr>
                <w:rFonts w:ascii="Arial Narrow" w:hAnsi="Arial Narrow"/>
                <w:i/>
                <w:iCs/>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6D00E8" w14:textId="77777777" w:rsidR="00E76938" w:rsidRPr="00E76938" w:rsidRDefault="00E76938" w:rsidP="00660892">
            <w:pPr>
              <w:spacing w:line="256" w:lineRule="auto"/>
              <w:rPr>
                <w:rFonts w:ascii="Arial Narrow" w:hAnsi="Arial Narrow"/>
                <w:i/>
                <w:iCs/>
                <w:color w:val="333333"/>
                <w:sz w:val="18"/>
                <w:szCs w:val="18"/>
              </w:rPr>
            </w:pPr>
          </w:p>
        </w:tc>
      </w:tr>
      <w:tr w:rsidR="00E76938" w14:paraId="1200C509"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651618" w14:textId="16D5C956" w:rsidR="00E76938" w:rsidRPr="00E76938" w:rsidRDefault="00E76938" w:rsidP="00660892">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0D519C" w14:textId="77777777" w:rsidR="00E76938" w:rsidRPr="00E76938" w:rsidRDefault="00E76938" w:rsidP="00660892">
            <w:pPr>
              <w:spacing w:line="256" w:lineRule="auto"/>
              <w:rPr>
                <w:rFonts w:ascii="Arial Narrow" w:hAnsi="Arial Narrow"/>
                <w:color w:val="333333"/>
                <w:sz w:val="18"/>
                <w:szCs w:val="18"/>
              </w:rPr>
            </w:pPr>
            <w:r w:rsidRPr="00E76938">
              <w:rPr>
                <w:rFonts w:ascii="Arial Narrow" w:hAnsi="Arial Narrow"/>
                <w:b/>
                <w:bCs/>
                <w:color w:val="333333"/>
                <w:sz w:val="18"/>
                <w:szCs w:val="18"/>
              </w:rPr>
              <w:t>Treatment criteria:</w:t>
            </w:r>
          </w:p>
        </w:tc>
      </w:tr>
      <w:tr w:rsidR="00E76938" w14:paraId="43AE3D08"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93AB4F" w14:textId="2299B233" w:rsidR="00E76938" w:rsidRPr="00E76938" w:rsidRDefault="00E76938" w:rsidP="00660892">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1FC2A7" w14:textId="77777777" w:rsidR="00E76938" w:rsidRPr="00E76938" w:rsidRDefault="00E76938" w:rsidP="00660892">
            <w:pPr>
              <w:autoSpaceDE w:val="0"/>
              <w:autoSpaceDN w:val="0"/>
              <w:adjustRightInd w:val="0"/>
              <w:spacing w:line="256" w:lineRule="auto"/>
              <w:rPr>
                <w:rFonts w:ascii="Arial Narrow" w:hAnsi="Arial Narrow"/>
                <w:i/>
                <w:iCs/>
                <w:strike/>
                <w:color w:val="333333"/>
                <w:sz w:val="18"/>
                <w:szCs w:val="18"/>
              </w:rPr>
            </w:pPr>
            <w:r w:rsidRPr="00E76938">
              <w:rPr>
                <w:rFonts w:ascii="Arial Narrow" w:hAnsi="Arial Narrow"/>
                <w:strike/>
                <w:color w:val="333333"/>
                <w:sz w:val="18"/>
                <w:szCs w:val="18"/>
              </w:rPr>
              <w:t>Patients must be treated and supervised by a physician experienced in endocrinology or internal medicine</w:t>
            </w:r>
            <w:r w:rsidRPr="00E76938">
              <w:rPr>
                <w:rFonts w:ascii="Arial Narrow" w:hAnsi="Arial Narrow"/>
                <w:i/>
                <w:iCs/>
                <w:strike/>
                <w:color w:val="333333"/>
                <w:sz w:val="18"/>
                <w:szCs w:val="18"/>
              </w:rPr>
              <w:t>.</w:t>
            </w:r>
          </w:p>
          <w:p w14:paraId="7B7B490C" w14:textId="77777777" w:rsidR="00E76938" w:rsidRPr="00E76938" w:rsidRDefault="00E76938" w:rsidP="00660892">
            <w:pPr>
              <w:autoSpaceDE w:val="0"/>
              <w:autoSpaceDN w:val="0"/>
              <w:adjustRightInd w:val="0"/>
              <w:spacing w:line="256" w:lineRule="auto"/>
              <w:rPr>
                <w:rFonts w:ascii="Arial Narrow" w:eastAsia="Calibri" w:hAnsi="Arial Narrow" w:cs="Arial Narrow"/>
                <w:i/>
                <w:iCs/>
                <w:sz w:val="20"/>
                <w:szCs w:val="20"/>
              </w:rPr>
            </w:pPr>
            <w:r w:rsidRPr="00E76938">
              <w:rPr>
                <w:rFonts w:ascii="Arial Narrow" w:hAnsi="Arial Narrow"/>
                <w:i/>
                <w:iCs/>
                <w:color w:val="333333"/>
                <w:sz w:val="18"/>
                <w:szCs w:val="18"/>
              </w:rPr>
              <w:t xml:space="preserve">Must be treated by </w:t>
            </w:r>
            <w:r w:rsidRPr="00E76938">
              <w:rPr>
                <w:rFonts w:ascii="Arial Narrow" w:hAnsi="Arial Narrow"/>
                <w:i/>
                <w:iCs/>
                <w:sz w:val="18"/>
                <w:szCs w:val="18"/>
              </w:rPr>
              <w:t xml:space="preserve">an endocrinologist. </w:t>
            </w:r>
          </w:p>
        </w:tc>
      </w:tr>
      <w:tr w:rsidR="00E76938" w14:paraId="3895E5BF"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8367F" w14:textId="77777777" w:rsidR="00E76938" w:rsidRDefault="00E76938" w:rsidP="00660892">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FF70C4" w14:textId="77777777" w:rsidR="00E76938" w:rsidRDefault="00E76938" w:rsidP="00660892">
            <w:pPr>
              <w:autoSpaceDE w:val="0"/>
              <w:autoSpaceDN w:val="0"/>
              <w:adjustRightInd w:val="0"/>
              <w:spacing w:line="256" w:lineRule="auto"/>
              <w:rPr>
                <w:rFonts w:ascii="Arial Narrow" w:hAnsi="Arial Narrow"/>
                <w:strike/>
                <w:color w:val="333333"/>
                <w:sz w:val="18"/>
                <w:szCs w:val="18"/>
              </w:rPr>
            </w:pPr>
          </w:p>
        </w:tc>
      </w:tr>
      <w:tr w:rsidR="00E76938" w14:paraId="161E97E5"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9BA25B" w14:textId="77777777" w:rsidR="00E76938" w:rsidRDefault="00E76938" w:rsidP="00660892">
            <w:pPr>
              <w:spacing w:line="256" w:lineRule="auto"/>
              <w:jc w:val="center"/>
              <w:rPr>
                <w:rFonts w:ascii="Arial Narrow" w:hAnsi="Arial Narrow"/>
                <w:strike/>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B07253" w14:textId="77777777" w:rsidR="00E76938" w:rsidRDefault="00E76938" w:rsidP="00660892">
            <w:pPr>
              <w:spacing w:line="256" w:lineRule="auto"/>
              <w:rPr>
                <w:rFonts w:ascii="Arial Narrow" w:hAnsi="Arial Narrow"/>
                <w:color w:val="333333"/>
                <w:sz w:val="18"/>
                <w:szCs w:val="18"/>
              </w:rPr>
            </w:pPr>
            <w:r>
              <w:rPr>
                <w:rFonts w:ascii="Arial Narrow" w:hAnsi="Arial Narrow"/>
                <w:b/>
                <w:bCs/>
                <w:color w:val="333333"/>
                <w:sz w:val="18"/>
                <w:szCs w:val="18"/>
              </w:rPr>
              <w:t>Population criteria:</w:t>
            </w:r>
          </w:p>
        </w:tc>
      </w:tr>
      <w:tr w:rsidR="00E76938" w14:paraId="2EF5B386"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B5F972" w14:textId="7D560CB7" w:rsidR="00E76938" w:rsidRDefault="00E76938" w:rsidP="00660892">
            <w:pPr>
              <w:spacing w:line="256" w:lineRule="auto"/>
              <w:jc w:val="center"/>
              <w:rPr>
                <w:rFonts w:ascii="Arial Narrow" w:hAnsi="Arial Narrow"/>
                <w:i/>
                <w:iCs/>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2F484F" w14:textId="77777777" w:rsidR="00E76938" w:rsidRDefault="00E76938" w:rsidP="00660892">
            <w:pPr>
              <w:spacing w:line="256" w:lineRule="auto"/>
              <w:rPr>
                <w:rFonts w:ascii="Arial Narrow" w:hAnsi="Arial Narrow"/>
                <w:color w:val="333333"/>
                <w:sz w:val="18"/>
                <w:szCs w:val="18"/>
              </w:rPr>
            </w:pPr>
            <w:r>
              <w:rPr>
                <w:rFonts w:ascii="Arial Narrow" w:hAnsi="Arial Narrow"/>
                <w:color w:val="333333"/>
                <w:sz w:val="18"/>
                <w:szCs w:val="18"/>
              </w:rPr>
              <w:t xml:space="preserve">Patients must be </w:t>
            </w:r>
            <w:r>
              <w:rPr>
                <w:rFonts w:ascii="Arial Narrow" w:hAnsi="Arial Narrow"/>
                <w:i/>
                <w:iCs/>
                <w:color w:val="333333"/>
                <w:sz w:val="18"/>
                <w:szCs w:val="18"/>
              </w:rPr>
              <w:t>at least</w:t>
            </w:r>
            <w:r>
              <w:rPr>
                <w:rFonts w:ascii="Arial Narrow" w:hAnsi="Arial Narrow"/>
                <w:color w:val="333333"/>
                <w:sz w:val="18"/>
                <w:szCs w:val="18"/>
              </w:rPr>
              <w:t xml:space="preserve"> a</w:t>
            </w:r>
            <w:r>
              <w:rPr>
                <w:rFonts w:ascii="Arial Narrow" w:hAnsi="Arial Narrow"/>
                <w:strike/>
                <w:color w:val="333333"/>
                <w:sz w:val="18"/>
                <w:szCs w:val="18"/>
              </w:rPr>
              <w:t>ged</w:t>
            </w:r>
            <w:r>
              <w:rPr>
                <w:rFonts w:ascii="Arial Narrow" w:hAnsi="Arial Narrow"/>
                <w:color w:val="333333"/>
                <w:sz w:val="18"/>
                <w:szCs w:val="18"/>
              </w:rPr>
              <w:t xml:space="preserve"> 18 years </w:t>
            </w:r>
            <w:r>
              <w:rPr>
                <w:rFonts w:ascii="Arial Narrow" w:hAnsi="Arial Narrow"/>
                <w:i/>
                <w:iCs/>
                <w:color w:val="333333"/>
                <w:sz w:val="18"/>
                <w:szCs w:val="18"/>
              </w:rPr>
              <w:t>of age</w:t>
            </w:r>
            <w:r>
              <w:rPr>
                <w:rFonts w:ascii="Arial Narrow" w:hAnsi="Arial Narrow"/>
                <w:color w:val="333333"/>
                <w:sz w:val="18"/>
                <w:szCs w:val="18"/>
              </w:rPr>
              <w:t xml:space="preserve"> </w:t>
            </w:r>
            <w:r>
              <w:rPr>
                <w:rFonts w:ascii="Arial Narrow" w:hAnsi="Arial Narrow"/>
                <w:strike/>
                <w:color w:val="333333"/>
                <w:sz w:val="18"/>
                <w:szCs w:val="18"/>
              </w:rPr>
              <w:t>or older</w:t>
            </w:r>
          </w:p>
        </w:tc>
      </w:tr>
      <w:tr w:rsidR="00E76938" w14:paraId="5D0A0514"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F4F7B2" w14:textId="6932BF8A" w:rsidR="00E76938" w:rsidRDefault="00E76938" w:rsidP="00660892">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CF1D3D" w14:textId="77777777" w:rsidR="00E76938" w:rsidRDefault="00E76938" w:rsidP="00660892">
            <w:pPr>
              <w:spacing w:line="256" w:lineRule="auto"/>
              <w:rPr>
                <w:rFonts w:ascii="Arial Narrow" w:hAnsi="Arial Narrow"/>
                <w:color w:val="333333"/>
                <w:sz w:val="18"/>
                <w:szCs w:val="18"/>
              </w:rPr>
            </w:pPr>
            <w:r>
              <w:rPr>
                <w:rFonts w:ascii="Arial Narrow" w:hAnsi="Arial Narrow"/>
                <w:b/>
                <w:bCs/>
                <w:color w:val="333333"/>
                <w:sz w:val="18"/>
                <w:szCs w:val="18"/>
              </w:rPr>
              <w:t>Prescribing Instructions:</w:t>
            </w:r>
            <w:r>
              <w:rPr>
                <w:rFonts w:ascii="Arial Narrow" w:hAnsi="Arial Narrow"/>
                <w:color w:val="333333"/>
                <w:sz w:val="18"/>
                <w:szCs w:val="18"/>
              </w:rPr>
              <w:t xml:space="preserve"> </w:t>
            </w:r>
          </w:p>
          <w:p w14:paraId="66A18220" w14:textId="77777777" w:rsidR="00E76938" w:rsidRDefault="00E76938" w:rsidP="00660892">
            <w:pPr>
              <w:spacing w:line="256" w:lineRule="auto"/>
              <w:rPr>
                <w:rFonts w:ascii="Arial Narrow" w:hAnsi="Arial Narrow"/>
                <w:color w:val="333333"/>
                <w:sz w:val="18"/>
                <w:szCs w:val="18"/>
              </w:rPr>
            </w:pPr>
            <w:r>
              <w:rPr>
                <w:rFonts w:ascii="Arial Narrow" w:hAnsi="Arial Narrow"/>
                <w:i/>
                <w:iCs/>
                <w:color w:val="333333"/>
                <w:sz w:val="18"/>
                <w:szCs w:val="18"/>
              </w:rPr>
              <w:t>For the purposes of administering this restriction</w:t>
            </w:r>
            <w:r>
              <w:rPr>
                <w:rFonts w:ascii="Arial Narrow" w:hAnsi="Arial Narrow"/>
                <w:color w:val="333333"/>
                <w:sz w:val="18"/>
                <w:szCs w:val="18"/>
              </w:rPr>
              <w:t xml:space="preserve">, a complete response is defined as a mean urinary free cortisol (UFC) </w:t>
            </w:r>
            <w:r>
              <w:rPr>
                <w:rFonts w:ascii="Arial Narrow" w:hAnsi="Arial Narrow"/>
                <w:i/>
                <w:iCs/>
                <w:color w:val="333333"/>
                <w:sz w:val="18"/>
                <w:szCs w:val="18"/>
              </w:rPr>
              <w:t>level o</w:t>
            </w:r>
            <w:r>
              <w:rPr>
                <w:rFonts w:ascii="Arial Narrow" w:hAnsi="Arial Narrow"/>
                <w:color w:val="333333"/>
                <w:sz w:val="18"/>
                <w:szCs w:val="18"/>
              </w:rPr>
              <w:t xml:space="preserve">f less than or equal to the upper limit of normal (ULN). A partial response is defined as mean UFC </w:t>
            </w:r>
            <w:r>
              <w:rPr>
                <w:rFonts w:ascii="Arial Narrow" w:hAnsi="Arial Narrow"/>
                <w:i/>
                <w:iCs/>
                <w:color w:val="333333"/>
                <w:sz w:val="18"/>
                <w:szCs w:val="18"/>
              </w:rPr>
              <w:t>level of</w:t>
            </w:r>
            <w:r>
              <w:rPr>
                <w:rFonts w:ascii="Arial Narrow" w:hAnsi="Arial Narrow"/>
                <w:color w:val="333333"/>
                <w:sz w:val="18"/>
                <w:szCs w:val="18"/>
              </w:rPr>
              <w:t xml:space="preserve"> greater than ULN but </w:t>
            </w:r>
            <w:r>
              <w:rPr>
                <w:rFonts w:ascii="Arial Narrow" w:hAnsi="Arial Narrow"/>
                <w:i/>
                <w:iCs/>
                <w:color w:val="333333"/>
                <w:sz w:val="18"/>
                <w:szCs w:val="18"/>
              </w:rPr>
              <w:t>with</w:t>
            </w:r>
            <w:r>
              <w:rPr>
                <w:rFonts w:ascii="Arial Narrow" w:hAnsi="Arial Narrow"/>
                <w:color w:val="333333"/>
                <w:sz w:val="18"/>
                <w:szCs w:val="18"/>
              </w:rPr>
              <w:t xml:space="preserve"> </w:t>
            </w:r>
            <w:r>
              <w:rPr>
                <w:rFonts w:ascii="Arial Narrow" w:hAnsi="Arial Narrow"/>
                <w:i/>
                <w:iCs/>
                <w:color w:val="333333"/>
                <w:sz w:val="18"/>
                <w:szCs w:val="18"/>
              </w:rPr>
              <w:t xml:space="preserve">at least </w:t>
            </w:r>
            <w:r>
              <w:rPr>
                <w:rFonts w:ascii="Arial Narrow" w:hAnsi="Arial Narrow"/>
                <w:color w:val="333333"/>
                <w:sz w:val="18"/>
                <w:szCs w:val="18"/>
              </w:rPr>
              <w:t xml:space="preserve">50% reduction from the baseline value. The mean UFC should be the average of </w:t>
            </w:r>
            <w:r>
              <w:rPr>
                <w:rFonts w:ascii="Arial Narrow" w:hAnsi="Arial Narrow"/>
                <w:i/>
                <w:iCs/>
                <w:color w:val="333333"/>
                <w:sz w:val="18"/>
                <w:szCs w:val="18"/>
              </w:rPr>
              <w:t>at least</w:t>
            </w:r>
            <w:r>
              <w:rPr>
                <w:rFonts w:ascii="Arial Narrow" w:hAnsi="Arial Narrow"/>
                <w:color w:val="333333"/>
                <w:sz w:val="18"/>
                <w:szCs w:val="18"/>
              </w:rPr>
              <w:t xml:space="preserve"> two urine samples.</w:t>
            </w:r>
          </w:p>
        </w:tc>
      </w:tr>
      <w:tr w:rsidR="00E76938" w14:paraId="6012F33C"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71A8FB" w14:textId="5AEB0319" w:rsidR="00E76938" w:rsidRDefault="00E76938" w:rsidP="00660892">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6C816B" w14:textId="77777777" w:rsidR="00E76938" w:rsidRDefault="00E76938" w:rsidP="00660892">
            <w:pPr>
              <w:spacing w:line="256" w:lineRule="auto"/>
              <w:rPr>
                <w:rFonts w:ascii="Arial Narrow" w:hAnsi="Arial Narrow"/>
                <w:color w:val="333333"/>
                <w:sz w:val="18"/>
                <w:szCs w:val="18"/>
              </w:rPr>
            </w:pPr>
            <w:r>
              <w:rPr>
                <w:rFonts w:ascii="Arial Narrow" w:hAnsi="Arial Narrow"/>
                <w:b/>
                <w:bCs/>
                <w:color w:val="333333"/>
                <w:sz w:val="18"/>
                <w:szCs w:val="18"/>
              </w:rPr>
              <w:t>Prescribing Instructions:</w:t>
            </w:r>
            <w:r>
              <w:rPr>
                <w:rFonts w:ascii="Arial Narrow" w:hAnsi="Arial Narrow"/>
                <w:color w:val="333333"/>
                <w:sz w:val="18"/>
                <w:szCs w:val="18"/>
              </w:rPr>
              <w:t xml:space="preserve"> </w:t>
            </w:r>
          </w:p>
          <w:p w14:paraId="18ADD6B7" w14:textId="77777777" w:rsidR="00E76938" w:rsidRDefault="00E76938" w:rsidP="00660892">
            <w:pPr>
              <w:spacing w:line="256" w:lineRule="auto"/>
              <w:rPr>
                <w:rFonts w:ascii="Arial Narrow" w:hAnsi="Arial Narrow"/>
                <w:i/>
                <w:iCs/>
                <w:color w:val="333333"/>
                <w:sz w:val="18"/>
                <w:szCs w:val="18"/>
              </w:rPr>
            </w:pPr>
            <w:r>
              <w:rPr>
                <w:rFonts w:ascii="Arial Narrow" w:hAnsi="Arial Narrow"/>
                <w:i/>
                <w:iCs/>
                <w:color w:val="333333"/>
                <w:sz w:val="18"/>
                <w:szCs w:val="18"/>
              </w:rPr>
              <w:t xml:space="preserve">At the time of authority application, medical practitioners </w:t>
            </w:r>
            <w:proofErr w:type="gramStart"/>
            <w:r>
              <w:rPr>
                <w:rFonts w:ascii="Arial Narrow" w:hAnsi="Arial Narrow"/>
                <w:i/>
                <w:iCs/>
                <w:color w:val="333333"/>
                <w:sz w:val="18"/>
                <w:szCs w:val="18"/>
              </w:rPr>
              <w:t xml:space="preserve">must </w:t>
            </w:r>
            <w:r>
              <w:rPr>
                <w:rFonts w:ascii="Arial Narrow" w:hAnsi="Arial Narrow"/>
                <w:i/>
                <w:iCs/>
                <w:strike/>
                <w:color w:val="333333"/>
                <w:sz w:val="18"/>
                <w:szCs w:val="18"/>
              </w:rPr>
              <w:t>should</w:t>
            </w:r>
            <w:proofErr w:type="gramEnd"/>
            <w:r>
              <w:rPr>
                <w:rFonts w:ascii="Arial Narrow" w:hAnsi="Arial Narrow"/>
                <w:i/>
                <w:iCs/>
                <w:color w:val="333333"/>
                <w:sz w:val="18"/>
                <w:szCs w:val="18"/>
              </w:rPr>
              <w:t xml:space="preserve"> request the appropriate number of packs to provide sufficient drug, based on the prescribed dose of the patient, for 4 weeks </w:t>
            </w:r>
            <w:r>
              <w:rPr>
                <w:rFonts w:ascii="Arial Narrow" w:hAnsi="Arial Narrow"/>
                <w:i/>
                <w:iCs/>
                <w:strike/>
                <w:color w:val="333333"/>
                <w:sz w:val="18"/>
                <w:szCs w:val="18"/>
              </w:rPr>
              <w:t>one month</w:t>
            </w:r>
            <w:r>
              <w:rPr>
                <w:rFonts w:ascii="Arial Narrow" w:hAnsi="Arial Narrow"/>
                <w:i/>
                <w:iCs/>
                <w:color w:val="333333"/>
                <w:sz w:val="18"/>
                <w:szCs w:val="18"/>
              </w:rPr>
              <w:t xml:space="preserve"> of treatment. A separate authority prescription form must be completed for each strength requested. The dose must not exceed 30 mg twice daily. Up to a maximum of </w:t>
            </w:r>
            <w:r w:rsidRPr="00E76938">
              <w:rPr>
                <w:rFonts w:ascii="Arial Narrow" w:hAnsi="Arial Narrow"/>
                <w:i/>
                <w:iCs/>
                <w:strike/>
                <w:sz w:val="18"/>
                <w:szCs w:val="18"/>
              </w:rPr>
              <w:t>5</w:t>
            </w:r>
            <w:r w:rsidRPr="00E76938">
              <w:rPr>
                <w:rFonts w:ascii="Arial Narrow" w:hAnsi="Arial Narrow"/>
                <w:i/>
                <w:iCs/>
                <w:sz w:val="18"/>
                <w:szCs w:val="18"/>
              </w:rPr>
              <w:t xml:space="preserve"> 6 repeats </w:t>
            </w:r>
            <w:r>
              <w:rPr>
                <w:rFonts w:ascii="Arial Narrow" w:hAnsi="Arial Narrow"/>
                <w:i/>
                <w:iCs/>
                <w:color w:val="333333"/>
                <w:sz w:val="18"/>
                <w:szCs w:val="18"/>
              </w:rPr>
              <w:t>will be authorised.</w:t>
            </w:r>
          </w:p>
        </w:tc>
      </w:tr>
      <w:tr w:rsidR="00E76938" w14:paraId="32980383"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0A2CF2" w14:textId="04E2BA7D" w:rsidR="00E76938" w:rsidRDefault="00E76938" w:rsidP="00660892">
            <w:pPr>
              <w:spacing w:line="256" w:lineRule="auto"/>
              <w:jc w:val="center"/>
              <w:rPr>
                <w:rFonts w:ascii="Arial Narrow" w:hAnsi="Arial Narrow"/>
                <w:i/>
                <w:iCs/>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6B2C2F" w14:textId="77777777" w:rsidR="00E76938" w:rsidRDefault="00E76938" w:rsidP="00660892">
            <w:pPr>
              <w:spacing w:line="256" w:lineRule="auto"/>
              <w:rPr>
                <w:rFonts w:ascii="Arial Narrow" w:hAnsi="Arial Narrow"/>
                <w:i/>
                <w:iCs/>
                <w:color w:val="333333"/>
                <w:sz w:val="18"/>
                <w:szCs w:val="18"/>
              </w:rPr>
            </w:pPr>
            <w:r>
              <w:rPr>
                <w:rFonts w:ascii="Arial Narrow" w:hAnsi="Arial Narrow"/>
                <w:b/>
                <w:bCs/>
                <w:i/>
                <w:iCs/>
                <w:color w:val="333333"/>
                <w:sz w:val="18"/>
                <w:szCs w:val="18"/>
              </w:rPr>
              <w:t>Prescribing Instructions:</w:t>
            </w:r>
            <w:r>
              <w:rPr>
                <w:rFonts w:ascii="Arial Narrow" w:hAnsi="Arial Narrow"/>
                <w:i/>
                <w:iCs/>
                <w:color w:val="333333"/>
                <w:sz w:val="18"/>
                <w:szCs w:val="18"/>
              </w:rPr>
              <w:t xml:space="preserve"> </w:t>
            </w:r>
          </w:p>
          <w:p w14:paraId="098AF2F9" w14:textId="77777777" w:rsidR="00E76938" w:rsidRDefault="00E76938" w:rsidP="00660892">
            <w:pPr>
              <w:spacing w:line="256" w:lineRule="auto"/>
              <w:rPr>
                <w:rFonts w:ascii="Arial Narrow" w:hAnsi="Arial Narrow"/>
                <w:i/>
                <w:iCs/>
                <w:color w:val="333333"/>
                <w:sz w:val="18"/>
                <w:szCs w:val="18"/>
              </w:rPr>
            </w:pPr>
            <w:r>
              <w:rPr>
                <w:rFonts w:ascii="Arial Narrow" w:hAnsi="Arial Narrow"/>
                <w:i/>
                <w:iCs/>
                <w:color w:val="333333"/>
                <w:sz w:val="18"/>
                <w:szCs w:val="18"/>
              </w:rPr>
              <w:t>Where there is a current, approved PBS prescription with valid repeat prescriptions specified (i.e., where the dose is changing), mark the prescription that is intended for no further supply as 'Cancelled'.</w:t>
            </w:r>
          </w:p>
        </w:tc>
      </w:tr>
      <w:tr w:rsidR="00E76938" w14:paraId="216B0218"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CB9641" w14:textId="0919102D" w:rsidR="00E76938" w:rsidRDefault="00E76938" w:rsidP="00660892">
            <w:pPr>
              <w:spacing w:line="256" w:lineRule="auto"/>
              <w:jc w:val="center"/>
              <w:rPr>
                <w:rFonts w:ascii="Arial Narrow" w:hAnsi="Arial Narrow"/>
                <w:i/>
                <w:iCs/>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4FF109" w14:textId="77777777" w:rsidR="00E76938" w:rsidRDefault="00E76938" w:rsidP="00660892">
            <w:pPr>
              <w:spacing w:line="256" w:lineRule="auto"/>
              <w:rPr>
                <w:rFonts w:ascii="Arial Narrow" w:hAnsi="Arial Narrow"/>
                <w:i/>
                <w:iCs/>
                <w:color w:val="333333"/>
                <w:sz w:val="18"/>
                <w:szCs w:val="18"/>
              </w:rPr>
            </w:pPr>
            <w:r>
              <w:rPr>
                <w:rFonts w:ascii="Arial Narrow" w:hAnsi="Arial Narrow"/>
                <w:b/>
                <w:bCs/>
                <w:i/>
                <w:iCs/>
                <w:color w:val="333333"/>
                <w:sz w:val="18"/>
                <w:szCs w:val="18"/>
              </w:rPr>
              <w:t>Prescribing Instructions:</w:t>
            </w:r>
            <w:r>
              <w:rPr>
                <w:rFonts w:ascii="Arial Narrow" w:hAnsi="Arial Narrow"/>
                <w:i/>
                <w:iCs/>
                <w:color w:val="333333"/>
                <w:sz w:val="18"/>
                <w:szCs w:val="18"/>
              </w:rPr>
              <w:t xml:space="preserve"> </w:t>
            </w:r>
          </w:p>
          <w:p w14:paraId="0ADED3AB" w14:textId="77777777" w:rsidR="00E76938" w:rsidRDefault="00E76938" w:rsidP="00660892">
            <w:pPr>
              <w:spacing w:line="256" w:lineRule="auto"/>
              <w:rPr>
                <w:rFonts w:ascii="Arial Narrow" w:hAnsi="Arial Narrow"/>
                <w:b/>
                <w:bCs/>
                <w:i/>
                <w:iCs/>
                <w:color w:val="333333"/>
                <w:sz w:val="18"/>
                <w:szCs w:val="18"/>
              </w:rPr>
            </w:pPr>
            <w:r>
              <w:rPr>
                <w:rFonts w:ascii="Arial Narrow" w:hAnsi="Arial Narrow"/>
                <w:i/>
                <w:iCs/>
                <w:color w:val="333333"/>
                <w:sz w:val="18"/>
                <w:szCs w:val="18"/>
              </w:rPr>
              <w:t xml:space="preserve">An </w:t>
            </w:r>
            <w:r w:rsidRPr="00E76938">
              <w:rPr>
                <w:rFonts w:ascii="Arial Narrow" w:hAnsi="Arial Narrow"/>
                <w:i/>
                <w:iCs/>
                <w:color w:val="333333"/>
                <w:sz w:val="18"/>
                <w:szCs w:val="18"/>
              </w:rPr>
              <w:t xml:space="preserve">application for the continuing treatment must be accompanied with the assessment of response conducted </w:t>
            </w:r>
            <w:r w:rsidRPr="00E76938">
              <w:rPr>
                <w:rFonts w:ascii="Arial Narrow" w:hAnsi="Arial Narrow"/>
                <w:i/>
                <w:iCs/>
                <w:strike/>
                <w:color w:val="333333"/>
                <w:sz w:val="18"/>
                <w:szCs w:val="18"/>
              </w:rPr>
              <w:t xml:space="preserve">up to </w:t>
            </w:r>
            <w:r w:rsidRPr="00E76938">
              <w:rPr>
                <w:rFonts w:ascii="Arial Narrow" w:hAnsi="Arial Narrow"/>
                <w:i/>
                <w:iCs/>
                <w:sz w:val="18"/>
                <w:szCs w:val="18"/>
              </w:rPr>
              <w:t xml:space="preserve">after 26 weeks </w:t>
            </w:r>
            <w:r w:rsidRPr="00E76938">
              <w:rPr>
                <w:rFonts w:ascii="Arial Narrow" w:hAnsi="Arial Narrow"/>
                <w:i/>
                <w:iCs/>
                <w:strike/>
                <w:sz w:val="18"/>
                <w:szCs w:val="18"/>
              </w:rPr>
              <w:t>after</w:t>
            </w:r>
            <w:r w:rsidRPr="00E76938">
              <w:rPr>
                <w:rFonts w:ascii="Arial Narrow" w:hAnsi="Arial Narrow"/>
                <w:i/>
                <w:iCs/>
                <w:sz w:val="18"/>
                <w:szCs w:val="18"/>
              </w:rPr>
              <w:t xml:space="preserve"> from </w:t>
            </w:r>
            <w:r w:rsidRPr="00E76938">
              <w:rPr>
                <w:rFonts w:ascii="Arial Narrow" w:hAnsi="Arial Narrow"/>
                <w:i/>
                <w:iCs/>
                <w:color w:val="333333"/>
                <w:sz w:val="18"/>
                <w:szCs w:val="18"/>
              </w:rPr>
              <w:t>the first dose of osilodrostat and no later than 4 weeks from the date of completion of treatment. This will enable ongoing treatment for patients who meet the continuing restriction</w:t>
            </w:r>
            <w:r>
              <w:rPr>
                <w:rFonts w:ascii="Arial Narrow" w:hAnsi="Arial Narrow"/>
                <w:i/>
                <w:iCs/>
                <w:color w:val="333333"/>
                <w:sz w:val="18"/>
                <w:szCs w:val="18"/>
              </w:rPr>
              <w:t xml:space="preserve"> for PBS-subsidised treatment.</w:t>
            </w:r>
          </w:p>
        </w:tc>
      </w:tr>
      <w:tr w:rsidR="00E76938" w14:paraId="01F29583"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3C0453" w14:textId="218E3BC2" w:rsidR="00E76938" w:rsidRDefault="00E76938" w:rsidP="00660892">
            <w:pPr>
              <w:spacing w:line="256" w:lineRule="auto"/>
              <w:jc w:val="center"/>
              <w:rPr>
                <w:rFonts w:ascii="Arial Narrow" w:hAnsi="Arial Narrow"/>
                <w:i/>
                <w:iCs/>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7EA112" w14:textId="77777777" w:rsidR="00E76938" w:rsidRDefault="00E76938" w:rsidP="00660892">
            <w:pPr>
              <w:spacing w:line="256" w:lineRule="auto"/>
              <w:rPr>
                <w:rFonts w:ascii="Arial Narrow" w:hAnsi="Arial Narrow"/>
                <w:i/>
                <w:iCs/>
                <w:color w:val="333333"/>
                <w:sz w:val="18"/>
                <w:szCs w:val="18"/>
              </w:rPr>
            </w:pPr>
            <w:r>
              <w:rPr>
                <w:rFonts w:ascii="Arial Narrow" w:hAnsi="Arial Narrow"/>
                <w:b/>
                <w:bCs/>
                <w:i/>
                <w:iCs/>
                <w:color w:val="333333"/>
                <w:sz w:val="18"/>
                <w:szCs w:val="18"/>
              </w:rPr>
              <w:t>Administrative advice:</w:t>
            </w:r>
            <w:r>
              <w:rPr>
                <w:rFonts w:ascii="Arial Narrow" w:hAnsi="Arial Narrow"/>
                <w:i/>
                <w:iCs/>
                <w:color w:val="333333"/>
                <w:sz w:val="18"/>
                <w:szCs w:val="18"/>
              </w:rPr>
              <w:t xml:space="preserve"> </w:t>
            </w:r>
          </w:p>
          <w:p w14:paraId="12F5FCDE" w14:textId="77777777" w:rsidR="00E76938" w:rsidRDefault="00E76938" w:rsidP="00660892">
            <w:pPr>
              <w:spacing w:line="256" w:lineRule="auto"/>
              <w:rPr>
                <w:rFonts w:ascii="Arial Narrow" w:hAnsi="Arial Narrow"/>
                <w:b/>
                <w:bCs/>
                <w:i/>
                <w:iCs/>
                <w:color w:val="333333"/>
                <w:sz w:val="18"/>
                <w:szCs w:val="18"/>
              </w:rPr>
            </w:pPr>
            <w:r>
              <w:rPr>
                <w:rFonts w:ascii="Arial Narrow" w:hAnsi="Arial Narrow"/>
                <w:i/>
                <w:i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E76938" w14:paraId="39DAFBC8"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5E734B" w14:textId="689737CC" w:rsidR="00E76938" w:rsidRDefault="00E76938" w:rsidP="00660892">
            <w:pPr>
              <w:spacing w:line="256" w:lineRule="auto"/>
              <w:jc w:val="center"/>
              <w:rPr>
                <w:rFonts w:ascii="Arial Narrow" w:hAnsi="Arial Narrow"/>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79E0A3" w14:textId="77777777" w:rsidR="00E76938" w:rsidRDefault="00E76938" w:rsidP="00660892">
            <w:pPr>
              <w:spacing w:line="256" w:lineRule="auto"/>
              <w:rPr>
                <w:rFonts w:ascii="Arial Narrow" w:hAnsi="Arial Narrow"/>
                <w:strike/>
                <w:color w:val="333333"/>
                <w:sz w:val="18"/>
                <w:szCs w:val="18"/>
              </w:rPr>
            </w:pPr>
            <w:r>
              <w:rPr>
                <w:rFonts w:ascii="Arial Narrow" w:hAnsi="Arial Narrow"/>
                <w:strike/>
                <w:color w:val="333333"/>
                <w:sz w:val="18"/>
                <w:szCs w:val="18"/>
              </w:rPr>
              <w:t xml:space="preserve">Prescribing Instructions: </w:t>
            </w:r>
          </w:p>
          <w:p w14:paraId="3AAB9645" w14:textId="77777777" w:rsidR="00E76938" w:rsidRDefault="00E76938" w:rsidP="00660892">
            <w:pPr>
              <w:spacing w:line="256" w:lineRule="auto"/>
              <w:rPr>
                <w:rFonts w:ascii="Arial Narrow" w:hAnsi="Arial Narrow"/>
                <w:strike/>
                <w:color w:val="333333"/>
                <w:sz w:val="18"/>
                <w:szCs w:val="18"/>
              </w:rPr>
            </w:pPr>
            <w:r>
              <w:rPr>
                <w:rFonts w:ascii="Arial Narrow" w:hAnsi="Arial Narrow"/>
                <w:strike/>
                <w:color w:val="333333"/>
                <w:sz w:val="18"/>
                <w:szCs w:val="18"/>
              </w:rPr>
              <w:t>For the first authority application for continuing treatment, a patient must have demonstrated a complete or overall response to osilodrostat 6 months after commencing initial treatment.</w:t>
            </w:r>
          </w:p>
          <w:p w14:paraId="63B0B2BA" w14:textId="77777777" w:rsidR="00E76938" w:rsidRDefault="00E76938" w:rsidP="00660892">
            <w:pPr>
              <w:spacing w:line="256" w:lineRule="auto"/>
              <w:rPr>
                <w:rFonts w:ascii="Arial Narrow" w:hAnsi="Arial Narrow"/>
                <w:strike/>
                <w:color w:val="333333"/>
                <w:sz w:val="18"/>
                <w:szCs w:val="18"/>
              </w:rPr>
            </w:pPr>
          </w:p>
          <w:p w14:paraId="0CC5655C" w14:textId="77777777" w:rsidR="00E76938" w:rsidRDefault="00E76938" w:rsidP="00660892">
            <w:pPr>
              <w:spacing w:line="256" w:lineRule="auto"/>
              <w:rPr>
                <w:rFonts w:ascii="Arial Narrow" w:hAnsi="Arial Narrow"/>
                <w:strike/>
                <w:color w:val="333333"/>
                <w:sz w:val="18"/>
                <w:szCs w:val="18"/>
              </w:rPr>
            </w:pPr>
            <w:r>
              <w:rPr>
                <w:rFonts w:ascii="Arial Narrow" w:hAnsi="Arial Narrow"/>
                <w:strike/>
                <w:color w:val="333333"/>
                <w:sz w:val="18"/>
                <w:szCs w:val="18"/>
              </w:rPr>
              <w:lastRenderedPageBreak/>
              <w:t xml:space="preserve">For subsequent authority applications for continuing treatment, a patient must have demonstrated a complete or partial response prior to applying for further continuing treatment. </w:t>
            </w:r>
          </w:p>
          <w:p w14:paraId="0BCE4175" w14:textId="77777777" w:rsidR="00E76938" w:rsidRDefault="00E76938" w:rsidP="00660892">
            <w:pPr>
              <w:spacing w:line="256" w:lineRule="auto"/>
              <w:rPr>
                <w:rFonts w:ascii="Arial Narrow" w:hAnsi="Arial Narrow"/>
                <w:strike/>
                <w:color w:val="333333"/>
                <w:sz w:val="18"/>
                <w:szCs w:val="18"/>
              </w:rPr>
            </w:pPr>
          </w:p>
          <w:p w14:paraId="02B1E07A" w14:textId="77777777" w:rsidR="00E76938" w:rsidRDefault="00E76938" w:rsidP="00660892">
            <w:pPr>
              <w:spacing w:line="256" w:lineRule="auto"/>
              <w:rPr>
                <w:rFonts w:ascii="Arial Narrow" w:hAnsi="Arial Narrow"/>
                <w:strike/>
                <w:color w:val="333333"/>
                <w:sz w:val="18"/>
                <w:szCs w:val="18"/>
              </w:rPr>
            </w:pPr>
            <w:r>
              <w:rPr>
                <w:rFonts w:ascii="Arial Narrow" w:hAnsi="Arial Narrow"/>
                <w:strike/>
                <w:color w:val="333333"/>
                <w:sz w:val="18"/>
                <w:szCs w:val="18"/>
              </w:rPr>
              <w:t>A complete response is defined as a mean urinary free cortisol (UFC) less than or equal to the upper limit of normal (ULN). A partial response is defined as mean UFC greater than ULN but a 50% reduction from the baseline value. The mean UFC should be the average of two urine samples.</w:t>
            </w:r>
          </w:p>
          <w:p w14:paraId="7CFD59EB" w14:textId="77777777" w:rsidR="00E76938" w:rsidRDefault="00E76938" w:rsidP="00660892">
            <w:pPr>
              <w:spacing w:line="256" w:lineRule="auto"/>
              <w:rPr>
                <w:rFonts w:ascii="Arial Narrow" w:hAnsi="Arial Narrow"/>
                <w:strike/>
                <w:color w:val="333333"/>
                <w:sz w:val="18"/>
                <w:szCs w:val="18"/>
              </w:rPr>
            </w:pPr>
          </w:p>
          <w:p w14:paraId="1E6F9605" w14:textId="77777777" w:rsidR="00E76938" w:rsidRDefault="00E76938" w:rsidP="00660892">
            <w:pPr>
              <w:spacing w:line="256" w:lineRule="auto"/>
              <w:rPr>
                <w:rFonts w:ascii="Arial Narrow" w:hAnsi="Arial Narrow"/>
                <w:i/>
                <w:iCs/>
                <w:strike/>
                <w:color w:val="333333"/>
                <w:sz w:val="18"/>
                <w:szCs w:val="18"/>
              </w:rPr>
            </w:pPr>
            <w:r>
              <w:rPr>
                <w:rFonts w:ascii="Arial Narrow" w:hAnsi="Arial Narrow"/>
                <w:strike/>
                <w:color w:val="333333"/>
                <w:sz w:val="18"/>
                <w:szCs w:val="18"/>
              </w:rPr>
              <w:t>At the time of authority application, medical practitioners should request the appropriate number of packs to provide sufficient drug, based on the prescribed dose of the patient, for one month of treatment. Up to a maximum of 5 repeats will be authorised. The dose must not exceed 30 mg twice daily</w:t>
            </w:r>
          </w:p>
        </w:tc>
      </w:tr>
      <w:tr w:rsidR="00E76938" w14:paraId="5734784A" w14:textId="77777777" w:rsidTr="00914C1A">
        <w:trPr>
          <w:trHeight w:val="20"/>
        </w:trPr>
        <w:tc>
          <w:tcPr>
            <w:tcW w:w="61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FA09D1" w14:textId="0C448167" w:rsidR="00E76938" w:rsidRDefault="00E76938" w:rsidP="00660892">
            <w:pPr>
              <w:spacing w:line="256" w:lineRule="auto"/>
              <w:jc w:val="center"/>
              <w:rPr>
                <w:rFonts w:ascii="Arial Narrow" w:hAnsi="Arial Narrow"/>
                <w:strike/>
                <w:color w:val="333333"/>
                <w:sz w:val="18"/>
                <w:szCs w:val="18"/>
              </w:rPr>
            </w:pPr>
          </w:p>
        </w:tc>
        <w:tc>
          <w:tcPr>
            <w:tcW w:w="4386"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574874" w14:textId="77777777" w:rsidR="00E76938" w:rsidRDefault="00E76938" w:rsidP="00660892">
            <w:pPr>
              <w:spacing w:line="256" w:lineRule="auto"/>
              <w:rPr>
                <w:rFonts w:ascii="Arial Narrow" w:hAnsi="Arial Narrow"/>
                <w:strike/>
                <w:color w:val="333333"/>
                <w:sz w:val="18"/>
                <w:szCs w:val="18"/>
              </w:rPr>
            </w:pPr>
            <w:r>
              <w:rPr>
                <w:rFonts w:ascii="Arial Narrow" w:hAnsi="Arial Narrow"/>
                <w:b/>
                <w:bCs/>
                <w:strike/>
                <w:color w:val="333333"/>
                <w:sz w:val="18"/>
                <w:szCs w:val="18"/>
              </w:rPr>
              <w:t>Caution:</w:t>
            </w:r>
            <w:r>
              <w:rPr>
                <w:rFonts w:ascii="Arial Narrow" w:hAnsi="Arial Narrow"/>
                <w:strike/>
                <w:color w:val="333333"/>
                <w:sz w:val="18"/>
                <w:szCs w:val="18"/>
              </w:rPr>
              <w:t xml:space="preserve"> </w:t>
            </w:r>
          </w:p>
          <w:p w14:paraId="36836674" w14:textId="77777777" w:rsidR="00E76938" w:rsidRDefault="00E76938" w:rsidP="00660892">
            <w:pPr>
              <w:spacing w:line="256" w:lineRule="auto"/>
              <w:rPr>
                <w:rFonts w:ascii="Arial Narrow" w:hAnsi="Arial Narrow"/>
                <w:strike/>
                <w:color w:val="333333"/>
                <w:sz w:val="18"/>
                <w:szCs w:val="18"/>
              </w:rPr>
            </w:pPr>
            <w:r>
              <w:rPr>
                <w:rFonts w:ascii="Arial Narrow" w:hAnsi="Arial Narrow"/>
                <w:strike/>
                <w:color w:val="333333"/>
                <w:sz w:val="18"/>
                <w:szCs w:val="18"/>
              </w:rPr>
              <w:t>The following should be assessed prior to receiving treatment and closely monitored throughout the treatment period:</w:t>
            </w:r>
          </w:p>
          <w:p w14:paraId="69FE4196" w14:textId="77777777" w:rsidR="00E76938" w:rsidRDefault="00E76938" w:rsidP="00E76938">
            <w:pPr>
              <w:numPr>
                <w:ilvl w:val="0"/>
                <w:numId w:val="10"/>
              </w:numPr>
              <w:spacing w:line="256" w:lineRule="auto"/>
              <w:contextualSpacing/>
              <w:rPr>
                <w:rFonts w:ascii="Arial Narrow" w:hAnsi="Arial Narrow"/>
                <w:strike/>
                <w:color w:val="333333"/>
                <w:sz w:val="18"/>
                <w:szCs w:val="18"/>
              </w:rPr>
            </w:pPr>
            <w:r>
              <w:rPr>
                <w:rFonts w:ascii="Arial Narrow" w:hAnsi="Arial Narrow"/>
                <w:strike/>
                <w:color w:val="333333"/>
                <w:sz w:val="18"/>
                <w:szCs w:val="18"/>
              </w:rPr>
              <w:t>QTc prolongation via an electrocardiogram</w:t>
            </w:r>
          </w:p>
          <w:p w14:paraId="5A270257" w14:textId="77777777" w:rsidR="00E76938" w:rsidRDefault="00E76938" w:rsidP="00E76938">
            <w:pPr>
              <w:numPr>
                <w:ilvl w:val="0"/>
                <w:numId w:val="10"/>
              </w:numPr>
              <w:spacing w:line="256" w:lineRule="auto"/>
              <w:contextualSpacing/>
              <w:rPr>
                <w:rFonts w:ascii="Arial Narrow" w:hAnsi="Arial Narrow"/>
                <w:strike/>
                <w:color w:val="333333"/>
                <w:sz w:val="18"/>
                <w:szCs w:val="18"/>
              </w:rPr>
            </w:pPr>
            <w:r>
              <w:rPr>
                <w:rFonts w:ascii="Arial Narrow" w:hAnsi="Arial Narrow"/>
                <w:strike/>
                <w:color w:val="333333"/>
                <w:sz w:val="18"/>
                <w:szCs w:val="18"/>
              </w:rPr>
              <w:t>Hypocortisolism</w:t>
            </w:r>
          </w:p>
          <w:p w14:paraId="25919E32" w14:textId="77777777" w:rsidR="00E76938" w:rsidRDefault="00E76938" w:rsidP="00660892">
            <w:pPr>
              <w:spacing w:line="256" w:lineRule="auto"/>
              <w:ind w:left="360"/>
              <w:contextualSpacing/>
              <w:rPr>
                <w:rFonts w:ascii="Arial Narrow" w:hAnsi="Arial Narrow"/>
                <w:strike/>
                <w:color w:val="333333"/>
                <w:sz w:val="18"/>
                <w:szCs w:val="18"/>
              </w:rPr>
            </w:pPr>
          </w:p>
          <w:p w14:paraId="5E6EAECB" w14:textId="77777777" w:rsidR="00E76938" w:rsidRDefault="00E76938" w:rsidP="00660892">
            <w:pPr>
              <w:spacing w:line="256" w:lineRule="auto"/>
              <w:rPr>
                <w:rFonts w:ascii="Arial Narrow" w:hAnsi="Arial Narrow"/>
                <w:strike/>
                <w:color w:val="333333"/>
                <w:sz w:val="18"/>
                <w:szCs w:val="18"/>
              </w:rPr>
            </w:pPr>
            <w:r>
              <w:rPr>
                <w:rFonts w:ascii="Arial Narrow" w:hAnsi="Arial Narrow"/>
                <w:strike/>
                <w:color w:val="333333"/>
                <w:sz w:val="18"/>
                <w:szCs w:val="18"/>
              </w:rPr>
              <w:t>Inhibition of cortisol synthesis by osilodrostat has led to hypocortisolism-related events such as cortisol withdrawal syndrome (symptomatic decrease of cortisol levels, but still above the lower limit of the normal range) and adrenal insufficiency (cortisol levels below the normal range). Cortisol levels should be monitored at regular intervals, since hypocortisolism-related events can occur at any time during treatment.</w:t>
            </w:r>
          </w:p>
        </w:tc>
      </w:tr>
    </w:tbl>
    <w:p w14:paraId="3C172075" w14:textId="77777777" w:rsidR="00E76938" w:rsidRDefault="00E76938" w:rsidP="00914C1A">
      <w:pPr>
        <w:spacing w:before="120" w:after="120"/>
        <w:rPr>
          <w:rFonts w:asciiTheme="minorHAnsi" w:hAnsiTheme="minorHAnsi" w:cstheme="minorHAnsi"/>
        </w:rPr>
      </w:pPr>
      <w:r>
        <w:rPr>
          <w:rFonts w:asciiTheme="minorHAnsi" w:hAnsiTheme="minorHAnsi" w:cstheme="minorHAnsi"/>
        </w:rPr>
        <w:t>The requested restriction for grandfather patients is presented below.</w:t>
      </w:r>
    </w:p>
    <w:p w14:paraId="5E450C9B" w14:textId="77777777" w:rsidR="00E76938" w:rsidRDefault="00E76938" w:rsidP="00E76938">
      <w:pPr>
        <w:keepNext/>
        <w:spacing w:line="360" w:lineRule="auto"/>
        <w:rPr>
          <w:rFonts w:eastAsia="Calibri"/>
          <w:b/>
          <w:bCs/>
          <w:sz w:val="22"/>
          <w:szCs w:val="18"/>
        </w:rPr>
      </w:pPr>
      <w:r>
        <w:rPr>
          <w:rFonts w:eastAsia="Calibri"/>
          <w:b/>
          <w:bCs/>
          <w:sz w:val="22"/>
          <w:szCs w:val="18"/>
        </w:rPr>
        <w:t>Proposed restriction – Grandfather patients</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91"/>
        <w:gridCol w:w="1134"/>
        <w:gridCol w:w="1134"/>
        <w:gridCol w:w="1110"/>
        <w:gridCol w:w="1300"/>
      </w:tblGrid>
      <w:tr w:rsidR="00E76938" w14:paraId="3029FA8F" w14:textId="77777777" w:rsidTr="00914C1A">
        <w:tc>
          <w:tcPr>
            <w:tcW w:w="1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0189ED" w14:textId="77777777" w:rsidR="00E76938" w:rsidRDefault="00E76938" w:rsidP="00660892">
            <w:pPr>
              <w:keepLines/>
              <w:spacing w:line="256" w:lineRule="auto"/>
              <w:rPr>
                <w:rFonts w:ascii="Arial Narrow" w:hAnsi="Arial Narrow"/>
                <w:b/>
                <w:bCs/>
                <w:sz w:val="20"/>
                <w:szCs w:val="20"/>
              </w:rPr>
            </w:pPr>
            <w:r>
              <w:rPr>
                <w:rFonts w:ascii="Arial Narrow" w:hAnsi="Arial Narrow"/>
                <w:b/>
                <w:bCs/>
                <w:sz w:val="20"/>
                <w:szCs w:val="20"/>
              </w:rPr>
              <w:t>MEDICINAL PRODUCT</w:t>
            </w:r>
          </w:p>
          <w:p w14:paraId="481506FD" w14:textId="77777777" w:rsidR="00E76938" w:rsidRDefault="00E76938" w:rsidP="00660892">
            <w:pPr>
              <w:spacing w:line="256" w:lineRule="auto"/>
              <w:rPr>
                <w:rFonts w:ascii="Arial Narrow" w:eastAsia="Calibri" w:hAnsi="Arial Narrow"/>
                <w:b/>
                <w:sz w:val="18"/>
                <w:szCs w:val="18"/>
              </w:rPr>
            </w:pPr>
            <w:r>
              <w:rPr>
                <w:rFonts w:ascii="Arial Narrow" w:hAnsi="Arial Narrow"/>
                <w:b/>
                <w:bCs/>
                <w:sz w:val="20"/>
                <w:szCs w:val="20"/>
              </w:rPr>
              <w:t>medicinal product pack</w:t>
            </w:r>
          </w:p>
        </w:tc>
        <w:tc>
          <w:tcPr>
            <w:tcW w:w="53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B9F318" w14:textId="77777777" w:rsidR="00E76938" w:rsidRDefault="00E76938" w:rsidP="00660892">
            <w:pPr>
              <w:spacing w:line="256" w:lineRule="auto"/>
              <w:jc w:val="center"/>
              <w:rPr>
                <w:rFonts w:ascii="Arial Narrow" w:eastAsia="Calibri" w:hAnsi="Arial Narrow"/>
                <w:b/>
                <w:sz w:val="18"/>
                <w:szCs w:val="18"/>
              </w:rPr>
            </w:pPr>
            <w:r>
              <w:rPr>
                <w:rFonts w:ascii="Arial Narrow" w:hAnsi="Arial Narrow"/>
                <w:b/>
                <w:sz w:val="20"/>
                <w:szCs w:val="20"/>
              </w:rPr>
              <w:t>PBS item code</w:t>
            </w:r>
          </w:p>
        </w:tc>
        <w:tc>
          <w:tcPr>
            <w:tcW w:w="6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AFE219" w14:textId="77777777" w:rsidR="00E76938" w:rsidRDefault="00E76938" w:rsidP="00660892">
            <w:pPr>
              <w:spacing w:line="256" w:lineRule="auto"/>
              <w:jc w:val="center"/>
              <w:rPr>
                <w:rFonts w:ascii="Arial Narrow" w:eastAsia="Calibri" w:hAnsi="Arial Narrow"/>
                <w:b/>
                <w:sz w:val="18"/>
                <w:szCs w:val="18"/>
              </w:rPr>
            </w:pPr>
            <w:r>
              <w:rPr>
                <w:rFonts w:ascii="Arial Narrow" w:hAnsi="Arial Narrow"/>
                <w:b/>
                <w:sz w:val="20"/>
                <w:szCs w:val="20"/>
              </w:rPr>
              <w:t>Max. qty packs</w:t>
            </w:r>
          </w:p>
        </w:tc>
        <w:tc>
          <w:tcPr>
            <w:tcW w:w="6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818EA7" w14:textId="77777777" w:rsidR="00E76938" w:rsidRDefault="00E76938" w:rsidP="00660892">
            <w:pPr>
              <w:spacing w:line="256" w:lineRule="auto"/>
              <w:jc w:val="center"/>
              <w:rPr>
                <w:rFonts w:ascii="Arial Narrow" w:eastAsia="Calibri" w:hAnsi="Arial Narrow"/>
                <w:b/>
                <w:sz w:val="18"/>
                <w:szCs w:val="18"/>
              </w:rPr>
            </w:pPr>
            <w:r>
              <w:rPr>
                <w:rFonts w:ascii="Arial Narrow" w:hAnsi="Arial Narrow"/>
                <w:b/>
                <w:sz w:val="20"/>
                <w:szCs w:val="20"/>
              </w:rPr>
              <w:t>Max. qty units</w:t>
            </w:r>
          </w:p>
        </w:tc>
        <w:tc>
          <w:tcPr>
            <w:tcW w:w="6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4A9800" w14:textId="77777777" w:rsidR="00E76938" w:rsidRDefault="00E76938" w:rsidP="00660892">
            <w:pPr>
              <w:keepLines/>
              <w:spacing w:line="256" w:lineRule="auto"/>
              <w:jc w:val="center"/>
              <w:rPr>
                <w:rFonts w:ascii="Arial Narrow" w:hAnsi="Arial Narrow"/>
                <w:b/>
                <w:sz w:val="20"/>
                <w:szCs w:val="20"/>
              </w:rPr>
            </w:pPr>
            <w:r>
              <w:rPr>
                <w:rFonts w:ascii="Arial Narrow" w:hAnsi="Arial Narrow"/>
                <w:b/>
                <w:sz w:val="20"/>
                <w:szCs w:val="20"/>
              </w:rPr>
              <w:t>№. of</w:t>
            </w:r>
          </w:p>
          <w:p w14:paraId="50B6113D" w14:textId="77777777" w:rsidR="00E76938" w:rsidRDefault="00E76938" w:rsidP="00660892">
            <w:pPr>
              <w:spacing w:line="256" w:lineRule="auto"/>
              <w:jc w:val="center"/>
              <w:rPr>
                <w:rFonts w:ascii="Arial Narrow" w:eastAsia="Calibri" w:hAnsi="Arial Narrow"/>
                <w:b/>
                <w:sz w:val="18"/>
                <w:szCs w:val="18"/>
              </w:rPr>
            </w:pPr>
            <w:r>
              <w:rPr>
                <w:rFonts w:ascii="Arial Narrow" w:hAnsi="Arial Narrow"/>
                <w:b/>
                <w:sz w:val="20"/>
                <w:szCs w:val="20"/>
              </w:rPr>
              <w:t>Rpts</w:t>
            </w:r>
          </w:p>
        </w:tc>
        <w:tc>
          <w:tcPr>
            <w:tcW w:w="70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C037CF" w14:textId="77777777" w:rsidR="00E76938" w:rsidRDefault="00E76938" w:rsidP="00660892">
            <w:pPr>
              <w:spacing w:line="256" w:lineRule="auto"/>
              <w:jc w:val="center"/>
              <w:rPr>
                <w:rFonts w:ascii="Arial Narrow" w:eastAsia="Calibri" w:hAnsi="Arial Narrow"/>
                <w:b/>
                <w:sz w:val="18"/>
                <w:szCs w:val="18"/>
              </w:rPr>
            </w:pPr>
            <w:r>
              <w:rPr>
                <w:rFonts w:ascii="Arial Narrow" w:hAnsi="Arial Narrow"/>
                <w:b/>
                <w:sz w:val="20"/>
                <w:szCs w:val="20"/>
              </w:rPr>
              <w:t>Available brands</w:t>
            </w:r>
          </w:p>
        </w:tc>
      </w:tr>
      <w:tr w:rsidR="00E76938" w14:paraId="5F828524" w14:textId="77777777" w:rsidTr="00914C1A">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7E0B40" w14:textId="77777777" w:rsidR="00E76938" w:rsidRDefault="00E76938" w:rsidP="00660892">
            <w:pPr>
              <w:spacing w:line="256" w:lineRule="auto"/>
              <w:rPr>
                <w:rFonts w:ascii="Arial Narrow" w:eastAsia="Calibri" w:hAnsi="Arial Narrow"/>
                <w:b/>
                <w:sz w:val="18"/>
                <w:szCs w:val="18"/>
              </w:rPr>
            </w:pPr>
            <w:r>
              <w:rPr>
                <w:rFonts w:ascii="Arial Narrow" w:hAnsi="Arial Narrow"/>
                <w:sz w:val="20"/>
                <w:szCs w:val="20"/>
              </w:rPr>
              <w:t>OSILODROSTAT</w:t>
            </w:r>
          </w:p>
        </w:tc>
      </w:tr>
      <w:tr w:rsidR="00E76938" w14:paraId="0EEF47B0" w14:textId="77777777" w:rsidTr="00914C1A">
        <w:tc>
          <w:tcPr>
            <w:tcW w:w="1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3AAFB0" w14:textId="77777777" w:rsidR="00E76938" w:rsidRDefault="00E76938" w:rsidP="00660892">
            <w:pPr>
              <w:spacing w:line="256" w:lineRule="auto"/>
              <w:rPr>
                <w:rFonts w:ascii="Arial Narrow" w:eastAsia="Calibri" w:hAnsi="Arial Narrow"/>
                <w:b/>
                <w:sz w:val="18"/>
                <w:szCs w:val="18"/>
              </w:rPr>
            </w:pPr>
            <w:r>
              <w:rPr>
                <w:rFonts w:ascii="Arial Narrow" w:eastAsia="Calibri" w:hAnsi="Arial Narrow"/>
                <w:bCs/>
                <w:sz w:val="18"/>
                <w:szCs w:val="18"/>
              </w:rPr>
              <w:t>Osilodrostat, 1 mg oral tablet</w:t>
            </w:r>
          </w:p>
        </w:tc>
        <w:tc>
          <w:tcPr>
            <w:tcW w:w="53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72C536" w14:textId="77777777" w:rsidR="00E76938" w:rsidRDefault="00E76938" w:rsidP="00660892">
            <w:pPr>
              <w:spacing w:line="256" w:lineRule="auto"/>
              <w:jc w:val="center"/>
              <w:rPr>
                <w:rFonts w:ascii="Arial Narrow" w:eastAsia="Calibri" w:hAnsi="Arial Narrow"/>
                <w:b/>
                <w:sz w:val="18"/>
                <w:szCs w:val="18"/>
              </w:rPr>
            </w:pPr>
            <w:r>
              <w:rPr>
                <w:rFonts w:ascii="Arial Narrow" w:eastAsia="Calibri" w:hAnsi="Arial Narrow"/>
                <w:bCs/>
                <w:sz w:val="18"/>
                <w:szCs w:val="18"/>
              </w:rPr>
              <w:t>New</w:t>
            </w:r>
          </w:p>
        </w:tc>
        <w:tc>
          <w:tcPr>
            <w:tcW w:w="6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046D07" w14:textId="77777777" w:rsidR="00E76938" w:rsidRDefault="00E76938" w:rsidP="00660892">
            <w:pPr>
              <w:spacing w:line="256" w:lineRule="auto"/>
              <w:jc w:val="center"/>
              <w:rPr>
                <w:rFonts w:ascii="Arial Narrow" w:eastAsia="Calibri" w:hAnsi="Arial Narrow"/>
                <w:b/>
                <w:sz w:val="18"/>
                <w:szCs w:val="18"/>
              </w:rPr>
            </w:pPr>
            <w:r>
              <w:rPr>
                <w:rFonts w:ascii="Arial Narrow" w:eastAsia="Calibri" w:hAnsi="Arial Narrow"/>
                <w:bCs/>
                <w:sz w:val="18"/>
                <w:szCs w:val="18"/>
              </w:rPr>
              <w:t>1</w:t>
            </w:r>
          </w:p>
        </w:tc>
        <w:tc>
          <w:tcPr>
            <w:tcW w:w="6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D7792B" w14:textId="77777777" w:rsidR="00E76938" w:rsidRDefault="00E76938" w:rsidP="00660892">
            <w:pPr>
              <w:spacing w:line="256" w:lineRule="auto"/>
              <w:jc w:val="center"/>
              <w:rPr>
                <w:rFonts w:ascii="Arial Narrow" w:eastAsia="Calibri" w:hAnsi="Arial Narrow"/>
                <w:b/>
                <w:sz w:val="18"/>
                <w:szCs w:val="18"/>
              </w:rPr>
            </w:pPr>
            <w:r>
              <w:rPr>
                <w:rFonts w:ascii="Arial Narrow" w:eastAsia="Calibri" w:hAnsi="Arial Narrow"/>
                <w:bCs/>
                <w:sz w:val="18"/>
                <w:szCs w:val="18"/>
              </w:rPr>
              <w:t>60</w:t>
            </w:r>
          </w:p>
        </w:tc>
        <w:tc>
          <w:tcPr>
            <w:tcW w:w="6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500F03" w14:textId="77777777" w:rsidR="00E76938" w:rsidRPr="00E76938" w:rsidRDefault="00E76938" w:rsidP="00660892">
            <w:pPr>
              <w:spacing w:line="256" w:lineRule="auto"/>
              <w:jc w:val="center"/>
              <w:rPr>
                <w:rFonts w:ascii="Arial Narrow" w:eastAsia="Calibri" w:hAnsi="Arial Narrow"/>
                <w:bCs/>
                <w:strike/>
                <w:sz w:val="18"/>
                <w:szCs w:val="18"/>
              </w:rPr>
            </w:pPr>
            <w:r w:rsidRPr="00E76938">
              <w:rPr>
                <w:rFonts w:ascii="Arial Narrow" w:eastAsia="Calibri" w:hAnsi="Arial Narrow"/>
                <w:bCs/>
                <w:strike/>
                <w:sz w:val="20"/>
                <w:szCs w:val="20"/>
              </w:rPr>
              <w:t>5</w:t>
            </w:r>
            <w:r w:rsidRPr="00E76938">
              <w:rPr>
                <w:rFonts w:ascii="Arial Narrow" w:eastAsia="Calibri" w:hAnsi="Arial Narrow"/>
                <w:bCs/>
                <w:sz w:val="20"/>
                <w:szCs w:val="20"/>
              </w:rPr>
              <w:t xml:space="preserve"> </w:t>
            </w:r>
            <w:r w:rsidRPr="00E76938">
              <w:rPr>
                <w:rFonts w:ascii="Arial Narrow" w:eastAsia="Calibri" w:hAnsi="Arial Narrow"/>
                <w:bCs/>
                <w:i/>
                <w:iCs/>
                <w:sz w:val="20"/>
                <w:szCs w:val="20"/>
              </w:rPr>
              <w:t>6</w:t>
            </w:r>
          </w:p>
        </w:tc>
        <w:tc>
          <w:tcPr>
            <w:tcW w:w="70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5C95E5" w14:textId="77777777" w:rsidR="00E76938" w:rsidRDefault="00E76938" w:rsidP="00660892">
            <w:pPr>
              <w:spacing w:line="256" w:lineRule="auto"/>
              <w:jc w:val="center"/>
              <w:rPr>
                <w:rFonts w:ascii="Arial Narrow" w:eastAsia="Calibri" w:hAnsi="Arial Narrow"/>
                <w:b/>
                <w:sz w:val="18"/>
                <w:szCs w:val="18"/>
              </w:rPr>
            </w:pPr>
            <w:r>
              <w:rPr>
                <w:rFonts w:ascii="Arial Narrow" w:eastAsia="Calibri" w:hAnsi="Arial Narrow"/>
                <w:bCs/>
                <w:sz w:val="18"/>
                <w:szCs w:val="18"/>
              </w:rPr>
              <w:t>ISTURISA</w:t>
            </w:r>
          </w:p>
        </w:tc>
      </w:tr>
      <w:tr w:rsidR="00E76938" w14:paraId="367AB486" w14:textId="77777777" w:rsidTr="00914C1A">
        <w:tc>
          <w:tcPr>
            <w:tcW w:w="1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9DE815" w14:textId="77777777" w:rsidR="00E76938" w:rsidRDefault="00E76938" w:rsidP="00660892">
            <w:pPr>
              <w:spacing w:line="256" w:lineRule="auto"/>
              <w:rPr>
                <w:rFonts w:ascii="Arial Narrow" w:eastAsia="Calibri" w:hAnsi="Arial Narrow"/>
                <w:b/>
                <w:sz w:val="18"/>
                <w:szCs w:val="18"/>
              </w:rPr>
            </w:pPr>
            <w:r>
              <w:rPr>
                <w:rFonts w:ascii="Arial Narrow" w:eastAsia="Calibri" w:hAnsi="Arial Narrow"/>
                <w:bCs/>
                <w:sz w:val="18"/>
                <w:szCs w:val="18"/>
              </w:rPr>
              <w:t>Osilodrostat, 5 mg oral tablet</w:t>
            </w:r>
          </w:p>
        </w:tc>
        <w:tc>
          <w:tcPr>
            <w:tcW w:w="53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DD2980" w14:textId="77777777" w:rsidR="00E76938" w:rsidRDefault="00E76938" w:rsidP="00660892">
            <w:pPr>
              <w:spacing w:line="256" w:lineRule="auto"/>
              <w:jc w:val="center"/>
              <w:rPr>
                <w:rFonts w:ascii="Arial Narrow" w:eastAsia="Calibri" w:hAnsi="Arial Narrow"/>
                <w:b/>
                <w:sz w:val="18"/>
                <w:szCs w:val="18"/>
              </w:rPr>
            </w:pPr>
            <w:r>
              <w:rPr>
                <w:rFonts w:ascii="Arial Narrow" w:eastAsia="Calibri" w:hAnsi="Arial Narrow"/>
                <w:bCs/>
                <w:sz w:val="18"/>
                <w:szCs w:val="18"/>
              </w:rPr>
              <w:t>New</w:t>
            </w:r>
          </w:p>
        </w:tc>
        <w:tc>
          <w:tcPr>
            <w:tcW w:w="6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8DCBFF" w14:textId="77777777" w:rsidR="00E76938" w:rsidRDefault="00E76938" w:rsidP="00660892">
            <w:pPr>
              <w:spacing w:line="256" w:lineRule="auto"/>
              <w:jc w:val="center"/>
              <w:rPr>
                <w:rFonts w:ascii="Arial Narrow" w:eastAsia="Calibri" w:hAnsi="Arial Narrow"/>
                <w:b/>
                <w:sz w:val="18"/>
                <w:szCs w:val="18"/>
              </w:rPr>
            </w:pPr>
            <w:r>
              <w:rPr>
                <w:rFonts w:ascii="Arial Narrow" w:eastAsia="Calibri" w:hAnsi="Arial Narrow"/>
                <w:bCs/>
                <w:sz w:val="18"/>
                <w:szCs w:val="18"/>
              </w:rPr>
              <w:t>1</w:t>
            </w:r>
          </w:p>
        </w:tc>
        <w:tc>
          <w:tcPr>
            <w:tcW w:w="6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D7CDD3" w14:textId="77777777" w:rsidR="00E76938" w:rsidRDefault="00E76938" w:rsidP="00660892">
            <w:pPr>
              <w:spacing w:line="256" w:lineRule="auto"/>
              <w:jc w:val="center"/>
              <w:rPr>
                <w:rFonts w:ascii="Arial Narrow" w:eastAsia="Calibri" w:hAnsi="Arial Narrow"/>
                <w:b/>
                <w:sz w:val="18"/>
                <w:szCs w:val="18"/>
              </w:rPr>
            </w:pPr>
            <w:r>
              <w:rPr>
                <w:rFonts w:ascii="Arial Narrow" w:eastAsia="Calibri" w:hAnsi="Arial Narrow"/>
                <w:bCs/>
                <w:sz w:val="18"/>
                <w:szCs w:val="18"/>
              </w:rPr>
              <w:t>60</w:t>
            </w:r>
          </w:p>
        </w:tc>
        <w:tc>
          <w:tcPr>
            <w:tcW w:w="6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000FD7" w14:textId="77777777" w:rsidR="00E76938" w:rsidRPr="00E76938" w:rsidRDefault="00E76938" w:rsidP="00660892">
            <w:pPr>
              <w:spacing w:line="256" w:lineRule="auto"/>
              <w:jc w:val="center"/>
              <w:rPr>
                <w:rFonts w:ascii="Arial Narrow" w:eastAsia="Calibri" w:hAnsi="Arial Narrow"/>
                <w:bCs/>
                <w:strike/>
                <w:sz w:val="18"/>
                <w:szCs w:val="18"/>
              </w:rPr>
            </w:pPr>
            <w:r w:rsidRPr="00E76938">
              <w:rPr>
                <w:rFonts w:ascii="Arial Narrow" w:eastAsia="Calibri" w:hAnsi="Arial Narrow"/>
                <w:bCs/>
                <w:strike/>
                <w:sz w:val="18"/>
                <w:szCs w:val="18"/>
              </w:rPr>
              <w:t>5</w:t>
            </w:r>
            <w:r w:rsidRPr="00E76938">
              <w:rPr>
                <w:rFonts w:ascii="Arial Narrow" w:eastAsia="Calibri" w:hAnsi="Arial Narrow"/>
                <w:bCs/>
                <w:sz w:val="18"/>
                <w:szCs w:val="18"/>
              </w:rPr>
              <w:t xml:space="preserve"> </w:t>
            </w:r>
            <w:r w:rsidRPr="00E76938">
              <w:rPr>
                <w:rFonts w:ascii="Arial Narrow" w:eastAsia="Calibri" w:hAnsi="Arial Narrow"/>
                <w:bCs/>
                <w:i/>
                <w:iCs/>
                <w:sz w:val="18"/>
                <w:szCs w:val="18"/>
              </w:rPr>
              <w:t>6</w:t>
            </w:r>
          </w:p>
        </w:tc>
        <w:tc>
          <w:tcPr>
            <w:tcW w:w="70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6C6C12" w14:textId="77777777" w:rsidR="00E76938" w:rsidRDefault="00E76938" w:rsidP="00660892">
            <w:pPr>
              <w:spacing w:line="256" w:lineRule="auto"/>
              <w:jc w:val="center"/>
              <w:rPr>
                <w:rFonts w:ascii="Arial Narrow" w:eastAsia="Calibri" w:hAnsi="Arial Narrow"/>
                <w:b/>
                <w:sz w:val="18"/>
                <w:szCs w:val="18"/>
              </w:rPr>
            </w:pPr>
            <w:r>
              <w:rPr>
                <w:rFonts w:ascii="Arial Narrow" w:eastAsia="Calibri" w:hAnsi="Arial Narrow"/>
                <w:bCs/>
                <w:sz w:val="18"/>
                <w:szCs w:val="18"/>
              </w:rPr>
              <w:t>ISTURISA</w:t>
            </w:r>
          </w:p>
        </w:tc>
      </w:tr>
      <w:tr w:rsidR="00E76938" w14:paraId="00A6E103" w14:textId="77777777" w:rsidTr="00914C1A">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6C452F" w14:textId="77777777" w:rsidR="00E76938" w:rsidRDefault="00E76938" w:rsidP="00660892">
            <w:pPr>
              <w:spacing w:line="256" w:lineRule="auto"/>
              <w:rPr>
                <w:rFonts w:ascii="Arial Narrow" w:eastAsia="Calibri" w:hAnsi="Arial Narrow"/>
                <w:b/>
                <w:sz w:val="18"/>
                <w:szCs w:val="18"/>
              </w:rPr>
            </w:pPr>
          </w:p>
        </w:tc>
      </w:tr>
      <w:tr w:rsidR="00E76938" w14:paraId="7951FC1A" w14:textId="77777777" w:rsidTr="00914C1A">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12E7C4" w14:textId="77777777" w:rsidR="00E76938" w:rsidRDefault="00E76938" w:rsidP="00660892">
            <w:pPr>
              <w:spacing w:line="256" w:lineRule="auto"/>
              <w:rPr>
                <w:rFonts w:ascii="Arial Narrow" w:eastAsia="Calibri" w:hAnsi="Arial Narrow"/>
                <w:b/>
                <w:sz w:val="18"/>
                <w:szCs w:val="18"/>
              </w:rPr>
            </w:pPr>
            <w:r>
              <w:rPr>
                <w:rFonts w:ascii="Arial Narrow" w:hAnsi="Arial Narrow"/>
                <w:b/>
                <w:sz w:val="20"/>
                <w:szCs w:val="20"/>
              </w:rPr>
              <w:t>Restriction Summary [new5]</w:t>
            </w:r>
            <w:r>
              <w:rPr>
                <w:rFonts w:ascii="Arial Narrow" w:hAnsi="Arial Narrow"/>
                <w:b/>
                <w:color w:val="FF0000"/>
                <w:sz w:val="20"/>
                <w:szCs w:val="20"/>
              </w:rPr>
              <w:t xml:space="preserve"> </w:t>
            </w:r>
            <w:r>
              <w:rPr>
                <w:rFonts w:ascii="Arial Narrow" w:hAnsi="Arial Narrow"/>
                <w:b/>
                <w:sz w:val="20"/>
                <w:szCs w:val="20"/>
              </w:rPr>
              <w:t xml:space="preserve">/ Treatment of Concept: [new6] </w:t>
            </w:r>
          </w:p>
        </w:tc>
      </w:tr>
    </w:tbl>
    <w:p w14:paraId="59417C19" w14:textId="77777777" w:rsidR="00E76938" w:rsidRDefault="00E76938" w:rsidP="00E76938"/>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759"/>
        <w:gridCol w:w="7935"/>
      </w:tblGrid>
      <w:tr w:rsidR="00E76938" w14:paraId="5C040A01" w14:textId="77777777" w:rsidTr="00914C1A">
        <w:trPr>
          <w:trHeight w:val="20"/>
        </w:trPr>
        <w:tc>
          <w:tcPr>
            <w:tcW w:w="691"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42BD0C" w14:textId="77777777" w:rsidR="00E76938" w:rsidRPr="00FD173B" w:rsidRDefault="00E76938" w:rsidP="00FD173B">
            <w:pPr>
              <w:spacing w:line="256" w:lineRule="auto"/>
              <w:rPr>
                <w:rFonts w:ascii="Arial Narrow" w:eastAsia="Calibri" w:hAnsi="Arial Narrow"/>
                <w:b/>
                <w:sz w:val="18"/>
                <w:szCs w:val="18"/>
              </w:rPr>
            </w:pPr>
            <w:r w:rsidRPr="00FD173B">
              <w:rPr>
                <w:rFonts w:ascii="Arial Narrow" w:eastAsia="Calibri" w:hAnsi="Arial Narrow"/>
                <w:b/>
                <w:sz w:val="18"/>
                <w:szCs w:val="18"/>
              </w:rPr>
              <w:t>Concept ID</w:t>
            </w:r>
          </w:p>
          <w:p w14:paraId="5B5B59C3" w14:textId="77777777" w:rsidR="00E76938" w:rsidRPr="00FD173B" w:rsidRDefault="00E76938" w:rsidP="00FD173B">
            <w:pPr>
              <w:spacing w:line="256" w:lineRule="auto"/>
              <w:rPr>
                <w:rFonts w:ascii="Arial Narrow" w:eastAsia="Calibri" w:hAnsi="Arial Narrow"/>
                <w:i/>
                <w:sz w:val="18"/>
                <w:szCs w:val="18"/>
              </w:rPr>
            </w:pPr>
          </w:p>
          <w:p w14:paraId="5A8F76F7" w14:textId="77777777" w:rsidR="00E76938" w:rsidRPr="00FD173B" w:rsidRDefault="00E76938" w:rsidP="00FD173B">
            <w:pPr>
              <w:spacing w:line="256" w:lineRule="auto"/>
              <w:jc w:val="center"/>
              <w:rPr>
                <w:rFonts w:ascii="Arial Narrow" w:eastAsia="Calibri" w:hAnsi="Arial Narrow"/>
                <w:sz w:val="18"/>
                <w:szCs w:val="18"/>
              </w:rPr>
            </w:pPr>
            <w:r w:rsidRPr="00FD173B">
              <w:rPr>
                <w:rFonts w:ascii="Arial Narrow" w:eastAsia="Calibri" w:hAnsi="Arial Narrow"/>
                <w:sz w:val="18"/>
                <w:szCs w:val="18"/>
              </w:rPr>
              <w:t>(for internal Dept. use)</w:t>
            </w:r>
          </w:p>
          <w:p w14:paraId="70E6CC2F" w14:textId="77777777" w:rsidR="00E76938" w:rsidRPr="00FD173B" w:rsidRDefault="00E76938" w:rsidP="00FD173B">
            <w:pPr>
              <w:spacing w:line="256" w:lineRule="auto"/>
              <w:rPr>
                <w:rFonts w:ascii="Arial Narrow" w:eastAsia="Calibri" w:hAnsi="Arial Narrow"/>
                <w:b/>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341B5C" w14:textId="77777777" w:rsidR="00E76938" w:rsidRPr="00FD173B" w:rsidRDefault="00E76938" w:rsidP="00FD173B">
            <w:pPr>
              <w:spacing w:line="256" w:lineRule="auto"/>
              <w:rPr>
                <w:rFonts w:ascii="Arial Narrow" w:eastAsia="Calibri" w:hAnsi="Arial Narrow"/>
                <w:sz w:val="18"/>
                <w:szCs w:val="18"/>
              </w:rPr>
            </w:pPr>
            <w:r w:rsidRPr="00FD173B">
              <w:rPr>
                <w:rFonts w:ascii="Arial Narrow" w:eastAsia="Calibri" w:hAnsi="Arial Narrow"/>
                <w:b/>
                <w:sz w:val="18"/>
                <w:szCs w:val="18"/>
              </w:rPr>
              <w:t xml:space="preserve">Category / Program: </w:t>
            </w:r>
          </w:p>
          <w:p w14:paraId="270A9508" w14:textId="77777777" w:rsidR="00E76938" w:rsidRPr="00FD173B" w:rsidRDefault="00E76938" w:rsidP="00FD173B">
            <w:pPr>
              <w:spacing w:line="256" w:lineRule="auto"/>
              <w:rPr>
                <w:rFonts w:ascii="Arial Narrow" w:eastAsia="Calibri" w:hAnsi="Arial Narrow"/>
                <w:sz w:val="18"/>
                <w:szCs w:val="18"/>
              </w:rPr>
            </w:pPr>
            <w:r w:rsidRPr="00FD173B">
              <w:rPr>
                <w:rFonts w:ascii="Arial Narrow" w:eastAsia="Calibri" w:hAnsi="Arial Narrow"/>
                <w:sz w:val="18"/>
                <w:szCs w:val="18"/>
              </w:rPr>
              <w:t>Section 85 – General Schedule</w:t>
            </w:r>
          </w:p>
        </w:tc>
      </w:tr>
      <w:tr w:rsidR="00E76938" w14:paraId="693AE79C" w14:textId="77777777" w:rsidTr="00914C1A">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200A7C0" w14:textId="77777777" w:rsidR="00E76938" w:rsidRPr="00FD173B" w:rsidRDefault="00E76938" w:rsidP="00FD173B">
            <w:pPr>
              <w:spacing w:line="256" w:lineRule="auto"/>
              <w:rPr>
                <w:rFonts w:ascii="Arial Narrow" w:eastAsia="Calibri" w:hAnsi="Arial Narrow"/>
                <w:b/>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302CFF" w14:textId="77777777" w:rsidR="00E76938" w:rsidRPr="00FD173B" w:rsidRDefault="00E76938" w:rsidP="00FD173B">
            <w:pPr>
              <w:spacing w:line="256" w:lineRule="auto"/>
              <w:rPr>
                <w:rFonts w:ascii="Arial Narrow" w:eastAsia="Calibri" w:hAnsi="Arial Narrow"/>
                <w:b/>
                <w:sz w:val="18"/>
                <w:szCs w:val="18"/>
              </w:rPr>
            </w:pPr>
            <w:r w:rsidRPr="00FD173B">
              <w:rPr>
                <w:rFonts w:ascii="Arial Narrow" w:eastAsia="Calibri" w:hAnsi="Arial Narrow"/>
                <w:b/>
                <w:sz w:val="18"/>
                <w:szCs w:val="18"/>
              </w:rPr>
              <w:t xml:space="preserve">Prescriber type: </w:t>
            </w:r>
            <w:r w:rsidRPr="00FD173B">
              <w:rPr>
                <w:rFonts w:ascii="Arial Narrow" w:eastAsia="Calibri" w:hAnsi="Arial Narrow"/>
                <w:sz w:val="18"/>
                <w:szCs w:val="18"/>
              </w:rPr>
              <w:fldChar w:fldCharType="begin" w:fldLock="1">
                <w:ffData>
                  <w:name w:val=""/>
                  <w:enabled/>
                  <w:calcOnExit w:val="0"/>
                  <w:checkBox>
                    <w:sizeAuto/>
                    <w:default w:val="1"/>
                  </w:checkBox>
                </w:ffData>
              </w:fldChar>
            </w:r>
            <w:r w:rsidRPr="00FD173B">
              <w:rPr>
                <w:rFonts w:ascii="Arial Narrow" w:eastAsia="Calibri" w:hAnsi="Arial Narrow"/>
                <w:sz w:val="18"/>
                <w:szCs w:val="18"/>
              </w:rPr>
              <w:instrText xml:space="preserve"> FORMCHECKBOX </w:instrText>
            </w:r>
            <w:r w:rsidRPr="00FD173B">
              <w:rPr>
                <w:rFonts w:ascii="Arial Narrow" w:eastAsia="Calibri" w:hAnsi="Arial Narrow"/>
                <w:sz w:val="18"/>
                <w:szCs w:val="18"/>
              </w:rPr>
            </w:r>
            <w:r w:rsidRPr="00FD173B">
              <w:rPr>
                <w:rFonts w:ascii="Arial Narrow" w:eastAsia="Calibri" w:hAnsi="Arial Narrow"/>
                <w:sz w:val="18"/>
                <w:szCs w:val="18"/>
              </w:rPr>
              <w:fldChar w:fldCharType="separate"/>
            </w:r>
            <w:r w:rsidRPr="00FD173B">
              <w:rPr>
                <w:rFonts w:ascii="Arial Narrow" w:eastAsia="Calibri" w:hAnsi="Arial Narrow"/>
                <w:sz w:val="18"/>
                <w:szCs w:val="18"/>
              </w:rPr>
              <w:fldChar w:fldCharType="end"/>
            </w:r>
            <w:r w:rsidRPr="00FD173B">
              <w:rPr>
                <w:rFonts w:ascii="Arial Narrow" w:eastAsia="Calibri" w:hAnsi="Arial Narrow"/>
                <w:sz w:val="18"/>
                <w:szCs w:val="18"/>
              </w:rPr>
              <w:t xml:space="preserve">Medical Practitioners </w:t>
            </w:r>
          </w:p>
        </w:tc>
      </w:tr>
      <w:tr w:rsidR="00E76938" w14:paraId="2FF7A639" w14:textId="77777777" w:rsidTr="00914C1A">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D435A0" w14:textId="77777777" w:rsidR="00E76938" w:rsidRPr="00FD173B" w:rsidRDefault="00E76938" w:rsidP="00FD173B">
            <w:pPr>
              <w:spacing w:line="256" w:lineRule="auto"/>
              <w:rPr>
                <w:rFonts w:ascii="Arial Narrow" w:eastAsia="Calibri" w:hAnsi="Arial Narrow"/>
                <w:b/>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19E875" w14:textId="77777777" w:rsidR="00E76938" w:rsidRPr="00FD173B" w:rsidRDefault="00E76938" w:rsidP="00FD173B">
            <w:pPr>
              <w:spacing w:line="256" w:lineRule="auto"/>
              <w:rPr>
                <w:rFonts w:ascii="Arial Narrow" w:eastAsia="Calibri" w:hAnsi="Arial Narrow"/>
                <w:sz w:val="18"/>
                <w:szCs w:val="18"/>
              </w:rPr>
            </w:pPr>
            <w:r w:rsidRPr="00FD173B">
              <w:rPr>
                <w:rFonts w:ascii="Arial Narrow" w:eastAsia="Calibri" w:hAnsi="Arial Narrow"/>
                <w:b/>
                <w:sz w:val="18"/>
                <w:szCs w:val="18"/>
              </w:rPr>
              <w:t xml:space="preserve">Restriction Type– </w:t>
            </w:r>
            <w:r w:rsidRPr="00FD173B">
              <w:rPr>
                <w:rFonts w:ascii="Arial Narrow" w:eastAsia="Calibri" w:hAnsi="Arial Narrow"/>
                <w:sz w:val="18"/>
                <w:szCs w:val="18"/>
              </w:rPr>
              <w:fldChar w:fldCharType="begin" w:fldLock="1">
                <w:ffData>
                  <w:name w:val=""/>
                  <w:enabled/>
                  <w:calcOnExit w:val="0"/>
                  <w:checkBox>
                    <w:sizeAuto/>
                    <w:default w:val="1"/>
                  </w:checkBox>
                </w:ffData>
              </w:fldChar>
            </w:r>
            <w:r w:rsidRPr="00FD173B">
              <w:rPr>
                <w:rFonts w:ascii="Arial Narrow" w:eastAsia="Calibri" w:hAnsi="Arial Narrow"/>
                <w:sz w:val="18"/>
                <w:szCs w:val="18"/>
              </w:rPr>
              <w:instrText xml:space="preserve"> FORMCHECKBOX </w:instrText>
            </w:r>
            <w:r w:rsidRPr="00FD173B">
              <w:rPr>
                <w:rFonts w:ascii="Arial Narrow" w:eastAsia="Calibri" w:hAnsi="Arial Narrow"/>
                <w:sz w:val="18"/>
                <w:szCs w:val="18"/>
              </w:rPr>
            </w:r>
            <w:r w:rsidRPr="00FD173B">
              <w:rPr>
                <w:rFonts w:ascii="Arial Narrow" w:eastAsia="Calibri" w:hAnsi="Arial Narrow"/>
                <w:sz w:val="18"/>
                <w:szCs w:val="18"/>
              </w:rPr>
              <w:fldChar w:fldCharType="separate"/>
            </w:r>
            <w:r w:rsidRPr="00FD173B">
              <w:rPr>
                <w:rFonts w:ascii="Arial Narrow" w:eastAsia="Calibri" w:hAnsi="Arial Narrow"/>
                <w:sz w:val="18"/>
                <w:szCs w:val="18"/>
              </w:rPr>
              <w:fldChar w:fldCharType="end"/>
            </w:r>
            <w:r w:rsidRPr="00FD173B">
              <w:rPr>
                <w:rFonts w:ascii="Arial Narrow" w:eastAsia="Calibri" w:hAnsi="Arial Narrow"/>
                <w:sz w:val="18"/>
                <w:szCs w:val="18"/>
              </w:rPr>
              <w:t>Authority Required – immediate/real time assessment by Services Australia (telephone/online application avenues)</w:t>
            </w:r>
          </w:p>
        </w:tc>
      </w:tr>
      <w:tr w:rsidR="00E76938" w14:paraId="3BCA9E42" w14:textId="77777777" w:rsidTr="00914C1A">
        <w:trPr>
          <w:trHeight w:val="20"/>
        </w:trPr>
        <w:tc>
          <w:tcPr>
            <w:tcW w:w="27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B0AAC1" w14:textId="77777777" w:rsidR="00E76938" w:rsidRPr="00FD173B" w:rsidRDefault="00E76938" w:rsidP="00FD173B">
            <w:pPr>
              <w:spacing w:line="256" w:lineRule="auto"/>
              <w:rPr>
                <w:rFonts w:ascii="Arial Narrow" w:eastAsia="Calibri" w:hAnsi="Arial Narrow"/>
                <w:i/>
                <w:iCs/>
                <w:sz w:val="18"/>
                <w:szCs w:val="18"/>
              </w:rPr>
            </w:pPr>
            <w:r w:rsidRPr="00FD173B">
              <w:rPr>
                <w:rFonts w:ascii="Arial Narrow" w:eastAsia="Calibri" w:hAnsi="Arial Narrow"/>
                <w:i/>
                <w:iCs/>
                <w:sz w:val="18"/>
                <w:szCs w:val="18"/>
              </w:rPr>
              <w:t>PR level</w:t>
            </w:r>
          </w:p>
        </w:tc>
        <w:tc>
          <w:tcPr>
            <w:tcW w:w="4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9383FA" w14:textId="3B24FC4C" w:rsidR="00E76938" w:rsidRPr="00FD173B" w:rsidRDefault="00E76938" w:rsidP="00FD173B">
            <w:pPr>
              <w:spacing w:line="256" w:lineRule="auto"/>
              <w:rPr>
                <w:rFonts w:ascii="Arial Narrow" w:eastAsia="Calibri" w:hAnsi="Arial Narrow"/>
                <w:i/>
                <w:iCs/>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3B142B"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b/>
                <w:bCs/>
                <w:i/>
                <w:iCs/>
                <w:color w:val="333333"/>
                <w:sz w:val="18"/>
                <w:szCs w:val="18"/>
              </w:rPr>
              <w:t>Caution:</w:t>
            </w:r>
            <w:r w:rsidRPr="00FD173B">
              <w:rPr>
                <w:rFonts w:ascii="Arial Narrow" w:hAnsi="Arial Narrow"/>
                <w:i/>
                <w:iCs/>
                <w:color w:val="333333"/>
                <w:sz w:val="18"/>
                <w:szCs w:val="18"/>
              </w:rPr>
              <w:t xml:space="preserve"> </w:t>
            </w:r>
          </w:p>
          <w:p w14:paraId="39818353"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i/>
                <w:iCs/>
                <w:color w:val="333333"/>
                <w:sz w:val="18"/>
                <w:szCs w:val="18"/>
              </w:rPr>
              <w:t>The following should be assessed prior to receiving treatment and closely monitored throughout the treatment period:</w:t>
            </w:r>
          </w:p>
          <w:p w14:paraId="3897C87E" w14:textId="77777777" w:rsidR="00E76938" w:rsidRPr="00FD173B" w:rsidRDefault="00E76938" w:rsidP="00FD173B">
            <w:pPr>
              <w:numPr>
                <w:ilvl w:val="0"/>
                <w:numId w:val="10"/>
              </w:numPr>
              <w:spacing w:line="256" w:lineRule="auto"/>
              <w:contextualSpacing/>
              <w:rPr>
                <w:rFonts w:ascii="Arial Narrow" w:hAnsi="Arial Narrow"/>
                <w:i/>
                <w:iCs/>
                <w:strike/>
                <w:color w:val="333333"/>
                <w:sz w:val="18"/>
                <w:szCs w:val="18"/>
              </w:rPr>
            </w:pPr>
            <w:r w:rsidRPr="00FD173B">
              <w:rPr>
                <w:rFonts w:ascii="Arial Narrow" w:hAnsi="Arial Narrow"/>
                <w:i/>
                <w:iCs/>
                <w:color w:val="333333"/>
                <w:sz w:val="18"/>
                <w:szCs w:val="18"/>
              </w:rPr>
              <w:t>QTc prolongation via an electrocardiogram</w:t>
            </w:r>
          </w:p>
          <w:p w14:paraId="31F34C3C" w14:textId="77777777" w:rsidR="00E76938" w:rsidRPr="00FD173B" w:rsidRDefault="00E76938" w:rsidP="00FD173B">
            <w:pPr>
              <w:pStyle w:val="ListParagraph"/>
              <w:numPr>
                <w:ilvl w:val="0"/>
                <w:numId w:val="10"/>
              </w:numPr>
              <w:snapToGrid w:val="0"/>
              <w:spacing w:after="0" w:line="256" w:lineRule="auto"/>
              <w:contextualSpacing/>
              <w:rPr>
                <w:rFonts w:ascii="Arial Narrow" w:eastAsia="Calibri" w:hAnsi="Arial Narrow"/>
                <w:b/>
                <w:i/>
                <w:iCs/>
                <w:kern w:val="2"/>
                <w:sz w:val="18"/>
                <w:szCs w:val="18"/>
                <w:lang w:eastAsia="en-US"/>
              </w:rPr>
            </w:pPr>
            <w:r w:rsidRPr="00FD173B">
              <w:rPr>
                <w:rFonts w:ascii="Arial Narrow" w:hAnsi="Arial Narrow"/>
                <w:i/>
                <w:iCs/>
                <w:color w:val="333333"/>
                <w:kern w:val="2"/>
                <w:sz w:val="18"/>
                <w:szCs w:val="18"/>
                <w:lang w:eastAsia="en-US"/>
              </w:rPr>
              <w:t>Hypocortisolism</w:t>
            </w:r>
          </w:p>
          <w:p w14:paraId="5DC0780E" w14:textId="77777777" w:rsidR="00E76938" w:rsidRPr="00FD173B" w:rsidRDefault="00E76938" w:rsidP="00FD173B">
            <w:pPr>
              <w:pStyle w:val="ListParagraph"/>
              <w:numPr>
                <w:ilvl w:val="0"/>
                <w:numId w:val="10"/>
              </w:numPr>
              <w:snapToGrid w:val="0"/>
              <w:spacing w:after="0" w:line="256" w:lineRule="auto"/>
              <w:contextualSpacing/>
              <w:rPr>
                <w:rFonts w:ascii="Arial Narrow" w:eastAsia="Calibri" w:hAnsi="Arial Narrow"/>
                <w:b/>
                <w:i/>
                <w:iCs/>
                <w:kern w:val="2"/>
                <w:sz w:val="18"/>
                <w:szCs w:val="18"/>
                <w:lang w:eastAsia="en-US"/>
              </w:rPr>
            </w:pPr>
            <w:r w:rsidRPr="00FD173B">
              <w:rPr>
                <w:rFonts w:ascii="Arial Narrow" w:hAnsi="Arial Narrow"/>
                <w:i/>
                <w:iCs/>
                <w:color w:val="333333"/>
                <w:kern w:val="2"/>
                <w:sz w:val="18"/>
                <w:szCs w:val="18"/>
                <w:lang w:eastAsia="en-US"/>
              </w:rPr>
              <w:t>Corticotroph tumour growth</w:t>
            </w:r>
          </w:p>
        </w:tc>
      </w:tr>
      <w:tr w:rsidR="00E76938" w14:paraId="070A0C48" w14:textId="77777777" w:rsidTr="00914C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61667" w14:textId="77777777" w:rsidR="00E76938" w:rsidRPr="00FD173B" w:rsidRDefault="00E76938" w:rsidP="00FD173B">
            <w:pPr>
              <w:spacing w:line="256" w:lineRule="auto"/>
              <w:rPr>
                <w:rFonts w:ascii="Arial Narrow" w:eastAsia="Calibri" w:hAnsi="Arial Narrow"/>
                <w:i/>
                <w:iCs/>
                <w:sz w:val="18"/>
                <w:szCs w:val="18"/>
              </w:rPr>
            </w:pPr>
          </w:p>
        </w:tc>
        <w:tc>
          <w:tcPr>
            <w:tcW w:w="4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3651BF" w14:textId="14EFCC13" w:rsidR="00E76938" w:rsidRPr="00FD173B" w:rsidRDefault="00E76938" w:rsidP="00FD173B">
            <w:pPr>
              <w:spacing w:line="256" w:lineRule="auto"/>
              <w:rPr>
                <w:rFonts w:ascii="Arial Narrow" w:eastAsia="Calibri" w:hAnsi="Arial Narrow"/>
                <w:i/>
                <w:iCs/>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EAEE8B" w14:textId="77777777" w:rsidR="00E76938" w:rsidRPr="00FD173B" w:rsidRDefault="00E76938" w:rsidP="00FD173B">
            <w:pPr>
              <w:spacing w:line="256" w:lineRule="auto"/>
              <w:rPr>
                <w:rFonts w:ascii="Arial Narrow" w:eastAsia="Calibri" w:hAnsi="Arial Narrow"/>
                <w:b/>
                <w:i/>
                <w:iCs/>
                <w:sz w:val="18"/>
                <w:szCs w:val="18"/>
              </w:rPr>
            </w:pPr>
            <w:r w:rsidRPr="00FD173B">
              <w:rPr>
                <w:rFonts w:ascii="Arial Narrow" w:eastAsia="Calibri" w:hAnsi="Arial Narrow"/>
                <w:b/>
                <w:i/>
                <w:iCs/>
                <w:sz w:val="18"/>
                <w:szCs w:val="18"/>
              </w:rPr>
              <w:t xml:space="preserve">Administrative advice: </w:t>
            </w:r>
          </w:p>
          <w:p w14:paraId="28CE2264" w14:textId="77777777" w:rsidR="00E76938" w:rsidRPr="00FD173B" w:rsidRDefault="00E76938" w:rsidP="00FD173B">
            <w:pPr>
              <w:spacing w:line="256" w:lineRule="auto"/>
              <w:rPr>
                <w:rFonts w:ascii="Arial Narrow" w:eastAsia="Calibri" w:hAnsi="Arial Narrow"/>
                <w:b/>
                <w:i/>
                <w:iCs/>
                <w:sz w:val="18"/>
                <w:szCs w:val="18"/>
              </w:rPr>
            </w:pPr>
            <w:r w:rsidRPr="00FD173B">
              <w:rPr>
                <w:rFonts w:ascii="Arial Narrow" w:hAnsi="Arial Narrow"/>
                <w:i/>
                <w:iCs/>
                <w:color w:val="333333"/>
                <w:sz w:val="18"/>
                <w:szCs w:val="18"/>
              </w:rPr>
              <w:t>Cortisol levels should be monitored at regular intervals, since hypocortisolism-related events can occur at any time during treatment.</w:t>
            </w:r>
          </w:p>
        </w:tc>
      </w:tr>
      <w:tr w:rsidR="00E76938" w14:paraId="0E0CF0A2" w14:textId="77777777" w:rsidTr="00914C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5D13E" w14:textId="77777777" w:rsidR="00E76938" w:rsidRPr="00FD173B" w:rsidRDefault="00E76938" w:rsidP="00FD173B">
            <w:pPr>
              <w:spacing w:line="256" w:lineRule="auto"/>
              <w:rPr>
                <w:rFonts w:ascii="Arial Narrow" w:eastAsia="Calibri" w:hAnsi="Arial Narrow"/>
                <w:i/>
                <w:iCs/>
                <w:sz w:val="18"/>
                <w:szCs w:val="18"/>
              </w:rPr>
            </w:pPr>
          </w:p>
        </w:tc>
        <w:tc>
          <w:tcPr>
            <w:tcW w:w="4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B8FC02" w14:textId="4E74ADEC" w:rsidR="00E76938" w:rsidRPr="00FD173B" w:rsidRDefault="00E76938" w:rsidP="00FD173B">
            <w:pPr>
              <w:spacing w:line="256" w:lineRule="auto"/>
              <w:rPr>
                <w:rFonts w:ascii="Arial Narrow" w:eastAsia="Calibri" w:hAnsi="Arial Narrow"/>
                <w:i/>
                <w:iCs/>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A8B350" w14:textId="77777777" w:rsidR="00E76938" w:rsidRPr="00FD173B" w:rsidRDefault="00E76938" w:rsidP="00FD173B">
            <w:pPr>
              <w:spacing w:line="256" w:lineRule="auto"/>
              <w:rPr>
                <w:rFonts w:ascii="Arial Narrow" w:eastAsia="Calibri" w:hAnsi="Arial Narrow"/>
                <w:b/>
                <w:i/>
                <w:iCs/>
                <w:sz w:val="18"/>
                <w:szCs w:val="18"/>
              </w:rPr>
            </w:pPr>
            <w:r w:rsidRPr="00FD173B">
              <w:rPr>
                <w:rFonts w:ascii="Arial Narrow" w:eastAsia="Calibri" w:hAnsi="Arial Narrow"/>
                <w:b/>
                <w:i/>
                <w:iCs/>
                <w:sz w:val="18"/>
                <w:szCs w:val="18"/>
              </w:rPr>
              <w:t xml:space="preserve">Administrative advice: </w:t>
            </w:r>
          </w:p>
          <w:p w14:paraId="34F3F50E" w14:textId="77777777" w:rsidR="00E76938" w:rsidRPr="00FD173B" w:rsidRDefault="00E76938" w:rsidP="00FD173B">
            <w:pPr>
              <w:spacing w:line="256" w:lineRule="auto"/>
              <w:rPr>
                <w:rFonts w:ascii="Arial Narrow" w:eastAsia="Calibri" w:hAnsi="Arial Narrow"/>
                <w:b/>
                <w:i/>
                <w:iCs/>
                <w:sz w:val="18"/>
                <w:szCs w:val="18"/>
              </w:rPr>
            </w:pPr>
            <w:r w:rsidRPr="00FD173B">
              <w:rPr>
                <w:rFonts w:ascii="Arial Narrow" w:eastAsia="Calibri" w:hAnsi="Arial Narrow"/>
                <w:i/>
                <w:iCs/>
                <w:sz w:val="18"/>
                <w:szCs w:val="18"/>
              </w:rPr>
              <w:t>No increase in the maximum number of repeats may be authorised.</w:t>
            </w:r>
          </w:p>
        </w:tc>
      </w:tr>
      <w:tr w:rsidR="00E76938" w14:paraId="68FE5387" w14:textId="77777777" w:rsidTr="00914C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82276" w14:textId="77777777" w:rsidR="00E76938" w:rsidRPr="00FD173B" w:rsidRDefault="00E76938" w:rsidP="00FD173B">
            <w:pPr>
              <w:spacing w:line="256" w:lineRule="auto"/>
              <w:rPr>
                <w:rFonts w:ascii="Arial Narrow" w:eastAsia="Calibri" w:hAnsi="Arial Narrow"/>
                <w:i/>
                <w:iCs/>
                <w:sz w:val="18"/>
                <w:szCs w:val="18"/>
              </w:rPr>
            </w:pPr>
          </w:p>
        </w:tc>
        <w:tc>
          <w:tcPr>
            <w:tcW w:w="4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CED7C5" w14:textId="6D411956" w:rsidR="00E76938" w:rsidRPr="00FD173B" w:rsidRDefault="00E76938" w:rsidP="00FD173B">
            <w:pPr>
              <w:spacing w:line="256" w:lineRule="auto"/>
              <w:rPr>
                <w:rFonts w:ascii="Arial Narrow" w:eastAsia="Calibri" w:hAnsi="Arial Narrow"/>
                <w:i/>
                <w:iCs/>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385E4E" w14:textId="77777777" w:rsidR="00E76938" w:rsidRPr="00FD173B" w:rsidRDefault="00E76938" w:rsidP="00FD173B">
            <w:pPr>
              <w:spacing w:line="256" w:lineRule="auto"/>
              <w:rPr>
                <w:rFonts w:ascii="Arial Narrow" w:eastAsia="Calibri" w:hAnsi="Arial Narrow"/>
                <w:b/>
                <w:i/>
                <w:iCs/>
                <w:sz w:val="18"/>
                <w:szCs w:val="18"/>
              </w:rPr>
            </w:pPr>
            <w:r w:rsidRPr="00FD173B">
              <w:rPr>
                <w:rFonts w:ascii="Arial Narrow" w:eastAsia="Calibri" w:hAnsi="Arial Narrow"/>
                <w:b/>
                <w:i/>
                <w:iCs/>
                <w:sz w:val="18"/>
                <w:szCs w:val="18"/>
              </w:rPr>
              <w:t xml:space="preserve">Administrative Advice: </w:t>
            </w:r>
          </w:p>
          <w:p w14:paraId="5786C9F3" w14:textId="77777777" w:rsidR="00E76938" w:rsidRPr="00FD173B" w:rsidRDefault="00E76938" w:rsidP="00FD173B">
            <w:pPr>
              <w:spacing w:line="256" w:lineRule="auto"/>
              <w:rPr>
                <w:rFonts w:ascii="Arial Narrow" w:eastAsia="Calibri" w:hAnsi="Arial Narrow"/>
                <w:b/>
                <w:i/>
                <w:iCs/>
                <w:sz w:val="18"/>
                <w:szCs w:val="18"/>
              </w:rPr>
            </w:pPr>
            <w:r w:rsidRPr="00FD173B">
              <w:rPr>
                <w:rFonts w:ascii="Arial Narrow" w:eastAsia="Calibri" w:hAnsi="Arial Narrow"/>
                <w:bCs/>
                <w:i/>
                <w:iCs/>
                <w:sz w:val="18"/>
                <w:szCs w:val="18"/>
              </w:rPr>
              <w:t>Special Pricing Arrangements apply.</w:t>
            </w:r>
          </w:p>
        </w:tc>
      </w:tr>
      <w:tr w:rsidR="00E76938" w14:paraId="026DA560"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D76397" w14:textId="77777777"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149A3C" w14:textId="77777777" w:rsidR="00E76938" w:rsidRPr="00FD173B" w:rsidRDefault="00E76938" w:rsidP="00FD173B">
            <w:pPr>
              <w:spacing w:line="256" w:lineRule="auto"/>
              <w:rPr>
                <w:rFonts w:ascii="Arial Narrow" w:hAnsi="Arial Narrow"/>
                <w:b/>
                <w:bCs/>
                <w:color w:val="333333"/>
                <w:sz w:val="18"/>
                <w:szCs w:val="18"/>
              </w:rPr>
            </w:pPr>
          </w:p>
        </w:tc>
      </w:tr>
      <w:tr w:rsidR="00E76938" w14:paraId="40EAF8A6"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6E027B" w14:textId="77777777"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6201C6" w14:textId="77777777" w:rsidR="00E76938" w:rsidRPr="00FD173B" w:rsidRDefault="00E76938" w:rsidP="00FD173B">
            <w:pPr>
              <w:spacing w:line="256" w:lineRule="auto"/>
              <w:rPr>
                <w:rFonts w:ascii="Arial Narrow" w:hAnsi="Arial Narrow"/>
                <w:bCs/>
                <w:color w:val="333333"/>
                <w:sz w:val="18"/>
                <w:szCs w:val="18"/>
              </w:rPr>
            </w:pPr>
            <w:r w:rsidRPr="00FD173B">
              <w:rPr>
                <w:rFonts w:ascii="Arial Narrow" w:hAnsi="Arial Narrow"/>
                <w:b/>
                <w:bCs/>
                <w:color w:val="333333"/>
                <w:sz w:val="18"/>
                <w:szCs w:val="18"/>
              </w:rPr>
              <w:t xml:space="preserve">Episodicity: </w:t>
            </w:r>
            <w:r w:rsidRPr="00FD173B">
              <w:rPr>
                <w:rFonts w:ascii="Arial Narrow" w:hAnsi="Arial Narrow"/>
                <w:color w:val="333333"/>
                <w:sz w:val="18"/>
                <w:szCs w:val="18"/>
              </w:rPr>
              <w:t>Chronic</w:t>
            </w:r>
          </w:p>
        </w:tc>
      </w:tr>
      <w:tr w:rsidR="00E76938" w14:paraId="719E768B"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51CB8E" w14:textId="77777777"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FAB27F" w14:textId="77777777" w:rsidR="00E76938" w:rsidRPr="00FD173B" w:rsidRDefault="00E76938" w:rsidP="00FD173B">
            <w:pPr>
              <w:spacing w:line="256" w:lineRule="auto"/>
              <w:rPr>
                <w:rFonts w:ascii="Arial Narrow" w:hAnsi="Arial Narrow"/>
                <w:b/>
                <w:bCs/>
                <w:color w:val="333333"/>
                <w:sz w:val="18"/>
                <w:szCs w:val="18"/>
              </w:rPr>
            </w:pPr>
            <w:r w:rsidRPr="00FD173B">
              <w:rPr>
                <w:rFonts w:ascii="Arial Narrow" w:hAnsi="Arial Narrow"/>
                <w:b/>
                <w:bCs/>
                <w:color w:val="333333"/>
                <w:sz w:val="18"/>
                <w:szCs w:val="18"/>
              </w:rPr>
              <w:t xml:space="preserve">Severity: </w:t>
            </w:r>
            <w:r w:rsidRPr="00FD173B">
              <w:rPr>
                <w:rFonts w:ascii="Arial Narrow" w:hAnsi="Arial Narrow"/>
                <w:color w:val="333333"/>
                <w:sz w:val="18"/>
                <w:szCs w:val="18"/>
              </w:rPr>
              <w:t>NA</w:t>
            </w:r>
          </w:p>
        </w:tc>
      </w:tr>
      <w:tr w:rsidR="00E76938" w14:paraId="536DAD7E"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36AC7A" w14:textId="77777777"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83B96F" w14:textId="77777777" w:rsidR="00E76938" w:rsidRPr="00FD173B" w:rsidRDefault="00E76938" w:rsidP="00FD173B">
            <w:pPr>
              <w:spacing w:line="256" w:lineRule="auto"/>
              <w:rPr>
                <w:rFonts w:ascii="Arial Narrow" w:hAnsi="Arial Narrow"/>
                <w:b/>
                <w:bCs/>
                <w:color w:val="333333"/>
                <w:sz w:val="18"/>
                <w:szCs w:val="18"/>
              </w:rPr>
            </w:pPr>
            <w:r w:rsidRPr="00FD173B">
              <w:rPr>
                <w:rFonts w:ascii="Arial Narrow" w:hAnsi="Arial Narrow"/>
                <w:b/>
                <w:bCs/>
                <w:color w:val="333333"/>
                <w:sz w:val="18"/>
                <w:szCs w:val="18"/>
              </w:rPr>
              <w:t xml:space="preserve">Condition: </w:t>
            </w:r>
            <w:r w:rsidRPr="00FD173B">
              <w:rPr>
                <w:rFonts w:ascii="Arial Narrow" w:hAnsi="Arial Narrow"/>
                <w:color w:val="333333"/>
                <w:sz w:val="18"/>
                <w:szCs w:val="18"/>
              </w:rPr>
              <w:t>Endogenous</w:t>
            </w:r>
            <w:r w:rsidRPr="00FD173B">
              <w:rPr>
                <w:rFonts w:ascii="Arial Narrow" w:hAnsi="Arial Narrow"/>
                <w:b/>
                <w:bCs/>
                <w:color w:val="333333"/>
                <w:sz w:val="18"/>
                <w:szCs w:val="18"/>
              </w:rPr>
              <w:t xml:space="preserve"> </w:t>
            </w:r>
            <w:r w:rsidRPr="00FD173B">
              <w:rPr>
                <w:rFonts w:ascii="Arial Narrow" w:hAnsi="Arial Narrow"/>
                <w:bCs/>
                <w:color w:val="333333"/>
                <w:sz w:val="18"/>
                <w:szCs w:val="18"/>
              </w:rPr>
              <w:t>Cushing’s Syndrome</w:t>
            </w:r>
          </w:p>
        </w:tc>
      </w:tr>
      <w:tr w:rsidR="00E76938" w14:paraId="44A09EE8"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A59045" w14:textId="7575F9F1"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9C6435"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b/>
                <w:bCs/>
                <w:color w:val="333333"/>
                <w:sz w:val="18"/>
                <w:szCs w:val="18"/>
              </w:rPr>
              <w:t>Indication:</w:t>
            </w:r>
            <w:r w:rsidRPr="00FD173B">
              <w:rPr>
                <w:rFonts w:ascii="Arial Narrow" w:hAnsi="Arial Narrow"/>
                <w:color w:val="333333"/>
                <w:sz w:val="18"/>
                <w:szCs w:val="18"/>
              </w:rPr>
              <w:t xml:space="preserve"> </w:t>
            </w:r>
            <w:r w:rsidRPr="00FD173B">
              <w:rPr>
                <w:rFonts w:ascii="Arial Narrow" w:hAnsi="Arial Narrow"/>
                <w:strike/>
                <w:color w:val="333333"/>
                <w:sz w:val="18"/>
                <w:szCs w:val="18"/>
              </w:rPr>
              <w:t>Patients with</w:t>
            </w:r>
            <w:r w:rsidRPr="00FD173B">
              <w:rPr>
                <w:rFonts w:ascii="Arial Narrow" w:hAnsi="Arial Narrow"/>
                <w:color w:val="333333"/>
                <w:sz w:val="18"/>
                <w:szCs w:val="18"/>
              </w:rPr>
              <w:t xml:space="preserve"> </w:t>
            </w:r>
          </w:p>
          <w:p w14:paraId="05BD277D"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color w:val="333333"/>
                <w:sz w:val="18"/>
                <w:szCs w:val="18"/>
              </w:rPr>
              <w:t>Endogenous Cushing’s syndrome</w:t>
            </w:r>
          </w:p>
        </w:tc>
      </w:tr>
      <w:tr w:rsidR="00E76938" w14:paraId="7C9B929E"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FD0278" w14:textId="77777777" w:rsidR="00E76938" w:rsidRPr="00FD173B" w:rsidRDefault="00E76938" w:rsidP="00FD173B">
            <w:pP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54ADC7"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b/>
                <w:bCs/>
                <w:color w:val="333333"/>
                <w:sz w:val="18"/>
                <w:szCs w:val="18"/>
              </w:rPr>
              <w:t>Treatment Phase:</w:t>
            </w:r>
            <w:r w:rsidRPr="00FD173B">
              <w:rPr>
                <w:rFonts w:ascii="Arial Narrow" w:hAnsi="Arial Narrow"/>
                <w:color w:val="333333"/>
                <w:sz w:val="18"/>
                <w:szCs w:val="18"/>
              </w:rPr>
              <w:t xml:space="preserve"> Transitioning from non-PBS to PBS-subsidised treatment – ‘grandfather’ arrangements  </w:t>
            </w:r>
          </w:p>
        </w:tc>
      </w:tr>
      <w:tr w:rsidR="00E76938" w14:paraId="69ED8994"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54A3BE" w14:textId="4A027C93"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1AA30B"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b/>
                <w:bCs/>
                <w:color w:val="333333"/>
                <w:sz w:val="18"/>
                <w:szCs w:val="18"/>
              </w:rPr>
              <w:t>Clinical criteria:</w:t>
            </w:r>
          </w:p>
        </w:tc>
      </w:tr>
      <w:tr w:rsidR="00E76938" w14:paraId="10FDC350"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C3CF87" w14:textId="5C71EE24"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FD42EF"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color w:val="333333"/>
                <w:sz w:val="18"/>
                <w:szCs w:val="18"/>
              </w:rPr>
              <w:t>Patient must have previously received non-PBS subsidised treatment with this drug for this condition prior to [listing date]</w:t>
            </w:r>
          </w:p>
        </w:tc>
      </w:tr>
      <w:tr w:rsidR="00E76938" w14:paraId="48D06600"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3A8A88" w14:textId="77777777" w:rsidR="00E76938" w:rsidRPr="00FD173B" w:rsidRDefault="00E76938" w:rsidP="00FD173B">
            <w:pP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E185A2" w14:textId="77777777" w:rsidR="00E76938" w:rsidRPr="00FD173B" w:rsidRDefault="00E76938" w:rsidP="00FD173B">
            <w:pPr>
              <w:spacing w:line="256" w:lineRule="auto"/>
              <w:rPr>
                <w:rFonts w:ascii="Arial Narrow" w:hAnsi="Arial Narrow"/>
                <w:b/>
                <w:bCs/>
                <w:color w:val="333333"/>
                <w:sz w:val="18"/>
                <w:szCs w:val="18"/>
              </w:rPr>
            </w:pPr>
            <w:r w:rsidRPr="00FD173B">
              <w:rPr>
                <w:rFonts w:ascii="Arial Narrow" w:hAnsi="Arial Narrow"/>
                <w:b/>
                <w:bCs/>
                <w:color w:val="333333"/>
                <w:sz w:val="18"/>
                <w:szCs w:val="18"/>
              </w:rPr>
              <w:t>AND</w:t>
            </w:r>
          </w:p>
        </w:tc>
      </w:tr>
      <w:tr w:rsidR="00E76938" w14:paraId="1973DC81"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E5F925" w14:textId="19C9B3A5"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93F6E6" w14:textId="77777777" w:rsidR="00E76938" w:rsidRPr="00FD173B" w:rsidRDefault="00E76938" w:rsidP="00FD173B">
            <w:pPr>
              <w:spacing w:line="256" w:lineRule="auto"/>
              <w:rPr>
                <w:rFonts w:ascii="Arial Narrow" w:hAnsi="Arial Narrow"/>
                <w:b/>
                <w:bCs/>
                <w:color w:val="333333"/>
                <w:sz w:val="18"/>
                <w:szCs w:val="18"/>
              </w:rPr>
            </w:pPr>
            <w:r w:rsidRPr="00FD173B">
              <w:rPr>
                <w:rFonts w:ascii="Arial Narrow" w:hAnsi="Arial Narrow"/>
                <w:b/>
                <w:bCs/>
                <w:color w:val="333333"/>
                <w:sz w:val="18"/>
                <w:szCs w:val="18"/>
              </w:rPr>
              <w:t>Clinical criteria:</w:t>
            </w:r>
          </w:p>
        </w:tc>
      </w:tr>
      <w:tr w:rsidR="00E76938" w14:paraId="00FF1F8F"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DEF996" w14:textId="69FD8F3D"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19B639"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strike/>
                <w:color w:val="333333"/>
                <w:sz w:val="18"/>
                <w:szCs w:val="18"/>
              </w:rPr>
              <w:t>Patients must have failed surgery for the removal of the primary tumour.</w:t>
            </w:r>
          </w:p>
          <w:p w14:paraId="32709488"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i/>
                <w:iCs/>
                <w:color w:val="333333"/>
                <w:sz w:val="18"/>
                <w:szCs w:val="18"/>
              </w:rPr>
              <w:t>The condition must have been, at least one of:</w:t>
            </w:r>
          </w:p>
          <w:p w14:paraId="23FEE77F" w14:textId="77777777" w:rsidR="00E76938" w:rsidRPr="00FD173B" w:rsidRDefault="00E76938" w:rsidP="00FD173B">
            <w:pPr>
              <w:spacing w:line="256" w:lineRule="auto"/>
              <w:rPr>
                <w:rFonts w:ascii="Arial Narrow" w:hAnsi="Arial Narrow"/>
                <w:b/>
                <w:bCs/>
                <w:i/>
                <w:iCs/>
                <w:color w:val="333333"/>
                <w:sz w:val="18"/>
                <w:szCs w:val="18"/>
              </w:rPr>
            </w:pPr>
            <w:r w:rsidRPr="00FD173B">
              <w:rPr>
                <w:rFonts w:ascii="Arial Narrow" w:hAnsi="Arial Narrow"/>
                <w:i/>
                <w:iCs/>
                <w:color w:val="333333"/>
                <w:sz w:val="18"/>
                <w:szCs w:val="18"/>
              </w:rPr>
              <w:t xml:space="preserve">(i) persistent hypercortisolism after surgery </w:t>
            </w:r>
            <w:r w:rsidRPr="00FD173B">
              <w:rPr>
                <w:rFonts w:ascii="Arial Narrow" w:hAnsi="Arial Narrow"/>
                <w:b/>
                <w:bCs/>
                <w:i/>
                <w:iCs/>
                <w:color w:val="333333"/>
                <w:sz w:val="18"/>
                <w:szCs w:val="18"/>
              </w:rPr>
              <w:t>OR</w:t>
            </w:r>
          </w:p>
          <w:p w14:paraId="0503AE8F" w14:textId="77777777" w:rsidR="00E76938" w:rsidRPr="00FD173B" w:rsidRDefault="00E76938" w:rsidP="00FD173B">
            <w:pPr>
              <w:spacing w:line="256" w:lineRule="auto"/>
              <w:rPr>
                <w:rFonts w:ascii="Arial Narrow" w:hAnsi="Arial Narrow"/>
                <w:b/>
                <w:bCs/>
                <w:i/>
                <w:iCs/>
                <w:color w:val="333333"/>
                <w:sz w:val="18"/>
                <w:szCs w:val="18"/>
              </w:rPr>
            </w:pPr>
            <w:r w:rsidRPr="00FD173B">
              <w:rPr>
                <w:rFonts w:ascii="Arial Narrow" w:hAnsi="Arial Narrow"/>
                <w:i/>
                <w:iCs/>
                <w:color w:val="333333"/>
                <w:sz w:val="18"/>
                <w:szCs w:val="18"/>
              </w:rPr>
              <w:t xml:space="preserve">(ii) recurrent hypercortisolism after surgery, </w:t>
            </w:r>
            <w:r w:rsidRPr="00FD173B">
              <w:rPr>
                <w:rFonts w:ascii="Arial Narrow" w:hAnsi="Arial Narrow"/>
                <w:b/>
                <w:bCs/>
                <w:i/>
                <w:iCs/>
                <w:color w:val="333333"/>
                <w:sz w:val="18"/>
                <w:szCs w:val="18"/>
              </w:rPr>
              <w:t>OR</w:t>
            </w:r>
          </w:p>
          <w:p w14:paraId="794C58FF" w14:textId="77777777" w:rsidR="00E76938" w:rsidRPr="00FD173B" w:rsidRDefault="00E76938" w:rsidP="00FD173B">
            <w:pPr>
              <w:spacing w:line="256" w:lineRule="auto"/>
              <w:rPr>
                <w:rFonts w:ascii="Arial Narrow" w:hAnsi="Arial Narrow"/>
                <w:b/>
                <w:bCs/>
                <w:color w:val="333333"/>
                <w:sz w:val="18"/>
                <w:szCs w:val="18"/>
              </w:rPr>
            </w:pPr>
            <w:r w:rsidRPr="00FD173B">
              <w:rPr>
                <w:rFonts w:ascii="Arial Narrow" w:hAnsi="Arial Narrow"/>
                <w:color w:val="333333"/>
                <w:sz w:val="18"/>
                <w:szCs w:val="18"/>
              </w:rPr>
              <w:t xml:space="preserve">(iii) </w:t>
            </w:r>
            <w:r w:rsidRPr="00FD173B">
              <w:rPr>
                <w:rFonts w:ascii="Arial Narrow" w:hAnsi="Arial Narrow"/>
                <w:i/>
                <w:iCs/>
                <w:color w:val="333333"/>
                <w:sz w:val="18"/>
                <w:szCs w:val="18"/>
              </w:rPr>
              <w:t>inappropriate for surgery, prior to commencing non-PBS subsidised treatment with this drug</w:t>
            </w:r>
            <w:r w:rsidRPr="00FD173B">
              <w:rPr>
                <w:rFonts w:ascii="Arial Narrow" w:hAnsi="Arial Narrow"/>
                <w:color w:val="333333"/>
                <w:sz w:val="18"/>
                <w:szCs w:val="18"/>
              </w:rPr>
              <w:t xml:space="preserve"> </w:t>
            </w:r>
          </w:p>
        </w:tc>
      </w:tr>
      <w:tr w:rsidR="00E76938" w14:paraId="346CA9CA"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6A5A3C" w14:textId="77777777"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148CDC" w14:textId="77777777" w:rsidR="00E76938" w:rsidRPr="00FD173B" w:rsidRDefault="00E76938" w:rsidP="00FD173B">
            <w:pPr>
              <w:spacing w:line="256" w:lineRule="auto"/>
              <w:rPr>
                <w:rFonts w:ascii="Arial Narrow" w:hAnsi="Arial Narrow"/>
                <w:i/>
                <w:iCs/>
                <w:strike/>
                <w:color w:val="333333"/>
                <w:sz w:val="18"/>
                <w:szCs w:val="18"/>
              </w:rPr>
            </w:pPr>
            <w:r w:rsidRPr="00FD173B">
              <w:rPr>
                <w:rFonts w:ascii="Arial Narrow" w:hAnsi="Arial Narrow"/>
                <w:b/>
                <w:bCs/>
                <w:i/>
                <w:iCs/>
                <w:color w:val="333333"/>
                <w:sz w:val="18"/>
                <w:szCs w:val="18"/>
              </w:rPr>
              <w:t>AND</w:t>
            </w:r>
          </w:p>
        </w:tc>
      </w:tr>
      <w:tr w:rsidR="00E76938" w14:paraId="70F95DA9"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BA8A5E" w14:textId="3F6D103F"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5B05C6" w14:textId="77777777" w:rsidR="00E76938" w:rsidRPr="00FD173B" w:rsidRDefault="00E76938" w:rsidP="00FD173B">
            <w:pPr>
              <w:spacing w:line="256" w:lineRule="auto"/>
              <w:rPr>
                <w:rFonts w:ascii="Arial Narrow" w:hAnsi="Arial Narrow"/>
                <w:i/>
                <w:iCs/>
                <w:strike/>
                <w:color w:val="333333"/>
                <w:sz w:val="18"/>
                <w:szCs w:val="18"/>
              </w:rPr>
            </w:pPr>
            <w:r w:rsidRPr="00FD173B">
              <w:rPr>
                <w:rFonts w:ascii="Arial Narrow" w:hAnsi="Arial Narrow"/>
                <w:b/>
                <w:bCs/>
                <w:i/>
                <w:iCs/>
                <w:color w:val="333333"/>
                <w:sz w:val="18"/>
                <w:szCs w:val="18"/>
              </w:rPr>
              <w:t>Clinical criteria:</w:t>
            </w:r>
          </w:p>
        </w:tc>
      </w:tr>
      <w:tr w:rsidR="00E76938" w14:paraId="46A767D8"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8B0958" w14:textId="561508BE"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F22CA4" w14:textId="2906302E"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i/>
                <w:iCs/>
                <w:color w:val="333333"/>
                <w:sz w:val="18"/>
                <w:szCs w:val="18"/>
              </w:rPr>
              <w:t>Patient</w:t>
            </w:r>
            <w:r w:rsidR="00AB7F84" w:rsidRPr="00FD173B">
              <w:rPr>
                <w:rFonts w:ascii="Arial Narrow" w:hAnsi="Arial Narrow"/>
                <w:i/>
                <w:iCs/>
                <w:strike/>
                <w:color w:val="333333"/>
                <w:sz w:val="18"/>
                <w:szCs w:val="18"/>
              </w:rPr>
              <w:t>s</w:t>
            </w:r>
            <w:r w:rsidRPr="00FD173B">
              <w:rPr>
                <w:rFonts w:ascii="Arial Narrow" w:hAnsi="Arial Narrow"/>
                <w:i/>
                <w:iCs/>
                <w:color w:val="333333"/>
                <w:sz w:val="18"/>
                <w:szCs w:val="18"/>
              </w:rPr>
              <w:t xml:space="preserve"> have had active endogenous Cushing’s Syndrome determined by a mean urinary free cortisol (UFC) level greater than 1.3 times the upper limit of normal (ULN) prior to commencing non-PBS subsidised treatment with this drug.</w:t>
            </w:r>
          </w:p>
        </w:tc>
      </w:tr>
      <w:tr w:rsidR="00E76938" w14:paraId="23BC4E6F"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47A243" w14:textId="77777777"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28A12F"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b/>
                <w:bCs/>
                <w:i/>
                <w:iCs/>
                <w:color w:val="333333"/>
                <w:sz w:val="18"/>
                <w:szCs w:val="18"/>
              </w:rPr>
              <w:t>AND</w:t>
            </w:r>
          </w:p>
        </w:tc>
      </w:tr>
      <w:tr w:rsidR="00E76938" w14:paraId="07B68074"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19C14F" w14:textId="7FFD4247"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19A408"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b/>
                <w:bCs/>
                <w:i/>
                <w:iCs/>
                <w:color w:val="333333"/>
                <w:sz w:val="18"/>
                <w:szCs w:val="18"/>
              </w:rPr>
              <w:t>Clinical criteria:</w:t>
            </w:r>
          </w:p>
        </w:tc>
      </w:tr>
      <w:tr w:rsidR="00E76938" w14:paraId="0E459017"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AA8CB" w14:textId="31E49528"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DA7EF7" w14:textId="77777777" w:rsidR="00E76938" w:rsidRPr="00FD173B" w:rsidRDefault="00E76938" w:rsidP="00FD173B">
            <w:pPr>
              <w:spacing w:line="256" w:lineRule="auto"/>
              <w:rPr>
                <w:rFonts w:ascii="Arial Narrow" w:hAnsi="Arial Narrow"/>
                <w:i/>
                <w:iCs/>
                <w:sz w:val="18"/>
                <w:szCs w:val="18"/>
              </w:rPr>
            </w:pPr>
            <w:r w:rsidRPr="00FD173B">
              <w:rPr>
                <w:rFonts w:ascii="Arial Narrow" w:hAnsi="Arial Narrow"/>
                <w:i/>
                <w:iCs/>
                <w:sz w:val="18"/>
                <w:szCs w:val="18"/>
              </w:rPr>
              <w:t xml:space="preserve">Patient must have demonstrated a complete response after at least </w:t>
            </w:r>
            <w:r w:rsidRPr="00FD173B">
              <w:rPr>
                <w:rFonts w:ascii="Arial Narrow" w:hAnsi="Arial Narrow"/>
                <w:i/>
                <w:iCs/>
                <w:strike/>
                <w:sz w:val="18"/>
                <w:szCs w:val="18"/>
              </w:rPr>
              <w:t xml:space="preserve">6 months </w:t>
            </w:r>
            <w:r w:rsidRPr="00FD173B">
              <w:rPr>
                <w:rFonts w:ascii="Arial Narrow" w:hAnsi="Arial Narrow"/>
                <w:i/>
                <w:iCs/>
                <w:sz w:val="18"/>
                <w:szCs w:val="18"/>
              </w:rPr>
              <w:t>26 weeks of treatment with this drug OR</w:t>
            </w:r>
          </w:p>
        </w:tc>
      </w:tr>
      <w:tr w:rsidR="00E76938" w14:paraId="552808BB"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B58B57" w14:textId="293AE0A5"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AF38EF" w14:textId="77777777" w:rsidR="00E76938" w:rsidRPr="00FD173B" w:rsidRDefault="00E76938" w:rsidP="00FD173B">
            <w:pPr>
              <w:spacing w:line="256" w:lineRule="auto"/>
              <w:rPr>
                <w:rFonts w:ascii="Arial Narrow" w:hAnsi="Arial Narrow"/>
                <w:i/>
                <w:iCs/>
                <w:sz w:val="18"/>
                <w:szCs w:val="18"/>
              </w:rPr>
            </w:pPr>
            <w:r w:rsidRPr="00FD173B">
              <w:rPr>
                <w:rFonts w:ascii="Arial Narrow" w:hAnsi="Arial Narrow"/>
                <w:i/>
                <w:iCs/>
                <w:sz w:val="18"/>
                <w:szCs w:val="18"/>
              </w:rPr>
              <w:t xml:space="preserve">Patient must have demonstrated a partial response after at least </w:t>
            </w:r>
            <w:r w:rsidRPr="00FD173B">
              <w:rPr>
                <w:rFonts w:ascii="Arial Narrow" w:hAnsi="Arial Narrow"/>
                <w:i/>
                <w:iCs/>
                <w:strike/>
                <w:sz w:val="18"/>
                <w:szCs w:val="18"/>
              </w:rPr>
              <w:t>6 months</w:t>
            </w:r>
            <w:r w:rsidRPr="00FD173B">
              <w:rPr>
                <w:rFonts w:ascii="Arial Narrow" w:hAnsi="Arial Narrow"/>
                <w:i/>
                <w:iCs/>
                <w:sz w:val="18"/>
                <w:szCs w:val="18"/>
              </w:rPr>
              <w:t xml:space="preserve"> 26 weeks of treatment with this drug.</w:t>
            </w:r>
          </w:p>
        </w:tc>
      </w:tr>
      <w:tr w:rsidR="00E76938" w14:paraId="774D797E"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E3DAF3" w14:textId="52C8EDDC" w:rsidR="00E76938" w:rsidRPr="00FD173B" w:rsidRDefault="00E76938" w:rsidP="00FD173B">
            <w:pPr>
              <w:spacing w:line="256" w:lineRule="auto"/>
              <w:jc w:val="center"/>
              <w:rPr>
                <w:rFonts w:ascii="Arial Narrow" w:hAnsi="Arial Narrow"/>
                <w:strike/>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53A77E"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b/>
                <w:bCs/>
                <w:strike/>
                <w:color w:val="333333"/>
                <w:sz w:val="18"/>
                <w:szCs w:val="18"/>
              </w:rPr>
              <w:t>OR</w:t>
            </w:r>
          </w:p>
        </w:tc>
      </w:tr>
      <w:tr w:rsidR="00E76938" w14:paraId="3FAA219A"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3AC630" w14:textId="0159FB8D" w:rsidR="00E76938" w:rsidRPr="00FD173B" w:rsidRDefault="00E76938" w:rsidP="00FD173B">
            <w:pPr>
              <w:spacing w:line="256" w:lineRule="auto"/>
              <w:jc w:val="center"/>
              <w:rPr>
                <w:rFonts w:ascii="Arial Narrow" w:hAnsi="Arial Narrow"/>
                <w:strike/>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D22389" w14:textId="77777777" w:rsidR="00E76938" w:rsidRPr="00914C1A" w:rsidRDefault="00E76938" w:rsidP="00FD173B">
            <w:pPr>
              <w:autoSpaceDE w:val="0"/>
              <w:autoSpaceDN w:val="0"/>
              <w:adjustRightInd w:val="0"/>
              <w:spacing w:line="256" w:lineRule="auto"/>
              <w:rPr>
                <w:rFonts w:ascii="Arial Narrow" w:eastAsia="Calibri" w:hAnsi="Arial Narrow" w:cs="Arial Narrow"/>
                <w:i/>
                <w:iCs/>
                <w:strike/>
                <w:sz w:val="18"/>
                <w:szCs w:val="18"/>
              </w:rPr>
            </w:pPr>
            <w:r w:rsidRPr="00FD173B">
              <w:rPr>
                <w:rFonts w:ascii="Arial Narrow" w:hAnsi="Arial Narrow"/>
                <w:strike/>
                <w:color w:val="333333"/>
                <w:sz w:val="18"/>
                <w:szCs w:val="18"/>
              </w:rPr>
              <w:t>Patients must not be considered candidates for surgery</w:t>
            </w:r>
          </w:p>
        </w:tc>
      </w:tr>
      <w:tr w:rsidR="00E76938" w14:paraId="1C132F0E"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D7DAD2" w14:textId="7413EF8A"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F2AE3C" w14:textId="77777777" w:rsidR="00E76938" w:rsidRPr="00FD173B" w:rsidRDefault="00E76938" w:rsidP="00FD173B">
            <w:pPr>
              <w:autoSpaceDE w:val="0"/>
              <w:autoSpaceDN w:val="0"/>
              <w:adjustRightInd w:val="0"/>
              <w:spacing w:line="256" w:lineRule="auto"/>
              <w:rPr>
                <w:rFonts w:ascii="Arial Narrow" w:hAnsi="Arial Narrow"/>
                <w:color w:val="333333"/>
                <w:sz w:val="18"/>
                <w:szCs w:val="18"/>
              </w:rPr>
            </w:pPr>
            <w:r w:rsidRPr="00FD173B">
              <w:rPr>
                <w:rFonts w:ascii="Arial Narrow" w:hAnsi="Arial Narrow"/>
                <w:b/>
                <w:bCs/>
                <w:color w:val="333333"/>
                <w:sz w:val="18"/>
                <w:szCs w:val="18"/>
              </w:rPr>
              <w:t>Treatment criteria:</w:t>
            </w:r>
          </w:p>
        </w:tc>
      </w:tr>
      <w:tr w:rsidR="00E76938" w14:paraId="13C28CA0"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00FE49" w14:textId="3BD97E7D"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27F3F5" w14:textId="77777777" w:rsidR="00E76938" w:rsidRPr="00FD173B" w:rsidRDefault="00E76938" w:rsidP="00FD173B">
            <w:pPr>
              <w:autoSpaceDE w:val="0"/>
              <w:autoSpaceDN w:val="0"/>
              <w:adjustRightInd w:val="0"/>
              <w:spacing w:line="256" w:lineRule="auto"/>
              <w:rPr>
                <w:rFonts w:ascii="Arial Narrow" w:hAnsi="Arial Narrow"/>
                <w:i/>
                <w:iCs/>
                <w:strike/>
                <w:sz w:val="18"/>
                <w:szCs w:val="18"/>
              </w:rPr>
            </w:pPr>
            <w:r w:rsidRPr="00FD173B">
              <w:rPr>
                <w:rFonts w:ascii="Arial Narrow" w:hAnsi="Arial Narrow"/>
                <w:strike/>
                <w:color w:val="333333"/>
                <w:sz w:val="18"/>
                <w:szCs w:val="18"/>
              </w:rPr>
              <w:t xml:space="preserve">Patients must be treated and supervised by a physicians experienced in endocrinology or internal medicine </w:t>
            </w:r>
            <w:r w:rsidRPr="00FD173B">
              <w:rPr>
                <w:rFonts w:ascii="Arial Narrow" w:hAnsi="Arial Narrow"/>
                <w:i/>
                <w:iCs/>
                <w:strike/>
                <w:color w:val="333333"/>
                <w:sz w:val="18"/>
                <w:szCs w:val="18"/>
              </w:rPr>
              <w:t xml:space="preserve">by an </w:t>
            </w:r>
            <w:r w:rsidRPr="00FD173B">
              <w:rPr>
                <w:rFonts w:ascii="Arial Narrow" w:hAnsi="Arial Narrow"/>
                <w:i/>
                <w:iCs/>
                <w:strike/>
                <w:sz w:val="18"/>
                <w:szCs w:val="18"/>
              </w:rPr>
              <w:t xml:space="preserve">endocrinologist or a general medicine physician </w:t>
            </w:r>
          </w:p>
          <w:p w14:paraId="53C6FC1B" w14:textId="77777777" w:rsidR="00E76938" w:rsidRPr="00FD173B" w:rsidRDefault="00E76938" w:rsidP="00FD173B">
            <w:pPr>
              <w:autoSpaceDE w:val="0"/>
              <w:autoSpaceDN w:val="0"/>
              <w:adjustRightInd w:val="0"/>
              <w:spacing w:line="256" w:lineRule="auto"/>
              <w:rPr>
                <w:rFonts w:ascii="Arial Narrow" w:hAnsi="Arial Narrow"/>
                <w:strike/>
                <w:color w:val="333333"/>
                <w:sz w:val="18"/>
                <w:szCs w:val="18"/>
              </w:rPr>
            </w:pPr>
            <w:r w:rsidRPr="00FD173B">
              <w:rPr>
                <w:rFonts w:ascii="Arial Narrow" w:hAnsi="Arial Narrow"/>
                <w:i/>
                <w:iCs/>
                <w:sz w:val="18"/>
                <w:szCs w:val="18"/>
              </w:rPr>
              <w:t xml:space="preserve">Must be treated by an endocrinologist </w:t>
            </w:r>
          </w:p>
        </w:tc>
      </w:tr>
      <w:tr w:rsidR="00E76938" w14:paraId="38E5ECD7"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99906C" w14:textId="77777777"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463EDA" w14:textId="77777777" w:rsidR="00E76938" w:rsidRPr="00FD173B" w:rsidRDefault="00E76938" w:rsidP="00FD173B">
            <w:pPr>
              <w:autoSpaceDE w:val="0"/>
              <w:autoSpaceDN w:val="0"/>
              <w:adjustRightInd w:val="0"/>
              <w:spacing w:line="256" w:lineRule="auto"/>
              <w:rPr>
                <w:rFonts w:ascii="Arial Narrow" w:hAnsi="Arial Narrow"/>
                <w:color w:val="333333"/>
                <w:sz w:val="18"/>
                <w:szCs w:val="18"/>
              </w:rPr>
            </w:pPr>
            <w:r w:rsidRPr="00FD173B">
              <w:rPr>
                <w:rFonts w:ascii="Arial Narrow" w:hAnsi="Arial Narrow"/>
                <w:b/>
                <w:bCs/>
                <w:color w:val="333333"/>
                <w:sz w:val="18"/>
                <w:szCs w:val="18"/>
              </w:rPr>
              <w:t>Population criteria:</w:t>
            </w:r>
          </w:p>
        </w:tc>
      </w:tr>
      <w:tr w:rsidR="00E76938" w14:paraId="0205B15D"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BBBE0F" w14:textId="21D66272"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774102"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color w:val="333333"/>
                <w:sz w:val="18"/>
                <w:szCs w:val="18"/>
              </w:rPr>
              <w:t xml:space="preserve">Patients must be </w:t>
            </w:r>
            <w:r w:rsidRPr="00FD173B">
              <w:rPr>
                <w:rFonts w:ascii="Arial Narrow" w:hAnsi="Arial Narrow"/>
                <w:i/>
                <w:iCs/>
                <w:color w:val="333333"/>
                <w:sz w:val="18"/>
                <w:szCs w:val="18"/>
              </w:rPr>
              <w:t>at least 18 years of age.</w:t>
            </w:r>
            <w:r w:rsidRPr="00FD173B">
              <w:rPr>
                <w:rFonts w:ascii="Arial Narrow" w:hAnsi="Arial Narrow"/>
                <w:color w:val="333333"/>
                <w:sz w:val="18"/>
                <w:szCs w:val="18"/>
              </w:rPr>
              <w:t xml:space="preserve"> </w:t>
            </w:r>
            <w:r w:rsidRPr="00FD173B">
              <w:rPr>
                <w:rFonts w:ascii="Arial Narrow" w:hAnsi="Arial Narrow"/>
                <w:strike/>
                <w:color w:val="333333"/>
                <w:sz w:val="18"/>
                <w:szCs w:val="18"/>
              </w:rPr>
              <w:t>aged 18 years or older</w:t>
            </w:r>
          </w:p>
        </w:tc>
      </w:tr>
      <w:tr w:rsidR="00E76938" w14:paraId="241E58B6"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71E2C6" w14:textId="388B6B82" w:rsidR="00E76938" w:rsidRPr="00FD173B" w:rsidRDefault="00E76938" w:rsidP="00FD173B">
            <w:pPr>
              <w:spacing w:line="256" w:lineRule="auto"/>
              <w:jc w:val="center"/>
              <w:rPr>
                <w:rFonts w:ascii="Arial Narrow" w:hAnsi="Arial Narrow"/>
                <w:i/>
                <w:iCs/>
                <w:strike/>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15A34B" w14:textId="77777777" w:rsidR="00E76938" w:rsidRPr="00FD173B" w:rsidRDefault="00E76938" w:rsidP="00FD173B">
            <w:pPr>
              <w:spacing w:line="256" w:lineRule="auto"/>
              <w:rPr>
                <w:rFonts w:ascii="Arial Narrow" w:hAnsi="Arial Narrow"/>
                <w:i/>
                <w:iCs/>
                <w:strike/>
                <w:color w:val="333333"/>
                <w:sz w:val="18"/>
                <w:szCs w:val="18"/>
              </w:rPr>
            </w:pPr>
            <w:r w:rsidRPr="00FD173B">
              <w:rPr>
                <w:rFonts w:ascii="Arial Narrow" w:hAnsi="Arial Narrow"/>
                <w:b/>
                <w:bCs/>
                <w:i/>
                <w:iCs/>
                <w:strike/>
                <w:color w:val="333333"/>
                <w:sz w:val="18"/>
                <w:szCs w:val="18"/>
              </w:rPr>
              <w:t>Prescribing Instructions:</w:t>
            </w:r>
            <w:r w:rsidRPr="00FD173B">
              <w:rPr>
                <w:rFonts w:ascii="Arial Narrow" w:hAnsi="Arial Narrow"/>
                <w:i/>
                <w:iCs/>
                <w:strike/>
                <w:color w:val="333333"/>
                <w:sz w:val="18"/>
                <w:szCs w:val="18"/>
              </w:rPr>
              <w:t xml:space="preserve"> </w:t>
            </w:r>
          </w:p>
          <w:p w14:paraId="3C264B2A"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Only patients who demonstrate a complete or partial response at 6 months are eligible for continuing treatment.</w:t>
            </w:r>
          </w:p>
        </w:tc>
      </w:tr>
      <w:tr w:rsidR="00E76938" w14:paraId="4F8A3605"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3DF869" w14:textId="57A827A0"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6FBA1F"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b/>
                <w:bCs/>
                <w:color w:val="333333"/>
                <w:sz w:val="18"/>
                <w:szCs w:val="18"/>
              </w:rPr>
              <w:t>Prescribing Instructions:</w:t>
            </w:r>
            <w:r w:rsidRPr="00FD173B">
              <w:rPr>
                <w:rFonts w:ascii="Arial Narrow" w:hAnsi="Arial Narrow"/>
                <w:color w:val="333333"/>
                <w:sz w:val="18"/>
                <w:szCs w:val="18"/>
              </w:rPr>
              <w:t xml:space="preserve"> </w:t>
            </w:r>
          </w:p>
          <w:p w14:paraId="00441946"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i/>
                <w:iCs/>
                <w:color w:val="333333"/>
                <w:sz w:val="18"/>
                <w:szCs w:val="18"/>
              </w:rPr>
              <w:t>For the purposes of administering this restriction</w:t>
            </w:r>
            <w:r w:rsidRPr="00FD173B">
              <w:rPr>
                <w:rFonts w:ascii="Arial Narrow" w:hAnsi="Arial Narrow"/>
                <w:color w:val="333333"/>
                <w:sz w:val="18"/>
                <w:szCs w:val="18"/>
              </w:rPr>
              <w:t xml:space="preserve">, a complete response is defined as a mean urinary free cortisol (UFC) </w:t>
            </w:r>
            <w:r w:rsidRPr="00FD173B">
              <w:rPr>
                <w:rFonts w:ascii="Arial Narrow" w:hAnsi="Arial Narrow"/>
                <w:i/>
                <w:iCs/>
                <w:color w:val="333333"/>
                <w:sz w:val="18"/>
                <w:szCs w:val="18"/>
              </w:rPr>
              <w:t>level o</w:t>
            </w:r>
            <w:r w:rsidRPr="00FD173B">
              <w:rPr>
                <w:rFonts w:ascii="Arial Narrow" w:hAnsi="Arial Narrow"/>
                <w:color w:val="333333"/>
                <w:sz w:val="18"/>
                <w:szCs w:val="18"/>
              </w:rPr>
              <w:t xml:space="preserve">f less than or equal to the upper limit of normal (ULN). A partial response is defined as mean UFC </w:t>
            </w:r>
            <w:r w:rsidRPr="00FD173B">
              <w:rPr>
                <w:rFonts w:ascii="Arial Narrow" w:hAnsi="Arial Narrow"/>
                <w:i/>
                <w:iCs/>
                <w:color w:val="333333"/>
                <w:sz w:val="18"/>
                <w:szCs w:val="18"/>
              </w:rPr>
              <w:t>level of</w:t>
            </w:r>
            <w:r w:rsidRPr="00FD173B">
              <w:rPr>
                <w:rFonts w:ascii="Arial Narrow" w:hAnsi="Arial Narrow"/>
                <w:color w:val="333333"/>
                <w:sz w:val="18"/>
                <w:szCs w:val="18"/>
              </w:rPr>
              <w:t xml:space="preserve"> greater than ULN but </w:t>
            </w:r>
            <w:r w:rsidRPr="00FD173B">
              <w:rPr>
                <w:rFonts w:ascii="Arial Narrow" w:hAnsi="Arial Narrow"/>
                <w:i/>
                <w:iCs/>
                <w:color w:val="333333"/>
                <w:sz w:val="18"/>
                <w:szCs w:val="18"/>
              </w:rPr>
              <w:t>with</w:t>
            </w:r>
            <w:r w:rsidRPr="00FD173B">
              <w:rPr>
                <w:rFonts w:ascii="Arial Narrow" w:hAnsi="Arial Narrow"/>
                <w:color w:val="333333"/>
                <w:sz w:val="18"/>
                <w:szCs w:val="18"/>
              </w:rPr>
              <w:t xml:space="preserve"> </w:t>
            </w:r>
            <w:r w:rsidRPr="00FD173B">
              <w:rPr>
                <w:rFonts w:ascii="Arial Narrow" w:hAnsi="Arial Narrow"/>
                <w:i/>
                <w:iCs/>
                <w:color w:val="333333"/>
                <w:sz w:val="18"/>
                <w:szCs w:val="18"/>
              </w:rPr>
              <w:t>at least</w:t>
            </w:r>
            <w:r w:rsidRPr="00FD173B">
              <w:rPr>
                <w:rFonts w:ascii="Arial Narrow" w:hAnsi="Arial Narrow"/>
                <w:color w:val="333333"/>
                <w:sz w:val="18"/>
                <w:szCs w:val="18"/>
              </w:rPr>
              <w:t xml:space="preserve"> 50% reduction from the baseline value. The mean UFC should be the average of </w:t>
            </w:r>
            <w:r w:rsidRPr="00FD173B">
              <w:rPr>
                <w:rFonts w:ascii="Arial Narrow" w:hAnsi="Arial Narrow"/>
                <w:i/>
                <w:iCs/>
                <w:color w:val="333333"/>
                <w:sz w:val="18"/>
                <w:szCs w:val="18"/>
              </w:rPr>
              <w:t>at least</w:t>
            </w:r>
            <w:r w:rsidRPr="00FD173B">
              <w:rPr>
                <w:rFonts w:ascii="Arial Narrow" w:hAnsi="Arial Narrow"/>
                <w:color w:val="333333"/>
                <w:sz w:val="18"/>
                <w:szCs w:val="18"/>
              </w:rPr>
              <w:t xml:space="preserve"> two urine samples.</w:t>
            </w:r>
          </w:p>
        </w:tc>
      </w:tr>
      <w:tr w:rsidR="00E76938" w14:paraId="5AF4C9E2"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474260" w14:textId="69051750"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CA1599"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b/>
                <w:bCs/>
                <w:color w:val="333333"/>
                <w:sz w:val="18"/>
                <w:szCs w:val="18"/>
              </w:rPr>
              <w:t>Prescribing Instructions:</w:t>
            </w:r>
            <w:r w:rsidRPr="00FD173B">
              <w:rPr>
                <w:rFonts w:ascii="Arial Narrow" w:hAnsi="Arial Narrow"/>
                <w:color w:val="333333"/>
                <w:sz w:val="18"/>
                <w:szCs w:val="18"/>
              </w:rPr>
              <w:t xml:space="preserve"> </w:t>
            </w:r>
          </w:p>
          <w:p w14:paraId="2FAB5551" w14:textId="77777777" w:rsidR="00E76938" w:rsidRPr="00FD173B" w:rsidRDefault="00E76938" w:rsidP="00FD173B">
            <w:pPr>
              <w:spacing w:line="256" w:lineRule="auto"/>
              <w:rPr>
                <w:rFonts w:ascii="Arial Narrow" w:hAnsi="Arial Narrow"/>
                <w:b/>
                <w:bCs/>
                <w:i/>
                <w:iCs/>
                <w:color w:val="333333"/>
                <w:sz w:val="18"/>
                <w:szCs w:val="18"/>
              </w:rPr>
            </w:pPr>
            <w:r w:rsidRPr="00FD173B">
              <w:rPr>
                <w:rFonts w:ascii="Arial Narrow" w:hAnsi="Arial Narrow"/>
                <w:i/>
                <w:iCs/>
                <w:color w:val="333333"/>
                <w:sz w:val="18"/>
                <w:szCs w:val="18"/>
              </w:rPr>
              <w:t>Patient must undergo a dose titration period whereby responses must be assessed every 1-2 weeks until the mean UFC levels are within the normal range.</w:t>
            </w:r>
            <w:r w:rsidRPr="00914C1A">
              <w:rPr>
                <w:rFonts w:ascii="Arial Narrow" w:eastAsia="Calibri" w:hAnsi="Arial Narrow"/>
                <w:i/>
                <w:iCs/>
                <w:sz w:val="18"/>
                <w:szCs w:val="18"/>
              </w:rPr>
              <w:t xml:space="preserve"> </w:t>
            </w:r>
          </w:p>
        </w:tc>
      </w:tr>
      <w:tr w:rsidR="00E76938" w14:paraId="27492BB8"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F1CB8C" w14:textId="035C5160"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1AC202"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b/>
                <w:bCs/>
                <w:color w:val="333333"/>
                <w:sz w:val="18"/>
                <w:szCs w:val="18"/>
              </w:rPr>
              <w:t>Prescribing Instructions:</w:t>
            </w:r>
            <w:r w:rsidRPr="00FD173B">
              <w:rPr>
                <w:rFonts w:ascii="Arial Narrow" w:hAnsi="Arial Narrow"/>
                <w:color w:val="333333"/>
                <w:sz w:val="18"/>
                <w:szCs w:val="18"/>
              </w:rPr>
              <w:t xml:space="preserve"> </w:t>
            </w:r>
          </w:p>
          <w:p w14:paraId="4B917BDA"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i/>
                <w:iCs/>
                <w:color w:val="333333"/>
                <w:sz w:val="18"/>
                <w:szCs w:val="18"/>
              </w:rPr>
              <w:t xml:space="preserve">At the time of authority application, medical practitioners </w:t>
            </w:r>
            <w:proofErr w:type="gramStart"/>
            <w:r w:rsidRPr="00FD173B">
              <w:rPr>
                <w:rFonts w:ascii="Arial Narrow" w:hAnsi="Arial Narrow"/>
                <w:i/>
                <w:iCs/>
                <w:color w:val="333333"/>
                <w:sz w:val="18"/>
                <w:szCs w:val="18"/>
              </w:rPr>
              <w:t xml:space="preserve">must </w:t>
            </w:r>
            <w:r w:rsidRPr="00FD173B">
              <w:rPr>
                <w:rFonts w:ascii="Arial Narrow" w:hAnsi="Arial Narrow"/>
                <w:i/>
                <w:iCs/>
                <w:strike/>
                <w:color w:val="333333"/>
                <w:sz w:val="18"/>
                <w:szCs w:val="18"/>
              </w:rPr>
              <w:t>should</w:t>
            </w:r>
            <w:proofErr w:type="gramEnd"/>
            <w:r w:rsidRPr="00FD173B">
              <w:rPr>
                <w:rFonts w:ascii="Arial Narrow" w:hAnsi="Arial Narrow"/>
                <w:i/>
                <w:iCs/>
                <w:color w:val="333333"/>
                <w:sz w:val="18"/>
                <w:szCs w:val="18"/>
              </w:rPr>
              <w:t xml:space="preserve"> request the appropriate number of packs to provide sufficient drug, based on the prescribed dose of the patient, for 4 weeks of treatment. A separate authority prescription form must be completed for each strength requested. The dose must not exceed 30 mg twice daily. Up to a maximum of 5 repeats will be authorised.</w:t>
            </w:r>
          </w:p>
        </w:tc>
      </w:tr>
      <w:tr w:rsidR="00E76938" w14:paraId="24EA0717"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1EFD4C" w14:textId="07AA8647" w:rsidR="00E76938" w:rsidRPr="00FD173B" w:rsidRDefault="00E76938" w:rsidP="00FD173B">
            <w:pPr>
              <w:spacing w:line="256" w:lineRule="auto"/>
              <w:jc w:val="center"/>
              <w:rPr>
                <w:rFonts w:ascii="Arial Narrow" w:hAnsi="Arial Narrow"/>
                <w:i/>
                <w:iCs/>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E82313"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b/>
                <w:bCs/>
                <w:i/>
                <w:iCs/>
                <w:color w:val="333333"/>
                <w:sz w:val="18"/>
                <w:szCs w:val="18"/>
              </w:rPr>
              <w:t>Prescribing Instructions:</w:t>
            </w:r>
            <w:r w:rsidRPr="00FD173B">
              <w:rPr>
                <w:rFonts w:ascii="Arial Narrow" w:hAnsi="Arial Narrow"/>
                <w:i/>
                <w:iCs/>
                <w:color w:val="333333"/>
                <w:sz w:val="18"/>
                <w:szCs w:val="18"/>
              </w:rPr>
              <w:t xml:space="preserve"> </w:t>
            </w:r>
          </w:p>
          <w:p w14:paraId="2C968145"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i/>
                <w:iCs/>
                <w:color w:val="333333"/>
                <w:sz w:val="18"/>
                <w:szCs w:val="18"/>
              </w:rPr>
              <w:t>Where there is a current, approved PBS prescription with valid repeat prescriptions specified (i.e., where the dose is changing), mark the prescription that is intended for no further supply as 'Cancelled'.</w:t>
            </w:r>
          </w:p>
        </w:tc>
      </w:tr>
      <w:tr w:rsidR="00E76938" w14:paraId="7955CF03"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BAB9" w14:textId="33EE0053"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EE1BFB"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b/>
                <w:bCs/>
                <w:color w:val="333333"/>
                <w:sz w:val="18"/>
                <w:szCs w:val="18"/>
              </w:rPr>
              <w:t>Prescribing Instructions:</w:t>
            </w:r>
            <w:r w:rsidRPr="00FD173B">
              <w:rPr>
                <w:rFonts w:ascii="Arial Narrow" w:hAnsi="Arial Narrow"/>
                <w:color w:val="333333"/>
                <w:sz w:val="18"/>
                <w:szCs w:val="18"/>
              </w:rPr>
              <w:t xml:space="preserve"> </w:t>
            </w:r>
          </w:p>
          <w:p w14:paraId="13B43EAF"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Patients who failed surgery are defined as those with recurrent or persistent hypercortisolism (UFC &gt; 1.3x ULN).</w:t>
            </w:r>
          </w:p>
          <w:p w14:paraId="04D57288" w14:textId="77777777" w:rsidR="00E76938" w:rsidRPr="00FD173B" w:rsidRDefault="00E76938" w:rsidP="00FD173B">
            <w:pPr>
              <w:spacing w:line="256" w:lineRule="auto"/>
              <w:rPr>
                <w:rFonts w:ascii="Arial Narrow" w:hAnsi="Arial Narrow"/>
                <w:color w:val="333333"/>
                <w:sz w:val="18"/>
                <w:szCs w:val="18"/>
              </w:rPr>
            </w:pPr>
          </w:p>
          <w:p w14:paraId="0B976C4E"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 xml:space="preserve">Patients who are not candidates for surgery are defined as: </w:t>
            </w:r>
          </w:p>
          <w:p w14:paraId="4B2295D9"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color w:val="333333"/>
                <w:sz w:val="18"/>
                <w:szCs w:val="18"/>
              </w:rPr>
              <w:t>The condition is inappropriate for surgery if the patient:</w:t>
            </w:r>
          </w:p>
          <w:p w14:paraId="08DB7170" w14:textId="77777777" w:rsidR="00E76938" w:rsidRPr="00FD173B" w:rsidRDefault="00E76938" w:rsidP="00FD173B">
            <w:pPr>
              <w:numPr>
                <w:ilvl w:val="0"/>
                <w:numId w:val="11"/>
              </w:numPr>
              <w:spacing w:line="256" w:lineRule="auto"/>
              <w:contextualSpacing/>
              <w:rPr>
                <w:rFonts w:ascii="Arial Narrow" w:hAnsi="Arial Narrow"/>
                <w:color w:val="333333"/>
                <w:sz w:val="18"/>
                <w:szCs w:val="18"/>
              </w:rPr>
            </w:pPr>
            <w:r w:rsidRPr="00FD173B">
              <w:rPr>
                <w:rFonts w:ascii="Arial Narrow" w:hAnsi="Arial Narrow"/>
                <w:strike/>
                <w:color w:val="333333"/>
                <w:sz w:val="18"/>
                <w:szCs w:val="18"/>
              </w:rPr>
              <w:t>those with</w:t>
            </w:r>
            <w:r w:rsidRPr="00FD173B">
              <w:rPr>
                <w:rFonts w:ascii="Arial Narrow" w:hAnsi="Arial Narrow"/>
                <w:i/>
                <w:iCs/>
                <w:color w:val="333333"/>
                <w:sz w:val="18"/>
                <w:szCs w:val="18"/>
              </w:rPr>
              <w:t xml:space="preserve"> has</w:t>
            </w:r>
            <w:r w:rsidRPr="00FD173B">
              <w:rPr>
                <w:rFonts w:ascii="Arial Narrow" w:hAnsi="Arial Narrow"/>
                <w:color w:val="333333"/>
                <w:sz w:val="18"/>
                <w:szCs w:val="18"/>
              </w:rPr>
              <w:t xml:space="preserve"> a medical contraindication for surgery</w:t>
            </w:r>
          </w:p>
          <w:p w14:paraId="659B93BA" w14:textId="77777777" w:rsidR="00E76938" w:rsidRPr="00FD173B" w:rsidRDefault="00E76938" w:rsidP="00FD173B">
            <w:pPr>
              <w:numPr>
                <w:ilvl w:val="0"/>
                <w:numId w:val="11"/>
              </w:numPr>
              <w:spacing w:line="256" w:lineRule="auto"/>
              <w:contextualSpacing/>
              <w:rPr>
                <w:rFonts w:ascii="Arial Narrow" w:hAnsi="Arial Narrow"/>
                <w:color w:val="333333"/>
                <w:sz w:val="18"/>
                <w:szCs w:val="18"/>
              </w:rPr>
            </w:pPr>
            <w:r w:rsidRPr="00FD173B">
              <w:rPr>
                <w:rFonts w:ascii="Arial Narrow" w:hAnsi="Arial Narrow"/>
                <w:strike/>
                <w:color w:val="333333"/>
                <w:sz w:val="18"/>
                <w:szCs w:val="18"/>
              </w:rPr>
              <w:t>those with</w:t>
            </w:r>
            <w:r w:rsidRPr="00FD173B">
              <w:rPr>
                <w:rFonts w:ascii="Arial Narrow" w:hAnsi="Arial Narrow"/>
                <w:color w:val="333333"/>
                <w:sz w:val="18"/>
                <w:szCs w:val="18"/>
              </w:rPr>
              <w:t xml:space="preserve"> </w:t>
            </w:r>
            <w:r w:rsidRPr="00FD173B">
              <w:rPr>
                <w:rFonts w:ascii="Arial Narrow" w:hAnsi="Arial Narrow"/>
                <w:i/>
                <w:iCs/>
                <w:color w:val="333333"/>
                <w:sz w:val="18"/>
                <w:szCs w:val="18"/>
              </w:rPr>
              <w:t>has</w:t>
            </w:r>
            <w:r w:rsidRPr="00FD173B">
              <w:rPr>
                <w:rFonts w:ascii="Arial Narrow" w:hAnsi="Arial Narrow"/>
                <w:color w:val="333333"/>
                <w:sz w:val="18"/>
                <w:szCs w:val="18"/>
              </w:rPr>
              <w:t xml:space="preserve"> inoperable tumours</w:t>
            </w:r>
          </w:p>
          <w:p w14:paraId="1C7F2FB2" w14:textId="77777777" w:rsidR="00E76938" w:rsidRPr="00FD173B" w:rsidRDefault="00E76938" w:rsidP="00FD173B">
            <w:pPr>
              <w:numPr>
                <w:ilvl w:val="0"/>
                <w:numId w:val="11"/>
              </w:numPr>
              <w:spacing w:line="256" w:lineRule="auto"/>
              <w:contextualSpacing/>
              <w:rPr>
                <w:rFonts w:ascii="Arial Narrow" w:hAnsi="Arial Narrow"/>
                <w:color w:val="333333"/>
                <w:sz w:val="18"/>
                <w:szCs w:val="18"/>
              </w:rPr>
            </w:pPr>
            <w:r w:rsidRPr="00FD173B">
              <w:rPr>
                <w:rFonts w:ascii="Arial Narrow" w:hAnsi="Arial Narrow"/>
                <w:i/>
                <w:iCs/>
                <w:color w:val="333333"/>
                <w:sz w:val="18"/>
                <w:szCs w:val="18"/>
              </w:rPr>
              <w:lastRenderedPageBreak/>
              <w:t xml:space="preserve">has been determined that </w:t>
            </w:r>
            <w:r w:rsidRPr="00FD173B">
              <w:rPr>
                <w:rFonts w:ascii="Arial Narrow" w:hAnsi="Arial Narrow"/>
                <w:color w:val="333333"/>
                <w:sz w:val="18"/>
                <w:szCs w:val="18"/>
              </w:rPr>
              <w:t>surgery is unlikely to reduce hypercortisolism</w:t>
            </w:r>
          </w:p>
          <w:p w14:paraId="5655936F" w14:textId="77777777" w:rsidR="00E76938" w:rsidRPr="00FD173B" w:rsidRDefault="00E76938" w:rsidP="00FD173B">
            <w:pPr>
              <w:numPr>
                <w:ilvl w:val="0"/>
                <w:numId w:val="11"/>
              </w:numPr>
              <w:spacing w:line="256" w:lineRule="auto"/>
              <w:contextualSpacing/>
              <w:rPr>
                <w:rFonts w:ascii="Arial Narrow" w:hAnsi="Arial Narrow"/>
                <w:color w:val="333333"/>
                <w:sz w:val="18"/>
                <w:szCs w:val="18"/>
              </w:rPr>
            </w:pPr>
            <w:r w:rsidRPr="00FD173B">
              <w:rPr>
                <w:rFonts w:ascii="Arial Narrow" w:hAnsi="Arial Narrow"/>
                <w:strike/>
                <w:color w:val="333333"/>
                <w:sz w:val="18"/>
                <w:szCs w:val="18"/>
              </w:rPr>
              <w:t>those who</w:t>
            </w:r>
            <w:r w:rsidRPr="00FD173B">
              <w:rPr>
                <w:rFonts w:ascii="Arial Narrow" w:hAnsi="Arial Narrow"/>
                <w:color w:val="333333"/>
                <w:sz w:val="18"/>
                <w:szCs w:val="18"/>
              </w:rPr>
              <w:t xml:space="preserve"> </w:t>
            </w:r>
            <w:r w:rsidRPr="00FD173B">
              <w:rPr>
                <w:rFonts w:ascii="Arial Narrow" w:hAnsi="Arial Narrow"/>
                <w:i/>
                <w:iCs/>
                <w:color w:val="333333"/>
                <w:sz w:val="18"/>
                <w:szCs w:val="18"/>
              </w:rPr>
              <w:t>refuses surgery</w:t>
            </w:r>
          </w:p>
          <w:p w14:paraId="2C05E603" w14:textId="77777777" w:rsidR="00E76938" w:rsidRPr="00FD173B" w:rsidRDefault="00E76938" w:rsidP="00FD173B">
            <w:pPr>
              <w:numPr>
                <w:ilvl w:val="0"/>
                <w:numId w:val="11"/>
              </w:numPr>
              <w:spacing w:line="256" w:lineRule="auto"/>
              <w:contextualSpacing/>
              <w:rPr>
                <w:rFonts w:ascii="Arial Narrow" w:hAnsi="Arial Narrow"/>
                <w:color w:val="333333"/>
                <w:sz w:val="18"/>
                <w:szCs w:val="18"/>
              </w:rPr>
            </w:pPr>
            <w:r w:rsidRPr="00FD173B">
              <w:rPr>
                <w:rFonts w:ascii="Arial Narrow" w:hAnsi="Arial Narrow"/>
                <w:i/>
                <w:iCs/>
                <w:color w:val="333333"/>
                <w:sz w:val="18"/>
                <w:szCs w:val="18"/>
              </w:rPr>
              <w:t>can’t access surgical treatment</w:t>
            </w:r>
            <w:r w:rsidRPr="00FD173B">
              <w:rPr>
                <w:rFonts w:ascii="Arial Narrow" w:hAnsi="Arial Narrow"/>
                <w:strike/>
                <w:color w:val="333333"/>
                <w:sz w:val="18"/>
                <w:szCs w:val="18"/>
              </w:rPr>
              <w:t xml:space="preserve"> being unavailable to the patient</w:t>
            </w:r>
          </w:p>
        </w:tc>
      </w:tr>
      <w:tr w:rsidR="00E76938" w14:paraId="2FA5532B"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F3A2B1" w14:textId="4C8F4246"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B56332" w14:textId="77777777" w:rsidR="00E76938" w:rsidRPr="00FD173B" w:rsidRDefault="00E76938" w:rsidP="00FD173B">
            <w:pPr>
              <w:spacing w:line="256" w:lineRule="auto"/>
              <w:rPr>
                <w:rFonts w:ascii="Arial Narrow" w:hAnsi="Arial Narrow"/>
                <w:i/>
                <w:iCs/>
                <w:sz w:val="18"/>
                <w:szCs w:val="18"/>
              </w:rPr>
            </w:pPr>
            <w:r w:rsidRPr="00FD173B">
              <w:rPr>
                <w:rFonts w:ascii="Arial Narrow" w:hAnsi="Arial Narrow"/>
                <w:b/>
                <w:bCs/>
                <w:i/>
                <w:iCs/>
                <w:sz w:val="18"/>
                <w:szCs w:val="18"/>
              </w:rPr>
              <w:t>Prescribing Instructions:</w:t>
            </w:r>
            <w:r w:rsidRPr="00FD173B">
              <w:rPr>
                <w:rFonts w:ascii="Arial Narrow" w:hAnsi="Arial Narrow"/>
                <w:i/>
                <w:iCs/>
                <w:sz w:val="18"/>
                <w:szCs w:val="18"/>
              </w:rPr>
              <w:t xml:space="preserve"> </w:t>
            </w:r>
          </w:p>
          <w:p w14:paraId="55AB81F4" w14:textId="77777777" w:rsidR="00E76938" w:rsidRPr="00FD173B" w:rsidRDefault="00E76938" w:rsidP="00FD173B">
            <w:pPr>
              <w:spacing w:line="256" w:lineRule="auto"/>
              <w:rPr>
                <w:rFonts w:ascii="Arial Narrow" w:hAnsi="Arial Narrow"/>
                <w:b/>
                <w:bCs/>
                <w:color w:val="333333"/>
                <w:sz w:val="18"/>
                <w:szCs w:val="18"/>
              </w:rPr>
            </w:pPr>
            <w:r w:rsidRPr="00FD173B">
              <w:rPr>
                <w:rFonts w:ascii="Arial Narrow" w:hAnsi="Arial Narrow"/>
                <w:i/>
                <w:iCs/>
                <w:sz w:val="18"/>
                <w:szCs w:val="18"/>
              </w:rPr>
              <w:t xml:space="preserve">An application for the continuing treatment must be accompanied with the assessment of response conducted </w:t>
            </w:r>
            <w:r w:rsidRPr="00FD173B">
              <w:rPr>
                <w:rFonts w:ascii="Arial Narrow" w:hAnsi="Arial Narrow"/>
                <w:i/>
                <w:iCs/>
                <w:strike/>
                <w:sz w:val="18"/>
                <w:szCs w:val="18"/>
              </w:rPr>
              <w:t>up to</w:t>
            </w:r>
            <w:r w:rsidRPr="00FD173B">
              <w:rPr>
                <w:rFonts w:ascii="Arial Narrow" w:hAnsi="Arial Narrow"/>
                <w:i/>
                <w:iCs/>
                <w:sz w:val="18"/>
                <w:szCs w:val="18"/>
              </w:rPr>
              <w:t xml:space="preserve"> after 26 weeks </w:t>
            </w:r>
            <w:r w:rsidRPr="00FD173B">
              <w:rPr>
                <w:rFonts w:ascii="Arial Narrow" w:hAnsi="Arial Narrow"/>
                <w:i/>
                <w:iCs/>
                <w:strike/>
                <w:sz w:val="18"/>
                <w:szCs w:val="18"/>
              </w:rPr>
              <w:t xml:space="preserve">after </w:t>
            </w:r>
            <w:r w:rsidRPr="00FD173B">
              <w:rPr>
                <w:rFonts w:ascii="Arial Narrow" w:hAnsi="Arial Narrow"/>
                <w:i/>
                <w:iCs/>
                <w:sz w:val="18"/>
                <w:szCs w:val="18"/>
              </w:rPr>
              <w:t xml:space="preserve">from the first dose of osilodrostat and no later than 4 weeks from the date of completion of treatment. This will enable ongoing treatment for patients </w:t>
            </w:r>
            <w:r w:rsidRPr="00FD173B">
              <w:rPr>
                <w:rFonts w:ascii="Arial Narrow" w:hAnsi="Arial Narrow"/>
                <w:i/>
                <w:iCs/>
                <w:color w:val="333333"/>
                <w:sz w:val="18"/>
                <w:szCs w:val="18"/>
              </w:rPr>
              <w:t>who meet the continuing restriction for PBS-subsidised treatment.</w:t>
            </w:r>
          </w:p>
        </w:tc>
      </w:tr>
      <w:tr w:rsidR="00E76938" w14:paraId="44EC448D"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74772D" w14:textId="2EEE5444"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0D0265"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b/>
                <w:bCs/>
                <w:color w:val="333333"/>
                <w:sz w:val="18"/>
                <w:szCs w:val="18"/>
              </w:rPr>
              <w:t>Prescribing Instructions:</w:t>
            </w:r>
            <w:r w:rsidRPr="00FD173B">
              <w:rPr>
                <w:rFonts w:ascii="Arial Narrow" w:hAnsi="Arial Narrow"/>
                <w:color w:val="333333"/>
                <w:sz w:val="18"/>
                <w:szCs w:val="18"/>
              </w:rPr>
              <w:t xml:space="preserve"> </w:t>
            </w:r>
          </w:p>
          <w:p w14:paraId="152198B6" w14:textId="77777777" w:rsidR="00E76938" w:rsidRPr="00FD173B" w:rsidRDefault="00E76938" w:rsidP="00FD173B">
            <w:pPr>
              <w:spacing w:line="256" w:lineRule="auto"/>
              <w:rPr>
                <w:rFonts w:ascii="Arial Narrow" w:hAnsi="Arial Narrow"/>
                <w:b/>
                <w:bCs/>
                <w:color w:val="333333"/>
                <w:sz w:val="18"/>
                <w:szCs w:val="18"/>
              </w:rPr>
            </w:pPr>
            <w:r w:rsidRPr="00FD173B">
              <w:rPr>
                <w:rFonts w:ascii="Arial Narrow" w:eastAsia="Calibri" w:hAnsi="Arial Narrow"/>
                <w:bCs/>
                <w:i/>
                <w:iCs/>
                <w:sz w:val="18"/>
                <w:szCs w:val="18"/>
              </w:rPr>
              <w:t>A Grandfathered patient may qualify for PBS-subsidised treatment under this restriction once only. For continuing PBS-subsidised treatment, a Grandfathered patient must qualify under the continuing treatment criteria.</w:t>
            </w:r>
          </w:p>
        </w:tc>
      </w:tr>
      <w:tr w:rsidR="00E76938" w14:paraId="3911CC26"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0EA52C" w14:textId="08239092"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E35B8E" w14:textId="77777777" w:rsidR="00E76938" w:rsidRPr="00FD173B" w:rsidRDefault="00E76938" w:rsidP="00FD173B">
            <w:pPr>
              <w:spacing w:line="256" w:lineRule="auto"/>
              <w:rPr>
                <w:rFonts w:ascii="Arial Narrow" w:eastAsia="Calibri" w:hAnsi="Arial Narrow"/>
                <w:bCs/>
                <w:i/>
                <w:iCs/>
                <w:sz w:val="18"/>
                <w:szCs w:val="18"/>
              </w:rPr>
            </w:pPr>
            <w:r w:rsidRPr="00FD173B">
              <w:rPr>
                <w:rFonts w:ascii="Arial Narrow" w:eastAsia="Calibri" w:hAnsi="Arial Narrow"/>
                <w:b/>
                <w:i/>
                <w:iCs/>
                <w:sz w:val="18"/>
                <w:szCs w:val="18"/>
              </w:rPr>
              <w:t>Administrative Advice:</w:t>
            </w:r>
            <w:r w:rsidRPr="00FD173B">
              <w:rPr>
                <w:rFonts w:ascii="Arial Narrow" w:eastAsia="Calibri" w:hAnsi="Arial Narrow"/>
                <w:bCs/>
                <w:i/>
                <w:iCs/>
                <w:sz w:val="18"/>
                <w:szCs w:val="18"/>
              </w:rPr>
              <w:t xml:space="preserve"> </w:t>
            </w:r>
          </w:p>
          <w:p w14:paraId="783C36DE" w14:textId="77777777" w:rsidR="00E76938" w:rsidRPr="00FD173B" w:rsidRDefault="00E76938" w:rsidP="00FD173B">
            <w:pPr>
              <w:spacing w:line="256" w:lineRule="auto"/>
              <w:rPr>
                <w:rFonts w:ascii="Arial Narrow" w:hAnsi="Arial Narrow"/>
                <w:b/>
                <w:bCs/>
                <w:i/>
                <w:iCs/>
                <w:color w:val="333333"/>
                <w:sz w:val="18"/>
                <w:szCs w:val="18"/>
              </w:rPr>
            </w:pPr>
            <w:r w:rsidRPr="00FD173B">
              <w:rPr>
                <w:rFonts w:ascii="Arial Narrow" w:eastAsia="Calibri" w:hAnsi="Arial Narrow"/>
                <w:bCs/>
                <w:i/>
                <w:iCs/>
                <w:sz w:val="18"/>
                <w:szCs w:val="18"/>
              </w:rPr>
              <w:t>This Grandfather restriction will cease to operate from 12 months after the date specified in the clinical criteria</w:t>
            </w:r>
          </w:p>
        </w:tc>
      </w:tr>
      <w:tr w:rsidR="00E76938" w14:paraId="4A1B0F9C"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D19E0D" w14:textId="576DD8AD"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A9472A" w14:textId="77777777" w:rsidR="00E76938" w:rsidRPr="00FD173B" w:rsidRDefault="00E76938" w:rsidP="00FD173B">
            <w:pPr>
              <w:spacing w:line="256" w:lineRule="auto"/>
              <w:rPr>
                <w:rFonts w:ascii="Arial Narrow" w:hAnsi="Arial Narrow"/>
                <w:i/>
                <w:iCs/>
                <w:color w:val="333333"/>
                <w:sz w:val="18"/>
                <w:szCs w:val="18"/>
              </w:rPr>
            </w:pPr>
            <w:r w:rsidRPr="00FD173B">
              <w:rPr>
                <w:rFonts w:ascii="Arial Narrow" w:hAnsi="Arial Narrow"/>
                <w:b/>
                <w:bCs/>
                <w:i/>
                <w:iCs/>
                <w:color w:val="333333"/>
                <w:sz w:val="18"/>
                <w:szCs w:val="18"/>
              </w:rPr>
              <w:t>Administrative advice:</w:t>
            </w:r>
            <w:r w:rsidRPr="00FD173B">
              <w:rPr>
                <w:rFonts w:ascii="Arial Narrow" w:hAnsi="Arial Narrow"/>
                <w:i/>
                <w:iCs/>
                <w:color w:val="333333"/>
                <w:sz w:val="18"/>
                <w:szCs w:val="18"/>
              </w:rPr>
              <w:t xml:space="preserve"> </w:t>
            </w:r>
          </w:p>
          <w:p w14:paraId="371C0C92" w14:textId="77777777" w:rsidR="00E76938" w:rsidRPr="00FD173B" w:rsidRDefault="00E76938" w:rsidP="00FD173B">
            <w:pPr>
              <w:spacing w:line="256" w:lineRule="auto"/>
              <w:rPr>
                <w:rFonts w:ascii="Arial Narrow" w:hAnsi="Arial Narrow"/>
                <w:b/>
                <w:bCs/>
                <w:color w:val="333333"/>
                <w:sz w:val="18"/>
                <w:szCs w:val="18"/>
              </w:rPr>
            </w:pPr>
            <w:r w:rsidRPr="00FD173B">
              <w:rPr>
                <w:rFonts w:ascii="Arial Narrow" w:hAnsi="Arial Narrow"/>
                <w:i/>
                <w:iCs/>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E76938" w14:paraId="5C67ED9D"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32B3F5" w14:textId="2C1E420F" w:rsidR="00E76938" w:rsidRPr="00FD173B" w:rsidRDefault="00E76938" w:rsidP="00FD173B">
            <w:pPr>
              <w:spacing w:line="256" w:lineRule="auto"/>
              <w:jc w:val="center"/>
              <w:rPr>
                <w:rFonts w:ascii="Arial Narrow" w:hAnsi="Arial Narrow"/>
                <w:strike/>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2E8124"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b/>
                <w:bCs/>
                <w:strike/>
                <w:color w:val="333333"/>
                <w:sz w:val="18"/>
                <w:szCs w:val="18"/>
              </w:rPr>
              <w:t>Prescribing Instructions:</w:t>
            </w:r>
            <w:r w:rsidRPr="00FD173B">
              <w:rPr>
                <w:rFonts w:ascii="Arial Narrow" w:hAnsi="Arial Narrow"/>
                <w:strike/>
                <w:color w:val="333333"/>
                <w:sz w:val="18"/>
                <w:szCs w:val="18"/>
              </w:rPr>
              <w:t xml:space="preserve"> </w:t>
            </w:r>
          </w:p>
          <w:p w14:paraId="1A1D1254"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 xml:space="preserve"> Only patients who demonstrate a complete or partial response at 6 months are eligible for continuing treatment. </w:t>
            </w:r>
          </w:p>
          <w:p w14:paraId="6854E898" w14:textId="77777777" w:rsidR="00E76938" w:rsidRPr="00FD173B" w:rsidRDefault="00E76938" w:rsidP="00FD173B">
            <w:pPr>
              <w:spacing w:line="256" w:lineRule="auto"/>
              <w:rPr>
                <w:rFonts w:ascii="Arial Narrow" w:hAnsi="Arial Narrow"/>
                <w:strike/>
                <w:color w:val="333333"/>
                <w:sz w:val="18"/>
                <w:szCs w:val="18"/>
              </w:rPr>
            </w:pPr>
          </w:p>
          <w:p w14:paraId="1C6C0562"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 xml:space="preserve">At the time of authority application, medical practitioners should request the appropriate number of packs to provide sufficient drug, based on the prescribed dose of the patient, for one month of treatment. The dose must not exceed 30 mg twice daily. Up to a maximum of 5 repeats will be authorised. Patients must not exceed more than 6 months of treatment under this restriction. </w:t>
            </w:r>
          </w:p>
          <w:p w14:paraId="7717453C" w14:textId="77777777" w:rsidR="00E76938" w:rsidRPr="00FD173B" w:rsidRDefault="00E76938" w:rsidP="00FD173B">
            <w:pPr>
              <w:spacing w:line="256" w:lineRule="auto"/>
              <w:rPr>
                <w:rFonts w:ascii="Arial Narrow" w:hAnsi="Arial Narrow"/>
                <w:strike/>
                <w:color w:val="333333"/>
                <w:sz w:val="18"/>
                <w:szCs w:val="18"/>
              </w:rPr>
            </w:pPr>
          </w:p>
          <w:p w14:paraId="52C7F752" w14:textId="77777777" w:rsidR="00E76938" w:rsidRPr="00FD173B" w:rsidRDefault="00E76938" w:rsidP="00FD173B">
            <w:pPr>
              <w:spacing w:line="256" w:lineRule="auto"/>
              <w:rPr>
                <w:rFonts w:ascii="Arial Narrow" w:hAnsi="Arial Narrow"/>
                <w:color w:val="333333"/>
                <w:sz w:val="18"/>
                <w:szCs w:val="18"/>
              </w:rPr>
            </w:pPr>
            <w:r w:rsidRPr="00FD173B">
              <w:rPr>
                <w:rFonts w:ascii="Arial Narrow" w:hAnsi="Arial Narrow"/>
                <w:strike/>
                <w:color w:val="333333"/>
                <w:sz w:val="18"/>
                <w:szCs w:val="18"/>
              </w:rPr>
              <w:t>Treatment should be discontinued, or the dose reduced, if mean UFC levels fall below the lower limit of normal (LLN) or there are signs of adrenal insufficiency.</w:t>
            </w:r>
          </w:p>
        </w:tc>
      </w:tr>
      <w:tr w:rsidR="00E76938" w14:paraId="2BEFD15A"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E0F06A" w14:textId="77777777" w:rsidR="00E76938" w:rsidRPr="00FD173B" w:rsidRDefault="00E76938" w:rsidP="00FD173B">
            <w:pPr>
              <w:spacing w:line="256" w:lineRule="auto"/>
              <w:jc w:val="center"/>
              <w:rPr>
                <w:rFonts w:ascii="Arial Narrow" w:hAnsi="Arial Narrow"/>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74054C" w14:textId="77777777" w:rsidR="00E76938" w:rsidRPr="00FD173B" w:rsidRDefault="00E76938" w:rsidP="00FD173B">
            <w:pPr>
              <w:spacing w:line="256" w:lineRule="auto"/>
              <w:rPr>
                <w:rFonts w:ascii="Arial Narrow" w:hAnsi="Arial Narrow"/>
                <w:b/>
                <w:bCs/>
                <w:strike/>
                <w:color w:val="333333"/>
                <w:sz w:val="18"/>
                <w:szCs w:val="18"/>
              </w:rPr>
            </w:pPr>
            <w:r w:rsidRPr="00FD173B">
              <w:rPr>
                <w:rFonts w:ascii="Arial Narrow" w:hAnsi="Arial Narrow"/>
                <w:b/>
                <w:bCs/>
                <w:strike/>
                <w:color w:val="333333"/>
                <w:sz w:val="18"/>
                <w:szCs w:val="18"/>
              </w:rPr>
              <w:t>Notes:</w:t>
            </w:r>
          </w:p>
          <w:p w14:paraId="45FC18F0"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Patients who failed surgery are defined as those with recurrent or persistent hypercortisolism (UFC &gt; 1.3x ULN).</w:t>
            </w:r>
          </w:p>
          <w:p w14:paraId="73559157" w14:textId="77777777" w:rsidR="00E76938" w:rsidRPr="00FD173B" w:rsidRDefault="00E76938" w:rsidP="00FD173B">
            <w:pPr>
              <w:spacing w:line="256" w:lineRule="auto"/>
              <w:rPr>
                <w:rFonts w:ascii="Arial Narrow" w:hAnsi="Arial Narrow"/>
                <w:strike/>
                <w:color w:val="333333"/>
                <w:sz w:val="18"/>
                <w:szCs w:val="18"/>
              </w:rPr>
            </w:pPr>
          </w:p>
          <w:p w14:paraId="34B5B4DC"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Patients who are not candidates for surgery are defined as:</w:t>
            </w:r>
          </w:p>
          <w:p w14:paraId="39E8384F" w14:textId="77777777" w:rsidR="00E76938" w:rsidRPr="00FD173B" w:rsidRDefault="00E76938" w:rsidP="00FD173B">
            <w:pPr>
              <w:numPr>
                <w:ilvl w:val="0"/>
                <w:numId w:val="11"/>
              </w:numPr>
              <w:spacing w:line="256" w:lineRule="auto"/>
              <w:contextualSpacing/>
              <w:rPr>
                <w:rFonts w:ascii="Arial Narrow" w:hAnsi="Arial Narrow"/>
                <w:strike/>
                <w:color w:val="333333"/>
                <w:sz w:val="18"/>
                <w:szCs w:val="18"/>
              </w:rPr>
            </w:pPr>
            <w:r w:rsidRPr="00FD173B">
              <w:rPr>
                <w:rFonts w:ascii="Arial Narrow" w:hAnsi="Arial Narrow"/>
                <w:strike/>
                <w:color w:val="333333"/>
                <w:sz w:val="18"/>
                <w:szCs w:val="18"/>
              </w:rPr>
              <w:t>those with a medical contraindication for surgery</w:t>
            </w:r>
          </w:p>
          <w:p w14:paraId="1CC5071E" w14:textId="77777777" w:rsidR="00E76938" w:rsidRPr="00FD173B" w:rsidRDefault="00E76938" w:rsidP="00FD173B">
            <w:pPr>
              <w:numPr>
                <w:ilvl w:val="0"/>
                <w:numId w:val="11"/>
              </w:numPr>
              <w:spacing w:line="256" w:lineRule="auto"/>
              <w:contextualSpacing/>
              <w:rPr>
                <w:rFonts w:ascii="Arial Narrow" w:hAnsi="Arial Narrow"/>
                <w:strike/>
                <w:color w:val="333333"/>
                <w:sz w:val="18"/>
                <w:szCs w:val="18"/>
              </w:rPr>
            </w:pPr>
            <w:r w:rsidRPr="00FD173B">
              <w:rPr>
                <w:rFonts w:ascii="Arial Narrow" w:hAnsi="Arial Narrow"/>
                <w:strike/>
                <w:color w:val="333333"/>
                <w:sz w:val="18"/>
                <w:szCs w:val="18"/>
              </w:rPr>
              <w:t>those with inoperable tumours</w:t>
            </w:r>
          </w:p>
          <w:p w14:paraId="4DAECA43" w14:textId="77777777" w:rsidR="00E76938" w:rsidRPr="00FD173B" w:rsidRDefault="00E76938" w:rsidP="00FD173B">
            <w:pPr>
              <w:numPr>
                <w:ilvl w:val="0"/>
                <w:numId w:val="11"/>
              </w:numPr>
              <w:spacing w:line="256" w:lineRule="auto"/>
              <w:contextualSpacing/>
              <w:rPr>
                <w:rFonts w:ascii="Arial Narrow" w:hAnsi="Arial Narrow"/>
                <w:strike/>
                <w:color w:val="333333"/>
                <w:sz w:val="18"/>
                <w:szCs w:val="18"/>
              </w:rPr>
            </w:pPr>
            <w:r w:rsidRPr="00FD173B">
              <w:rPr>
                <w:rFonts w:ascii="Arial Narrow" w:hAnsi="Arial Narrow"/>
                <w:strike/>
                <w:color w:val="333333"/>
                <w:sz w:val="18"/>
                <w:szCs w:val="18"/>
              </w:rPr>
              <w:t>surgery unlikely to reduce hypercortisolism</w:t>
            </w:r>
          </w:p>
          <w:p w14:paraId="4592474E" w14:textId="77777777" w:rsidR="00E76938" w:rsidRPr="00FD173B" w:rsidRDefault="00E76938" w:rsidP="00FD173B">
            <w:pPr>
              <w:numPr>
                <w:ilvl w:val="0"/>
                <w:numId w:val="11"/>
              </w:numPr>
              <w:spacing w:line="256" w:lineRule="auto"/>
              <w:contextualSpacing/>
              <w:rPr>
                <w:rFonts w:ascii="Arial Narrow" w:hAnsi="Arial Narrow"/>
                <w:strike/>
                <w:color w:val="333333"/>
                <w:sz w:val="18"/>
                <w:szCs w:val="18"/>
              </w:rPr>
            </w:pPr>
            <w:r w:rsidRPr="00FD173B">
              <w:rPr>
                <w:rFonts w:ascii="Arial Narrow" w:hAnsi="Arial Narrow"/>
                <w:strike/>
                <w:color w:val="333333"/>
                <w:sz w:val="18"/>
                <w:szCs w:val="18"/>
              </w:rPr>
              <w:t>those who refuse surgery</w:t>
            </w:r>
          </w:p>
          <w:p w14:paraId="17C64272" w14:textId="77777777" w:rsidR="00E76938" w:rsidRPr="00FD173B" w:rsidRDefault="00E76938" w:rsidP="00FD173B">
            <w:pPr>
              <w:numPr>
                <w:ilvl w:val="0"/>
                <w:numId w:val="11"/>
              </w:numPr>
              <w:spacing w:line="256" w:lineRule="auto"/>
              <w:contextualSpacing/>
              <w:rPr>
                <w:rFonts w:ascii="Arial Narrow" w:hAnsi="Arial Narrow"/>
                <w:color w:val="333333"/>
                <w:sz w:val="18"/>
                <w:szCs w:val="18"/>
              </w:rPr>
            </w:pPr>
            <w:r w:rsidRPr="00FD173B">
              <w:rPr>
                <w:rFonts w:ascii="Arial Narrow" w:hAnsi="Arial Narrow"/>
                <w:strike/>
                <w:color w:val="333333"/>
                <w:sz w:val="18"/>
                <w:szCs w:val="18"/>
              </w:rPr>
              <w:t>surgical treatment being unavailable to the patient</w:t>
            </w:r>
          </w:p>
        </w:tc>
      </w:tr>
      <w:tr w:rsidR="00E76938" w14:paraId="1791F4E0" w14:textId="77777777" w:rsidTr="00914C1A">
        <w:trPr>
          <w:trHeight w:val="20"/>
        </w:trPr>
        <w:tc>
          <w:tcPr>
            <w:tcW w:w="691"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3F3D8B" w14:textId="658C5224" w:rsidR="00E76938" w:rsidRPr="00FD173B" w:rsidRDefault="00E76938" w:rsidP="00FD173B">
            <w:pPr>
              <w:spacing w:line="256" w:lineRule="auto"/>
              <w:jc w:val="center"/>
              <w:rPr>
                <w:rFonts w:ascii="Arial Narrow" w:hAnsi="Arial Narrow"/>
                <w:strike/>
                <w:color w:val="333333"/>
                <w:sz w:val="18"/>
                <w:szCs w:val="18"/>
              </w:rPr>
            </w:pPr>
          </w:p>
        </w:tc>
        <w:tc>
          <w:tcPr>
            <w:tcW w:w="4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28BAC9"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b/>
                <w:bCs/>
                <w:strike/>
                <w:color w:val="333333"/>
                <w:sz w:val="18"/>
                <w:szCs w:val="18"/>
              </w:rPr>
              <w:t>Caution:</w:t>
            </w:r>
            <w:r w:rsidRPr="00FD173B">
              <w:rPr>
                <w:rFonts w:ascii="Arial Narrow" w:hAnsi="Arial Narrow"/>
                <w:strike/>
                <w:color w:val="333333"/>
                <w:sz w:val="18"/>
                <w:szCs w:val="18"/>
              </w:rPr>
              <w:t xml:space="preserve"> </w:t>
            </w:r>
          </w:p>
          <w:p w14:paraId="5092A130"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The following should be assessed prior to receiving treatment and closely monitored throughout the treatment period:</w:t>
            </w:r>
          </w:p>
          <w:p w14:paraId="243E850E" w14:textId="77777777" w:rsidR="00E76938" w:rsidRPr="00FD173B" w:rsidRDefault="00E76938" w:rsidP="00FD173B">
            <w:pPr>
              <w:numPr>
                <w:ilvl w:val="0"/>
                <w:numId w:val="10"/>
              </w:numPr>
              <w:spacing w:line="256" w:lineRule="auto"/>
              <w:contextualSpacing/>
              <w:rPr>
                <w:rFonts w:ascii="Arial Narrow" w:hAnsi="Arial Narrow"/>
                <w:strike/>
                <w:color w:val="333333"/>
                <w:sz w:val="18"/>
                <w:szCs w:val="18"/>
              </w:rPr>
            </w:pPr>
            <w:r w:rsidRPr="00FD173B">
              <w:rPr>
                <w:rFonts w:ascii="Arial Narrow" w:hAnsi="Arial Narrow"/>
                <w:strike/>
                <w:color w:val="333333"/>
                <w:sz w:val="18"/>
                <w:szCs w:val="18"/>
              </w:rPr>
              <w:t>QTc prolongation via an electrocardiogram</w:t>
            </w:r>
          </w:p>
          <w:p w14:paraId="0D834307" w14:textId="77777777" w:rsidR="00E76938" w:rsidRPr="00FD173B" w:rsidRDefault="00E76938" w:rsidP="00FD173B">
            <w:pPr>
              <w:numPr>
                <w:ilvl w:val="0"/>
                <w:numId w:val="10"/>
              </w:numPr>
              <w:spacing w:line="256" w:lineRule="auto"/>
              <w:contextualSpacing/>
              <w:rPr>
                <w:rFonts w:ascii="Arial Narrow" w:hAnsi="Arial Narrow"/>
                <w:strike/>
                <w:color w:val="333333"/>
                <w:sz w:val="18"/>
                <w:szCs w:val="18"/>
              </w:rPr>
            </w:pPr>
            <w:r w:rsidRPr="00FD173B">
              <w:rPr>
                <w:rFonts w:ascii="Arial Narrow" w:hAnsi="Arial Narrow"/>
                <w:strike/>
                <w:color w:val="333333"/>
                <w:sz w:val="18"/>
                <w:szCs w:val="18"/>
              </w:rPr>
              <w:t>Hypocortisolism</w:t>
            </w:r>
          </w:p>
          <w:p w14:paraId="7FAF2E51" w14:textId="77777777" w:rsidR="00E76938" w:rsidRPr="00FD173B" w:rsidRDefault="00E76938" w:rsidP="00FD173B">
            <w:pPr>
              <w:spacing w:line="256" w:lineRule="auto"/>
              <w:rPr>
                <w:rFonts w:ascii="Arial Narrow" w:hAnsi="Arial Narrow"/>
                <w:strike/>
                <w:color w:val="333333"/>
                <w:sz w:val="18"/>
                <w:szCs w:val="18"/>
              </w:rPr>
            </w:pPr>
          </w:p>
          <w:p w14:paraId="7E90E444" w14:textId="77777777" w:rsidR="00E76938" w:rsidRPr="00FD173B" w:rsidRDefault="00E76938" w:rsidP="00FD173B">
            <w:pPr>
              <w:spacing w:line="256" w:lineRule="auto"/>
              <w:rPr>
                <w:rFonts w:ascii="Arial Narrow" w:hAnsi="Arial Narrow"/>
                <w:strike/>
                <w:color w:val="333333"/>
                <w:sz w:val="18"/>
                <w:szCs w:val="18"/>
              </w:rPr>
            </w:pPr>
            <w:r w:rsidRPr="00FD173B">
              <w:rPr>
                <w:rFonts w:ascii="Arial Narrow" w:hAnsi="Arial Narrow"/>
                <w:strike/>
                <w:color w:val="333333"/>
                <w:sz w:val="18"/>
                <w:szCs w:val="18"/>
              </w:rPr>
              <w:t>Inhibition of cortisol synthesis by osilodrostat has led to hypocortisolism-related events such as cortisol withdrawal syndrome (symptomatic decrease of cortisol levels, but still above the lower limit of the normal range) and adrenal insufficiency (cortisol levels below the normal range).</w:t>
            </w:r>
            <w:r w:rsidRPr="00914C1A">
              <w:rPr>
                <w:rFonts w:ascii="Arial Narrow" w:eastAsia="Calibri" w:hAnsi="Arial Narrow"/>
                <w:strike/>
                <w:sz w:val="18"/>
                <w:szCs w:val="18"/>
              </w:rPr>
              <w:t xml:space="preserve"> </w:t>
            </w:r>
            <w:r w:rsidRPr="00FD173B">
              <w:rPr>
                <w:rFonts w:ascii="Arial Narrow" w:hAnsi="Arial Narrow"/>
                <w:strike/>
                <w:color w:val="333333"/>
                <w:sz w:val="18"/>
                <w:szCs w:val="18"/>
              </w:rPr>
              <w:t>Cortisol levels should be monitored at regular intervals, since hypocortisolism-related events can occur at any time during treatment.</w:t>
            </w:r>
          </w:p>
        </w:tc>
      </w:tr>
    </w:tbl>
    <w:p w14:paraId="6CEC8827" w14:textId="078E6D1A" w:rsidR="007D00BA" w:rsidRPr="007A4E7E" w:rsidRDefault="007D00BA" w:rsidP="00914C1A">
      <w:pPr>
        <w:pStyle w:val="ExecSumBodyText"/>
        <w:numPr>
          <w:ilvl w:val="1"/>
          <w:numId w:val="1"/>
        </w:numPr>
        <w:spacing w:before="120"/>
      </w:pPr>
      <w:bookmarkStart w:id="8" w:name="_Ref153246762"/>
      <w:r w:rsidRPr="007A4E7E">
        <w:t>Compared to the March 2023 submission, the resubmission did not request listing of the 10 mg tablet and the PBAC noted that there was a price reduction compared to the previous submission for both the 1 mg (effective: $</w:t>
      </w:r>
      <w:r w:rsidR="00DE6661" w:rsidRPr="00063CEB">
        <w:rPr>
          <w:color w:val="000000"/>
          <w:w w:val="15"/>
          <w:shd w:val="solid" w:color="000000" w:fill="000000"/>
          <w:fitText w:val="-20" w:id="-962329594"/>
          <w14:textFill>
            <w14:solidFill>
              <w14:srgbClr w14:val="000000">
                <w14:alpha w14:val="100000"/>
              </w14:srgbClr>
            </w14:solidFill>
          </w14:textFill>
        </w:rPr>
        <w:t xml:space="preserve">|  </w:t>
      </w:r>
      <w:r w:rsidR="00DE6661" w:rsidRPr="00063CEB">
        <w:rPr>
          <w:color w:val="000000"/>
          <w:spacing w:val="-69"/>
          <w:w w:val="15"/>
          <w:shd w:val="solid" w:color="000000" w:fill="000000"/>
          <w:fitText w:val="-20" w:id="-962329594"/>
          <w14:textFill>
            <w14:solidFill>
              <w14:srgbClr w14:val="000000">
                <w14:alpha w14:val="100000"/>
              </w14:srgbClr>
            </w14:solidFill>
          </w14:textFill>
        </w:rPr>
        <w:t>|</w:t>
      </w:r>
      <w:r w:rsidRPr="007A4E7E">
        <w:t xml:space="preserve"> vs $</w:t>
      </w:r>
      <w:r w:rsidR="00DE6661" w:rsidRPr="00063CEB">
        <w:rPr>
          <w:color w:val="000000"/>
          <w:w w:val="15"/>
          <w:shd w:val="solid" w:color="000000" w:fill="000000"/>
          <w:fitText w:val="-20" w:id="-962329593"/>
          <w14:textFill>
            <w14:solidFill>
              <w14:srgbClr w14:val="000000">
                <w14:alpha w14:val="100000"/>
              </w14:srgbClr>
            </w14:solidFill>
          </w14:textFill>
        </w:rPr>
        <w:t xml:space="preserve">|  </w:t>
      </w:r>
      <w:r w:rsidR="00DE6661" w:rsidRPr="00063CEB">
        <w:rPr>
          <w:color w:val="000000"/>
          <w:spacing w:val="-69"/>
          <w:w w:val="15"/>
          <w:shd w:val="solid" w:color="000000" w:fill="000000"/>
          <w:fitText w:val="-20" w:id="-962329593"/>
          <w14:textFill>
            <w14:solidFill>
              <w14:srgbClr w14:val="000000">
                <w14:alpha w14:val="100000"/>
              </w14:srgbClr>
            </w14:solidFill>
          </w14:textFill>
        </w:rPr>
        <w:t>|</w:t>
      </w:r>
      <w:r w:rsidRPr="007A4E7E">
        <w:t xml:space="preserve"> [</w:t>
      </w:r>
      <w:r w:rsidR="00DE6661" w:rsidRPr="00063CEB">
        <w:rPr>
          <w:color w:val="000000"/>
          <w:w w:val="15"/>
          <w:shd w:val="solid" w:color="000000" w:fill="000000"/>
          <w:fitText w:val="-20" w:id="-962329592"/>
          <w14:textFill>
            <w14:solidFill>
              <w14:srgbClr w14:val="000000">
                <w14:alpha w14:val="100000"/>
              </w14:srgbClr>
            </w14:solidFill>
          </w14:textFill>
        </w:rPr>
        <w:t xml:space="preserve">|  </w:t>
      </w:r>
      <w:r w:rsidR="00DE6661" w:rsidRPr="00063CEB">
        <w:rPr>
          <w:color w:val="000000"/>
          <w:spacing w:val="-69"/>
          <w:w w:val="15"/>
          <w:shd w:val="solid" w:color="000000" w:fill="000000"/>
          <w:fitText w:val="-20" w:id="-962329592"/>
          <w14:textFill>
            <w14:solidFill>
              <w14:srgbClr w14:val="000000">
                <w14:alpha w14:val="100000"/>
              </w14:srgbClr>
            </w14:solidFill>
          </w14:textFill>
        </w:rPr>
        <w:t>|</w:t>
      </w:r>
      <w:r w:rsidR="00A26A2A" w:rsidRPr="00914C1A">
        <w:t>%</w:t>
      </w:r>
      <w:r w:rsidR="00A26A2A" w:rsidRPr="007A4E7E">
        <w:t xml:space="preserve"> </w:t>
      </w:r>
      <w:r w:rsidRPr="007A4E7E">
        <w:t>decrease]) and 5 mg tablets (effective: $</w:t>
      </w:r>
      <w:r w:rsidR="00DE6661" w:rsidRPr="00063CEB">
        <w:rPr>
          <w:color w:val="000000"/>
          <w:w w:val="15"/>
          <w:shd w:val="solid" w:color="000000" w:fill="000000"/>
          <w:fitText w:val="-20" w:id="-962329591"/>
          <w14:textFill>
            <w14:solidFill>
              <w14:srgbClr w14:val="000000">
                <w14:alpha w14:val="100000"/>
              </w14:srgbClr>
            </w14:solidFill>
          </w14:textFill>
        </w:rPr>
        <w:t xml:space="preserve">|  </w:t>
      </w:r>
      <w:r w:rsidR="00DE6661" w:rsidRPr="00063CEB">
        <w:rPr>
          <w:color w:val="000000"/>
          <w:spacing w:val="-69"/>
          <w:w w:val="15"/>
          <w:shd w:val="solid" w:color="000000" w:fill="000000"/>
          <w:fitText w:val="-20" w:id="-962329591"/>
          <w14:textFill>
            <w14:solidFill>
              <w14:srgbClr w14:val="000000">
                <w14:alpha w14:val="100000"/>
              </w14:srgbClr>
            </w14:solidFill>
          </w14:textFill>
        </w:rPr>
        <w:t>|</w:t>
      </w:r>
      <w:r w:rsidRPr="007A4E7E">
        <w:t xml:space="preserve"> vs $</w:t>
      </w:r>
      <w:r w:rsidR="00DE6661" w:rsidRPr="00063CEB">
        <w:rPr>
          <w:color w:val="000000"/>
          <w:w w:val="15"/>
          <w:shd w:val="solid" w:color="000000" w:fill="000000"/>
          <w:fitText w:val="-20" w:id="-962329590"/>
          <w14:textFill>
            <w14:solidFill>
              <w14:srgbClr w14:val="000000">
                <w14:alpha w14:val="100000"/>
              </w14:srgbClr>
            </w14:solidFill>
          </w14:textFill>
        </w:rPr>
        <w:t xml:space="preserve">|  </w:t>
      </w:r>
      <w:r w:rsidR="00DE6661" w:rsidRPr="00063CEB">
        <w:rPr>
          <w:color w:val="000000"/>
          <w:spacing w:val="-69"/>
          <w:w w:val="15"/>
          <w:shd w:val="solid" w:color="000000" w:fill="000000"/>
          <w:fitText w:val="-20" w:id="-962329590"/>
          <w14:textFill>
            <w14:solidFill>
              <w14:srgbClr w14:val="000000">
                <w14:alpha w14:val="100000"/>
              </w14:srgbClr>
            </w14:solidFill>
          </w14:textFill>
        </w:rPr>
        <w:t>|</w:t>
      </w:r>
      <w:r w:rsidRPr="007A4E7E">
        <w:t xml:space="preserve"> [</w:t>
      </w:r>
      <w:r w:rsidR="00DE6661" w:rsidRPr="00063CEB">
        <w:rPr>
          <w:color w:val="000000"/>
          <w:w w:val="15"/>
          <w:shd w:val="solid" w:color="000000" w:fill="000000"/>
          <w:fitText w:val="-20" w:id="-962329589"/>
          <w14:textFill>
            <w14:solidFill>
              <w14:srgbClr w14:val="000000">
                <w14:alpha w14:val="100000"/>
              </w14:srgbClr>
            </w14:solidFill>
          </w14:textFill>
        </w:rPr>
        <w:t xml:space="preserve">|  </w:t>
      </w:r>
      <w:r w:rsidR="00DE6661" w:rsidRPr="00063CEB">
        <w:rPr>
          <w:color w:val="000000"/>
          <w:spacing w:val="-69"/>
          <w:w w:val="15"/>
          <w:shd w:val="solid" w:color="000000" w:fill="000000"/>
          <w:fitText w:val="-20" w:id="-962329589"/>
          <w14:textFill>
            <w14:solidFill>
              <w14:srgbClr w14:val="000000">
                <w14:alpha w14:val="100000"/>
              </w14:srgbClr>
            </w14:solidFill>
          </w14:textFill>
        </w:rPr>
        <w:t>|</w:t>
      </w:r>
      <w:r w:rsidR="00A26A2A" w:rsidRPr="00914C1A">
        <w:t>%</w:t>
      </w:r>
      <w:r w:rsidR="00A26A2A" w:rsidRPr="00A26A2A">
        <w:t xml:space="preserve"> </w:t>
      </w:r>
      <w:r w:rsidRPr="00A26A2A">
        <w:t>decrease]).</w:t>
      </w:r>
      <w:bookmarkEnd w:id="8"/>
    </w:p>
    <w:p w14:paraId="493022D9" w14:textId="77777777" w:rsidR="007D00BA" w:rsidRPr="007A4E7E" w:rsidRDefault="007D00BA" w:rsidP="007D00BA">
      <w:pPr>
        <w:pStyle w:val="ExecSumBodyText"/>
        <w:numPr>
          <w:ilvl w:val="1"/>
          <w:numId w:val="1"/>
        </w:numPr>
        <w:rPr>
          <w:i/>
          <w:iCs/>
        </w:rPr>
      </w:pPr>
      <w:bookmarkStart w:id="9" w:name="_Ref163144109"/>
      <w:r w:rsidRPr="007A4E7E">
        <w:t>The resubmission included a number of changes to the requested restriction criteria to align with advice from Australian clinicians:</w:t>
      </w:r>
      <w:bookmarkEnd w:id="9"/>
    </w:p>
    <w:p w14:paraId="56B5C136" w14:textId="2B31AAD7" w:rsidR="007D00BA" w:rsidRPr="007A4E7E" w:rsidRDefault="007D00BA" w:rsidP="007D00BA">
      <w:pPr>
        <w:pStyle w:val="Bulletpoints"/>
        <w:ind w:left="1134" w:hanging="425"/>
        <w:contextualSpacing w:val="0"/>
      </w:pPr>
      <w:r w:rsidRPr="007A4E7E">
        <w:lastRenderedPageBreak/>
        <w:t>Patients must have a mean urinary free cortisol (mUFC)</w:t>
      </w:r>
      <w:r w:rsidR="00D5227D">
        <w:t xml:space="preserve"> </w:t>
      </w:r>
      <w:r w:rsidRPr="007A4E7E">
        <w:t xml:space="preserve">&gt;1.3 x upper limit of normal (ULN) based on an average of at least two urine samples (the previous submission was based on three samples); </w:t>
      </w:r>
    </w:p>
    <w:p w14:paraId="15C2216A" w14:textId="77777777" w:rsidR="007D00BA" w:rsidRPr="007A4E7E" w:rsidRDefault="007D00BA" w:rsidP="007D00BA">
      <w:pPr>
        <w:pStyle w:val="Bulletpoints"/>
        <w:ind w:left="1134" w:hanging="425"/>
        <w:contextualSpacing w:val="0"/>
      </w:pPr>
      <w:r w:rsidRPr="007A4E7E">
        <w:t>The initial treatment period is now six months (increased from 12 weeks from the previous submission);</w:t>
      </w:r>
    </w:p>
    <w:p w14:paraId="5388AF75" w14:textId="77777777" w:rsidR="007D00BA" w:rsidRPr="007A4E7E" w:rsidRDefault="007D00BA" w:rsidP="007D00BA">
      <w:pPr>
        <w:pStyle w:val="Bulletpoints"/>
        <w:ind w:left="1134" w:hanging="425"/>
        <w:contextualSpacing w:val="0"/>
      </w:pPr>
      <w:r w:rsidRPr="007A4E7E">
        <w:t>Eligibility for continuing treatment was based on patients who either achieve a complete response (CR) i.e., mUFC</w:t>
      </w:r>
      <w:r w:rsidRPr="007A4E7E">
        <w:rPr>
          <w:rFonts w:cstheme="minorHAnsi"/>
        </w:rPr>
        <w:t>≤</w:t>
      </w:r>
      <w:r w:rsidRPr="007A4E7E">
        <w:t>ULN or partial response (PR) i.e., mUFC&gt;ULN but ≥50% reduction from the baseline value after six months of treatment. The previous submission required that patients achieve a CR after 12 weeks of treatment. The outcome of CR and PR was also referred to as overall response. The PBAC had previously noted that clinicians considered a PR could lead to clinically important outcomes (paragraph 6.1, osilodrostat, Public Summary Document [PSD], March 2023 Pharmaceutical Benefits Advisory Committee [PBAC] meeting).</w:t>
      </w:r>
    </w:p>
    <w:p w14:paraId="3DBFEE13" w14:textId="2EA722E0" w:rsidR="007D00BA" w:rsidRPr="007A4E7E" w:rsidRDefault="007D00BA" w:rsidP="007D00BA">
      <w:pPr>
        <w:pStyle w:val="Bulletpoints"/>
        <w:ind w:left="1134" w:hanging="425"/>
        <w:contextualSpacing w:val="0"/>
      </w:pPr>
      <w:r w:rsidRPr="007A4E7E">
        <w:t>The ESC considered that these changes to the restriction were reasonable, aligning better with clinical practice, although may lead to a larger treatment population.</w:t>
      </w:r>
    </w:p>
    <w:p w14:paraId="071D2F30" w14:textId="3FFEA2EC" w:rsidR="007D00BA" w:rsidRPr="007A4E7E" w:rsidRDefault="007D00BA" w:rsidP="007D00BA">
      <w:pPr>
        <w:pStyle w:val="ExecSumBodyText"/>
        <w:numPr>
          <w:ilvl w:val="1"/>
          <w:numId w:val="1"/>
        </w:numPr>
      </w:pPr>
      <w:bookmarkStart w:id="10" w:name="_Hlk153788884"/>
      <w:r w:rsidRPr="007A4E7E">
        <w:rPr>
          <w:iCs/>
        </w:rPr>
        <w:t xml:space="preserve">The proposed initial treatment criteria did not limit the number of times a patient may be treated under the initial criteria or the amount of time that must lapse before retreatment or specification of any clinically relevant circumstances in which a patient may continue treatment despite not achieving response. As such, a patient who failed to achieve CR or PR could continue (or restart) treatment under the initial criteria without delay. This may be against the spirit of the requested restrictions and consideration to account for this should be made in the restriction. </w:t>
      </w:r>
      <w:bookmarkEnd w:id="10"/>
      <w:r w:rsidRPr="007A4E7E">
        <w:rPr>
          <w:iCs/>
        </w:rPr>
        <w:t>However, there may be some cases where the failure to achieve CR or PR was not related to lack of efficacy (e.g. due to comorbidities or baseline fluctuations in mUFC) and consideration to allow patients to reinitiate treatment may need to be included. Further, it was unclear whether the type of assay or the value of ULN would need to be specified. The DUSC has previously noted that mUFC can be volatile, with Giraldi 2015</w:t>
      </w:r>
      <w:r w:rsidRPr="007A4E7E">
        <w:rPr>
          <w:rStyle w:val="FootnoteReference"/>
          <w:iCs/>
        </w:rPr>
        <w:footnoteReference w:id="2"/>
      </w:r>
      <w:r w:rsidRPr="007A4E7E">
        <w:rPr>
          <w:iCs/>
        </w:rPr>
        <w:t xml:space="preserve"> noting that ULN range reported by direct urine assays are roughly twice as high as those reported in extracted urine (approx. 150 µg/24 h or 410 nmol/l24 h vs 80 µg/24 h or 220</w:t>
      </w:r>
      <w:r w:rsidR="00FD173B">
        <w:rPr>
          <w:iCs/>
        </w:rPr>
        <w:t> </w:t>
      </w:r>
      <w:r w:rsidRPr="007A4E7E">
        <w:rPr>
          <w:iCs/>
        </w:rPr>
        <w:t>nmol/24 h, respectively). The pre-sub</w:t>
      </w:r>
      <w:r w:rsidR="00FC3F5B">
        <w:rPr>
          <w:iCs/>
        </w:rPr>
        <w:t>-</w:t>
      </w:r>
      <w:r w:rsidRPr="007A4E7E">
        <w:rPr>
          <w:iCs/>
        </w:rPr>
        <w:t>committee response (PSCR) suggested that if osilodrostat is listed on PBS, the sponsor is amenable to revisions in the restrictions to resolve these issues.</w:t>
      </w:r>
    </w:p>
    <w:p w14:paraId="05A80794" w14:textId="77777777" w:rsidR="007D00BA" w:rsidRPr="007A4E7E" w:rsidRDefault="007D00BA" w:rsidP="007D00BA">
      <w:pPr>
        <w:pStyle w:val="ExecSumBodyText"/>
        <w:numPr>
          <w:ilvl w:val="1"/>
          <w:numId w:val="1"/>
        </w:numPr>
      </w:pPr>
      <w:r w:rsidRPr="007A4E7E">
        <w:rPr>
          <w:iCs/>
        </w:rPr>
        <w:t>At the March 2023 meeting, the addition of the following clinical criterion to grandfathered patients was noted to be important for consistency with the initial treatment restriction but was not included in this resubmission:</w:t>
      </w:r>
    </w:p>
    <w:p w14:paraId="1A3762A7" w14:textId="77777777" w:rsidR="007D00BA" w:rsidRPr="007A4E7E" w:rsidRDefault="007D00BA" w:rsidP="007D00BA">
      <w:pPr>
        <w:pStyle w:val="3-BodyText"/>
        <w:numPr>
          <w:ilvl w:val="0"/>
          <w:numId w:val="0"/>
        </w:numPr>
        <w:ind w:left="720"/>
        <w:rPr>
          <w:rFonts w:cstheme="minorHAnsi"/>
          <w:iCs/>
        </w:rPr>
      </w:pPr>
      <w:r w:rsidRPr="007A4E7E">
        <w:rPr>
          <w:iCs/>
        </w:rPr>
        <w:lastRenderedPageBreak/>
        <w:t>“</w:t>
      </w:r>
      <w:r w:rsidRPr="007A4E7E">
        <w:rPr>
          <w:rFonts w:cstheme="minorHAnsi"/>
          <w:iCs/>
        </w:rPr>
        <w:t>Patient must have had active endogenous Cushing’s Syndrome determined by a mean urinary free cortisol (UFC) level greater than 1.3 times the upper limit of normal (ULN) at the time non-PBS subsidised treatment was commenced with this drug” (paragraph 3.3, osilodrostat, PSD, March 2023 PBAC meeting). The PBAC noted from consumer comments that there may also be patients who had been treated with other non-PBS therapies (ketoconazole or metyrapone) and they would need to be able to transition to osilodrostat.</w:t>
      </w:r>
    </w:p>
    <w:p w14:paraId="59D068BF" w14:textId="77777777" w:rsidR="007D00BA" w:rsidRPr="007A4E7E" w:rsidRDefault="007D00BA" w:rsidP="007D00BA">
      <w:pPr>
        <w:pStyle w:val="3-BodyText"/>
        <w:numPr>
          <w:ilvl w:val="0"/>
          <w:numId w:val="0"/>
        </w:numPr>
        <w:ind w:left="720"/>
      </w:pPr>
      <w:r w:rsidRPr="007A4E7E">
        <w:rPr>
          <w:i/>
          <w:iCs/>
        </w:rPr>
        <w:t>For more detail on PBAC’s view, see section 7 PBAC outcome.</w:t>
      </w:r>
    </w:p>
    <w:p w14:paraId="2B4F5D8D" w14:textId="77777777" w:rsidR="007D00BA" w:rsidRPr="007A4E7E" w:rsidDel="00195452" w:rsidRDefault="007D00BA" w:rsidP="007D00BA">
      <w:pPr>
        <w:pStyle w:val="2-SectionHeading"/>
      </w:pPr>
      <w:bookmarkStart w:id="11" w:name="_Toc156988652"/>
      <w:r w:rsidRPr="007A4E7E" w:rsidDel="00195452">
        <w:t>Population and disease</w:t>
      </w:r>
      <w:bookmarkEnd w:id="11"/>
    </w:p>
    <w:p w14:paraId="1EC4AEDC" w14:textId="5D54804F" w:rsidR="007D00BA" w:rsidRPr="007A4E7E" w:rsidRDefault="007D00BA" w:rsidP="007D00BA">
      <w:pPr>
        <w:pStyle w:val="ExecSumBodyText"/>
        <w:numPr>
          <w:ilvl w:val="1"/>
          <w:numId w:val="1"/>
        </w:numPr>
      </w:pPr>
      <w:r w:rsidRPr="007A4E7E">
        <w:t xml:space="preserve">Endogenous CS is a rare endocrine disorder which is characterised by excessive levels of blood cortisol levels. The different causes of CS are shown in </w:t>
      </w:r>
      <w:r w:rsidRPr="007A4E7E">
        <w:rPr>
          <w:rFonts w:ascii="Calibri" w:hAnsi="Calibri" w:cs="Calibri"/>
        </w:rPr>
        <w:fldChar w:fldCharType="begin" w:fldLock="1"/>
      </w:r>
      <w:r w:rsidRPr="007A4E7E">
        <w:rPr>
          <w:rFonts w:ascii="Calibri" w:hAnsi="Calibri" w:cs="Calibri"/>
        </w:rPr>
        <w:instrText xml:space="preserve"> REF _Ref123516927 \h  \* MERGEFORMAT </w:instrText>
      </w:r>
      <w:r w:rsidRPr="007A4E7E">
        <w:rPr>
          <w:rFonts w:ascii="Calibri" w:hAnsi="Calibri" w:cs="Calibri"/>
        </w:rPr>
      </w:r>
      <w:r w:rsidRPr="007A4E7E">
        <w:rPr>
          <w:rFonts w:ascii="Calibri" w:hAnsi="Calibri" w:cs="Calibri"/>
        </w:rPr>
        <w:fldChar w:fldCharType="separate"/>
      </w:r>
      <w:r w:rsidR="00043D39" w:rsidRPr="00043D39">
        <w:rPr>
          <w:rFonts w:ascii="Calibri" w:hAnsi="Calibri" w:cs="Calibri"/>
        </w:rPr>
        <w:t>Figure 1</w:t>
      </w:r>
      <w:r w:rsidRPr="007A4E7E">
        <w:rPr>
          <w:rFonts w:ascii="Calibri" w:hAnsi="Calibri" w:cs="Calibri"/>
        </w:rPr>
        <w:fldChar w:fldCharType="end"/>
      </w:r>
      <w:r w:rsidRPr="007A4E7E">
        <w:rPr>
          <w:rFonts w:ascii="Calibri" w:hAnsi="Calibri" w:cs="Calibri"/>
        </w:rPr>
        <w:t>.</w:t>
      </w:r>
    </w:p>
    <w:p w14:paraId="7A74F015" w14:textId="23480190" w:rsidR="007D00BA" w:rsidRPr="007A4E7E" w:rsidDel="00195452" w:rsidRDefault="007D00BA" w:rsidP="00FD173B">
      <w:pPr>
        <w:pStyle w:val="TableFigureHeading"/>
      </w:pPr>
      <w:bookmarkStart w:id="12" w:name="_Ref123516927"/>
      <w:r w:rsidRPr="007A4E7E">
        <w:t xml:space="preserve">Figure </w:t>
      </w:r>
      <w:r w:rsidR="00545EA1">
        <w:fldChar w:fldCharType="begin" w:fldLock="1"/>
      </w:r>
      <w:r w:rsidR="00545EA1">
        <w:instrText xml:space="preserve"> SEQ Figure \* ARABIC </w:instrText>
      </w:r>
      <w:r w:rsidR="00545EA1">
        <w:fldChar w:fldCharType="separate"/>
      </w:r>
      <w:r w:rsidR="00043D39">
        <w:rPr>
          <w:noProof/>
        </w:rPr>
        <w:t>1</w:t>
      </w:r>
      <w:r w:rsidR="00545EA1">
        <w:rPr>
          <w:noProof/>
        </w:rPr>
        <w:fldChar w:fldCharType="end"/>
      </w:r>
      <w:bookmarkEnd w:id="12"/>
      <w:r w:rsidRPr="007A4E7E">
        <w:t>: The causes of Cushing’s syndrome</w:t>
      </w:r>
    </w:p>
    <w:p w14:paraId="5D04E6AE" w14:textId="73140A9E" w:rsidR="007D00BA" w:rsidRPr="007A4E7E" w:rsidRDefault="007D00BA" w:rsidP="00914C1A">
      <w:pPr>
        <w:keepNext/>
        <w:jc w:val="center"/>
      </w:pPr>
      <w:r w:rsidRPr="00043D39">
        <w:rPr>
          <w:noProof/>
          <w:lang w:eastAsia="en-GB"/>
        </w:rPr>
        <w:drawing>
          <wp:inline distT="0" distB="0" distL="0" distR="0" wp14:anchorId="17B52402" wp14:editId="278C5B98">
            <wp:extent cx="3775295" cy="1782033"/>
            <wp:effectExtent l="0" t="0" r="0" b="0"/>
            <wp:docPr id="1" name="Picture 1" descr="Figure 1: The causes of Cushing’s synd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The causes of Cushing’s syndrome"/>
                    <pic:cNvPicPr/>
                  </pic:nvPicPr>
                  <pic:blipFill>
                    <a:blip r:embed="rId11"/>
                    <a:stretch>
                      <a:fillRect/>
                    </a:stretch>
                  </pic:blipFill>
                  <pic:spPr>
                    <a:xfrm>
                      <a:off x="0" y="0"/>
                      <a:ext cx="3827841" cy="1806836"/>
                    </a:xfrm>
                    <a:prstGeom prst="rect">
                      <a:avLst/>
                    </a:prstGeom>
                  </pic:spPr>
                </pic:pic>
              </a:graphicData>
            </a:graphic>
          </wp:inline>
        </w:drawing>
      </w:r>
    </w:p>
    <w:p w14:paraId="20127A27" w14:textId="62E8330D" w:rsidR="007D00BA" w:rsidRPr="007A4E7E" w:rsidRDefault="007D00BA" w:rsidP="00914C1A">
      <w:pPr>
        <w:pStyle w:val="FooterTableFigure"/>
        <w:keepNext/>
        <w:spacing w:after="0"/>
      </w:pPr>
      <w:r w:rsidRPr="007A4E7E">
        <w:t>Source: Figure 1.1-2 of the submission.</w:t>
      </w:r>
    </w:p>
    <w:p w14:paraId="7FE4F4F1" w14:textId="77777777" w:rsidR="007D00BA" w:rsidRPr="007A4E7E" w:rsidRDefault="007D00BA" w:rsidP="007D00BA">
      <w:pPr>
        <w:pStyle w:val="FooterTableFigure"/>
      </w:pPr>
      <w:r w:rsidRPr="007A4E7E">
        <w:t>ACTH = adrenocorticotropic hormone; CRH=Corticotrophin-releasing hormone</w:t>
      </w:r>
    </w:p>
    <w:p w14:paraId="0D95CC65" w14:textId="77777777" w:rsidR="007D00BA" w:rsidRPr="007A4E7E" w:rsidRDefault="007D00BA" w:rsidP="007D00BA">
      <w:pPr>
        <w:pStyle w:val="ExecSumBodyText"/>
        <w:numPr>
          <w:ilvl w:val="1"/>
          <w:numId w:val="1"/>
        </w:numPr>
      </w:pPr>
      <w:r w:rsidRPr="007A4E7E">
        <w:t>The most common cause of adrenocorticotropic hormone (ACTH) dependent CS is a pituitary adenoma (approximately 70%), also known as Cushing’s disease (CD). Ectopic ACTH syndromes represent a small portion of patients where the excessive release of ACTH arises from malignant or benign neuroendocrine tumours outside of the pituitary glands. The most common cause of ACTH-independent CS is a unilateral adrenal adenoma (10% - 22%) or carcinoma (5% - 7%). Bilateral adrenal causes of CS are rare. Irrespective of the origin, the result is hypersecretion of cortisol from the adrenal gland.</w:t>
      </w:r>
    </w:p>
    <w:p w14:paraId="46CF087F" w14:textId="77777777" w:rsidR="007D00BA" w:rsidRPr="007A4E7E" w:rsidRDefault="007D00BA" w:rsidP="007D00BA">
      <w:pPr>
        <w:pStyle w:val="ExecSumBodyText"/>
        <w:numPr>
          <w:ilvl w:val="1"/>
          <w:numId w:val="1"/>
        </w:numPr>
      </w:pPr>
      <w:r w:rsidRPr="007A4E7E">
        <w:t>The resubmission indicated that the most common clinical features include obesity or weight gain, hypertension, as well as neuropsychiatric symptoms. The main comorbidities include cardiovascular disease, diabetes, infection and osteoporosis and impact on quality of life (QoL).</w:t>
      </w:r>
    </w:p>
    <w:p w14:paraId="0F85C6C2" w14:textId="77777777" w:rsidR="007D00BA" w:rsidRPr="007A4E7E" w:rsidRDefault="007D00BA" w:rsidP="007D00BA">
      <w:pPr>
        <w:pStyle w:val="ExecSumBodyText"/>
        <w:numPr>
          <w:ilvl w:val="1"/>
          <w:numId w:val="1"/>
        </w:numPr>
      </w:pPr>
      <w:r w:rsidRPr="007A4E7E">
        <w:t xml:space="preserve">The clinical features of CD are due to excess cortisol secretion and are indistinguishable from other causes of CS (ectopic ACTH production and adrenal tumours). The diagnostic process therefore begins with establishing that there is excess cortisol secretion, and then proceeds to distinguish the various specific causes. ACTH measurement distinguishes ACTH-dependent (CD or ectopic ACTH production) </w:t>
      </w:r>
      <w:r w:rsidRPr="007A4E7E">
        <w:lastRenderedPageBreak/>
        <w:t>from ACTH-independent disease (adrenal tumour), and pituitary MRI and further biochemical testing establish the diagnosis of Cushing's disease.</w:t>
      </w:r>
    </w:p>
    <w:p w14:paraId="1A26B30E" w14:textId="77777777" w:rsidR="007D00BA" w:rsidRPr="007A4E7E" w:rsidRDefault="007D00BA" w:rsidP="007D00BA">
      <w:pPr>
        <w:pStyle w:val="ExecSumBodyText"/>
        <w:numPr>
          <w:ilvl w:val="1"/>
          <w:numId w:val="1"/>
        </w:numPr>
        <w:rPr>
          <w:rFonts w:ascii="Calibri" w:hAnsi="Calibri" w:cs="Calibri"/>
          <w:color w:val="000000"/>
          <w:lang w:eastAsia="en-GB"/>
        </w:rPr>
      </w:pPr>
      <w:r w:rsidRPr="007A4E7E">
        <w:t>The treatment</w:t>
      </w:r>
      <w:r w:rsidRPr="007A4E7E">
        <w:rPr>
          <w:rFonts w:ascii="Calibri" w:hAnsi="Calibri" w:cs="Calibri"/>
          <w:color w:val="000000"/>
          <w:lang w:eastAsia="en-GB"/>
        </w:rPr>
        <w:t xml:space="preserve"> of choice for CD in adults is surgical removal of the pituitary adenoma. Case series by neurosurgeons specialising in pituitary surgery report control of hypercortisolism immediately after surgery in about 80% of patients. Recurrence is not uncommon: up to 25% after 10 years. Patients who are not initially cured by surgery, or who have recurrence, can have repeat surgery, pituitary irradiation, or medical treatment. Pituitary irradiation may be used as primary treatment, especially in children, in whom it results in cure in about 80%. Response is often delayed, especially in adults, and, while awaiting a response, medical treatment is necessary to control hypercortisolism. A trial of medical treatment to establish that hypercortisolism can be controlled may be undertaken before irradiation. </w:t>
      </w:r>
    </w:p>
    <w:p w14:paraId="59AFEADD" w14:textId="481FE630" w:rsidR="007D00BA" w:rsidRPr="007A4E7E" w:rsidRDefault="007D00BA" w:rsidP="007D00BA">
      <w:pPr>
        <w:pStyle w:val="ExecSumBodyText"/>
        <w:numPr>
          <w:ilvl w:val="1"/>
          <w:numId w:val="1"/>
        </w:numPr>
      </w:pPr>
      <w:bookmarkStart w:id="13" w:name="_Ref155689711"/>
      <w:bookmarkStart w:id="14" w:name="_Ref159498604"/>
      <w:r w:rsidRPr="007A4E7E">
        <w:t xml:space="preserve">The manifestations of hypercortisolism improve over months to years after successful treatment. Hypertension, obesity, impaired glucose tolerance, osteoporosis and neuropsychiatric symptoms improve but are often not cured. The PBAC noted that the resubmission provided two additional retrospective, observational studies (Mondin 2023 (conducted in Padova, Italy) and </w:t>
      </w:r>
      <w:bookmarkStart w:id="15" w:name="_Hlk160004334"/>
      <w:r w:rsidRPr="007A4E7E">
        <w:t>Chihaoui</w:t>
      </w:r>
      <w:bookmarkEnd w:id="15"/>
      <w:r w:rsidRPr="007A4E7E">
        <w:t xml:space="preserve"> 2023 (conducted in Tunis, Tunisia)) to address uncertainties with translating CR into longer-term mortality and morbidity improvements (paragraph 7.8, osilodrostat, PSD, March 2023 PBAC meeting). Mondin 2023 (N=126) showed that over a median follow-up of 130.</w:t>
      </w:r>
      <w:r w:rsidR="009729D3" w:rsidRPr="007A4E7E">
        <w:t>5</w:t>
      </w:r>
      <w:r w:rsidR="009729D3">
        <w:t> </w:t>
      </w:r>
      <w:r w:rsidRPr="007A4E7E">
        <w:t xml:space="preserve">months, 78 (61.9%) patients who were in biochemical remission (defined as normal cortisol levels for at least 12 months) regardless of treatment received had significant improvements from baseline in hypertension, dyslipidaemia, diabetes, and obesity and comparatively for patients with persistent disease these comorbidities remained elevated. Furthermore, patients in biochemical remission showed lower standardised mortality ratios (SMR) (SMR=1.66, 95% CI 0.34, 4.85) compared to patients with active disease (SMR=4.99, 95% CI 2.15, 9.83). Similarly, the retrospective study by </w:t>
      </w:r>
      <w:bookmarkStart w:id="16" w:name="_Hlk160004347"/>
      <w:r w:rsidRPr="007A4E7E">
        <w:t>Chihaoui</w:t>
      </w:r>
      <w:bookmarkEnd w:id="16"/>
      <w:r w:rsidRPr="007A4E7E">
        <w:t xml:space="preserve"> 2023 (N=75) reported that after one year of follow-up, 38 (51%) patients achieved remission and had significant reductions in hypertension and diabetes. Based on these studies, the ESC acknowledged that ongoing remission from hypercortisolism can lead to improvements in cardiovascular and metabolic comorbidities from CS and mortality in the longer term.</w:t>
      </w:r>
      <w:bookmarkEnd w:id="13"/>
      <w:r w:rsidRPr="007A4E7E">
        <w:t xml:space="preserve"> The ESC considered these studies supported the value of cortisol control and the high unmet clinical need for new and effective therapies in CS that PBAC had previously acknowledged (paragraph 7.2, osilodrostat, PSD, March 2023 PBAC meeting).</w:t>
      </w:r>
      <w:bookmarkEnd w:id="14"/>
    </w:p>
    <w:p w14:paraId="4CD204C3" w14:textId="11BA83E2" w:rsidR="007D00BA" w:rsidRPr="007A4E7E" w:rsidRDefault="007D00BA" w:rsidP="007D00BA">
      <w:pPr>
        <w:pStyle w:val="ExecSumBodyText"/>
        <w:numPr>
          <w:ilvl w:val="1"/>
          <w:numId w:val="1"/>
        </w:numPr>
      </w:pPr>
      <w:bookmarkStart w:id="17" w:name="_Ref155690834"/>
      <w:r w:rsidRPr="007A4E7E">
        <w:t>While QoL can improve with treatment, physical and psychosocial stressors impacting a patient’s QoL can remain (</w:t>
      </w:r>
      <w:r w:rsidRPr="007A4E7E">
        <w:fldChar w:fldCharType="begin" w:fldLock="1"/>
      </w:r>
      <w:r w:rsidRPr="007A4E7E">
        <w:instrText xml:space="preserve"> REF _Ref155622336 \h  \* MERGEFORMAT </w:instrText>
      </w:r>
      <w:r w:rsidRPr="007A4E7E">
        <w:fldChar w:fldCharType="separate"/>
      </w:r>
      <w:r w:rsidR="00043D39" w:rsidRPr="007A4E7E">
        <w:t xml:space="preserve">Figure </w:t>
      </w:r>
      <w:r w:rsidR="00043D39">
        <w:t>2</w:t>
      </w:r>
      <w:r w:rsidRPr="007A4E7E">
        <w:fldChar w:fldCharType="end"/>
      </w:r>
      <w:r w:rsidRPr="007A4E7E">
        <w:t>)</w:t>
      </w:r>
      <w:r w:rsidRPr="007A4E7E">
        <w:rPr>
          <w:iCs/>
        </w:rPr>
        <w:t xml:space="preserve"> </w:t>
      </w:r>
      <w:r w:rsidRPr="007A4E7E">
        <w:t xml:space="preserve">where patients still exhibit poorer QoL compared to the general population even years after normalisation of hypercortisolism due to residual metabolic, cardiovascular, and cognitive morbidity from the hypercortisolism </w:t>
      </w:r>
      <w:r w:rsidRPr="007A4E7E">
        <w:lastRenderedPageBreak/>
        <w:t>previously (McBride 2021; Santos 2019; and Broersen 2019).</w:t>
      </w:r>
      <w:r w:rsidRPr="007A4E7E">
        <w:rPr>
          <w:rStyle w:val="FootnoteReference"/>
        </w:rPr>
        <w:footnoteReference w:id="3"/>
      </w:r>
      <w:r w:rsidRPr="007A4E7E">
        <w:rPr>
          <w:vertAlign w:val="superscript"/>
        </w:rPr>
        <w:t>,</w:t>
      </w:r>
      <w:r w:rsidRPr="007A4E7E">
        <w:rPr>
          <w:rStyle w:val="FootnoteReference"/>
        </w:rPr>
        <w:footnoteReference w:id="4"/>
      </w:r>
      <w:r w:rsidRPr="007A4E7E">
        <w:rPr>
          <w:vertAlign w:val="superscript"/>
        </w:rPr>
        <w:t>,</w:t>
      </w:r>
      <w:r w:rsidRPr="007A4E7E">
        <w:rPr>
          <w:rStyle w:val="FootnoteReference"/>
        </w:rPr>
        <w:footnoteReference w:id="5"/>
      </w:r>
      <w:r w:rsidRPr="007A4E7E">
        <w:rPr>
          <w:vertAlign w:val="superscript"/>
        </w:rPr>
        <w:t xml:space="preserve"> </w:t>
      </w:r>
      <w:r w:rsidRPr="007A4E7E">
        <w:t>The resubmission provided a perspective from the Executive Director at the World Alliance of Pituitary Organization (WAPO), who described the experiences of patients after bilateral adrenalectomy (BLA). The common consequences of BLA included lack of energy which negatively impacts the patients’ social and work life as well as anxiety and depression due to social withdrawal, mobility associated tiredness, self-care due to a lack of energy, and sleep disturbances.</w:t>
      </w:r>
      <w:bookmarkEnd w:id="17"/>
    </w:p>
    <w:p w14:paraId="300D9CEF" w14:textId="46AACA6B" w:rsidR="007D00BA" w:rsidRPr="007A4E7E" w:rsidRDefault="007D00BA" w:rsidP="00FD173B">
      <w:pPr>
        <w:pStyle w:val="TableFigureHeading"/>
      </w:pPr>
      <w:bookmarkStart w:id="18" w:name="_Ref155622336"/>
      <w:bookmarkStart w:id="19" w:name="_Hlk170831063"/>
      <w:r w:rsidRPr="007A4E7E">
        <w:t xml:space="preserve">Figure </w:t>
      </w:r>
      <w:r w:rsidR="00545EA1">
        <w:fldChar w:fldCharType="begin" w:fldLock="1"/>
      </w:r>
      <w:r w:rsidR="00545EA1">
        <w:instrText xml:space="preserve"> SEQ Figure \* ARABIC </w:instrText>
      </w:r>
      <w:r w:rsidR="00545EA1">
        <w:fldChar w:fldCharType="separate"/>
      </w:r>
      <w:r w:rsidR="00043D39">
        <w:rPr>
          <w:noProof/>
        </w:rPr>
        <w:t>2</w:t>
      </w:r>
      <w:r w:rsidR="00545EA1">
        <w:rPr>
          <w:noProof/>
        </w:rPr>
        <w:fldChar w:fldCharType="end"/>
      </w:r>
      <w:bookmarkEnd w:id="18"/>
      <w:r w:rsidRPr="007A4E7E">
        <w:t>: Physical and psychological stressors affecting HRQoL before and after treatment of Cushing’s syndrome</w:t>
      </w:r>
    </w:p>
    <w:bookmarkEnd w:id="19"/>
    <w:p w14:paraId="154A4C7A" w14:textId="77777777" w:rsidR="007D00BA" w:rsidRPr="007A4E7E" w:rsidRDefault="007D00BA" w:rsidP="00914C1A">
      <w:pPr>
        <w:pStyle w:val="FooterTableFigure"/>
        <w:keepNext/>
        <w:spacing w:after="0"/>
        <w:jc w:val="center"/>
      </w:pPr>
      <w:r w:rsidRPr="00043D39">
        <w:rPr>
          <w:noProof/>
        </w:rPr>
        <w:drawing>
          <wp:inline distT="0" distB="0" distL="0" distR="0" wp14:anchorId="13A60907" wp14:editId="4484A91F">
            <wp:extent cx="3526742" cy="2581275"/>
            <wp:effectExtent l="0" t="0" r="0" b="0"/>
            <wp:docPr id="1904435366" name="Picture 1" descr="Figure 2: Physical and psychological stressors affecting HRQoL before and after treatment of Cushing’s synd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35366" name="Picture 1" descr="Figure 2: Physical and psychological stressors affecting HRQoL before and after treatment of Cushing’s syndrome"/>
                    <pic:cNvPicPr/>
                  </pic:nvPicPr>
                  <pic:blipFill>
                    <a:blip r:embed="rId12"/>
                    <a:stretch>
                      <a:fillRect/>
                    </a:stretch>
                  </pic:blipFill>
                  <pic:spPr>
                    <a:xfrm>
                      <a:off x="0" y="0"/>
                      <a:ext cx="3555694" cy="2602465"/>
                    </a:xfrm>
                    <a:prstGeom prst="rect">
                      <a:avLst/>
                    </a:prstGeom>
                  </pic:spPr>
                </pic:pic>
              </a:graphicData>
            </a:graphic>
          </wp:inline>
        </w:drawing>
      </w:r>
    </w:p>
    <w:p w14:paraId="549BD938" w14:textId="77777777" w:rsidR="007D00BA" w:rsidRPr="007A4E7E" w:rsidRDefault="007D00BA" w:rsidP="00914C1A">
      <w:pPr>
        <w:pStyle w:val="FooterTableFigure"/>
        <w:keepNext/>
        <w:spacing w:after="0"/>
      </w:pPr>
      <w:r w:rsidRPr="007A4E7E">
        <w:t xml:space="preserve">Source: Figure 1, p5 from McBride 2021 </w:t>
      </w:r>
    </w:p>
    <w:p w14:paraId="7FB10B4D" w14:textId="0F7DD0A5" w:rsidR="007D00BA" w:rsidRPr="007A4E7E" w:rsidRDefault="007D00BA" w:rsidP="007D00BA">
      <w:pPr>
        <w:pStyle w:val="FooterTableFigure"/>
        <w:contextualSpacing w:val="0"/>
      </w:pPr>
      <w:r w:rsidRPr="007A4E7E">
        <w:t>HRQoL = health related quality of life</w:t>
      </w:r>
    </w:p>
    <w:p w14:paraId="460B7D30" w14:textId="77777777" w:rsidR="007D00BA" w:rsidRPr="007A4E7E" w:rsidDel="00195452" w:rsidRDefault="007D00BA" w:rsidP="007D00BA">
      <w:pPr>
        <w:pStyle w:val="3-BodyText"/>
        <w:numPr>
          <w:ilvl w:val="0"/>
          <w:numId w:val="0"/>
        </w:numPr>
        <w:ind w:left="720"/>
        <w:rPr>
          <w:i/>
          <w:iCs/>
        </w:rPr>
      </w:pPr>
      <w:r w:rsidRPr="007A4E7E">
        <w:rPr>
          <w:i/>
          <w:iCs/>
        </w:rPr>
        <w:t>For more detail on PBAC’s view, see section 7 PBAC outcome.</w:t>
      </w:r>
    </w:p>
    <w:p w14:paraId="41CE69C9" w14:textId="77777777" w:rsidR="007D00BA" w:rsidRPr="007A4E7E" w:rsidRDefault="007D00BA" w:rsidP="007D00BA">
      <w:pPr>
        <w:pStyle w:val="2-SectionHeading"/>
      </w:pPr>
      <w:bookmarkStart w:id="20" w:name="_Toc156988653"/>
      <w:bookmarkStart w:id="21" w:name="_Toc22897640"/>
      <w:r w:rsidRPr="007A4E7E">
        <w:t>Comparator</w:t>
      </w:r>
      <w:bookmarkEnd w:id="20"/>
    </w:p>
    <w:p w14:paraId="26BD2B93" w14:textId="0142842A" w:rsidR="007D00BA" w:rsidRPr="007A4E7E" w:rsidRDefault="007D00BA" w:rsidP="007D00BA">
      <w:pPr>
        <w:pStyle w:val="ExecSumBodyText"/>
        <w:numPr>
          <w:ilvl w:val="1"/>
          <w:numId w:val="1"/>
        </w:numPr>
        <w:rPr>
          <w:snapToGrid/>
        </w:rPr>
      </w:pPr>
      <w:r w:rsidRPr="007A4E7E">
        <w:t>The resubmission</w:t>
      </w:r>
      <w:r w:rsidRPr="007A4E7E">
        <w:rPr>
          <w:snapToGrid/>
        </w:rPr>
        <w:t xml:space="preserve"> </w:t>
      </w:r>
      <w:r w:rsidRPr="007A4E7E">
        <w:rPr>
          <w:iCs/>
          <w:snapToGrid/>
        </w:rPr>
        <w:t xml:space="preserve">reasonably </w:t>
      </w:r>
      <w:r w:rsidRPr="007A4E7E">
        <w:rPr>
          <w:snapToGrid/>
        </w:rPr>
        <w:t xml:space="preserve">nominated placebo as the PBAC previously considered this </w:t>
      </w:r>
      <w:r w:rsidRPr="007A4E7E">
        <w:t>most relevant comparator given that ketoconazole was deregistered by the TGA (for treatment of fungal infections due to hepatotoxicity) and metyrapone was used as an off-label therapy</w:t>
      </w:r>
      <w:r w:rsidRPr="007A4E7E">
        <w:rPr>
          <w:snapToGrid/>
        </w:rPr>
        <w:t xml:space="preserve"> </w:t>
      </w:r>
      <w:r w:rsidRPr="007A4E7E">
        <w:t>(paragraph 7.5, osilodrostat, PSD, March 2023 PBAC meeting)</w:t>
      </w:r>
      <w:r w:rsidR="007A4E7E">
        <w:rPr>
          <w:snapToGrid/>
        </w:rPr>
        <w:t xml:space="preserve">. </w:t>
      </w:r>
      <w:r w:rsidRPr="007A4E7E">
        <w:rPr>
          <w:snapToGrid/>
        </w:rPr>
        <w:t>The ESC reaffirmed that placebo was the appropriate comparator.</w:t>
      </w:r>
    </w:p>
    <w:p w14:paraId="423D5AED" w14:textId="77777777" w:rsidR="007D00BA" w:rsidRPr="007A4E7E" w:rsidRDefault="007D00BA" w:rsidP="007D00BA">
      <w:pPr>
        <w:pStyle w:val="ExecSumBodyText"/>
        <w:numPr>
          <w:ilvl w:val="1"/>
          <w:numId w:val="1"/>
        </w:numPr>
        <w:rPr>
          <w:snapToGrid/>
        </w:rPr>
      </w:pPr>
      <w:r w:rsidRPr="007A4E7E">
        <w:t>The</w:t>
      </w:r>
      <w:r w:rsidRPr="007A4E7E">
        <w:rPr>
          <w:snapToGrid/>
        </w:rPr>
        <w:t xml:space="preserve"> resubmission included metyrapone and ketoconazole as supplementary comparators, but they were only included as subsequent therapies in a sensitivity analysis in the economic model.</w:t>
      </w:r>
      <w:r w:rsidRPr="007A4E7E" w:rsidDel="00E17FFA">
        <w:rPr>
          <w:snapToGrid/>
        </w:rPr>
        <w:t xml:space="preserve"> </w:t>
      </w:r>
    </w:p>
    <w:p w14:paraId="46D61C99" w14:textId="77777777" w:rsidR="007D00BA" w:rsidRPr="007A4E7E" w:rsidRDefault="007D00BA" w:rsidP="007D00BA">
      <w:pPr>
        <w:pStyle w:val="ExecSumBodyText"/>
        <w:ind w:firstLine="0"/>
        <w:rPr>
          <w:snapToGrid/>
        </w:rPr>
      </w:pPr>
      <w:r w:rsidRPr="007A4E7E">
        <w:rPr>
          <w:i/>
          <w:iCs/>
        </w:rPr>
        <w:lastRenderedPageBreak/>
        <w:t>For more detail on PBAC’s view, see section 7 PBAC outcome.</w:t>
      </w:r>
    </w:p>
    <w:p w14:paraId="1F140601" w14:textId="77777777" w:rsidR="007D00BA" w:rsidRPr="007A4E7E" w:rsidRDefault="007D00BA" w:rsidP="007D00BA">
      <w:pPr>
        <w:pStyle w:val="2-SectionHeading"/>
      </w:pPr>
      <w:bookmarkStart w:id="22" w:name="_Toc156988654"/>
      <w:bookmarkEnd w:id="21"/>
      <w:r w:rsidRPr="007A4E7E">
        <w:t>Consideration of the evidence</w:t>
      </w:r>
      <w:bookmarkEnd w:id="22"/>
    </w:p>
    <w:p w14:paraId="5E3727D5" w14:textId="77777777" w:rsidR="007D00BA" w:rsidRPr="007A4E7E" w:rsidRDefault="007D00BA" w:rsidP="007D00BA">
      <w:pPr>
        <w:pStyle w:val="4-SubsectionHeading"/>
      </w:pPr>
      <w:bookmarkStart w:id="23" w:name="_Hlk76375935"/>
      <w:bookmarkStart w:id="24" w:name="_Toc156988655"/>
      <w:r w:rsidRPr="007A4E7E">
        <w:t>Sponsor hearing</w:t>
      </w:r>
    </w:p>
    <w:p w14:paraId="04FFFD8F" w14:textId="43EF7DFC" w:rsidR="007D00BA" w:rsidRPr="007A4E7E" w:rsidRDefault="007D00BA" w:rsidP="007D00BA">
      <w:pPr>
        <w:pStyle w:val="3-BodyText"/>
        <w:ind w:left="720" w:hanging="720"/>
      </w:pPr>
      <w:bookmarkStart w:id="25" w:name="_Ref163463786"/>
      <w:bookmarkStart w:id="26" w:name="_Hlk76382586"/>
      <w:r w:rsidRPr="007A4E7E">
        <w:t>The sponsor requested a hearing for this item</w:t>
      </w:r>
      <w:r w:rsidR="007A4E7E">
        <w:t xml:space="preserve">. </w:t>
      </w:r>
      <w:r w:rsidRPr="007A4E7E">
        <w:t>The clinician stressed the unmet clinical need for treatment of CS as there is currently no PBS listed alternative. The clinician highlighted that CS is one of the most challenging endocrine conditions given the difficulty with diagnosis and limited therapeutic options, and that even partial cortisol response with osilodrostat has clinical benefits. The clinician also emphasised the need for slow up-titration of osilodrostat dose to minimise risk of adrenal insufficiency and patient symptoms (to allow time for patients to re-adapt to the new cortisol level), and the importance of adequate prescriptions to cover up to 6 months of treatment as symptom improvement is gradual and often requires this duration for patients to achieve the maximum therapeutic effect. The clinician also added that one 24-hour urine free cortisol is sufficient for follow-up management in clinical practice, and it is inconvenient for patients to collect 3 urine samples.</w:t>
      </w:r>
      <w:bookmarkEnd w:id="25"/>
    </w:p>
    <w:bookmarkEnd w:id="26"/>
    <w:p w14:paraId="6BAF0EFE" w14:textId="77777777" w:rsidR="007D00BA" w:rsidRPr="007A4E7E" w:rsidRDefault="007D00BA" w:rsidP="007D00BA">
      <w:pPr>
        <w:pStyle w:val="4-SubsectionHeading"/>
      </w:pPr>
      <w:r w:rsidRPr="007A4E7E">
        <w:t>Consumer comments</w:t>
      </w:r>
    </w:p>
    <w:p w14:paraId="35DF2162" w14:textId="76CCD3E6" w:rsidR="007D00BA" w:rsidRPr="007A4E7E" w:rsidRDefault="007D00BA" w:rsidP="007D00BA">
      <w:pPr>
        <w:pStyle w:val="3-BodyText"/>
        <w:ind w:left="720" w:hanging="720"/>
        <w:rPr>
          <w:i/>
        </w:rPr>
      </w:pPr>
      <w:bookmarkStart w:id="27" w:name="_Hlk76382618"/>
      <w:r w:rsidRPr="007A4E7E">
        <w:t>The PBAC noted and welcomed the input from individuals (8), health care professionals (6) and organisations (2) via the Consumer Comments facility on the PBS website</w:t>
      </w:r>
      <w:bookmarkEnd w:id="23"/>
      <w:bookmarkEnd w:id="24"/>
      <w:bookmarkEnd w:id="27"/>
      <w:r w:rsidR="007A4E7E">
        <w:t xml:space="preserve">. </w:t>
      </w:r>
      <w:r w:rsidRPr="007A4E7E">
        <w:t xml:space="preserve">The comments described a range of benefits with osilodrostat including high efficacy and safety, improvements in quality of life (including physical, emotional, mental and social wellbeing) and potential survival benefits. The Australian Pituitary Foundation and the Endocrine Society of Australia reiterated the high unmet clinical need and the need for alternative effective therapy. </w:t>
      </w:r>
      <w:r w:rsidRPr="007A4E7E">
        <w:rPr>
          <w:bCs/>
        </w:rPr>
        <w:t>The PBAC noted the patient perspective provided valuable insight, including challenges encountered throughout their journey from diagnosis and management.</w:t>
      </w:r>
    </w:p>
    <w:p w14:paraId="4C1070DC" w14:textId="77777777" w:rsidR="007D00BA" w:rsidRPr="007A4E7E" w:rsidRDefault="007D00BA" w:rsidP="007D00BA">
      <w:pPr>
        <w:pStyle w:val="4-SubsectionHeading"/>
      </w:pPr>
      <w:r w:rsidRPr="007A4E7E">
        <w:t xml:space="preserve">Clinical trials </w:t>
      </w:r>
    </w:p>
    <w:p w14:paraId="2DC693F8" w14:textId="77777777" w:rsidR="007D00BA" w:rsidRPr="007A4E7E" w:rsidRDefault="007D00BA" w:rsidP="007D00BA">
      <w:pPr>
        <w:pStyle w:val="ExecSumBodyText"/>
        <w:numPr>
          <w:ilvl w:val="1"/>
          <w:numId w:val="1"/>
        </w:numPr>
      </w:pPr>
      <w:r w:rsidRPr="007A4E7E">
        <w:t xml:space="preserve">This resubmission was based on one head-to-head randomised trial comparing osilodrostat to placebo: LINC 4 (N=73); and supplemented by one randomised withdrawal trial comparing osilodrostat to placebo: LINC 3 (N=137); and one single-arm study of osilodrostat: C1202 (N=9). </w:t>
      </w:r>
      <w:r w:rsidRPr="007A4E7E">
        <w:rPr>
          <w:iCs/>
        </w:rPr>
        <w:t>The clinical evidence for osilodrostat included the same trials and studies as the previous submission.</w:t>
      </w:r>
      <w:r w:rsidRPr="007A4E7E">
        <w:t xml:space="preserve"> </w:t>
      </w:r>
    </w:p>
    <w:p w14:paraId="36276816" w14:textId="77777777" w:rsidR="007D00BA" w:rsidRPr="007A4E7E" w:rsidRDefault="007D00BA" w:rsidP="007D00BA">
      <w:pPr>
        <w:pStyle w:val="ExecSumBodyText"/>
        <w:numPr>
          <w:ilvl w:val="1"/>
          <w:numId w:val="1"/>
        </w:numPr>
      </w:pPr>
      <w:r w:rsidRPr="007A4E7E">
        <w:t>The comparative efficacy in LINC 4 and LINC 3 was assessed at week 12, with an open label period where all patients were switched to osilodrostat from week 12 to 48. Following that was an additional optional extension phase from week 48 to last follow up.</w:t>
      </w:r>
    </w:p>
    <w:p w14:paraId="20D0E96A" w14:textId="58132249" w:rsidR="007D00BA" w:rsidRPr="007A4E7E" w:rsidRDefault="007D00BA" w:rsidP="007D00BA">
      <w:pPr>
        <w:pStyle w:val="ExecSumBodyText"/>
        <w:numPr>
          <w:ilvl w:val="1"/>
          <w:numId w:val="1"/>
        </w:numPr>
      </w:pPr>
      <w:r w:rsidRPr="007A4E7E">
        <w:t xml:space="preserve">The resubmission included additional long-term efficacy data from the optional extension phases of LINC 4 and LINC 3 from Week 48 to until last follow up. Response data reported in the resubmission was up to Week 96 in LINC 4 and Week 120 for </w:t>
      </w:r>
      <w:r w:rsidRPr="007A4E7E">
        <w:lastRenderedPageBreak/>
        <w:t>LINC</w:t>
      </w:r>
      <w:r w:rsidR="00FD173B">
        <w:t> </w:t>
      </w:r>
      <w:r w:rsidRPr="007A4E7E">
        <w:t>3, with the LINC 4 data the same as was previously considered by PBAC and the LINC</w:t>
      </w:r>
      <w:r w:rsidR="00FD173B">
        <w:t> </w:t>
      </w:r>
      <w:r w:rsidRPr="007A4E7E">
        <w:t>3 data was previously presented at 72 weeks with additional follow up of mUFC out to 204 weeks (see Table 5, Figure 2 and paragraphs 6.11 and 6.12, of the osilodrostat, PSD, March 2023 PBAC meeting). The PSCR clarified that the resubmission presented additional efficacy data for the optional extension periods for LINC 3 (up to 245.1</w:t>
      </w:r>
      <w:r w:rsidR="00FD173B">
        <w:t> </w:t>
      </w:r>
      <w:r w:rsidRPr="007A4E7E">
        <w:t xml:space="preserve">weeks) and LINC 4 (up to 126.6 weeks), however, the </w:t>
      </w:r>
      <w:r w:rsidR="00C1108E">
        <w:t>end of treatment (</w:t>
      </w:r>
      <w:r w:rsidRPr="007A4E7E">
        <w:t>EOT</w:t>
      </w:r>
      <w:r w:rsidR="00C1108E">
        <w:t>)</w:t>
      </w:r>
      <w:r w:rsidRPr="007A4E7E">
        <w:t xml:space="preserve"> extension results for response rates presented in </w:t>
      </w:r>
      <w:r w:rsidRPr="007A4E7E">
        <w:fldChar w:fldCharType="begin" w:fldLock="1"/>
      </w:r>
      <w:r w:rsidRPr="007A4E7E">
        <w:instrText xml:space="preserve"> REF _Ref152846185 \h  \* MERGEFORMAT </w:instrText>
      </w:r>
      <w:r w:rsidRPr="007A4E7E">
        <w:fldChar w:fldCharType="separate"/>
      </w:r>
      <w:r w:rsidR="00043D39" w:rsidRPr="007A4E7E">
        <w:t xml:space="preserve">Table </w:t>
      </w:r>
      <w:r w:rsidR="00043D39">
        <w:t>5</w:t>
      </w:r>
      <w:r w:rsidRPr="007A4E7E">
        <w:fldChar w:fldCharType="end"/>
      </w:r>
      <w:r w:rsidRPr="007A4E7E">
        <w:t xml:space="preserve"> below are unchanged from the previous submission</w:t>
      </w:r>
      <w:r w:rsidR="007A4E7E">
        <w:t xml:space="preserve">. </w:t>
      </w:r>
    </w:p>
    <w:p w14:paraId="09973DAF" w14:textId="24D3CDCA" w:rsidR="007D00BA" w:rsidRPr="007A4E7E" w:rsidRDefault="007D00BA" w:rsidP="007D00BA">
      <w:pPr>
        <w:pStyle w:val="ExecSumBodyText"/>
        <w:numPr>
          <w:ilvl w:val="1"/>
          <w:numId w:val="1"/>
        </w:numPr>
      </w:pPr>
      <w:r w:rsidRPr="007A4E7E">
        <w:t>Details of the trials and studies presented in the submission are provided in</w:t>
      </w:r>
      <w:r w:rsidRPr="007A4E7E">
        <w:rPr>
          <w:snapToGrid/>
        </w:rPr>
        <w:t xml:space="preserve"> </w:t>
      </w:r>
      <w:r w:rsidRPr="007A4E7E">
        <w:rPr>
          <w:snapToGrid/>
        </w:rPr>
        <w:fldChar w:fldCharType="begin" w:fldLock="1"/>
      </w:r>
      <w:r w:rsidRPr="007A4E7E">
        <w:rPr>
          <w:snapToGrid/>
        </w:rPr>
        <w:instrText xml:space="preserve"> REF _Ref153197329 \h </w:instrText>
      </w:r>
      <w:r w:rsidRPr="007A4E7E">
        <w:rPr>
          <w:snapToGrid/>
        </w:rPr>
      </w:r>
      <w:r w:rsidRPr="007A4E7E">
        <w:rPr>
          <w:snapToGrid/>
        </w:rPr>
        <w:fldChar w:fldCharType="separate"/>
      </w:r>
      <w:r w:rsidR="00043D39" w:rsidRPr="007A4E7E">
        <w:t xml:space="preserve">Table </w:t>
      </w:r>
      <w:r w:rsidR="00043D39">
        <w:rPr>
          <w:noProof/>
        </w:rPr>
        <w:t>3</w:t>
      </w:r>
      <w:r w:rsidRPr="007A4E7E">
        <w:rPr>
          <w:snapToGrid/>
        </w:rPr>
        <w:fldChar w:fldCharType="end"/>
      </w:r>
      <w:r w:rsidRPr="007A4E7E">
        <w:rPr>
          <w:snapToGrid/>
        </w:rPr>
        <w:t xml:space="preserve">. </w:t>
      </w:r>
    </w:p>
    <w:p w14:paraId="0A262291" w14:textId="6FCE45F4" w:rsidR="007D00BA" w:rsidRPr="00FD173B" w:rsidRDefault="007D00BA" w:rsidP="00FD173B">
      <w:pPr>
        <w:pStyle w:val="TableFigureHeading"/>
        <w:rPr>
          <w:rStyle w:val="CommentReference"/>
          <w:b/>
          <w:szCs w:val="24"/>
        </w:rPr>
      </w:pPr>
      <w:bookmarkStart w:id="28" w:name="_Ref153197329"/>
      <w:r w:rsidRPr="00FD173B">
        <w:t xml:space="preserve">Table </w:t>
      </w:r>
      <w:r w:rsidR="00397E6D" w:rsidRPr="00914C1A">
        <w:fldChar w:fldCharType="begin" w:fldLock="1"/>
      </w:r>
      <w:r w:rsidR="00397E6D" w:rsidRPr="00FD173B">
        <w:instrText xml:space="preserve"> SEQ Table \* ARABIC </w:instrText>
      </w:r>
      <w:r w:rsidR="00397E6D" w:rsidRPr="00914C1A">
        <w:fldChar w:fldCharType="separate"/>
      </w:r>
      <w:r w:rsidR="00043D39" w:rsidRPr="00914C1A">
        <w:t>3</w:t>
      </w:r>
      <w:r w:rsidR="00397E6D" w:rsidRPr="00914C1A">
        <w:fldChar w:fldCharType="end"/>
      </w:r>
      <w:bookmarkEnd w:id="28"/>
      <w:r w:rsidRPr="00FD173B">
        <w:t>:</w:t>
      </w:r>
      <w:r w:rsidRPr="00914C1A">
        <w:rPr>
          <w:rStyle w:val="CommentReference"/>
          <w:b/>
          <w:szCs w:val="24"/>
        </w:rPr>
        <w:t xml:space="preserve"> Trials/studies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28" w:type="dxa"/>
          <w:right w:w="28" w:type="dxa"/>
        </w:tblCellMar>
        <w:tblLook w:val="01E0" w:firstRow="1" w:lastRow="1" w:firstColumn="1" w:lastColumn="1" w:noHBand="0" w:noVBand="0"/>
        <w:tblCaption w:val="Table 3: Trials/studies and associated reports presented in the resubmission"/>
      </w:tblPr>
      <w:tblGrid>
        <w:gridCol w:w="1435"/>
        <w:gridCol w:w="5459"/>
        <w:gridCol w:w="2123"/>
      </w:tblGrid>
      <w:tr w:rsidR="007D00BA" w:rsidRPr="007A4E7E" w14:paraId="0F5808F0" w14:textId="77777777" w:rsidTr="00EA6DFD">
        <w:trPr>
          <w:tblHeader/>
        </w:trPr>
        <w:tc>
          <w:tcPr>
            <w:tcW w:w="796" w:type="pct"/>
            <w:tcBorders>
              <w:bottom w:val="single" w:sz="4" w:space="0" w:color="auto"/>
            </w:tcBorders>
            <w:shd w:val="clear" w:color="auto" w:fill="D9E2F3" w:themeFill="accent1" w:themeFillTint="33"/>
            <w:vAlign w:val="center"/>
          </w:tcPr>
          <w:p w14:paraId="7408CCCB" w14:textId="77777777" w:rsidR="007D00BA" w:rsidRPr="007A4E7E" w:rsidRDefault="007D00BA" w:rsidP="00FD173B">
            <w:pPr>
              <w:pStyle w:val="In-tableHeading"/>
              <w:rPr>
                <w:lang w:val="en-AU"/>
              </w:rPr>
            </w:pPr>
            <w:r w:rsidRPr="007A4E7E">
              <w:rPr>
                <w:lang w:val="en-AU"/>
              </w:rPr>
              <w:t>Trial ID</w:t>
            </w:r>
          </w:p>
        </w:tc>
        <w:tc>
          <w:tcPr>
            <w:tcW w:w="3027" w:type="pct"/>
            <w:tcBorders>
              <w:bottom w:val="single" w:sz="4" w:space="0" w:color="auto"/>
            </w:tcBorders>
            <w:shd w:val="clear" w:color="auto" w:fill="D9E2F3" w:themeFill="accent1" w:themeFillTint="33"/>
            <w:vAlign w:val="center"/>
          </w:tcPr>
          <w:p w14:paraId="10A589D3" w14:textId="77777777" w:rsidR="007D00BA" w:rsidRPr="007A4E7E" w:rsidRDefault="007D00BA" w:rsidP="00FD173B">
            <w:pPr>
              <w:pStyle w:val="In-tableHeading"/>
              <w:rPr>
                <w:lang w:val="en-AU"/>
              </w:rPr>
            </w:pPr>
            <w:r w:rsidRPr="007A4E7E">
              <w:rPr>
                <w:lang w:val="en-AU"/>
              </w:rPr>
              <w:t>Protocol title/ Publication title</w:t>
            </w:r>
          </w:p>
        </w:tc>
        <w:tc>
          <w:tcPr>
            <w:tcW w:w="1177" w:type="pct"/>
            <w:tcBorders>
              <w:bottom w:val="single" w:sz="4" w:space="0" w:color="auto"/>
            </w:tcBorders>
            <w:shd w:val="clear" w:color="auto" w:fill="D9E2F3" w:themeFill="accent1" w:themeFillTint="33"/>
            <w:vAlign w:val="center"/>
          </w:tcPr>
          <w:p w14:paraId="39A523B7" w14:textId="77777777" w:rsidR="007D00BA" w:rsidRPr="007A4E7E" w:rsidRDefault="007D00BA" w:rsidP="00FD173B">
            <w:pPr>
              <w:pStyle w:val="In-tableHeading"/>
              <w:rPr>
                <w:lang w:val="en-AU"/>
              </w:rPr>
            </w:pPr>
            <w:r w:rsidRPr="007A4E7E">
              <w:rPr>
                <w:lang w:val="en-AU"/>
              </w:rPr>
              <w:t>Publication citation</w:t>
            </w:r>
          </w:p>
        </w:tc>
      </w:tr>
      <w:tr w:rsidR="007D00BA" w:rsidRPr="007A4E7E" w14:paraId="0580346C" w14:textId="77777777" w:rsidTr="00EA6DFD">
        <w:tc>
          <w:tcPr>
            <w:tcW w:w="796"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F5B906A" w14:textId="77777777" w:rsidR="007D00BA" w:rsidRPr="007A4E7E" w:rsidRDefault="007D00BA" w:rsidP="00FD173B">
            <w:pPr>
              <w:pStyle w:val="TableText0"/>
            </w:pPr>
            <w:r w:rsidRPr="007A4E7E">
              <w:t>LINC 4</w:t>
            </w:r>
          </w:p>
          <w:p w14:paraId="36C0194F" w14:textId="77777777" w:rsidR="007D00BA" w:rsidRPr="007A4E7E" w:rsidRDefault="007D00BA" w:rsidP="00FD173B">
            <w:pPr>
              <w:pStyle w:val="TableText0"/>
            </w:pPr>
            <w:r w:rsidRPr="007A4E7E">
              <w:t>NCT02697734</w:t>
            </w:r>
          </w:p>
        </w:tc>
        <w:tc>
          <w:tcPr>
            <w:tcW w:w="3027"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297CDA2" w14:textId="77777777" w:rsidR="007D00BA" w:rsidRPr="007A4E7E" w:rsidRDefault="007D00BA" w:rsidP="00FD173B">
            <w:pPr>
              <w:pStyle w:val="TableText0"/>
              <w:rPr>
                <w:szCs w:val="20"/>
              </w:rPr>
            </w:pPr>
            <w:r w:rsidRPr="007A4E7E">
              <w:rPr>
                <w:rFonts w:cs="Arial"/>
                <w:szCs w:val="20"/>
              </w:rPr>
              <w:t>A Phase III, multi</w:t>
            </w:r>
            <w:r w:rsidRPr="007A4E7E">
              <w:rPr>
                <w:rFonts w:cs="Arial"/>
                <w:szCs w:val="20"/>
              </w:rPr>
              <w:noBreakHyphen/>
              <w:t>center, randomised, double</w:t>
            </w:r>
            <w:r w:rsidRPr="007A4E7E">
              <w:rPr>
                <w:rFonts w:cs="Arial"/>
                <w:szCs w:val="20"/>
              </w:rPr>
              <w:noBreakHyphen/>
              <w:t>blind, 48</w:t>
            </w:r>
            <w:r w:rsidRPr="007A4E7E">
              <w:rPr>
                <w:rFonts w:cs="Arial"/>
                <w:szCs w:val="20"/>
              </w:rPr>
              <w:noBreakHyphen/>
              <w:t>week study with an initial 12</w:t>
            </w:r>
            <w:r w:rsidRPr="007A4E7E">
              <w:rPr>
                <w:rFonts w:cs="Arial"/>
                <w:szCs w:val="20"/>
              </w:rPr>
              <w:noBreakHyphen/>
              <w:t>week placebo</w:t>
            </w:r>
            <w:r w:rsidRPr="007A4E7E">
              <w:rPr>
                <w:rFonts w:cs="Arial"/>
                <w:szCs w:val="20"/>
              </w:rPr>
              <w:noBreakHyphen/>
              <w:t>controlled period to evaluate the safety and efficacy of osilodrostat in patients with Cushing’s disease.</w:t>
            </w:r>
          </w:p>
        </w:tc>
        <w:tc>
          <w:tcPr>
            <w:tcW w:w="1177"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14B882D7" w14:textId="77777777" w:rsidR="007D00BA" w:rsidRPr="00043D39" w:rsidRDefault="007D00BA" w:rsidP="00FD173B">
            <w:pPr>
              <w:pStyle w:val="TableText0"/>
              <w:rPr>
                <w:szCs w:val="20"/>
              </w:rPr>
            </w:pPr>
            <w:r w:rsidRPr="00043D39">
              <w:rPr>
                <w:szCs w:val="20"/>
              </w:rPr>
              <w:t>September 2020; July 2021; August 2023</w:t>
            </w:r>
          </w:p>
        </w:tc>
      </w:tr>
      <w:tr w:rsidR="007D00BA" w:rsidRPr="00C952AC" w14:paraId="371CB1A7" w14:textId="77777777" w:rsidTr="00EA6DFD">
        <w:tc>
          <w:tcPr>
            <w:tcW w:w="796" w:type="pct"/>
            <w:tcBorders>
              <w:top w:val="nil"/>
              <w:left w:val="single" w:sz="4" w:space="0" w:color="auto"/>
              <w:bottom w:val="nil"/>
              <w:right w:val="single" w:sz="4" w:space="0" w:color="auto"/>
            </w:tcBorders>
            <w:shd w:val="clear" w:color="auto" w:fill="D9E2F3" w:themeFill="accent1" w:themeFillTint="33"/>
            <w:vAlign w:val="center"/>
          </w:tcPr>
          <w:p w14:paraId="2267D433" w14:textId="77777777" w:rsidR="007D00BA" w:rsidRPr="007A4E7E" w:rsidRDefault="007D00BA" w:rsidP="00FD173B">
            <w:pPr>
              <w:pStyle w:val="TableText0"/>
            </w:pPr>
          </w:p>
        </w:tc>
        <w:tc>
          <w:tcPr>
            <w:tcW w:w="3027" w:type="pct"/>
            <w:tcBorders>
              <w:top w:val="nil"/>
              <w:left w:val="single" w:sz="4" w:space="0" w:color="auto"/>
              <w:bottom w:val="nil"/>
              <w:right w:val="single" w:sz="4" w:space="0" w:color="auto"/>
            </w:tcBorders>
            <w:shd w:val="clear" w:color="auto" w:fill="D9E2F3" w:themeFill="accent1" w:themeFillTint="33"/>
            <w:vAlign w:val="center"/>
          </w:tcPr>
          <w:p w14:paraId="04446E84" w14:textId="77777777" w:rsidR="007D00BA" w:rsidRPr="007A4E7E" w:rsidRDefault="007D00BA" w:rsidP="00FD173B">
            <w:pPr>
              <w:pStyle w:val="TableText0"/>
              <w:rPr>
                <w:szCs w:val="20"/>
              </w:rPr>
            </w:pPr>
            <w:r w:rsidRPr="007A4E7E">
              <w:rPr>
                <w:rFonts w:cs="Arial"/>
                <w:szCs w:val="20"/>
              </w:rPr>
              <w:t>Gadelha M, Bex M, Feelders RA, Heaney AP et al. Randomized trial of osilodrostat for the treatment of Cushing’s disease.</w:t>
            </w:r>
          </w:p>
        </w:tc>
        <w:tc>
          <w:tcPr>
            <w:tcW w:w="1177" w:type="pct"/>
            <w:tcBorders>
              <w:top w:val="nil"/>
              <w:left w:val="single" w:sz="4" w:space="0" w:color="auto"/>
              <w:bottom w:val="nil"/>
              <w:right w:val="single" w:sz="4" w:space="0" w:color="auto"/>
            </w:tcBorders>
            <w:shd w:val="clear" w:color="auto" w:fill="D9E2F3" w:themeFill="accent1" w:themeFillTint="33"/>
            <w:vAlign w:val="center"/>
          </w:tcPr>
          <w:p w14:paraId="50506417" w14:textId="77777777" w:rsidR="007D00BA" w:rsidRPr="00C952AC" w:rsidRDefault="007D00BA" w:rsidP="00FD173B">
            <w:pPr>
              <w:pStyle w:val="TableText0"/>
              <w:rPr>
                <w:szCs w:val="20"/>
                <w:lang w:val="pt-PT"/>
              </w:rPr>
            </w:pPr>
            <w:r w:rsidRPr="00C952AC">
              <w:rPr>
                <w:rFonts w:cs="Arial"/>
                <w:iCs/>
                <w:szCs w:val="20"/>
                <w:lang w:val="pt-PT"/>
              </w:rPr>
              <w:t xml:space="preserve">J Clin Endocrinol Metab </w:t>
            </w:r>
            <w:r w:rsidRPr="00C952AC">
              <w:rPr>
                <w:rFonts w:cs="Arial"/>
                <w:szCs w:val="20"/>
                <w:lang w:val="pt-PT"/>
              </w:rPr>
              <w:t>2022; 107(7): e2882-e2895.</w:t>
            </w:r>
          </w:p>
        </w:tc>
      </w:tr>
      <w:tr w:rsidR="007D00BA" w:rsidRPr="007A4E7E" w14:paraId="7ACB3A7E" w14:textId="77777777" w:rsidTr="00EA6DFD">
        <w:tc>
          <w:tcPr>
            <w:tcW w:w="796"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62D831B4" w14:textId="77777777" w:rsidR="007D00BA" w:rsidRPr="00C952AC" w:rsidRDefault="007D00BA" w:rsidP="00FD173B">
            <w:pPr>
              <w:pStyle w:val="TableText0"/>
              <w:rPr>
                <w:lang w:val="pt-PT"/>
              </w:rPr>
            </w:pPr>
          </w:p>
        </w:tc>
        <w:tc>
          <w:tcPr>
            <w:tcW w:w="3027" w:type="pct"/>
            <w:tcBorders>
              <w:top w:val="nil"/>
              <w:left w:val="single" w:sz="4" w:space="0" w:color="auto"/>
              <w:bottom w:val="single" w:sz="4" w:space="0" w:color="auto"/>
              <w:right w:val="single" w:sz="4" w:space="0" w:color="auto"/>
            </w:tcBorders>
            <w:shd w:val="clear" w:color="auto" w:fill="auto"/>
            <w:vAlign w:val="center"/>
          </w:tcPr>
          <w:p w14:paraId="1AF79EA9" w14:textId="77777777" w:rsidR="007D00BA" w:rsidRPr="007A4E7E" w:rsidRDefault="007D00BA" w:rsidP="00FD173B">
            <w:pPr>
              <w:pStyle w:val="TableText0"/>
              <w:rPr>
                <w:rFonts w:cs="Arial"/>
                <w:szCs w:val="20"/>
              </w:rPr>
            </w:pPr>
            <w:r w:rsidRPr="007A4E7E">
              <w:rPr>
                <w:rFonts w:cs="Arial"/>
                <w:szCs w:val="20"/>
              </w:rPr>
              <w:t>Gadelha, M, Snyder, P J, Witek, P, Bex, M, Belaya, Z, Turcu, A F, Feelders, R A, Heaney, A P, Paul, M, Pedroncelli, A M, &amp; Auchus, R J. Long-term efficacy and safety of osilodrostat in patients with Cushing’s disease: results from the LINC 4 study extension</w:t>
            </w:r>
          </w:p>
        </w:tc>
        <w:tc>
          <w:tcPr>
            <w:tcW w:w="1177" w:type="pct"/>
            <w:tcBorders>
              <w:top w:val="nil"/>
              <w:left w:val="single" w:sz="4" w:space="0" w:color="auto"/>
              <w:bottom w:val="single" w:sz="4" w:space="0" w:color="auto"/>
              <w:right w:val="single" w:sz="4" w:space="0" w:color="auto"/>
            </w:tcBorders>
            <w:shd w:val="clear" w:color="auto" w:fill="auto"/>
            <w:vAlign w:val="center"/>
          </w:tcPr>
          <w:p w14:paraId="288E6BD3" w14:textId="77777777" w:rsidR="007D00BA" w:rsidRPr="007A4E7E" w:rsidRDefault="007D00BA" w:rsidP="00FD173B">
            <w:pPr>
              <w:pStyle w:val="TableText0"/>
              <w:rPr>
                <w:rFonts w:cs="Arial"/>
                <w:iCs/>
                <w:szCs w:val="20"/>
              </w:rPr>
            </w:pPr>
            <w:r w:rsidRPr="007A4E7E">
              <w:rPr>
                <w:rFonts w:cs="Arial"/>
                <w:szCs w:val="20"/>
              </w:rPr>
              <w:t>J Clin Endrocrinol Metab 2023; 23 (14):1236465</w:t>
            </w:r>
          </w:p>
        </w:tc>
      </w:tr>
      <w:tr w:rsidR="007D00BA" w:rsidRPr="007A4E7E" w14:paraId="6635A810" w14:textId="77777777" w:rsidTr="00EA6DFD">
        <w:tc>
          <w:tcPr>
            <w:tcW w:w="796"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18FE07E" w14:textId="77777777" w:rsidR="007D00BA" w:rsidRPr="007A4E7E" w:rsidRDefault="007D00BA" w:rsidP="00FD173B">
            <w:pPr>
              <w:pStyle w:val="TableText0"/>
            </w:pPr>
            <w:r w:rsidRPr="007A4E7E">
              <w:t>LINC 3</w:t>
            </w:r>
          </w:p>
          <w:p w14:paraId="67A43131" w14:textId="77777777" w:rsidR="007D00BA" w:rsidRPr="007A4E7E" w:rsidRDefault="007D00BA" w:rsidP="00FD173B">
            <w:pPr>
              <w:pStyle w:val="TableText0"/>
            </w:pPr>
            <w:r w:rsidRPr="007A4E7E">
              <w:t>NCT02180217</w:t>
            </w:r>
          </w:p>
        </w:tc>
        <w:tc>
          <w:tcPr>
            <w:tcW w:w="3027"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1000277" w14:textId="77777777" w:rsidR="007D00BA" w:rsidRPr="007A4E7E" w:rsidRDefault="007D00BA" w:rsidP="00FD173B">
            <w:pPr>
              <w:pStyle w:val="TableText0"/>
              <w:rPr>
                <w:rFonts w:cs="Arial"/>
                <w:szCs w:val="20"/>
              </w:rPr>
            </w:pPr>
            <w:r w:rsidRPr="007A4E7E">
              <w:rPr>
                <w:rFonts w:cs="Arial"/>
                <w:szCs w:val="20"/>
              </w:rPr>
              <w:t>A Phase III, multi</w:t>
            </w:r>
            <w:r w:rsidRPr="007A4E7E">
              <w:rPr>
                <w:rFonts w:cs="Arial"/>
                <w:szCs w:val="20"/>
              </w:rPr>
              <w:noBreakHyphen/>
              <w:t>center, double</w:t>
            </w:r>
            <w:r w:rsidRPr="007A4E7E">
              <w:rPr>
                <w:rFonts w:cs="Arial"/>
                <w:szCs w:val="20"/>
              </w:rPr>
              <w:noBreakHyphen/>
              <w:t>blind, randomised withdrawal study of LCI699 following a 24 week, single</w:t>
            </w:r>
            <w:r w:rsidRPr="007A4E7E">
              <w:rPr>
                <w:rFonts w:cs="Arial"/>
                <w:szCs w:val="20"/>
              </w:rPr>
              <w:noBreakHyphen/>
              <w:t>arm, open</w:t>
            </w:r>
            <w:r w:rsidRPr="007A4E7E">
              <w:rPr>
                <w:rFonts w:cs="Arial"/>
                <w:szCs w:val="20"/>
              </w:rPr>
              <w:noBreakHyphen/>
              <w:t>label dose titration and treatment period to evaluate the safety and efficacy of LCI699 for the treatment of patients with Cushing’s disease</w:t>
            </w:r>
          </w:p>
        </w:tc>
        <w:tc>
          <w:tcPr>
            <w:tcW w:w="1177"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186B44A8" w14:textId="77777777" w:rsidR="007D00BA" w:rsidRPr="007A4E7E" w:rsidRDefault="007D00BA" w:rsidP="00FD173B">
            <w:pPr>
              <w:pStyle w:val="TableText0"/>
              <w:rPr>
                <w:rFonts w:cs="Arial"/>
                <w:iCs/>
                <w:szCs w:val="20"/>
              </w:rPr>
            </w:pPr>
            <w:r w:rsidRPr="007A4E7E">
              <w:rPr>
                <w:rFonts w:cs="Arial"/>
                <w:iCs/>
                <w:szCs w:val="20"/>
              </w:rPr>
              <w:t>September 2018; May 2020</w:t>
            </w:r>
          </w:p>
        </w:tc>
      </w:tr>
      <w:tr w:rsidR="007D00BA" w:rsidRPr="007A4E7E" w14:paraId="640E6E23" w14:textId="77777777" w:rsidTr="00EA6DFD">
        <w:tc>
          <w:tcPr>
            <w:tcW w:w="796" w:type="pct"/>
            <w:tcBorders>
              <w:top w:val="nil"/>
              <w:left w:val="single" w:sz="4" w:space="0" w:color="auto"/>
              <w:bottom w:val="nil"/>
              <w:right w:val="single" w:sz="4" w:space="0" w:color="auto"/>
            </w:tcBorders>
            <w:shd w:val="clear" w:color="auto" w:fill="D9E2F3" w:themeFill="accent1" w:themeFillTint="33"/>
            <w:vAlign w:val="center"/>
          </w:tcPr>
          <w:p w14:paraId="337D4F25" w14:textId="77777777" w:rsidR="007D00BA" w:rsidRPr="007A4E7E" w:rsidRDefault="007D00BA" w:rsidP="00FD173B">
            <w:pPr>
              <w:pStyle w:val="TableText0"/>
            </w:pPr>
          </w:p>
        </w:tc>
        <w:tc>
          <w:tcPr>
            <w:tcW w:w="3027" w:type="pct"/>
            <w:tcBorders>
              <w:top w:val="nil"/>
              <w:left w:val="single" w:sz="4" w:space="0" w:color="auto"/>
              <w:bottom w:val="nil"/>
              <w:right w:val="single" w:sz="4" w:space="0" w:color="auto"/>
            </w:tcBorders>
            <w:shd w:val="clear" w:color="auto" w:fill="D9E2F3" w:themeFill="accent1" w:themeFillTint="33"/>
            <w:vAlign w:val="center"/>
          </w:tcPr>
          <w:p w14:paraId="69521668" w14:textId="77777777" w:rsidR="007D00BA" w:rsidRPr="007A4E7E" w:rsidRDefault="007D00BA" w:rsidP="00FD173B">
            <w:pPr>
              <w:pStyle w:val="TableText0"/>
              <w:rPr>
                <w:rFonts w:cs="Arial"/>
                <w:szCs w:val="20"/>
              </w:rPr>
            </w:pPr>
            <w:r w:rsidRPr="007A4E7E">
              <w:rPr>
                <w:rFonts w:cs="Arial"/>
                <w:szCs w:val="20"/>
              </w:rPr>
              <w:t>Pivonello R, Fleseriu M, Newell</w:t>
            </w:r>
            <w:r w:rsidRPr="007A4E7E">
              <w:rPr>
                <w:rFonts w:cs="Arial"/>
                <w:szCs w:val="20"/>
              </w:rPr>
              <w:noBreakHyphen/>
              <w:t>Price J, Bertagna X et al 2020. Efficacy and safety of osilodrostat in patients with Cushing’s disease (LINC 3): a multicentre phase III study with a double</w:t>
            </w:r>
            <w:r w:rsidRPr="007A4E7E">
              <w:rPr>
                <w:rFonts w:cs="Arial"/>
                <w:szCs w:val="20"/>
              </w:rPr>
              <w:noBreakHyphen/>
              <w:t>blind, randomised withdrawal phase.</w:t>
            </w:r>
          </w:p>
        </w:tc>
        <w:tc>
          <w:tcPr>
            <w:tcW w:w="1177" w:type="pct"/>
            <w:tcBorders>
              <w:top w:val="nil"/>
              <w:left w:val="single" w:sz="4" w:space="0" w:color="auto"/>
              <w:bottom w:val="nil"/>
              <w:right w:val="single" w:sz="4" w:space="0" w:color="auto"/>
            </w:tcBorders>
            <w:shd w:val="clear" w:color="auto" w:fill="D9E2F3" w:themeFill="accent1" w:themeFillTint="33"/>
            <w:vAlign w:val="center"/>
          </w:tcPr>
          <w:p w14:paraId="0D327711" w14:textId="77777777" w:rsidR="007D00BA" w:rsidRPr="007A4E7E" w:rsidRDefault="007D00BA" w:rsidP="00FD173B">
            <w:pPr>
              <w:pStyle w:val="TableText0"/>
              <w:rPr>
                <w:rFonts w:cs="Arial"/>
                <w:iCs/>
                <w:szCs w:val="20"/>
              </w:rPr>
            </w:pPr>
            <w:r w:rsidRPr="007A4E7E">
              <w:rPr>
                <w:rFonts w:cs="Arial"/>
                <w:iCs/>
                <w:szCs w:val="20"/>
              </w:rPr>
              <w:t>Lancet Diabetes Endocrinol 2020; 8:748</w:t>
            </w:r>
            <w:r w:rsidRPr="007A4E7E">
              <w:rPr>
                <w:rFonts w:cs="Arial"/>
                <w:iCs/>
                <w:szCs w:val="20"/>
              </w:rPr>
              <w:noBreakHyphen/>
              <w:t>761.</w:t>
            </w:r>
          </w:p>
        </w:tc>
      </w:tr>
      <w:tr w:rsidR="007D00BA" w:rsidRPr="007A4E7E" w14:paraId="20F3237E" w14:textId="77777777" w:rsidTr="00EA6DFD">
        <w:tc>
          <w:tcPr>
            <w:tcW w:w="796"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18A41FF1" w14:textId="77777777" w:rsidR="007D00BA" w:rsidRPr="007A4E7E" w:rsidRDefault="007D00BA" w:rsidP="00FD173B">
            <w:pPr>
              <w:pStyle w:val="TableText0"/>
            </w:pPr>
          </w:p>
        </w:tc>
        <w:tc>
          <w:tcPr>
            <w:tcW w:w="3027"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6B6A1140" w14:textId="77777777" w:rsidR="007D00BA" w:rsidRPr="007A4E7E" w:rsidRDefault="007D00BA" w:rsidP="00FD173B">
            <w:pPr>
              <w:pStyle w:val="TableText0"/>
              <w:rPr>
                <w:rFonts w:cs="Arial"/>
                <w:szCs w:val="20"/>
              </w:rPr>
            </w:pPr>
            <w:r w:rsidRPr="007A4E7E">
              <w:rPr>
                <w:rFonts w:cs="Arial"/>
                <w:szCs w:val="20"/>
              </w:rPr>
              <w:t>Fleseriu M, Newell-Price J, Pivonello R, Shimatu A et al. Long-term outcomes of osilodrostat in Cushing’s disease: LINC 3 study extension.</w:t>
            </w:r>
          </w:p>
        </w:tc>
        <w:tc>
          <w:tcPr>
            <w:tcW w:w="1177"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F24C700" w14:textId="77777777" w:rsidR="007D00BA" w:rsidRPr="007A4E7E" w:rsidRDefault="007D00BA" w:rsidP="00FD173B">
            <w:pPr>
              <w:pStyle w:val="TableText0"/>
              <w:rPr>
                <w:rFonts w:cs="Arial"/>
                <w:iCs/>
                <w:szCs w:val="20"/>
              </w:rPr>
            </w:pPr>
            <w:r w:rsidRPr="007A4E7E">
              <w:rPr>
                <w:rFonts w:cs="Arial"/>
                <w:iCs/>
                <w:szCs w:val="20"/>
              </w:rPr>
              <w:t>Eur J Endocrinol 2022; 187: 531-541.</w:t>
            </w:r>
          </w:p>
        </w:tc>
      </w:tr>
      <w:tr w:rsidR="007D00BA" w:rsidRPr="007A4E7E" w14:paraId="77743FBB" w14:textId="77777777" w:rsidTr="00EA6DFD">
        <w:tc>
          <w:tcPr>
            <w:tcW w:w="796"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AA5601B" w14:textId="77777777" w:rsidR="007D00BA" w:rsidRPr="007A4E7E" w:rsidRDefault="007D00BA" w:rsidP="00FD173B">
            <w:pPr>
              <w:pStyle w:val="TableText0"/>
            </w:pPr>
            <w:r w:rsidRPr="007A4E7E">
              <w:t>C1201</w:t>
            </w:r>
          </w:p>
          <w:p w14:paraId="2564C2A7" w14:textId="77777777" w:rsidR="007D00BA" w:rsidRPr="007A4E7E" w:rsidRDefault="007D00BA" w:rsidP="00FD173B">
            <w:pPr>
              <w:pStyle w:val="TableText0"/>
            </w:pPr>
            <w:r w:rsidRPr="007A4E7E">
              <w:t>NCT02468193</w:t>
            </w:r>
          </w:p>
        </w:tc>
        <w:tc>
          <w:tcPr>
            <w:tcW w:w="3027"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58C4827" w14:textId="77777777" w:rsidR="007D00BA" w:rsidRPr="007A4E7E" w:rsidRDefault="007D00BA" w:rsidP="00FD173B">
            <w:pPr>
              <w:pStyle w:val="TableText0"/>
              <w:rPr>
                <w:rFonts w:cs="Arial"/>
                <w:szCs w:val="20"/>
              </w:rPr>
            </w:pPr>
            <w:r w:rsidRPr="007A4E7E">
              <w:rPr>
                <w:rFonts w:cs="Arial"/>
                <w:szCs w:val="20"/>
              </w:rPr>
              <w:t>A Phase II, open</w:t>
            </w:r>
            <w:r w:rsidRPr="007A4E7E">
              <w:rPr>
                <w:rFonts w:cs="Arial"/>
                <w:szCs w:val="20"/>
              </w:rPr>
              <w:noBreakHyphen/>
              <w:t>label, dose titration, multi</w:t>
            </w:r>
            <w:r w:rsidRPr="007A4E7E">
              <w:rPr>
                <w:rFonts w:cs="Arial"/>
                <w:szCs w:val="20"/>
              </w:rPr>
              <w:noBreakHyphen/>
              <w:t>center study to assess the safety/tolerability and efficacy of osilodrostat in patients with all types of endogenous Cushing’s syndrome except Cushing’s disease.</w:t>
            </w:r>
          </w:p>
        </w:tc>
        <w:tc>
          <w:tcPr>
            <w:tcW w:w="1177"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11B8BE96" w14:textId="77777777" w:rsidR="007D00BA" w:rsidRPr="007A4E7E" w:rsidRDefault="007D00BA" w:rsidP="00FD173B">
            <w:pPr>
              <w:pStyle w:val="TableText0"/>
              <w:rPr>
                <w:rFonts w:cs="Arial"/>
                <w:iCs/>
                <w:szCs w:val="20"/>
              </w:rPr>
            </w:pPr>
            <w:r w:rsidRPr="007A4E7E">
              <w:rPr>
                <w:rFonts w:cs="Arial"/>
                <w:iCs/>
                <w:szCs w:val="20"/>
              </w:rPr>
              <w:t>October 2018; June 2019</w:t>
            </w:r>
          </w:p>
        </w:tc>
      </w:tr>
      <w:tr w:rsidR="007D00BA" w:rsidRPr="007A4E7E" w14:paraId="210602FE" w14:textId="77777777" w:rsidTr="00EA6DFD">
        <w:tc>
          <w:tcPr>
            <w:tcW w:w="796"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1BDCE76" w14:textId="77777777" w:rsidR="007D00BA" w:rsidRPr="007A4E7E" w:rsidRDefault="007D00BA" w:rsidP="00FD173B">
            <w:pPr>
              <w:pStyle w:val="TableText0"/>
            </w:pPr>
          </w:p>
        </w:tc>
        <w:tc>
          <w:tcPr>
            <w:tcW w:w="3027"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9A66381" w14:textId="77777777" w:rsidR="007D00BA" w:rsidRPr="007A4E7E" w:rsidRDefault="007D00BA" w:rsidP="00FD173B">
            <w:pPr>
              <w:pStyle w:val="TableText0"/>
              <w:rPr>
                <w:rFonts w:cs="Arial"/>
                <w:szCs w:val="20"/>
              </w:rPr>
            </w:pPr>
            <w:r w:rsidRPr="00C952AC">
              <w:rPr>
                <w:rFonts w:cs="Arial"/>
                <w:szCs w:val="20"/>
                <w:lang w:val="de-DE"/>
              </w:rPr>
              <w:t xml:space="preserve">Tanaka T, Satoh F, Ujihara M, Midorikawa S et al. </w:t>
            </w:r>
            <w:r w:rsidRPr="007A4E7E">
              <w:rPr>
                <w:rFonts w:cs="Arial"/>
                <w:szCs w:val="20"/>
              </w:rPr>
              <w:t>A multicentre, phase 2 study to evaluate the efficacy and safety of osilodrostat, a new 11β</w:t>
            </w:r>
            <w:r w:rsidRPr="007A4E7E">
              <w:rPr>
                <w:rFonts w:cs="Arial"/>
                <w:szCs w:val="20"/>
              </w:rPr>
              <w:noBreakHyphen/>
              <w:t>hydroxylase inhibitor, in Japanese patients with endogenous Cushing’s syndrome other than Cushing’s disease.</w:t>
            </w:r>
          </w:p>
        </w:tc>
        <w:tc>
          <w:tcPr>
            <w:tcW w:w="1177"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6F440F25" w14:textId="77777777" w:rsidR="007D00BA" w:rsidRPr="007A4E7E" w:rsidRDefault="007D00BA" w:rsidP="00FD173B">
            <w:pPr>
              <w:pStyle w:val="TableText0"/>
              <w:rPr>
                <w:rFonts w:cs="Arial"/>
                <w:iCs/>
                <w:szCs w:val="20"/>
              </w:rPr>
            </w:pPr>
            <w:r w:rsidRPr="007A4E7E">
              <w:rPr>
                <w:rFonts w:cs="Arial"/>
                <w:iCs/>
                <w:szCs w:val="20"/>
              </w:rPr>
              <w:t>Endocr J 2020; 67:841</w:t>
            </w:r>
            <w:r w:rsidRPr="007A4E7E">
              <w:rPr>
                <w:rFonts w:cs="Arial"/>
                <w:iCs/>
                <w:szCs w:val="20"/>
              </w:rPr>
              <w:noBreakHyphen/>
              <w:t>852.</w:t>
            </w:r>
          </w:p>
        </w:tc>
      </w:tr>
    </w:tbl>
    <w:p w14:paraId="7EAD8A2F" w14:textId="16E69CE7" w:rsidR="007D00BA" w:rsidRPr="007A4E7E" w:rsidRDefault="007D00BA" w:rsidP="00914C1A">
      <w:pPr>
        <w:pStyle w:val="FooterTableFigure"/>
        <w:keepNext/>
      </w:pPr>
      <w:r w:rsidRPr="007A4E7E">
        <w:t>Source: Table 2.2-6 of the submission</w:t>
      </w:r>
    </w:p>
    <w:p w14:paraId="629B2AF4" w14:textId="77777777" w:rsidR="007D00BA" w:rsidRPr="007A4E7E" w:rsidRDefault="007D00BA" w:rsidP="007D00BA">
      <w:pPr>
        <w:pStyle w:val="FooterTableFigure"/>
        <w:rPr>
          <w:sz w:val="20"/>
        </w:rPr>
      </w:pPr>
      <w:r w:rsidRPr="007A4E7E">
        <w:rPr>
          <w:shd w:val="clear" w:color="auto" w:fill="D9E2F3" w:themeFill="accent1" w:themeFillTint="33"/>
        </w:rPr>
        <w:t>Blue shade</w:t>
      </w:r>
      <w:r w:rsidRPr="007A4E7E">
        <w:t xml:space="preserve"> indicates publications previously considered by the PBAC</w:t>
      </w:r>
    </w:p>
    <w:p w14:paraId="75CBB279" w14:textId="0845EE8E" w:rsidR="007D00BA" w:rsidRPr="007A4E7E" w:rsidRDefault="007D00BA" w:rsidP="007D00BA">
      <w:pPr>
        <w:pStyle w:val="ExecSumBodyText"/>
        <w:numPr>
          <w:ilvl w:val="1"/>
          <w:numId w:val="1"/>
        </w:numPr>
      </w:pPr>
      <w:r w:rsidRPr="007A4E7E">
        <w:t xml:space="preserve">The key features of the included evidence are summarised in </w:t>
      </w:r>
      <w:r w:rsidRPr="007A4E7E">
        <w:fldChar w:fldCharType="begin" w:fldLock="1"/>
      </w:r>
      <w:r w:rsidRPr="007A4E7E">
        <w:instrText xml:space="preserve"> REF _Ref153197268 \h  \* MERGEFORMAT </w:instrText>
      </w:r>
      <w:r w:rsidRPr="007A4E7E">
        <w:fldChar w:fldCharType="separate"/>
      </w:r>
      <w:r w:rsidR="00043D39" w:rsidRPr="00043D39">
        <w:rPr>
          <w:rStyle w:val="CommentReference"/>
          <w:rFonts w:asciiTheme="minorHAnsi" w:eastAsiaTheme="majorEastAsia" w:hAnsiTheme="minorHAnsi"/>
          <w:b w:val="0"/>
          <w:sz w:val="24"/>
        </w:rPr>
        <w:t>Table 4</w:t>
      </w:r>
      <w:r w:rsidRPr="007A4E7E">
        <w:fldChar w:fldCharType="end"/>
      </w:r>
      <w:r w:rsidRPr="007A4E7E">
        <w:t>.</w:t>
      </w:r>
    </w:p>
    <w:p w14:paraId="228AB203" w14:textId="6D91DEAA" w:rsidR="007D00BA" w:rsidRPr="00FD173B" w:rsidRDefault="007D00BA" w:rsidP="00914C1A">
      <w:pPr>
        <w:pStyle w:val="TableFigureHeading"/>
        <w:keepLines/>
        <w:rPr>
          <w:rStyle w:val="CommentReference"/>
          <w:b/>
          <w:bCs w:val="0"/>
          <w:snapToGrid w:val="0"/>
          <w:szCs w:val="24"/>
        </w:rPr>
      </w:pPr>
      <w:bookmarkStart w:id="29" w:name="_Ref153197268"/>
      <w:r w:rsidRPr="00FD173B">
        <w:rPr>
          <w:rStyle w:val="CommentReference"/>
          <w:b/>
          <w:szCs w:val="24"/>
        </w:rPr>
        <w:lastRenderedPageBreak/>
        <w:t xml:space="preserve">Table </w:t>
      </w:r>
      <w:r w:rsidRPr="00FD173B">
        <w:rPr>
          <w:rStyle w:val="CommentReference"/>
          <w:b/>
          <w:szCs w:val="24"/>
        </w:rPr>
        <w:fldChar w:fldCharType="begin" w:fldLock="1"/>
      </w:r>
      <w:r w:rsidRPr="00FD173B">
        <w:rPr>
          <w:rStyle w:val="CommentReference"/>
          <w:b/>
          <w:szCs w:val="24"/>
        </w:rPr>
        <w:instrText xml:space="preserve"> SEQ Table \* ARABIC </w:instrText>
      </w:r>
      <w:r w:rsidRPr="00FD173B">
        <w:rPr>
          <w:rStyle w:val="CommentReference"/>
          <w:b/>
          <w:szCs w:val="24"/>
        </w:rPr>
        <w:fldChar w:fldCharType="separate"/>
      </w:r>
      <w:r w:rsidR="00043D39" w:rsidRPr="00914C1A">
        <w:rPr>
          <w:rStyle w:val="CommentReference"/>
          <w:b/>
          <w:szCs w:val="24"/>
        </w:rPr>
        <w:t>4</w:t>
      </w:r>
      <w:r w:rsidRPr="00FD173B">
        <w:rPr>
          <w:rStyle w:val="CommentReference"/>
          <w:b/>
          <w:szCs w:val="24"/>
        </w:rPr>
        <w:fldChar w:fldCharType="end"/>
      </w:r>
      <w:bookmarkEnd w:id="29"/>
      <w:r w:rsidRPr="00FD173B">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28" w:type="dxa"/>
          <w:right w:w="28" w:type="dxa"/>
        </w:tblCellMar>
        <w:tblLook w:val="04A0" w:firstRow="1" w:lastRow="0" w:firstColumn="1" w:lastColumn="0" w:noHBand="0" w:noVBand="1"/>
        <w:tblCaption w:val="Table 4: Key features of the included evidence"/>
      </w:tblPr>
      <w:tblGrid>
        <w:gridCol w:w="754"/>
        <w:gridCol w:w="968"/>
        <w:gridCol w:w="1309"/>
        <w:gridCol w:w="653"/>
        <w:gridCol w:w="2433"/>
        <w:gridCol w:w="1383"/>
        <w:gridCol w:w="1517"/>
      </w:tblGrid>
      <w:tr w:rsidR="007D00BA" w:rsidRPr="007A4E7E" w14:paraId="3D37949F" w14:textId="77777777" w:rsidTr="00EA6DFD">
        <w:trPr>
          <w:cantSplit/>
          <w:tblHeader/>
        </w:trPr>
        <w:tc>
          <w:tcPr>
            <w:tcW w:w="418" w:type="pct"/>
            <w:shd w:val="clear" w:color="auto" w:fill="D9E2F3" w:themeFill="accent1" w:themeFillTint="33"/>
            <w:vAlign w:val="center"/>
          </w:tcPr>
          <w:p w14:paraId="3DDBDFDA" w14:textId="77777777" w:rsidR="007D00BA" w:rsidRPr="007A4E7E" w:rsidRDefault="007D00BA" w:rsidP="00914C1A">
            <w:pPr>
              <w:pStyle w:val="In-tableHeading"/>
              <w:keepLines/>
              <w:rPr>
                <w:lang w:val="en-AU"/>
              </w:rPr>
            </w:pPr>
            <w:r w:rsidRPr="007A4E7E">
              <w:rPr>
                <w:lang w:val="en-AU"/>
              </w:rPr>
              <w:t>Trial</w:t>
            </w:r>
          </w:p>
        </w:tc>
        <w:tc>
          <w:tcPr>
            <w:tcW w:w="537" w:type="pct"/>
            <w:shd w:val="clear" w:color="auto" w:fill="D9E2F3" w:themeFill="accent1" w:themeFillTint="33"/>
            <w:vAlign w:val="center"/>
          </w:tcPr>
          <w:p w14:paraId="372781F7" w14:textId="77777777" w:rsidR="007D00BA" w:rsidRPr="007A4E7E" w:rsidRDefault="007D00BA" w:rsidP="00914C1A">
            <w:pPr>
              <w:pStyle w:val="In-tableHeading"/>
              <w:keepLines/>
              <w:jc w:val="center"/>
              <w:rPr>
                <w:lang w:val="en-AU"/>
              </w:rPr>
            </w:pPr>
            <w:r w:rsidRPr="007A4E7E">
              <w:rPr>
                <w:lang w:val="en-AU"/>
              </w:rPr>
              <w:t>N</w:t>
            </w:r>
          </w:p>
        </w:tc>
        <w:tc>
          <w:tcPr>
            <w:tcW w:w="726" w:type="pct"/>
            <w:shd w:val="clear" w:color="auto" w:fill="D9E2F3" w:themeFill="accent1" w:themeFillTint="33"/>
            <w:vAlign w:val="center"/>
          </w:tcPr>
          <w:p w14:paraId="01B1BD6C" w14:textId="77777777" w:rsidR="007D00BA" w:rsidRPr="007A4E7E" w:rsidRDefault="007D00BA" w:rsidP="00914C1A">
            <w:pPr>
              <w:pStyle w:val="In-tableHeading"/>
              <w:keepLines/>
              <w:jc w:val="center"/>
              <w:rPr>
                <w:lang w:val="en-AU"/>
              </w:rPr>
            </w:pPr>
            <w:r w:rsidRPr="007A4E7E">
              <w:rPr>
                <w:lang w:val="en-AU"/>
              </w:rPr>
              <w:t xml:space="preserve">Design/ </w:t>
            </w:r>
          </w:p>
          <w:p w14:paraId="1ABC7FCD" w14:textId="77777777" w:rsidR="007D00BA" w:rsidRPr="007A4E7E" w:rsidRDefault="007D00BA" w:rsidP="00914C1A">
            <w:pPr>
              <w:pStyle w:val="In-tableHeading"/>
              <w:keepLines/>
              <w:jc w:val="center"/>
              <w:rPr>
                <w:lang w:val="en-AU"/>
              </w:rPr>
            </w:pPr>
            <w:r w:rsidRPr="007A4E7E">
              <w:rPr>
                <w:lang w:val="en-AU"/>
              </w:rPr>
              <w:t>duration</w:t>
            </w:r>
          </w:p>
        </w:tc>
        <w:tc>
          <w:tcPr>
            <w:tcW w:w="362" w:type="pct"/>
            <w:shd w:val="clear" w:color="auto" w:fill="D9E2F3" w:themeFill="accent1" w:themeFillTint="33"/>
            <w:vAlign w:val="center"/>
          </w:tcPr>
          <w:p w14:paraId="4C7F8B5B" w14:textId="77777777" w:rsidR="007D00BA" w:rsidRPr="007A4E7E" w:rsidRDefault="007D00BA" w:rsidP="00914C1A">
            <w:pPr>
              <w:pStyle w:val="In-tableHeading"/>
              <w:keepLines/>
              <w:jc w:val="center"/>
              <w:rPr>
                <w:lang w:val="en-AU"/>
              </w:rPr>
            </w:pPr>
            <w:r w:rsidRPr="007A4E7E">
              <w:rPr>
                <w:lang w:val="en-AU"/>
              </w:rPr>
              <w:t>Risk of bias</w:t>
            </w:r>
          </w:p>
        </w:tc>
        <w:tc>
          <w:tcPr>
            <w:tcW w:w="1349" w:type="pct"/>
            <w:shd w:val="clear" w:color="auto" w:fill="D9E2F3" w:themeFill="accent1" w:themeFillTint="33"/>
            <w:vAlign w:val="center"/>
          </w:tcPr>
          <w:p w14:paraId="5411EF29" w14:textId="77777777" w:rsidR="007D00BA" w:rsidRPr="007A4E7E" w:rsidRDefault="007D00BA" w:rsidP="00914C1A">
            <w:pPr>
              <w:pStyle w:val="In-tableHeading"/>
              <w:keepLines/>
              <w:jc w:val="center"/>
              <w:rPr>
                <w:lang w:val="en-AU"/>
              </w:rPr>
            </w:pPr>
            <w:r w:rsidRPr="007A4E7E">
              <w:rPr>
                <w:lang w:val="en-AU"/>
              </w:rPr>
              <w:t>Patient population</w:t>
            </w:r>
          </w:p>
        </w:tc>
        <w:tc>
          <w:tcPr>
            <w:tcW w:w="767" w:type="pct"/>
            <w:shd w:val="clear" w:color="auto" w:fill="D9E2F3" w:themeFill="accent1" w:themeFillTint="33"/>
            <w:vAlign w:val="center"/>
          </w:tcPr>
          <w:p w14:paraId="4F10CE36" w14:textId="77777777" w:rsidR="007D00BA" w:rsidRPr="007A4E7E" w:rsidRDefault="007D00BA" w:rsidP="00914C1A">
            <w:pPr>
              <w:pStyle w:val="In-tableHeading"/>
              <w:keepLines/>
              <w:jc w:val="center"/>
              <w:rPr>
                <w:lang w:val="en-AU"/>
              </w:rPr>
            </w:pPr>
            <w:r w:rsidRPr="007A4E7E">
              <w:rPr>
                <w:lang w:val="en-AU"/>
              </w:rPr>
              <w:t>Outcome(s)</w:t>
            </w:r>
          </w:p>
        </w:tc>
        <w:tc>
          <w:tcPr>
            <w:tcW w:w="842" w:type="pct"/>
            <w:shd w:val="clear" w:color="auto" w:fill="D9E2F3" w:themeFill="accent1" w:themeFillTint="33"/>
            <w:vAlign w:val="center"/>
          </w:tcPr>
          <w:p w14:paraId="52C3D10C" w14:textId="77777777" w:rsidR="007D00BA" w:rsidRPr="007A4E7E" w:rsidRDefault="007D00BA" w:rsidP="00914C1A">
            <w:pPr>
              <w:pStyle w:val="In-tableHeading"/>
              <w:keepLines/>
              <w:jc w:val="center"/>
              <w:rPr>
                <w:lang w:val="en-AU"/>
              </w:rPr>
            </w:pPr>
            <w:r w:rsidRPr="007A4E7E">
              <w:rPr>
                <w:lang w:val="en-AU"/>
              </w:rPr>
              <w:t>Use in economic model</w:t>
            </w:r>
          </w:p>
        </w:tc>
      </w:tr>
      <w:tr w:rsidR="007D00BA" w:rsidRPr="007A4E7E" w14:paraId="6F6AA2D6" w14:textId="77777777" w:rsidTr="00EA6DFD">
        <w:trPr>
          <w:cantSplit/>
        </w:trPr>
        <w:tc>
          <w:tcPr>
            <w:tcW w:w="5000" w:type="pct"/>
            <w:gridSpan w:val="7"/>
            <w:shd w:val="clear" w:color="auto" w:fill="D9E2F3" w:themeFill="accent1" w:themeFillTint="33"/>
            <w:vAlign w:val="center"/>
          </w:tcPr>
          <w:p w14:paraId="184D7ABF" w14:textId="77777777" w:rsidR="007D00BA" w:rsidRPr="007A4E7E" w:rsidRDefault="007D00BA" w:rsidP="00914C1A">
            <w:pPr>
              <w:pStyle w:val="TableText0"/>
              <w:keepLines/>
              <w:rPr>
                <w:b/>
                <w:bCs w:val="0"/>
              </w:rPr>
            </w:pPr>
            <w:r w:rsidRPr="007A4E7E">
              <w:rPr>
                <w:b/>
                <w:bCs w:val="0"/>
              </w:rPr>
              <w:t>Osilodrostat vs. placebo</w:t>
            </w:r>
          </w:p>
        </w:tc>
      </w:tr>
      <w:tr w:rsidR="007D00BA" w:rsidRPr="007A4E7E" w14:paraId="5A34342C" w14:textId="77777777" w:rsidTr="00EA6DFD">
        <w:trPr>
          <w:cantSplit/>
        </w:trPr>
        <w:tc>
          <w:tcPr>
            <w:tcW w:w="418" w:type="pct"/>
            <w:shd w:val="clear" w:color="auto" w:fill="D9E2F3" w:themeFill="accent1" w:themeFillTint="33"/>
            <w:vAlign w:val="center"/>
          </w:tcPr>
          <w:p w14:paraId="68F5E772" w14:textId="77777777" w:rsidR="007D00BA" w:rsidRPr="007A4E7E" w:rsidRDefault="007D00BA" w:rsidP="00914C1A">
            <w:pPr>
              <w:pStyle w:val="TableText0"/>
              <w:keepLines/>
              <w:rPr>
                <w:rFonts w:eastAsiaTheme="minorHAnsi" w:cstheme="minorBidi"/>
                <w:szCs w:val="22"/>
                <w:lang w:eastAsia="en-US"/>
              </w:rPr>
            </w:pPr>
            <w:r w:rsidRPr="007A4E7E">
              <w:rPr>
                <w:rFonts w:eastAsiaTheme="minorHAnsi" w:cstheme="minorBidi"/>
                <w:szCs w:val="22"/>
                <w:lang w:eastAsia="en-US"/>
              </w:rPr>
              <w:t>LINC 4</w:t>
            </w:r>
          </w:p>
        </w:tc>
        <w:tc>
          <w:tcPr>
            <w:tcW w:w="537" w:type="pct"/>
            <w:shd w:val="clear" w:color="auto" w:fill="D9E2F3" w:themeFill="accent1" w:themeFillTint="33"/>
            <w:vAlign w:val="center"/>
          </w:tcPr>
          <w:p w14:paraId="3CBCFC6C" w14:textId="77777777" w:rsidR="007D00BA" w:rsidRPr="007A4E7E" w:rsidRDefault="007D00BA" w:rsidP="00914C1A">
            <w:pPr>
              <w:pStyle w:val="TableText0"/>
              <w:keepLines/>
              <w:jc w:val="center"/>
              <w:rPr>
                <w:rFonts w:eastAsiaTheme="minorHAnsi" w:cstheme="minorBidi"/>
                <w:szCs w:val="22"/>
                <w:lang w:eastAsia="en-US"/>
              </w:rPr>
            </w:pPr>
            <w:r w:rsidRPr="007A4E7E">
              <w:rPr>
                <w:rFonts w:eastAsiaTheme="minorHAnsi" w:cstheme="minorBidi"/>
                <w:szCs w:val="22"/>
                <w:lang w:eastAsia="en-US"/>
              </w:rPr>
              <w:t>73</w:t>
            </w:r>
          </w:p>
        </w:tc>
        <w:tc>
          <w:tcPr>
            <w:tcW w:w="726" w:type="pct"/>
            <w:shd w:val="clear" w:color="auto" w:fill="D9E2F3" w:themeFill="accent1" w:themeFillTint="33"/>
            <w:vAlign w:val="center"/>
          </w:tcPr>
          <w:p w14:paraId="392C8650" w14:textId="77777777" w:rsidR="007D00BA" w:rsidRPr="007A4E7E" w:rsidRDefault="007D00BA" w:rsidP="00914C1A">
            <w:pPr>
              <w:keepNext/>
              <w:keepLines/>
              <w:jc w:val="left"/>
              <w:rPr>
                <w:rFonts w:ascii="Arial Narrow" w:eastAsiaTheme="minorHAnsi" w:hAnsi="Arial Narrow" w:cstheme="minorBidi"/>
                <w:sz w:val="20"/>
                <w:szCs w:val="22"/>
                <w:lang w:eastAsia="en-US"/>
              </w:rPr>
            </w:pPr>
            <w:r w:rsidRPr="007A4E7E">
              <w:rPr>
                <w:rFonts w:ascii="Arial Narrow" w:eastAsiaTheme="minorHAnsi" w:hAnsi="Arial Narrow" w:cstheme="minorBidi"/>
                <w:sz w:val="20"/>
                <w:szCs w:val="22"/>
                <w:lang w:eastAsia="en-US"/>
              </w:rPr>
              <w:t>R, DB 12 wks then OL osi wk 12 to 48</w:t>
            </w:r>
          </w:p>
        </w:tc>
        <w:tc>
          <w:tcPr>
            <w:tcW w:w="362" w:type="pct"/>
            <w:shd w:val="clear" w:color="auto" w:fill="D9E2F3" w:themeFill="accent1" w:themeFillTint="33"/>
            <w:vAlign w:val="center"/>
          </w:tcPr>
          <w:p w14:paraId="7C29850C" w14:textId="77777777" w:rsidR="007D00BA" w:rsidRPr="007A4E7E" w:rsidRDefault="007D00BA" w:rsidP="00914C1A">
            <w:pPr>
              <w:pStyle w:val="TableText0"/>
              <w:keepLines/>
              <w:jc w:val="center"/>
              <w:rPr>
                <w:iCs/>
              </w:rPr>
            </w:pPr>
            <w:r w:rsidRPr="007A4E7E">
              <w:rPr>
                <w:iCs/>
              </w:rPr>
              <w:t>Low</w:t>
            </w:r>
          </w:p>
        </w:tc>
        <w:tc>
          <w:tcPr>
            <w:tcW w:w="1349" w:type="pct"/>
            <w:shd w:val="clear" w:color="auto" w:fill="D9E2F3" w:themeFill="accent1" w:themeFillTint="33"/>
            <w:vAlign w:val="center"/>
          </w:tcPr>
          <w:p w14:paraId="5FE22354" w14:textId="77777777" w:rsidR="007D00BA" w:rsidRPr="007A4E7E" w:rsidRDefault="007D00BA" w:rsidP="00914C1A">
            <w:pPr>
              <w:pStyle w:val="TableText0"/>
              <w:keepLines/>
              <w:rPr>
                <w:rFonts w:eastAsiaTheme="minorHAnsi" w:cstheme="minorBidi"/>
                <w:szCs w:val="22"/>
                <w:lang w:eastAsia="en-US"/>
              </w:rPr>
            </w:pPr>
            <w:r w:rsidRPr="007A4E7E">
              <w:rPr>
                <w:rFonts w:eastAsiaTheme="minorHAnsi" w:cstheme="minorBidi"/>
                <w:szCs w:val="22"/>
                <w:lang w:eastAsia="en-US"/>
              </w:rPr>
              <w:t xml:space="preserve">Adults with CD with persistent or recurrent hypercortisolism after surgery and/or radiation or patients who were not candidates for surgery </w:t>
            </w:r>
          </w:p>
          <w:p w14:paraId="01724508" w14:textId="77777777" w:rsidR="007D00BA" w:rsidRPr="007A4E7E" w:rsidRDefault="007D00BA" w:rsidP="00914C1A">
            <w:pPr>
              <w:pStyle w:val="TableText0"/>
              <w:keepLines/>
              <w:rPr>
                <w:rFonts w:eastAsiaTheme="minorHAnsi" w:cstheme="minorBidi"/>
                <w:szCs w:val="22"/>
                <w:lang w:eastAsia="en-US"/>
              </w:rPr>
            </w:pPr>
            <w:r w:rsidRPr="007A4E7E">
              <w:rPr>
                <w:rFonts w:eastAsiaTheme="minorHAnsi" w:cstheme="minorBidi"/>
                <w:szCs w:val="22"/>
                <w:lang w:eastAsia="en-US"/>
              </w:rPr>
              <w:t>mUFC &gt;1.3 × ULN with ≥2 of UFC values being &gt; 1.3 × ULN</w:t>
            </w:r>
          </w:p>
        </w:tc>
        <w:tc>
          <w:tcPr>
            <w:tcW w:w="767" w:type="pct"/>
            <w:vMerge w:val="restart"/>
            <w:shd w:val="clear" w:color="auto" w:fill="D9E2F3" w:themeFill="accent1" w:themeFillTint="33"/>
            <w:vAlign w:val="center"/>
          </w:tcPr>
          <w:p w14:paraId="17CEEC85" w14:textId="77777777" w:rsidR="007D00BA" w:rsidRPr="007A4E7E" w:rsidRDefault="007D00BA" w:rsidP="00914C1A">
            <w:pPr>
              <w:pStyle w:val="TableText0"/>
              <w:keepLines/>
            </w:pPr>
            <w:r w:rsidRPr="007A4E7E">
              <w:t>Complete, partial, overall response</w:t>
            </w:r>
            <w:r w:rsidRPr="007A4E7E">
              <w:rPr>
                <w:vertAlign w:val="superscript"/>
              </w:rPr>
              <w:t>a</w:t>
            </w:r>
            <w:r w:rsidRPr="007A4E7E">
              <w:t xml:space="preserve">; time to escape </w:t>
            </w:r>
            <w:r w:rsidRPr="007A4E7E">
              <w:rPr>
                <w:vertAlign w:val="superscript"/>
              </w:rPr>
              <w:t>b</w:t>
            </w:r>
            <w:r w:rsidRPr="007A4E7E">
              <w:t xml:space="preserve">; QoL; safety </w:t>
            </w:r>
          </w:p>
        </w:tc>
        <w:tc>
          <w:tcPr>
            <w:tcW w:w="842" w:type="pct"/>
            <w:shd w:val="clear" w:color="auto" w:fill="D9E2F3" w:themeFill="accent1" w:themeFillTint="33"/>
            <w:vAlign w:val="center"/>
          </w:tcPr>
          <w:p w14:paraId="78546F06" w14:textId="77777777" w:rsidR="007D00BA" w:rsidRPr="007A4E7E" w:rsidRDefault="007D00BA" w:rsidP="00914C1A">
            <w:pPr>
              <w:pStyle w:val="TableText0"/>
              <w:keepLines/>
            </w:pPr>
            <w:r w:rsidRPr="007A4E7E">
              <w:t xml:space="preserve">Overall response, time to escape </w:t>
            </w:r>
            <w:r w:rsidRPr="007A4E7E">
              <w:rPr>
                <w:vertAlign w:val="superscript"/>
              </w:rPr>
              <w:t>c</w:t>
            </w:r>
            <w:r w:rsidRPr="007A4E7E">
              <w:t>, QoL, safety</w:t>
            </w:r>
          </w:p>
        </w:tc>
      </w:tr>
      <w:tr w:rsidR="007D00BA" w:rsidRPr="007A4E7E" w14:paraId="049E633C" w14:textId="77777777" w:rsidTr="00EA6DFD">
        <w:trPr>
          <w:cantSplit/>
        </w:trPr>
        <w:tc>
          <w:tcPr>
            <w:tcW w:w="418" w:type="pct"/>
            <w:shd w:val="clear" w:color="auto" w:fill="D9E2F3" w:themeFill="accent1" w:themeFillTint="33"/>
            <w:vAlign w:val="center"/>
          </w:tcPr>
          <w:p w14:paraId="1FC26F4D" w14:textId="77777777" w:rsidR="007D00BA" w:rsidRPr="007A4E7E" w:rsidRDefault="007D00BA" w:rsidP="00914C1A">
            <w:pPr>
              <w:pStyle w:val="TableText0"/>
              <w:keepLines/>
              <w:rPr>
                <w:rFonts w:eastAsiaTheme="minorHAnsi" w:cstheme="minorBidi"/>
                <w:szCs w:val="22"/>
                <w:lang w:eastAsia="en-US"/>
              </w:rPr>
            </w:pPr>
            <w:r w:rsidRPr="007A4E7E">
              <w:rPr>
                <w:rFonts w:eastAsiaTheme="minorHAnsi" w:cstheme="minorBidi"/>
                <w:szCs w:val="22"/>
                <w:lang w:eastAsia="en-US"/>
              </w:rPr>
              <w:t>LINC 3</w:t>
            </w:r>
          </w:p>
        </w:tc>
        <w:tc>
          <w:tcPr>
            <w:tcW w:w="537" w:type="pct"/>
            <w:shd w:val="clear" w:color="auto" w:fill="D9E2F3" w:themeFill="accent1" w:themeFillTint="33"/>
            <w:vAlign w:val="center"/>
          </w:tcPr>
          <w:p w14:paraId="0134A55C" w14:textId="77777777" w:rsidR="007D00BA" w:rsidRPr="007A4E7E" w:rsidRDefault="007D00BA" w:rsidP="00914C1A">
            <w:pPr>
              <w:pStyle w:val="TableText0"/>
              <w:keepLines/>
              <w:jc w:val="center"/>
              <w:rPr>
                <w:rFonts w:eastAsiaTheme="minorHAnsi" w:cstheme="minorBidi"/>
                <w:szCs w:val="22"/>
                <w:lang w:eastAsia="en-US"/>
              </w:rPr>
            </w:pPr>
            <w:r w:rsidRPr="007A4E7E">
              <w:rPr>
                <w:rFonts w:eastAsiaTheme="minorHAnsi" w:cstheme="minorBidi"/>
                <w:szCs w:val="22"/>
                <w:lang w:eastAsia="en-US"/>
              </w:rPr>
              <w:t>137 (OL)</w:t>
            </w:r>
          </w:p>
          <w:p w14:paraId="5BB8595E" w14:textId="77777777" w:rsidR="007D00BA" w:rsidRPr="007A4E7E" w:rsidRDefault="007D00BA" w:rsidP="00914C1A">
            <w:pPr>
              <w:pStyle w:val="TableText0"/>
              <w:keepLines/>
              <w:jc w:val="center"/>
              <w:rPr>
                <w:rFonts w:eastAsiaTheme="minorHAnsi" w:cstheme="minorBidi"/>
                <w:szCs w:val="22"/>
                <w:lang w:eastAsia="en-US"/>
              </w:rPr>
            </w:pPr>
            <w:r w:rsidRPr="007A4E7E">
              <w:rPr>
                <w:rFonts w:eastAsiaTheme="minorHAnsi" w:cstheme="minorBidi"/>
                <w:szCs w:val="22"/>
                <w:lang w:eastAsia="en-US"/>
              </w:rPr>
              <w:t>71 (RW)</w:t>
            </w:r>
          </w:p>
        </w:tc>
        <w:tc>
          <w:tcPr>
            <w:tcW w:w="726" w:type="pct"/>
            <w:shd w:val="clear" w:color="auto" w:fill="D9E2F3" w:themeFill="accent1" w:themeFillTint="33"/>
            <w:vAlign w:val="center"/>
          </w:tcPr>
          <w:p w14:paraId="4A4945AA" w14:textId="77777777" w:rsidR="007D00BA" w:rsidRPr="007A4E7E" w:rsidRDefault="007D00BA" w:rsidP="00914C1A">
            <w:pPr>
              <w:keepNext/>
              <w:keepLines/>
              <w:jc w:val="left"/>
              <w:rPr>
                <w:rFonts w:ascii="Arial Narrow" w:eastAsiaTheme="minorHAnsi" w:hAnsi="Arial Narrow" w:cstheme="minorBidi"/>
                <w:sz w:val="20"/>
                <w:szCs w:val="22"/>
                <w:lang w:eastAsia="en-US"/>
              </w:rPr>
            </w:pPr>
            <w:r w:rsidRPr="007A4E7E">
              <w:rPr>
                <w:rFonts w:ascii="Arial Narrow" w:eastAsiaTheme="minorHAnsi" w:hAnsi="Arial Narrow" w:cstheme="minorBidi"/>
                <w:sz w:val="20"/>
                <w:szCs w:val="22"/>
                <w:lang w:eastAsia="en-US"/>
              </w:rPr>
              <w:t>OL single arm 26 wks then R, DB to 34 wks then OL osi to 48 wks</w:t>
            </w:r>
          </w:p>
        </w:tc>
        <w:tc>
          <w:tcPr>
            <w:tcW w:w="362" w:type="pct"/>
            <w:shd w:val="clear" w:color="auto" w:fill="D9E2F3" w:themeFill="accent1" w:themeFillTint="33"/>
            <w:vAlign w:val="center"/>
          </w:tcPr>
          <w:p w14:paraId="780259E1" w14:textId="77777777" w:rsidR="007D00BA" w:rsidRPr="007A4E7E" w:rsidRDefault="007D00BA" w:rsidP="00914C1A">
            <w:pPr>
              <w:pStyle w:val="TableText0"/>
              <w:keepLines/>
              <w:jc w:val="center"/>
              <w:rPr>
                <w:iCs/>
              </w:rPr>
            </w:pPr>
            <w:r w:rsidRPr="007A4E7E">
              <w:rPr>
                <w:iCs/>
              </w:rPr>
              <w:t>High</w:t>
            </w:r>
          </w:p>
        </w:tc>
        <w:tc>
          <w:tcPr>
            <w:tcW w:w="1349" w:type="pct"/>
            <w:shd w:val="clear" w:color="auto" w:fill="D9E2F3" w:themeFill="accent1" w:themeFillTint="33"/>
            <w:vAlign w:val="center"/>
          </w:tcPr>
          <w:p w14:paraId="0D3F05C0" w14:textId="77777777" w:rsidR="007D00BA" w:rsidRPr="007A4E7E" w:rsidRDefault="007D00BA" w:rsidP="00914C1A">
            <w:pPr>
              <w:pStyle w:val="TableText0"/>
              <w:keepLines/>
              <w:rPr>
                <w:rFonts w:eastAsiaTheme="minorHAnsi" w:cstheme="minorBidi"/>
                <w:szCs w:val="22"/>
                <w:lang w:eastAsia="en-US"/>
              </w:rPr>
            </w:pPr>
            <w:r w:rsidRPr="007A4E7E">
              <w:rPr>
                <w:rFonts w:eastAsiaTheme="minorHAnsi" w:cstheme="minorBidi"/>
                <w:szCs w:val="22"/>
                <w:lang w:eastAsia="en-US"/>
              </w:rPr>
              <w:t>Adults with CD with persistent or recurrent hypercortisolism after surgery and/or radiation or patients who were not candidates for surgery</w:t>
            </w:r>
          </w:p>
          <w:p w14:paraId="45CC57B6" w14:textId="77777777" w:rsidR="007D00BA" w:rsidRPr="007A4E7E" w:rsidRDefault="007D00BA" w:rsidP="00914C1A">
            <w:pPr>
              <w:pStyle w:val="TableText0"/>
              <w:keepLines/>
              <w:rPr>
                <w:rFonts w:eastAsiaTheme="minorHAnsi" w:cstheme="minorBidi"/>
                <w:szCs w:val="22"/>
                <w:lang w:eastAsia="en-US"/>
              </w:rPr>
            </w:pPr>
            <w:r w:rsidRPr="007A4E7E">
              <w:rPr>
                <w:rFonts w:eastAsiaTheme="minorHAnsi" w:cstheme="minorBidi"/>
                <w:szCs w:val="22"/>
                <w:lang w:eastAsia="en-US"/>
              </w:rPr>
              <w:t>mUFC &gt; 1.5 × ULN</w:t>
            </w:r>
          </w:p>
        </w:tc>
        <w:tc>
          <w:tcPr>
            <w:tcW w:w="767" w:type="pct"/>
            <w:vMerge/>
            <w:shd w:val="clear" w:color="auto" w:fill="D9E2F3" w:themeFill="accent1" w:themeFillTint="33"/>
            <w:vAlign w:val="center"/>
          </w:tcPr>
          <w:p w14:paraId="4B4DCD77" w14:textId="77777777" w:rsidR="007D00BA" w:rsidRPr="007A4E7E" w:rsidRDefault="007D00BA" w:rsidP="00914C1A">
            <w:pPr>
              <w:pStyle w:val="TableText0"/>
              <w:keepLines/>
              <w:jc w:val="center"/>
            </w:pPr>
          </w:p>
        </w:tc>
        <w:tc>
          <w:tcPr>
            <w:tcW w:w="842" w:type="pct"/>
            <w:shd w:val="clear" w:color="auto" w:fill="D9E2F3" w:themeFill="accent1" w:themeFillTint="33"/>
            <w:vAlign w:val="center"/>
          </w:tcPr>
          <w:p w14:paraId="02D01ABC" w14:textId="77777777" w:rsidR="007D00BA" w:rsidRPr="007A4E7E" w:rsidRDefault="007D00BA" w:rsidP="00914C1A">
            <w:pPr>
              <w:pStyle w:val="TableText0"/>
              <w:keepLines/>
            </w:pPr>
            <w:r w:rsidRPr="007A4E7E">
              <w:t>Sensitivity analysis only (overall response)</w:t>
            </w:r>
          </w:p>
        </w:tc>
      </w:tr>
      <w:tr w:rsidR="007D00BA" w:rsidRPr="007A4E7E" w14:paraId="2AE4BAEF" w14:textId="77777777" w:rsidTr="00EA6DFD">
        <w:trPr>
          <w:cantSplit/>
        </w:trPr>
        <w:tc>
          <w:tcPr>
            <w:tcW w:w="418" w:type="pct"/>
            <w:shd w:val="clear" w:color="auto" w:fill="D9E2F3" w:themeFill="accent1" w:themeFillTint="33"/>
            <w:vAlign w:val="center"/>
          </w:tcPr>
          <w:p w14:paraId="4B51AC78" w14:textId="77777777" w:rsidR="007D00BA" w:rsidRPr="007A4E7E" w:rsidRDefault="007D00BA" w:rsidP="00914C1A">
            <w:pPr>
              <w:pStyle w:val="TableText0"/>
              <w:keepLines/>
              <w:rPr>
                <w:rFonts w:eastAsiaTheme="minorHAnsi" w:cstheme="minorBidi"/>
                <w:szCs w:val="22"/>
                <w:lang w:eastAsia="en-US"/>
              </w:rPr>
            </w:pPr>
            <w:r w:rsidRPr="007A4E7E">
              <w:rPr>
                <w:rFonts w:eastAsiaTheme="minorHAnsi" w:cstheme="minorBidi"/>
                <w:szCs w:val="22"/>
                <w:lang w:eastAsia="en-US"/>
              </w:rPr>
              <w:t>C1201</w:t>
            </w:r>
          </w:p>
        </w:tc>
        <w:tc>
          <w:tcPr>
            <w:tcW w:w="537" w:type="pct"/>
            <w:shd w:val="clear" w:color="auto" w:fill="D9E2F3" w:themeFill="accent1" w:themeFillTint="33"/>
            <w:vAlign w:val="center"/>
          </w:tcPr>
          <w:p w14:paraId="175266DB" w14:textId="77777777" w:rsidR="007D00BA" w:rsidRPr="007A4E7E" w:rsidRDefault="007D00BA" w:rsidP="00914C1A">
            <w:pPr>
              <w:pStyle w:val="TableText0"/>
              <w:keepLines/>
              <w:jc w:val="center"/>
              <w:rPr>
                <w:rFonts w:eastAsiaTheme="minorHAnsi" w:cstheme="minorBidi"/>
                <w:szCs w:val="22"/>
                <w:lang w:eastAsia="en-US"/>
              </w:rPr>
            </w:pPr>
            <w:r w:rsidRPr="007A4E7E">
              <w:rPr>
                <w:rFonts w:eastAsiaTheme="minorHAnsi" w:cstheme="minorBidi"/>
                <w:szCs w:val="22"/>
                <w:lang w:eastAsia="en-US"/>
              </w:rPr>
              <w:t>9</w:t>
            </w:r>
          </w:p>
        </w:tc>
        <w:tc>
          <w:tcPr>
            <w:tcW w:w="726" w:type="pct"/>
            <w:shd w:val="clear" w:color="auto" w:fill="D9E2F3" w:themeFill="accent1" w:themeFillTint="33"/>
            <w:vAlign w:val="center"/>
          </w:tcPr>
          <w:p w14:paraId="4F409FFF" w14:textId="77777777" w:rsidR="007D00BA" w:rsidRPr="007A4E7E" w:rsidRDefault="007D00BA" w:rsidP="00914C1A">
            <w:pPr>
              <w:keepNext/>
              <w:keepLines/>
              <w:jc w:val="left"/>
              <w:rPr>
                <w:rFonts w:ascii="Arial Narrow" w:eastAsiaTheme="minorHAnsi" w:hAnsi="Arial Narrow" w:cstheme="minorBidi"/>
                <w:sz w:val="20"/>
                <w:szCs w:val="22"/>
                <w:lang w:eastAsia="en-US"/>
              </w:rPr>
            </w:pPr>
            <w:r w:rsidRPr="007A4E7E">
              <w:rPr>
                <w:rFonts w:ascii="Arial Narrow" w:eastAsiaTheme="minorHAnsi" w:hAnsi="Arial Narrow" w:cstheme="minorBidi"/>
                <w:sz w:val="20"/>
                <w:szCs w:val="22"/>
                <w:lang w:eastAsia="en-US"/>
              </w:rPr>
              <w:t>OL single arm 48 wks</w:t>
            </w:r>
          </w:p>
        </w:tc>
        <w:tc>
          <w:tcPr>
            <w:tcW w:w="362" w:type="pct"/>
            <w:shd w:val="clear" w:color="auto" w:fill="D9E2F3" w:themeFill="accent1" w:themeFillTint="33"/>
            <w:vAlign w:val="center"/>
          </w:tcPr>
          <w:p w14:paraId="7D46DB91" w14:textId="77777777" w:rsidR="007D00BA" w:rsidRPr="007A4E7E" w:rsidRDefault="007D00BA" w:rsidP="00914C1A">
            <w:pPr>
              <w:pStyle w:val="TableText0"/>
              <w:keepLines/>
              <w:jc w:val="center"/>
              <w:rPr>
                <w:iCs/>
              </w:rPr>
            </w:pPr>
            <w:r w:rsidRPr="007A4E7E">
              <w:rPr>
                <w:iCs/>
              </w:rPr>
              <w:t>High</w:t>
            </w:r>
          </w:p>
        </w:tc>
        <w:tc>
          <w:tcPr>
            <w:tcW w:w="1349" w:type="pct"/>
            <w:shd w:val="clear" w:color="auto" w:fill="D9E2F3" w:themeFill="accent1" w:themeFillTint="33"/>
            <w:vAlign w:val="center"/>
          </w:tcPr>
          <w:p w14:paraId="22623307" w14:textId="77777777" w:rsidR="007D00BA" w:rsidRPr="007A4E7E" w:rsidRDefault="007D00BA" w:rsidP="00914C1A">
            <w:pPr>
              <w:pStyle w:val="TableText0"/>
              <w:keepLines/>
              <w:rPr>
                <w:rFonts w:eastAsiaTheme="minorHAnsi" w:cstheme="minorBidi"/>
                <w:szCs w:val="22"/>
                <w:lang w:eastAsia="en-US"/>
              </w:rPr>
            </w:pPr>
            <w:r w:rsidRPr="007A4E7E">
              <w:rPr>
                <w:rFonts w:eastAsiaTheme="minorHAnsi" w:cstheme="minorBidi"/>
                <w:szCs w:val="22"/>
                <w:lang w:eastAsia="en-US"/>
              </w:rPr>
              <w:t>Adult Japanese patients with endogenous CS other than CD</w:t>
            </w:r>
          </w:p>
        </w:tc>
        <w:tc>
          <w:tcPr>
            <w:tcW w:w="767" w:type="pct"/>
            <w:shd w:val="clear" w:color="auto" w:fill="D9E2F3" w:themeFill="accent1" w:themeFillTint="33"/>
            <w:vAlign w:val="center"/>
          </w:tcPr>
          <w:p w14:paraId="2C4C5602" w14:textId="77777777" w:rsidR="007D00BA" w:rsidRPr="007A4E7E" w:rsidRDefault="007D00BA" w:rsidP="00914C1A">
            <w:pPr>
              <w:pStyle w:val="TableText0"/>
              <w:keepLines/>
            </w:pPr>
            <w:r w:rsidRPr="007A4E7E">
              <w:t>Response rate; QoL</w:t>
            </w:r>
          </w:p>
        </w:tc>
        <w:tc>
          <w:tcPr>
            <w:tcW w:w="842" w:type="pct"/>
            <w:shd w:val="clear" w:color="auto" w:fill="D9E2F3" w:themeFill="accent1" w:themeFillTint="33"/>
            <w:vAlign w:val="center"/>
          </w:tcPr>
          <w:p w14:paraId="078C42A0" w14:textId="77777777" w:rsidR="007D00BA" w:rsidRPr="007A4E7E" w:rsidRDefault="007D00BA" w:rsidP="00914C1A">
            <w:pPr>
              <w:pStyle w:val="TableText0"/>
              <w:keepLines/>
            </w:pPr>
            <w:r w:rsidRPr="007A4E7E">
              <w:t>Not included.</w:t>
            </w:r>
          </w:p>
        </w:tc>
      </w:tr>
    </w:tbl>
    <w:p w14:paraId="23E42F41" w14:textId="77777777" w:rsidR="007D00BA" w:rsidRPr="007A4E7E" w:rsidRDefault="007D00BA" w:rsidP="00914C1A">
      <w:pPr>
        <w:pStyle w:val="FooterTableFigure"/>
        <w:keepNext/>
        <w:keepLines/>
      </w:pPr>
      <w:r w:rsidRPr="007A4E7E">
        <w:t>Source: Table 3, osilodrostat, PSD, March 2023 PBAC meeting</w:t>
      </w:r>
    </w:p>
    <w:p w14:paraId="03F58E95" w14:textId="77777777" w:rsidR="007D00BA" w:rsidRPr="007A4E7E" w:rsidRDefault="007D00BA" w:rsidP="00914C1A">
      <w:pPr>
        <w:pStyle w:val="FooterTableFigure"/>
        <w:keepNext/>
        <w:keepLines/>
      </w:pPr>
      <w:r w:rsidRPr="007A4E7E">
        <w:rPr>
          <w:szCs w:val="18"/>
          <w:lang w:eastAsia="en-US"/>
        </w:rPr>
        <w:t xml:space="preserve">CD = Cushing’s disease; CS = Cushing’s syndrome; DB = double-blind; mUFC = mean urinary free cortisol; OL = open-label; osi = osilodrostat; R = randomised; RW = randomised withdrawal; </w:t>
      </w:r>
      <w:r w:rsidRPr="007A4E7E">
        <w:t>QoL = quality of life; ULN = upper limit of normal; wks = weeks</w:t>
      </w:r>
    </w:p>
    <w:p w14:paraId="7E6BA5EB" w14:textId="77777777" w:rsidR="007D00BA" w:rsidRPr="007A4E7E" w:rsidRDefault="007D00BA" w:rsidP="00914C1A">
      <w:pPr>
        <w:pStyle w:val="FooterTableFigure"/>
        <w:keepNext/>
        <w:keepLines/>
      </w:pPr>
      <w:r w:rsidRPr="007A4E7E">
        <w:t>a Complete response was defined as mUFC ≤ ULN; partial response was defined as patients with a mUFC &gt; ULN but who achieved ≥50% improvement from baseline; and overall response was defined as patients who achieved either a complete or partial response.</w:t>
      </w:r>
    </w:p>
    <w:p w14:paraId="02C926A1" w14:textId="77777777" w:rsidR="007D00BA" w:rsidRPr="007A4E7E" w:rsidRDefault="007D00BA" w:rsidP="00914C1A">
      <w:pPr>
        <w:pStyle w:val="FooterTableFigure"/>
        <w:keepNext/>
        <w:keepLines/>
      </w:pPr>
      <w:r w:rsidRPr="007A4E7E">
        <w:t>b Time to escape defined as the time (in days) between the first normalisation of UFC (mUFC≤ULN) and either the UFC assessment of escape (loss of UFC control after dose titration period, defined as at least two individual values contributing to that mUFC were &gt;1.3xULN (LINC 4) or &gt;1.5×ULN (LINC 3), unrelated to dose interruption or reduction due to safety/tolerability reasons) or last UFC assessment before permanent discontinuation of osilodrostat treatment (censored), whichever occurred earlier.</w:t>
      </w:r>
    </w:p>
    <w:p w14:paraId="79DBA482" w14:textId="77777777" w:rsidR="007D00BA" w:rsidRPr="007A4E7E" w:rsidRDefault="007D00BA" w:rsidP="007D00BA">
      <w:pPr>
        <w:pStyle w:val="FooterTableFigure"/>
      </w:pPr>
      <w:r w:rsidRPr="007A4E7E">
        <w:t>c time to escape was used to inform duration of response in the post-hoc analysis of LINC 4 which was then used in the economic model</w:t>
      </w:r>
    </w:p>
    <w:p w14:paraId="7A430E01" w14:textId="77777777" w:rsidR="007D00BA" w:rsidRPr="007A4E7E" w:rsidRDefault="007D00BA" w:rsidP="007D00BA">
      <w:pPr>
        <w:pStyle w:val="FooterTableFigure"/>
        <w:rPr>
          <w:sz w:val="20"/>
        </w:rPr>
      </w:pPr>
      <w:r w:rsidRPr="007A4E7E">
        <w:rPr>
          <w:iCs/>
          <w:shd w:val="clear" w:color="auto" w:fill="D9E2F3" w:themeFill="accent1" w:themeFillTint="33"/>
        </w:rPr>
        <w:t>Blue shade</w:t>
      </w:r>
      <w:r w:rsidRPr="007A4E7E">
        <w:rPr>
          <w:iCs/>
        </w:rPr>
        <w:t xml:space="preserve"> indicates data previously seen by the PBAC</w:t>
      </w:r>
    </w:p>
    <w:p w14:paraId="797D3A2A" w14:textId="4236034B" w:rsidR="007D00BA" w:rsidRPr="007A4E7E" w:rsidRDefault="007D00BA" w:rsidP="007D00BA">
      <w:pPr>
        <w:pStyle w:val="ExecSumBodyText"/>
        <w:numPr>
          <w:ilvl w:val="1"/>
          <w:numId w:val="1"/>
        </w:numPr>
      </w:pPr>
      <w:r w:rsidRPr="007A4E7E">
        <w:t xml:space="preserve">At the March 2023 PBAC meeting, LINC 4 was considered </w:t>
      </w:r>
      <w:r w:rsidR="00A87F4C">
        <w:t>to have a</w:t>
      </w:r>
      <w:r w:rsidR="00A87F4C" w:rsidRPr="007A4E7E">
        <w:t xml:space="preserve"> </w:t>
      </w:r>
      <w:r w:rsidRPr="007A4E7E">
        <w:t xml:space="preserve">low risk </w:t>
      </w:r>
      <w:r w:rsidR="00A87F4C">
        <w:t xml:space="preserve">of bias </w:t>
      </w:r>
      <w:r w:rsidRPr="007A4E7E">
        <w:t xml:space="preserve">during the double-blinded, placebo-controlled period (12 weeks) after which </w:t>
      </w:r>
      <w:r w:rsidR="00A87F4C" w:rsidRPr="007A4E7E">
        <w:t>during the open-label (OL) period</w:t>
      </w:r>
      <w:r w:rsidR="00A87F4C">
        <w:t>,</w:t>
      </w:r>
      <w:r w:rsidR="00A87F4C" w:rsidRPr="007A4E7E">
        <w:t xml:space="preserve"> </w:t>
      </w:r>
      <w:r w:rsidRPr="007A4E7E">
        <w:t xml:space="preserve">outcomes were </w:t>
      </w:r>
      <w:r w:rsidR="00A87F4C">
        <w:t>subject</w:t>
      </w:r>
      <w:r w:rsidR="00A87F4C" w:rsidRPr="007A4E7E">
        <w:t xml:space="preserve"> </w:t>
      </w:r>
      <w:r w:rsidRPr="007A4E7E">
        <w:t xml:space="preserve">to a higher risk of performance bias , particularly for patient-reported outcomes (PROs; paragraph 6.6, osilodrostat, PSD, March 2023 PBAC meeting). LINC 3 was considered </w:t>
      </w:r>
      <w:r w:rsidR="00A87F4C">
        <w:t>to have a</w:t>
      </w:r>
      <w:r w:rsidR="00A87F4C" w:rsidRPr="007A4E7E">
        <w:t xml:space="preserve"> </w:t>
      </w:r>
      <w:r w:rsidRPr="007A4E7E">
        <w:t xml:space="preserve">high risk of bias given the initial OL period of 26 weeks (N=137) and only patients responding to osilodrostat were randomised at that point (N=71; paragraph 6.6, osilodrostat, PSD, March 2023 PBAC meeting), leading to selection bias. The selection bias in LINC 3 meant that any estimate of effect size was likely overestimated (paragraph 7.6, osilodrostat PSD, March 2023 PBAC meeting). Both LINC 4 and LINC 3 extension periods only enrolled patients who demonstrated a response to osilodrostat which likely led to overestimated response rates in the extension period. C1201 was a non-randomised, single-arm OL study of nine patients and was considered </w:t>
      </w:r>
      <w:r w:rsidR="00A87F4C">
        <w:t>to have a</w:t>
      </w:r>
      <w:r w:rsidR="00A87F4C" w:rsidRPr="007A4E7E">
        <w:t xml:space="preserve"> </w:t>
      </w:r>
      <w:r w:rsidRPr="007A4E7E">
        <w:t>high risk of bias.</w:t>
      </w:r>
    </w:p>
    <w:p w14:paraId="542D5C8F" w14:textId="77777777" w:rsidR="007D00BA" w:rsidRPr="007A4E7E" w:rsidRDefault="007D00BA" w:rsidP="007D00BA">
      <w:pPr>
        <w:pStyle w:val="4-SubsectionHeading"/>
      </w:pPr>
      <w:bookmarkStart w:id="30" w:name="_Toc156988656"/>
      <w:r w:rsidRPr="007A4E7E">
        <w:t>Comparative effectiveness</w:t>
      </w:r>
      <w:bookmarkEnd w:id="30"/>
    </w:p>
    <w:p w14:paraId="6B44CB2A" w14:textId="77777777" w:rsidR="007D00BA" w:rsidRPr="007A4E7E" w:rsidRDefault="007D00BA" w:rsidP="007D00BA">
      <w:pPr>
        <w:pStyle w:val="ExecSumBodyText"/>
        <w:numPr>
          <w:ilvl w:val="1"/>
          <w:numId w:val="1"/>
        </w:numPr>
      </w:pPr>
      <w:r w:rsidRPr="007A4E7E">
        <w:rPr>
          <w:snapToGrid/>
        </w:rPr>
        <w:t>The comparative evidence between osilodrostat and placebo (full analysis set [</w:t>
      </w:r>
      <w:r w:rsidRPr="007A4E7E">
        <w:t>FAS</w:t>
      </w:r>
      <w:r w:rsidRPr="007A4E7E">
        <w:rPr>
          <w:snapToGrid/>
        </w:rPr>
        <w:t xml:space="preserve">]) in LINC 4 and LINC 3 were the same as the previous submission. The </w:t>
      </w:r>
      <w:r w:rsidRPr="007A4E7E">
        <w:t xml:space="preserve">PBAC had previously noted that osilodrostat demonstrated a statistically significant improvement in CR at week 12 (risk difference [RD] = </w:t>
      </w:r>
      <w:r w:rsidRPr="007A4E7E">
        <w:rPr>
          <w:rFonts w:cs="Calibri"/>
          <w:iCs/>
        </w:rPr>
        <w:t xml:space="preserve">0.69 [95% CI 0.47, 0.80]; odds </w:t>
      </w:r>
      <w:r w:rsidRPr="007A4E7E">
        <w:rPr>
          <w:rFonts w:cs="Calibri"/>
          <w:iCs/>
        </w:rPr>
        <w:lastRenderedPageBreak/>
        <w:t xml:space="preserve">ratio [OR] = 43.4 [95% CI 7.06, 343.19]; paragraph 7.7, osilodrostat, PSD, March 2023 PBAC meeting) and has accepted </w:t>
      </w:r>
      <w:r w:rsidRPr="007A4E7E">
        <w:t>the clinical claim of superior comparative effectiveness of osilodrostat to placebo for the surrogate outcome of CR of UFC (</w:t>
      </w:r>
      <w:r w:rsidRPr="007A4E7E">
        <w:rPr>
          <w:rFonts w:cs="Calibri"/>
          <w:iCs/>
        </w:rPr>
        <w:t>paragraph 7.8, osilodrostat, PSD, March 2023 PBAC meeting)</w:t>
      </w:r>
      <w:r w:rsidRPr="007A4E7E">
        <w:t>. The overall response rate (ORR), defined as CR plus PR, also favoured osilodrostat over placebo (RD = 0.65 [95% CI 0.47, 0.83]; OR = 22.75 [95% CI 6.25, 82.79]).</w:t>
      </w:r>
    </w:p>
    <w:p w14:paraId="4932F5B4" w14:textId="162D21E2" w:rsidR="007D00BA" w:rsidRPr="007A4E7E" w:rsidRDefault="007D00BA" w:rsidP="007D00BA">
      <w:pPr>
        <w:pStyle w:val="ExecSumBodyText"/>
        <w:numPr>
          <w:ilvl w:val="1"/>
          <w:numId w:val="1"/>
        </w:numPr>
        <w:rPr>
          <w:iCs/>
        </w:rPr>
      </w:pPr>
      <w:r w:rsidRPr="007A4E7E">
        <w:t xml:space="preserve">The decrease in response at week 96 in LINC 4 (CR = 4/19, 21% from 34/48, 70.8% at Week 48, see </w:t>
      </w:r>
      <w:r w:rsidRPr="007A4E7E">
        <w:fldChar w:fldCharType="begin" w:fldLock="1"/>
      </w:r>
      <w:r w:rsidRPr="007A4E7E">
        <w:instrText xml:space="preserve"> REF _Ref152846185 \h </w:instrText>
      </w:r>
      <w:r w:rsidRPr="007A4E7E">
        <w:fldChar w:fldCharType="separate"/>
      </w:r>
      <w:r w:rsidR="00043D39" w:rsidRPr="007A4E7E">
        <w:t xml:space="preserve">Table </w:t>
      </w:r>
      <w:r w:rsidR="00043D39">
        <w:rPr>
          <w:noProof/>
        </w:rPr>
        <w:t>5</w:t>
      </w:r>
      <w:r w:rsidRPr="007A4E7E">
        <w:fldChar w:fldCharType="end"/>
      </w:r>
      <w:r w:rsidRPr="007A4E7E">
        <w:t xml:space="preserve">) called into question the durability of response to osilodrostat, however, </w:t>
      </w:r>
      <w:r w:rsidRPr="007A4E7E">
        <w:rPr>
          <w:rFonts w:cs="Calibri"/>
          <w:iCs/>
        </w:rPr>
        <w:t xml:space="preserve">the previous submission considered data up to week 72 in LINC 3 better reflected the durability of response </w:t>
      </w:r>
      <w:r w:rsidRPr="007A4E7E">
        <w:t>(</w:t>
      </w:r>
      <w:r w:rsidRPr="007A4E7E">
        <w:rPr>
          <w:rFonts w:cs="Calibri"/>
          <w:iCs/>
        </w:rPr>
        <w:t xml:space="preserve">paragraph 6.11, osilodrostat, PSD, March 2023 PBAC meeting) and that </w:t>
      </w:r>
      <w:r w:rsidRPr="007A4E7E">
        <w:t>mUFC levels were consistently below the ULN (</w:t>
      </w:r>
      <w:r w:rsidRPr="007A4E7E">
        <w:rPr>
          <w:szCs w:val="18"/>
        </w:rPr>
        <w:t xml:space="preserve">138 nmol/24h) up to week 204 (Figure 2, p19, osilodrostat, PSD, March 2023 PBAC meeting). </w:t>
      </w:r>
      <w:r w:rsidRPr="007A4E7E">
        <w:rPr>
          <w:rFonts w:cs="Calibri"/>
        </w:rPr>
        <w:t xml:space="preserve">However, the additional data from LINC 3 indicated that response at week 120 reduced considerably when the denominator was based on the FAS population (CR = 62/137, 45.3% a decreased from 91/137, 66.4% at Week 48; ORR = 73/137, 53.3% a decrease from </w:t>
      </w:r>
      <w:r w:rsidRPr="007A4E7E">
        <w:t>104/137, 75.9% at Week 48</w:t>
      </w:r>
      <w:r w:rsidRPr="007A4E7E">
        <w:rPr>
          <w:rFonts w:cs="Calibri"/>
        </w:rPr>
        <w:t>). Further,</w:t>
      </w:r>
      <w:r w:rsidRPr="007A4E7E" w:rsidDel="00A0185C">
        <w:rPr>
          <w:iCs/>
        </w:rPr>
        <w:t xml:space="preserve"> </w:t>
      </w:r>
      <w:r w:rsidRPr="007A4E7E">
        <w:rPr>
          <w:iCs/>
        </w:rPr>
        <w:t>o</w:t>
      </w:r>
      <w:r w:rsidRPr="007A4E7E" w:rsidDel="00A0185C">
        <w:rPr>
          <w:iCs/>
        </w:rPr>
        <w:t>nly patients who demonstrated response to osilodrostat enrolled in the extension periods which potentially led to overestimated response rates for the EOT extension.</w:t>
      </w:r>
      <w:r w:rsidRPr="007A4E7E">
        <w:rPr>
          <w:rFonts w:cs="Calibri"/>
        </w:rPr>
        <w:t xml:space="preserve"> </w:t>
      </w:r>
      <w:r w:rsidRPr="007A4E7E">
        <w:rPr>
          <w:rFonts w:cs="Calibri"/>
          <w:iCs/>
        </w:rPr>
        <w:t xml:space="preserve">The response rate results for LINC 4 and LINC 3 at different time points are presented in </w:t>
      </w:r>
      <w:r w:rsidRPr="007A4E7E">
        <w:rPr>
          <w:rFonts w:cs="Calibri"/>
          <w:iCs/>
        </w:rPr>
        <w:fldChar w:fldCharType="begin" w:fldLock="1"/>
      </w:r>
      <w:r w:rsidRPr="007A4E7E">
        <w:rPr>
          <w:rFonts w:cs="Calibri"/>
          <w:iCs/>
        </w:rPr>
        <w:instrText xml:space="preserve"> REF _Ref152846185 \h  \* MERGEFORMAT </w:instrText>
      </w:r>
      <w:r w:rsidRPr="007A4E7E">
        <w:rPr>
          <w:rFonts w:cs="Calibri"/>
          <w:iCs/>
        </w:rPr>
      </w:r>
      <w:r w:rsidRPr="007A4E7E">
        <w:rPr>
          <w:rFonts w:cs="Calibri"/>
          <w:iCs/>
        </w:rPr>
        <w:fldChar w:fldCharType="separate"/>
      </w:r>
      <w:r w:rsidR="00043D39" w:rsidRPr="00043D39">
        <w:rPr>
          <w:iCs/>
        </w:rPr>
        <w:t>Table 5</w:t>
      </w:r>
      <w:r w:rsidRPr="007A4E7E">
        <w:rPr>
          <w:rFonts w:cs="Calibri"/>
          <w:iCs/>
        </w:rPr>
        <w:fldChar w:fldCharType="end"/>
      </w:r>
      <w:r w:rsidRPr="007A4E7E">
        <w:rPr>
          <w:rFonts w:cs="Calibri"/>
          <w:iCs/>
        </w:rPr>
        <w:t xml:space="preserve">. </w:t>
      </w:r>
    </w:p>
    <w:p w14:paraId="4308E683" w14:textId="6BB14342" w:rsidR="007D00BA" w:rsidRPr="007A4E7E" w:rsidRDefault="007D00BA" w:rsidP="007D00BA">
      <w:pPr>
        <w:pStyle w:val="Caption"/>
      </w:pPr>
      <w:bookmarkStart w:id="31" w:name="_Ref152846185"/>
      <w:r w:rsidRPr="007A4E7E">
        <w:lastRenderedPageBreak/>
        <w:t xml:space="preserve">Table </w:t>
      </w:r>
      <w:r w:rsidR="00545EA1">
        <w:fldChar w:fldCharType="begin" w:fldLock="1"/>
      </w:r>
      <w:r w:rsidR="00545EA1">
        <w:instrText xml:space="preserve"> SEQ Table \* ARABIC </w:instrText>
      </w:r>
      <w:r w:rsidR="00545EA1">
        <w:fldChar w:fldCharType="separate"/>
      </w:r>
      <w:r w:rsidR="00043D39">
        <w:rPr>
          <w:noProof/>
        </w:rPr>
        <w:t>5</w:t>
      </w:r>
      <w:r w:rsidR="00545EA1">
        <w:rPr>
          <w:noProof/>
        </w:rPr>
        <w:fldChar w:fldCharType="end"/>
      </w:r>
      <w:bookmarkEnd w:id="31"/>
      <w:r w:rsidRPr="007A4E7E">
        <w:t>: Response rates during in the overall study periods of LINC 4 and LINC 3 (FAS)</w:t>
      </w:r>
    </w:p>
    <w:tbl>
      <w:tblPr>
        <w:tblStyle w:val="TableGrid"/>
        <w:tblW w:w="5000" w:type="pct"/>
        <w:tblLook w:val="04A0" w:firstRow="1" w:lastRow="0" w:firstColumn="1" w:lastColumn="0" w:noHBand="0" w:noVBand="1"/>
        <w:tblCaption w:val="Table 5: Response rates during in the overall study periods of LINC 4 and LINC 3 (FAS)"/>
      </w:tblPr>
      <w:tblGrid>
        <w:gridCol w:w="2033"/>
        <w:gridCol w:w="1538"/>
        <w:gridCol w:w="2130"/>
        <w:gridCol w:w="1751"/>
        <w:gridCol w:w="1565"/>
      </w:tblGrid>
      <w:tr w:rsidR="007D00BA" w:rsidRPr="007A4E7E" w14:paraId="661A95E6" w14:textId="77777777" w:rsidTr="00EA6DFD">
        <w:tc>
          <w:tcPr>
            <w:tcW w:w="1127" w:type="pct"/>
            <w:shd w:val="clear" w:color="auto" w:fill="auto"/>
            <w:vAlign w:val="center"/>
          </w:tcPr>
          <w:p w14:paraId="47800D8D" w14:textId="77777777" w:rsidR="007D00BA" w:rsidRPr="007A4E7E" w:rsidRDefault="007D00BA" w:rsidP="00EA6DFD">
            <w:pPr>
              <w:pStyle w:val="TableText0"/>
              <w:rPr>
                <w:b/>
                <w:bCs w:val="0"/>
              </w:rPr>
            </w:pPr>
          </w:p>
        </w:tc>
        <w:tc>
          <w:tcPr>
            <w:tcW w:w="3005" w:type="pct"/>
            <w:gridSpan w:val="3"/>
            <w:shd w:val="clear" w:color="auto" w:fill="auto"/>
            <w:vAlign w:val="center"/>
          </w:tcPr>
          <w:p w14:paraId="1694AB86" w14:textId="77777777" w:rsidR="007D00BA" w:rsidRPr="007A4E7E" w:rsidRDefault="007D00BA" w:rsidP="00EA6DFD">
            <w:pPr>
              <w:pStyle w:val="TableText0"/>
              <w:jc w:val="center"/>
              <w:rPr>
                <w:b/>
                <w:bCs w:val="0"/>
              </w:rPr>
            </w:pPr>
            <w:r w:rsidRPr="007A4E7E">
              <w:rPr>
                <w:b/>
                <w:bCs w:val="0"/>
              </w:rPr>
              <w:t>LINC 4</w:t>
            </w:r>
          </w:p>
        </w:tc>
        <w:tc>
          <w:tcPr>
            <w:tcW w:w="868" w:type="pct"/>
          </w:tcPr>
          <w:p w14:paraId="6084EA3A" w14:textId="77777777" w:rsidR="007D00BA" w:rsidRPr="007A4E7E" w:rsidRDefault="007D00BA" w:rsidP="00EA6DFD">
            <w:pPr>
              <w:pStyle w:val="TableText0"/>
              <w:jc w:val="center"/>
              <w:rPr>
                <w:b/>
                <w:bCs w:val="0"/>
              </w:rPr>
            </w:pPr>
            <w:r w:rsidRPr="007A4E7E">
              <w:rPr>
                <w:b/>
                <w:bCs w:val="0"/>
              </w:rPr>
              <w:t>LINC 3</w:t>
            </w:r>
          </w:p>
        </w:tc>
      </w:tr>
      <w:tr w:rsidR="007D00BA" w:rsidRPr="007A4E7E" w14:paraId="398A537F" w14:textId="77777777" w:rsidTr="00EA6DFD">
        <w:tc>
          <w:tcPr>
            <w:tcW w:w="1127" w:type="pct"/>
            <w:shd w:val="clear" w:color="auto" w:fill="auto"/>
            <w:vAlign w:val="center"/>
          </w:tcPr>
          <w:p w14:paraId="24F588CD" w14:textId="77777777" w:rsidR="007D00BA" w:rsidRPr="007A4E7E" w:rsidRDefault="007D00BA" w:rsidP="00EA6DFD">
            <w:pPr>
              <w:pStyle w:val="TableText0"/>
              <w:rPr>
                <w:b/>
                <w:bCs w:val="0"/>
              </w:rPr>
            </w:pPr>
          </w:p>
        </w:tc>
        <w:tc>
          <w:tcPr>
            <w:tcW w:w="853" w:type="pct"/>
            <w:shd w:val="clear" w:color="auto" w:fill="auto"/>
            <w:vAlign w:val="center"/>
          </w:tcPr>
          <w:p w14:paraId="7A8DD7B1" w14:textId="77777777" w:rsidR="007D00BA" w:rsidRPr="007A4E7E" w:rsidRDefault="007D00BA" w:rsidP="00EA6DFD">
            <w:pPr>
              <w:pStyle w:val="TableText0"/>
              <w:jc w:val="center"/>
              <w:rPr>
                <w:b/>
                <w:bCs w:val="0"/>
              </w:rPr>
            </w:pPr>
            <w:r w:rsidRPr="007A4E7E">
              <w:rPr>
                <w:b/>
                <w:bCs w:val="0"/>
              </w:rPr>
              <w:t>Osilodrostat</w:t>
            </w:r>
          </w:p>
          <w:p w14:paraId="2E989C7C" w14:textId="77777777" w:rsidR="007D00BA" w:rsidRPr="007A4E7E" w:rsidRDefault="007D00BA" w:rsidP="00EA6DFD">
            <w:pPr>
              <w:pStyle w:val="TableText0"/>
              <w:jc w:val="center"/>
              <w:rPr>
                <w:b/>
                <w:bCs w:val="0"/>
              </w:rPr>
            </w:pPr>
            <w:r w:rsidRPr="007A4E7E">
              <w:rPr>
                <w:b/>
                <w:bCs w:val="0"/>
              </w:rPr>
              <w:t>N = 48</w:t>
            </w:r>
          </w:p>
        </w:tc>
        <w:tc>
          <w:tcPr>
            <w:tcW w:w="1181" w:type="pct"/>
            <w:shd w:val="clear" w:color="auto" w:fill="auto"/>
            <w:vAlign w:val="center"/>
          </w:tcPr>
          <w:p w14:paraId="2FB80C34" w14:textId="77777777" w:rsidR="007D00BA" w:rsidRPr="007A4E7E" w:rsidRDefault="007D00BA" w:rsidP="00EA6DFD">
            <w:pPr>
              <w:pStyle w:val="TableText0"/>
              <w:jc w:val="center"/>
              <w:rPr>
                <w:b/>
                <w:bCs w:val="0"/>
              </w:rPr>
            </w:pPr>
            <w:r w:rsidRPr="007A4E7E">
              <w:rPr>
                <w:b/>
                <w:bCs w:val="0"/>
              </w:rPr>
              <w:t xml:space="preserve">Placebo + Osilodrostat </w:t>
            </w:r>
            <w:r w:rsidRPr="007A4E7E">
              <w:rPr>
                <w:b/>
                <w:bCs w:val="0"/>
                <w:vertAlign w:val="superscript"/>
              </w:rPr>
              <w:t>a</w:t>
            </w:r>
          </w:p>
          <w:p w14:paraId="42B8E17C" w14:textId="77777777" w:rsidR="007D00BA" w:rsidRPr="007A4E7E" w:rsidRDefault="007D00BA" w:rsidP="00EA6DFD">
            <w:pPr>
              <w:pStyle w:val="TableText0"/>
              <w:jc w:val="center"/>
              <w:rPr>
                <w:b/>
                <w:bCs w:val="0"/>
              </w:rPr>
            </w:pPr>
            <w:r w:rsidRPr="007A4E7E">
              <w:rPr>
                <w:b/>
                <w:bCs w:val="0"/>
              </w:rPr>
              <w:t>N = 25</w:t>
            </w:r>
          </w:p>
        </w:tc>
        <w:tc>
          <w:tcPr>
            <w:tcW w:w="971" w:type="pct"/>
            <w:shd w:val="clear" w:color="auto" w:fill="auto"/>
            <w:vAlign w:val="center"/>
          </w:tcPr>
          <w:p w14:paraId="49AF2D89" w14:textId="77777777" w:rsidR="007D00BA" w:rsidRPr="007A4E7E" w:rsidRDefault="007D00BA" w:rsidP="00EA6DFD">
            <w:pPr>
              <w:pStyle w:val="TableText0"/>
              <w:jc w:val="center"/>
              <w:rPr>
                <w:b/>
                <w:bCs w:val="0"/>
              </w:rPr>
            </w:pPr>
            <w:r w:rsidRPr="007A4E7E">
              <w:rPr>
                <w:b/>
                <w:bCs w:val="0"/>
              </w:rPr>
              <w:t>All patients</w:t>
            </w:r>
          </w:p>
          <w:p w14:paraId="6072B24A" w14:textId="77777777" w:rsidR="007D00BA" w:rsidRPr="007A4E7E" w:rsidRDefault="007D00BA" w:rsidP="00EA6DFD">
            <w:pPr>
              <w:pStyle w:val="TableText0"/>
              <w:jc w:val="center"/>
              <w:rPr>
                <w:b/>
                <w:bCs w:val="0"/>
              </w:rPr>
            </w:pPr>
            <w:r w:rsidRPr="007A4E7E">
              <w:rPr>
                <w:b/>
                <w:bCs w:val="0"/>
              </w:rPr>
              <w:t>N = 73</w:t>
            </w:r>
          </w:p>
        </w:tc>
        <w:tc>
          <w:tcPr>
            <w:tcW w:w="868" w:type="pct"/>
            <w:vAlign w:val="center"/>
          </w:tcPr>
          <w:p w14:paraId="2B2EB2B3" w14:textId="77777777" w:rsidR="007D00BA" w:rsidRPr="007A4E7E" w:rsidRDefault="007D00BA" w:rsidP="00EA6DFD">
            <w:pPr>
              <w:pStyle w:val="TableText0"/>
              <w:jc w:val="center"/>
              <w:rPr>
                <w:b/>
                <w:bCs w:val="0"/>
              </w:rPr>
            </w:pPr>
            <w:r w:rsidRPr="007A4E7E">
              <w:rPr>
                <w:b/>
                <w:bCs w:val="0"/>
              </w:rPr>
              <w:t>All patients, N=137</w:t>
            </w:r>
          </w:p>
        </w:tc>
      </w:tr>
      <w:tr w:rsidR="007D00BA" w:rsidRPr="007A4E7E" w14:paraId="68D60A19" w14:textId="77777777" w:rsidTr="00EA6DFD">
        <w:tc>
          <w:tcPr>
            <w:tcW w:w="5000" w:type="pct"/>
            <w:gridSpan w:val="5"/>
            <w:shd w:val="clear" w:color="auto" w:fill="auto"/>
            <w:vAlign w:val="center"/>
          </w:tcPr>
          <w:p w14:paraId="0AB1FA25" w14:textId="77777777" w:rsidR="007D00BA" w:rsidRPr="007A4E7E" w:rsidRDefault="007D00BA" w:rsidP="00EA6DFD">
            <w:pPr>
              <w:pStyle w:val="TableText0"/>
              <w:rPr>
                <w:b/>
              </w:rPr>
            </w:pPr>
            <w:r w:rsidRPr="007A4E7E">
              <w:rPr>
                <w:b/>
              </w:rPr>
              <w:t>Complete response rate</w:t>
            </w:r>
          </w:p>
        </w:tc>
      </w:tr>
      <w:tr w:rsidR="007D00BA" w:rsidRPr="007A4E7E" w14:paraId="2AC8F18C" w14:textId="77777777" w:rsidTr="00EA6DFD">
        <w:tc>
          <w:tcPr>
            <w:tcW w:w="1127" w:type="pct"/>
            <w:shd w:val="clear" w:color="auto" w:fill="D9E2F3" w:themeFill="accent1" w:themeFillTint="33"/>
            <w:vAlign w:val="center"/>
          </w:tcPr>
          <w:p w14:paraId="764E44CF" w14:textId="77777777" w:rsidR="007D00BA" w:rsidRPr="007A4E7E" w:rsidRDefault="007D00BA" w:rsidP="00EA6DFD">
            <w:pPr>
              <w:pStyle w:val="TableText0"/>
            </w:pPr>
            <w:r w:rsidRPr="007A4E7E">
              <w:t>Week 12, n/N (%)</w:t>
            </w:r>
          </w:p>
        </w:tc>
        <w:tc>
          <w:tcPr>
            <w:tcW w:w="853" w:type="pct"/>
            <w:shd w:val="clear" w:color="auto" w:fill="D9E2F3" w:themeFill="accent1" w:themeFillTint="33"/>
            <w:vAlign w:val="center"/>
          </w:tcPr>
          <w:p w14:paraId="33B2B056" w14:textId="77777777" w:rsidR="007D00BA" w:rsidRPr="007A4E7E" w:rsidRDefault="007D00BA" w:rsidP="00EA6DFD">
            <w:pPr>
              <w:pStyle w:val="TableText0"/>
              <w:jc w:val="center"/>
            </w:pPr>
            <w:r w:rsidRPr="007A4E7E">
              <w:t>37/48 (77.1)</w:t>
            </w:r>
          </w:p>
        </w:tc>
        <w:tc>
          <w:tcPr>
            <w:tcW w:w="1181" w:type="pct"/>
            <w:shd w:val="clear" w:color="auto" w:fill="D9E2F3" w:themeFill="accent1" w:themeFillTint="33"/>
            <w:vAlign w:val="center"/>
          </w:tcPr>
          <w:p w14:paraId="6923A5E3" w14:textId="77777777" w:rsidR="007D00BA" w:rsidRPr="007A4E7E" w:rsidRDefault="007D00BA" w:rsidP="00EA6DFD">
            <w:pPr>
              <w:pStyle w:val="TableText0"/>
              <w:jc w:val="center"/>
              <w:rPr>
                <w:vertAlign w:val="superscript"/>
              </w:rPr>
            </w:pPr>
            <w:r w:rsidRPr="007A4E7E">
              <w:t xml:space="preserve">2/25 (8.0) </w:t>
            </w:r>
            <w:r w:rsidRPr="007A4E7E">
              <w:rPr>
                <w:vertAlign w:val="superscript"/>
              </w:rPr>
              <w:t>b</w:t>
            </w:r>
          </w:p>
        </w:tc>
        <w:tc>
          <w:tcPr>
            <w:tcW w:w="971" w:type="pct"/>
            <w:shd w:val="clear" w:color="auto" w:fill="D9E2F3" w:themeFill="accent1" w:themeFillTint="33"/>
            <w:vAlign w:val="center"/>
          </w:tcPr>
          <w:p w14:paraId="179FDCB8" w14:textId="77777777" w:rsidR="007D00BA" w:rsidRPr="007A4E7E" w:rsidRDefault="007D00BA" w:rsidP="00EA6DFD">
            <w:pPr>
              <w:pStyle w:val="TableText0"/>
              <w:jc w:val="center"/>
            </w:pPr>
            <w:r w:rsidRPr="007A4E7E">
              <w:t>NE</w:t>
            </w:r>
          </w:p>
        </w:tc>
        <w:tc>
          <w:tcPr>
            <w:tcW w:w="868" w:type="pct"/>
            <w:shd w:val="clear" w:color="auto" w:fill="D9E2F3" w:themeFill="accent1" w:themeFillTint="33"/>
            <w:vAlign w:val="center"/>
          </w:tcPr>
          <w:p w14:paraId="6AE33DDB" w14:textId="77777777" w:rsidR="007D00BA" w:rsidRPr="007A4E7E" w:rsidRDefault="007D00BA" w:rsidP="00EA6DFD">
            <w:pPr>
              <w:pStyle w:val="TableText0"/>
              <w:jc w:val="center"/>
            </w:pPr>
            <w:r w:rsidRPr="007A4E7E">
              <w:t>98/137 (71.5)</w:t>
            </w:r>
          </w:p>
        </w:tc>
      </w:tr>
      <w:tr w:rsidR="007D00BA" w:rsidRPr="007A4E7E" w14:paraId="34270270" w14:textId="77777777" w:rsidTr="00EA6DFD">
        <w:tc>
          <w:tcPr>
            <w:tcW w:w="1127" w:type="pct"/>
            <w:shd w:val="clear" w:color="auto" w:fill="D9E2F3" w:themeFill="accent1" w:themeFillTint="33"/>
            <w:vAlign w:val="center"/>
          </w:tcPr>
          <w:p w14:paraId="79E74C6A" w14:textId="77777777" w:rsidR="007D00BA" w:rsidRPr="007A4E7E" w:rsidRDefault="007D00BA" w:rsidP="00EA6DFD">
            <w:pPr>
              <w:pStyle w:val="TableText0"/>
            </w:pPr>
            <w:r w:rsidRPr="007A4E7E">
              <w:t xml:space="preserve">Week 24, n/N (%) </w:t>
            </w:r>
          </w:p>
        </w:tc>
        <w:tc>
          <w:tcPr>
            <w:tcW w:w="853" w:type="pct"/>
            <w:shd w:val="clear" w:color="auto" w:fill="D9E2F3" w:themeFill="accent1" w:themeFillTint="33"/>
            <w:vAlign w:val="center"/>
          </w:tcPr>
          <w:p w14:paraId="396B866E" w14:textId="77777777" w:rsidR="007D00BA" w:rsidRPr="007A4E7E" w:rsidRDefault="007D00BA" w:rsidP="00EA6DFD">
            <w:pPr>
              <w:pStyle w:val="TableText0"/>
              <w:jc w:val="center"/>
            </w:pPr>
            <w:r w:rsidRPr="007A4E7E">
              <w:t>-</w:t>
            </w:r>
          </w:p>
        </w:tc>
        <w:tc>
          <w:tcPr>
            <w:tcW w:w="1181" w:type="pct"/>
            <w:shd w:val="clear" w:color="auto" w:fill="D9E2F3" w:themeFill="accent1" w:themeFillTint="33"/>
            <w:vAlign w:val="center"/>
          </w:tcPr>
          <w:p w14:paraId="6D10F09E" w14:textId="77777777" w:rsidR="007D00BA" w:rsidRPr="007A4E7E" w:rsidRDefault="007D00BA" w:rsidP="00EA6DFD">
            <w:pPr>
              <w:pStyle w:val="TableText0"/>
              <w:jc w:val="center"/>
            </w:pPr>
            <w:r w:rsidRPr="007A4E7E">
              <w:t>-</w:t>
            </w:r>
          </w:p>
        </w:tc>
        <w:tc>
          <w:tcPr>
            <w:tcW w:w="971" w:type="pct"/>
            <w:shd w:val="clear" w:color="auto" w:fill="D9E2F3" w:themeFill="accent1" w:themeFillTint="33"/>
            <w:vAlign w:val="center"/>
          </w:tcPr>
          <w:p w14:paraId="3DEBC241" w14:textId="77777777" w:rsidR="007D00BA" w:rsidRPr="007A4E7E" w:rsidRDefault="007D00BA" w:rsidP="00EA6DFD">
            <w:pPr>
              <w:pStyle w:val="TableText0"/>
              <w:jc w:val="center"/>
            </w:pPr>
            <w:r w:rsidRPr="007A4E7E">
              <w:t>-</w:t>
            </w:r>
          </w:p>
        </w:tc>
        <w:tc>
          <w:tcPr>
            <w:tcW w:w="868" w:type="pct"/>
            <w:shd w:val="clear" w:color="auto" w:fill="D9E2F3" w:themeFill="accent1" w:themeFillTint="33"/>
            <w:vAlign w:val="center"/>
          </w:tcPr>
          <w:p w14:paraId="1887FDF9" w14:textId="77777777" w:rsidR="007D00BA" w:rsidRPr="007A4E7E" w:rsidRDefault="007D00BA" w:rsidP="00EA6DFD">
            <w:pPr>
              <w:pStyle w:val="TableText0"/>
              <w:jc w:val="center"/>
            </w:pPr>
            <w:r w:rsidRPr="007A4E7E">
              <w:t>93/137 (67.9)</w:t>
            </w:r>
          </w:p>
        </w:tc>
      </w:tr>
      <w:tr w:rsidR="007D00BA" w:rsidRPr="007A4E7E" w14:paraId="6C9687A7" w14:textId="77777777" w:rsidTr="00EA6DFD">
        <w:tc>
          <w:tcPr>
            <w:tcW w:w="1127" w:type="pct"/>
            <w:shd w:val="clear" w:color="auto" w:fill="auto"/>
            <w:vAlign w:val="center"/>
          </w:tcPr>
          <w:p w14:paraId="57955961" w14:textId="77777777" w:rsidR="007D00BA" w:rsidRPr="007A4E7E" w:rsidRDefault="007D00BA" w:rsidP="00EA6DFD">
            <w:pPr>
              <w:pStyle w:val="TableText0"/>
              <w:rPr>
                <w:iCs/>
              </w:rPr>
            </w:pPr>
            <w:r w:rsidRPr="007A4E7E">
              <w:rPr>
                <w:iCs/>
              </w:rPr>
              <w:t xml:space="preserve">Week 26, n/N (%) </w:t>
            </w:r>
            <w:r w:rsidRPr="007A4E7E">
              <w:rPr>
                <w:iCs/>
                <w:vertAlign w:val="superscript"/>
              </w:rPr>
              <w:t>e</w:t>
            </w:r>
            <w:r w:rsidRPr="007A4E7E">
              <w:rPr>
                <w:iCs/>
              </w:rPr>
              <w:t xml:space="preserve"> </w:t>
            </w:r>
          </w:p>
        </w:tc>
        <w:tc>
          <w:tcPr>
            <w:tcW w:w="853" w:type="pct"/>
            <w:shd w:val="clear" w:color="auto" w:fill="auto"/>
          </w:tcPr>
          <w:p w14:paraId="1792BE26" w14:textId="77777777" w:rsidR="007D00BA" w:rsidRPr="007A4E7E" w:rsidRDefault="007D00BA" w:rsidP="00EA6DFD">
            <w:pPr>
              <w:pStyle w:val="TableText0"/>
              <w:jc w:val="center"/>
              <w:rPr>
                <w:iCs/>
              </w:rPr>
            </w:pPr>
            <w:r w:rsidRPr="007A4E7E">
              <w:rPr>
                <w:iCs/>
              </w:rPr>
              <w:t>38/48 (79.2)</w:t>
            </w:r>
          </w:p>
        </w:tc>
        <w:tc>
          <w:tcPr>
            <w:tcW w:w="1181" w:type="pct"/>
            <w:shd w:val="clear" w:color="auto" w:fill="auto"/>
          </w:tcPr>
          <w:p w14:paraId="73957E76" w14:textId="3A2DD0DA" w:rsidR="007D00BA" w:rsidRPr="007A4E7E" w:rsidRDefault="007D00BA" w:rsidP="00EA6DFD">
            <w:pPr>
              <w:pStyle w:val="TableText0"/>
              <w:jc w:val="center"/>
              <w:rPr>
                <w:iCs/>
              </w:rPr>
            </w:pPr>
            <w:r w:rsidRPr="007A4E7E">
              <w:rPr>
                <w:iCs/>
              </w:rPr>
              <w:t>22/25 (88</w:t>
            </w:r>
            <w:r w:rsidR="004123E5">
              <w:rPr>
                <w:iCs/>
              </w:rPr>
              <w:t>.0</w:t>
            </w:r>
            <w:r w:rsidRPr="007A4E7E">
              <w:rPr>
                <w:iCs/>
              </w:rPr>
              <w:t>)</w:t>
            </w:r>
          </w:p>
        </w:tc>
        <w:tc>
          <w:tcPr>
            <w:tcW w:w="971" w:type="pct"/>
            <w:shd w:val="clear" w:color="auto" w:fill="auto"/>
          </w:tcPr>
          <w:p w14:paraId="492159B8" w14:textId="77777777" w:rsidR="007D00BA" w:rsidRPr="007A4E7E" w:rsidRDefault="007D00BA" w:rsidP="00EA6DFD">
            <w:pPr>
              <w:pStyle w:val="TableText0"/>
              <w:jc w:val="center"/>
              <w:rPr>
                <w:iCs/>
              </w:rPr>
            </w:pPr>
            <w:r w:rsidRPr="007A4E7E">
              <w:rPr>
                <w:iCs/>
              </w:rPr>
              <w:t>60/73 (82.2)</w:t>
            </w:r>
          </w:p>
        </w:tc>
        <w:tc>
          <w:tcPr>
            <w:tcW w:w="868" w:type="pct"/>
            <w:vAlign w:val="center"/>
          </w:tcPr>
          <w:p w14:paraId="1F7BD491" w14:textId="51BD1FA4" w:rsidR="007D00BA" w:rsidRPr="007A4E7E" w:rsidRDefault="007D00BA" w:rsidP="00EA6DFD">
            <w:pPr>
              <w:pStyle w:val="TableText0"/>
              <w:jc w:val="center"/>
              <w:rPr>
                <w:iCs/>
              </w:rPr>
            </w:pPr>
            <w:r w:rsidRPr="007A4E7E">
              <w:rPr>
                <w:iCs/>
              </w:rPr>
              <w:t>89/137 (65</w:t>
            </w:r>
            <w:r w:rsidR="004123E5">
              <w:rPr>
                <w:iCs/>
              </w:rPr>
              <w:t>.0</w:t>
            </w:r>
            <w:r w:rsidRPr="007A4E7E">
              <w:rPr>
                <w:iCs/>
              </w:rPr>
              <w:t>)</w:t>
            </w:r>
          </w:p>
        </w:tc>
      </w:tr>
      <w:tr w:rsidR="007D00BA" w:rsidRPr="007A4E7E" w14:paraId="686B21C0" w14:textId="77777777" w:rsidTr="00EA6DFD">
        <w:tc>
          <w:tcPr>
            <w:tcW w:w="1127" w:type="pct"/>
            <w:shd w:val="clear" w:color="auto" w:fill="D9E2F3" w:themeFill="accent1" w:themeFillTint="33"/>
            <w:vAlign w:val="center"/>
          </w:tcPr>
          <w:p w14:paraId="65DF0EB9" w14:textId="77777777" w:rsidR="007D00BA" w:rsidRPr="007A4E7E" w:rsidRDefault="007D00BA" w:rsidP="00EA6DFD">
            <w:pPr>
              <w:pStyle w:val="TableText0"/>
            </w:pPr>
            <w:r w:rsidRPr="007A4E7E">
              <w:t>Week 36, n/N (%)</w:t>
            </w:r>
          </w:p>
        </w:tc>
        <w:tc>
          <w:tcPr>
            <w:tcW w:w="853" w:type="pct"/>
            <w:shd w:val="clear" w:color="auto" w:fill="D9E2F3" w:themeFill="accent1" w:themeFillTint="33"/>
            <w:vAlign w:val="center"/>
          </w:tcPr>
          <w:p w14:paraId="3944AF31" w14:textId="77777777" w:rsidR="007D00BA" w:rsidRPr="007A4E7E" w:rsidRDefault="007D00BA" w:rsidP="00EA6DFD">
            <w:pPr>
              <w:pStyle w:val="TableText0"/>
              <w:jc w:val="center"/>
            </w:pPr>
            <w:r w:rsidRPr="007A4E7E">
              <w:t>38/48 (79.2)</w:t>
            </w:r>
          </w:p>
        </w:tc>
        <w:tc>
          <w:tcPr>
            <w:tcW w:w="1181" w:type="pct"/>
            <w:shd w:val="clear" w:color="auto" w:fill="D9E2F3" w:themeFill="accent1" w:themeFillTint="33"/>
            <w:vAlign w:val="center"/>
          </w:tcPr>
          <w:p w14:paraId="1B01B86E" w14:textId="77777777" w:rsidR="007D00BA" w:rsidRPr="007A4E7E" w:rsidRDefault="007D00BA" w:rsidP="00EA6DFD">
            <w:pPr>
              <w:pStyle w:val="TableText0"/>
              <w:jc w:val="center"/>
            </w:pPr>
            <w:r w:rsidRPr="007A4E7E">
              <w:t>21/25 (84.0)</w:t>
            </w:r>
          </w:p>
        </w:tc>
        <w:tc>
          <w:tcPr>
            <w:tcW w:w="971" w:type="pct"/>
            <w:shd w:val="clear" w:color="auto" w:fill="D9E2F3" w:themeFill="accent1" w:themeFillTint="33"/>
            <w:vAlign w:val="center"/>
          </w:tcPr>
          <w:p w14:paraId="2C0D0E55" w14:textId="77777777" w:rsidR="007D00BA" w:rsidRPr="007A4E7E" w:rsidRDefault="007D00BA" w:rsidP="00EA6DFD">
            <w:pPr>
              <w:pStyle w:val="TableText0"/>
              <w:jc w:val="center"/>
            </w:pPr>
            <w:r w:rsidRPr="007A4E7E">
              <w:t>59/73 (80.8)</w:t>
            </w:r>
          </w:p>
        </w:tc>
        <w:tc>
          <w:tcPr>
            <w:tcW w:w="868" w:type="pct"/>
            <w:shd w:val="clear" w:color="auto" w:fill="D9E2F3" w:themeFill="accent1" w:themeFillTint="33"/>
            <w:vAlign w:val="center"/>
          </w:tcPr>
          <w:p w14:paraId="0BEB9977" w14:textId="77777777" w:rsidR="007D00BA" w:rsidRPr="007A4E7E" w:rsidRDefault="007D00BA" w:rsidP="00EA6DFD">
            <w:pPr>
              <w:pStyle w:val="TableText0"/>
              <w:jc w:val="center"/>
              <w:rPr>
                <w:iCs/>
              </w:rPr>
            </w:pPr>
            <w:r w:rsidRPr="007A4E7E">
              <w:rPr>
                <w:iCs/>
              </w:rPr>
              <w:t>80/137 (58.4)</w:t>
            </w:r>
          </w:p>
        </w:tc>
      </w:tr>
      <w:tr w:rsidR="007D00BA" w:rsidRPr="007A4E7E" w14:paraId="0B21D778" w14:textId="77777777" w:rsidTr="00EA6DFD">
        <w:tc>
          <w:tcPr>
            <w:tcW w:w="1127" w:type="pct"/>
            <w:shd w:val="clear" w:color="auto" w:fill="D9E2F3" w:themeFill="accent1" w:themeFillTint="33"/>
            <w:vAlign w:val="center"/>
          </w:tcPr>
          <w:p w14:paraId="70FAB371" w14:textId="77777777" w:rsidR="007D00BA" w:rsidRPr="007A4E7E" w:rsidRDefault="007D00BA" w:rsidP="00EA6DFD">
            <w:pPr>
              <w:pStyle w:val="TableText0"/>
              <w:rPr>
                <w:vertAlign w:val="superscript"/>
              </w:rPr>
            </w:pPr>
            <w:r w:rsidRPr="007A4E7E">
              <w:t xml:space="preserve">Week 48, n/N (%) </w:t>
            </w:r>
            <w:r w:rsidRPr="007A4E7E">
              <w:rPr>
                <w:vertAlign w:val="superscript"/>
              </w:rPr>
              <w:t>c</w:t>
            </w:r>
          </w:p>
        </w:tc>
        <w:tc>
          <w:tcPr>
            <w:tcW w:w="853" w:type="pct"/>
            <w:shd w:val="clear" w:color="auto" w:fill="D9E2F3" w:themeFill="accent1" w:themeFillTint="33"/>
            <w:vAlign w:val="center"/>
          </w:tcPr>
          <w:p w14:paraId="5CC2D715" w14:textId="77777777" w:rsidR="007D00BA" w:rsidRPr="007A4E7E" w:rsidRDefault="007D00BA" w:rsidP="00EA6DFD">
            <w:pPr>
              <w:pStyle w:val="TableText0"/>
              <w:jc w:val="center"/>
            </w:pPr>
            <w:r w:rsidRPr="007A4E7E">
              <w:t>34/48 (70.8)</w:t>
            </w:r>
          </w:p>
        </w:tc>
        <w:tc>
          <w:tcPr>
            <w:tcW w:w="1181" w:type="pct"/>
            <w:shd w:val="clear" w:color="auto" w:fill="D9E2F3" w:themeFill="accent1" w:themeFillTint="33"/>
            <w:vAlign w:val="center"/>
          </w:tcPr>
          <w:p w14:paraId="39C22329" w14:textId="77777777" w:rsidR="007D00BA" w:rsidRPr="007A4E7E" w:rsidRDefault="007D00BA" w:rsidP="00EA6DFD">
            <w:pPr>
              <w:pStyle w:val="TableText0"/>
              <w:jc w:val="center"/>
            </w:pPr>
            <w:r w:rsidRPr="007A4E7E">
              <w:t>16/25 (64.0)</w:t>
            </w:r>
          </w:p>
        </w:tc>
        <w:tc>
          <w:tcPr>
            <w:tcW w:w="971" w:type="pct"/>
            <w:shd w:val="clear" w:color="auto" w:fill="D9E2F3" w:themeFill="accent1" w:themeFillTint="33"/>
            <w:vAlign w:val="center"/>
          </w:tcPr>
          <w:p w14:paraId="67CBB043" w14:textId="77777777" w:rsidR="007D00BA" w:rsidRPr="007A4E7E" w:rsidRDefault="007D00BA" w:rsidP="00EA6DFD">
            <w:pPr>
              <w:pStyle w:val="TableText0"/>
              <w:jc w:val="center"/>
            </w:pPr>
            <w:r w:rsidRPr="007A4E7E">
              <w:t>50/73 (68.5)</w:t>
            </w:r>
          </w:p>
        </w:tc>
        <w:tc>
          <w:tcPr>
            <w:tcW w:w="868" w:type="pct"/>
            <w:shd w:val="clear" w:color="auto" w:fill="D9E2F3" w:themeFill="accent1" w:themeFillTint="33"/>
            <w:vAlign w:val="center"/>
          </w:tcPr>
          <w:p w14:paraId="0C35E86A" w14:textId="77777777" w:rsidR="007D00BA" w:rsidRPr="007A4E7E" w:rsidRDefault="007D00BA" w:rsidP="00EA6DFD">
            <w:pPr>
              <w:pStyle w:val="TableText0"/>
              <w:jc w:val="center"/>
            </w:pPr>
            <w:r w:rsidRPr="007A4E7E">
              <w:t>91/137 (66.4)</w:t>
            </w:r>
          </w:p>
        </w:tc>
      </w:tr>
      <w:tr w:rsidR="007D00BA" w:rsidRPr="007A4E7E" w14:paraId="165D287F" w14:textId="77777777" w:rsidTr="00EA6DFD">
        <w:tc>
          <w:tcPr>
            <w:tcW w:w="1127" w:type="pct"/>
            <w:shd w:val="clear" w:color="auto" w:fill="D9E2F3" w:themeFill="accent1" w:themeFillTint="33"/>
            <w:vAlign w:val="center"/>
          </w:tcPr>
          <w:p w14:paraId="2C53C979" w14:textId="77777777" w:rsidR="007D00BA" w:rsidRPr="007A4E7E" w:rsidRDefault="007D00BA" w:rsidP="00EA6DFD">
            <w:pPr>
              <w:pStyle w:val="TableText0"/>
            </w:pPr>
            <w:r w:rsidRPr="007A4E7E">
              <w:rPr>
                <w:rFonts w:cstheme="minorHAnsi"/>
              </w:rPr>
              <w:t>Week 72, n/N (%)</w:t>
            </w:r>
          </w:p>
        </w:tc>
        <w:tc>
          <w:tcPr>
            <w:tcW w:w="853" w:type="pct"/>
            <w:shd w:val="clear" w:color="auto" w:fill="D9E2F3" w:themeFill="accent1" w:themeFillTint="33"/>
            <w:vAlign w:val="center"/>
          </w:tcPr>
          <w:p w14:paraId="2564E73F" w14:textId="77777777" w:rsidR="007D00BA" w:rsidRPr="007A4E7E" w:rsidRDefault="007D00BA" w:rsidP="00EA6DFD">
            <w:pPr>
              <w:pStyle w:val="TableText0"/>
              <w:jc w:val="center"/>
            </w:pPr>
            <w:r w:rsidRPr="007A4E7E">
              <w:rPr>
                <w:rFonts w:cstheme="minorHAnsi"/>
              </w:rPr>
              <w:t>25/41 (61.0)</w:t>
            </w:r>
          </w:p>
        </w:tc>
        <w:tc>
          <w:tcPr>
            <w:tcW w:w="1181" w:type="pct"/>
            <w:shd w:val="clear" w:color="auto" w:fill="D9E2F3" w:themeFill="accent1" w:themeFillTint="33"/>
            <w:vAlign w:val="center"/>
          </w:tcPr>
          <w:p w14:paraId="2B082FE2" w14:textId="77777777" w:rsidR="007D00BA" w:rsidRPr="007A4E7E" w:rsidRDefault="007D00BA" w:rsidP="00EA6DFD">
            <w:pPr>
              <w:pStyle w:val="TableText0"/>
              <w:jc w:val="center"/>
            </w:pPr>
            <w:r w:rsidRPr="007A4E7E">
              <w:rPr>
                <w:rFonts w:cstheme="minorHAnsi"/>
              </w:rPr>
              <w:t>15/24 (62.5)</w:t>
            </w:r>
          </w:p>
        </w:tc>
        <w:tc>
          <w:tcPr>
            <w:tcW w:w="971" w:type="pct"/>
            <w:shd w:val="clear" w:color="auto" w:fill="D9E2F3" w:themeFill="accent1" w:themeFillTint="33"/>
            <w:vAlign w:val="center"/>
          </w:tcPr>
          <w:p w14:paraId="7421BC54" w14:textId="77777777" w:rsidR="007D00BA" w:rsidRPr="007A4E7E" w:rsidRDefault="007D00BA" w:rsidP="00EA6DFD">
            <w:pPr>
              <w:pStyle w:val="TableText0"/>
              <w:jc w:val="center"/>
            </w:pPr>
            <w:r w:rsidRPr="007A4E7E">
              <w:rPr>
                <w:rFonts w:cstheme="minorHAnsi"/>
              </w:rPr>
              <w:t>40/65 (61.5)</w:t>
            </w:r>
          </w:p>
        </w:tc>
        <w:tc>
          <w:tcPr>
            <w:tcW w:w="868" w:type="pct"/>
            <w:shd w:val="clear" w:color="auto" w:fill="D9E2F3" w:themeFill="accent1" w:themeFillTint="33"/>
            <w:vAlign w:val="center"/>
          </w:tcPr>
          <w:p w14:paraId="4D42CA71" w14:textId="77777777" w:rsidR="007D00BA" w:rsidRPr="007A4E7E" w:rsidRDefault="007D00BA" w:rsidP="00EA6DFD">
            <w:pPr>
              <w:pStyle w:val="TableText0"/>
              <w:jc w:val="center"/>
              <w:rPr>
                <w:rFonts w:cstheme="minorHAnsi"/>
              </w:rPr>
            </w:pPr>
            <w:r w:rsidRPr="007A4E7E">
              <w:t>86/106 (81.1)</w:t>
            </w:r>
            <w:r w:rsidRPr="007A4E7E">
              <w:rPr>
                <w:vertAlign w:val="superscript"/>
              </w:rPr>
              <w:t xml:space="preserve"> </w:t>
            </w:r>
          </w:p>
        </w:tc>
      </w:tr>
      <w:tr w:rsidR="007D00BA" w:rsidRPr="007A4E7E" w14:paraId="23A17392" w14:textId="77777777" w:rsidTr="00EA6DFD">
        <w:tc>
          <w:tcPr>
            <w:tcW w:w="1127" w:type="pct"/>
            <w:shd w:val="clear" w:color="auto" w:fill="D9E2F3" w:themeFill="accent1" w:themeFillTint="33"/>
            <w:vAlign w:val="center"/>
          </w:tcPr>
          <w:p w14:paraId="0EE742A4" w14:textId="77777777" w:rsidR="007D00BA" w:rsidRPr="007A4E7E" w:rsidRDefault="007D00BA" w:rsidP="00EA6DFD">
            <w:pPr>
              <w:pStyle w:val="TableText0"/>
            </w:pPr>
            <w:r w:rsidRPr="007A4E7E">
              <w:rPr>
                <w:rFonts w:cstheme="minorHAnsi"/>
              </w:rPr>
              <w:t>Week 96, n/N (%)</w:t>
            </w:r>
          </w:p>
        </w:tc>
        <w:tc>
          <w:tcPr>
            <w:tcW w:w="853" w:type="pct"/>
            <w:shd w:val="clear" w:color="auto" w:fill="D9E2F3" w:themeFill="accent1" w:themeFillTint="33"/>
            <w:vAlign w:val="center"/>
          </w:tcPr>
          <w:p w14:paraId="58F45163" w14:textId="77777777" w:rsidR="007D00BA" w:rsidRPr="007A4E7E" w:rsidRDefault="007D00BA" w:rsidP="00EA6DFD">
            <w:pPr>
              <w:pStyle w:val="TableText0"/>
              <w:jc w:val="center"/>
            </w:pPr>
            <w:r w:rsidRPr="007A4E7E">
              <w:rPr>
                <w:rFonts w:cstheme="minorHAnsi"/>
              </w:rPr>
              <w:t>4/19 (21.1)</w:t>
            </w:r>
          </w:p>
        </w:tc>
        <w:tc>
          <w:tcPr>
            <w:tcW w:w="1181" w:type="pct"/>
            <w:shd w:val="clear" w:color="auto" w:fill="D9E2F3" w:themeFill="accent1" w:themeFillTint="33"/>
            <w:vAlign w:val="center"/>
          </w:tcPr>
          <w:p w14:paraId="2FE32B91" w14:textId="77777777" w:rsidR="007D00BA" w:rsidRPr="007A4E7E" w:rsidRDefault="007D00BA" w:rsidP="00EA6DFD">
            <w:pPr>
              <w:pStyle w:val="TableText0"/>
              <w:jc w:val="center"/>
            </w:pPr>
            <w:r w:rsidRPr="007A4E7E">
              <w:rPr>
                <w:rFonts w:cstheme="minorHAnsi"/>
              </w:rPr>
              <w:t>6/13 (46.2)</w:t>
            </w:r>
          </w:p>
        </w:tc>
        <w:tc>
          <w:tcPr>
            <w:tcW w:w="971" w:type="pct"/>
            <w:shd w:val="clear" w:color="auto" w:fill="D9E2F3" w:themeFill="accent1" w:themeFillTint="33"/>
            <w:vAlign w:val="center"/>
          </w:tcPr>
          <w:p w14:paraId="390B2308" w14:textId="77777777" w:rsidR="007D00BA" w:rsidRPr="007A4E7E" w:rsidRDefault="007D00BA" w:rsidP="00EA6DFD">
            <w:pPr>
              <w:pStyle w:val="TableText0"/>
              <w:jc w:val="center"/>
            </w:pPr>
            <w:r w:rsidRPr="007A4E7E">
              <w:rPr>
                <w:rFonts w:cstheme="minorHAnsi"/>
              </w:rPr>
              <w:t>10/32 (31.3)</w:t>
            </w:r>
          </w:p>
        </w:tc>
        <w:tc>
          <w:tcPr>
            <w:tcW w:w="868" w:type="pct"/>
            <w:shd w:val="clear" w:color="auto" w:fill="D9E2F3" w:themeFill="accent1" w:themeFillTint="33"/>
            <w:vAlign w:val="center"/>
          </w:tcPr>
          <w:p w14:paraId="7B4BBD13" w14:textId="77777777" w:rsidR="007D00BA" w:rsidRPr="007A4E7E" w:rsidRDefault="007D00BA" w:rsidP="00EA6DFD">
            <w:pPr>
              <w:pStyle w:val="TableText0"/>
              <w:jc w:val="center"/>
              <w:rPr>
                <w:rFonts w:cstheme="minorHAnsi"/>
                <w:iCs/>
              </w:rPr>
            </w:pPr>
            <w:r w:rsidRPr="007A4E7E">
              <w:rPr>
                <w:iCs/>
              </w:rPr>
              <w:t>66/105 (62.9)</w:t>
            </w:r>
          </w:p>
        </w:tc>
      </w:tr>
      <w:tr w:rsidR="007D00BA" w:rsidRPr="007A4E7E" w14:paraId="7F0251D2" w14:textId="77777777" w:rsidTr="00EA6DFD">
        <w:tc>
          <w:tcPr>
            <w:tcW w:w="1127" w:type="pct"/>
            <w:shd w:val="clear" w:color="auto" w:fill="auto"/>
            <w:vAlign w:val="center"/>
          </w:tcPr>
          <w:p w14:paraId="03DB70A6" w14:textId="77777777" w:rsidR="007D00BA" w:rsidRPr="007A4E7E" w:rsidRDefault="007D00BA" w:rsidP="00EA6DFD">
            <w:pPr>
              <w:pStyle w:val="TableText0"/>
              <w:rPr>
                <w:rFonts w:cstheme="minorHAnsi"/>
              </w:rPr>
            </w:pPr>
            <w:r w:rsidRPr="007A4E7E">
              <w:t>Week 120, n/N (%)</w:t>
            </w:r>
          </w:p>
        </w:tc>
        <w:tc>
          <w:tcPr>
            <w:tcW w:w="853" w:type="pct"/>
            <w:shd w:val="clear" w:color="auto" w:fill="auto"/>
            <w:vAlign w:val="center"/>
          </w:tcPr>
          <w:p w14:paraId="147D4428" w14:textId="77777777" w:rsidR="007D00BA" w:rsidRPr="007A4E7E" w:rsidRDefault="007D00BA" w:rsidP="00EA6DFD">
            <w:pPr>
              <w:pStyle w:val="TableText0"/>
              <w:jc w:val="center"/>
              <w:rPr>
                <w:rFonts w:cstheme="minorHAnsi"/>
              </w:rPr>
            </w:pPr>
            <w:r w:rsidRPr="007A4E7E">
              <w:t>-</w:t>
            </w:r>
          </w:p>
        </w:tc>
        <w:tc>
          <w:tcPr>
            <w:tcW w:w="1181" w:type="pct"/>
            <w:shd w:val="clear" w:color="auto" w:fill="auto"/>
            <w:vAlign w:val="center"/>
          </w:tcPr>
          <w:p w14:paraId="24AC80AF" w14:textId="77777777" w:rsidR="007D00BA" w:rsidRPr="007A4E7E" w:rsidRDefault="007D00BA" w:rsidP="00EA6DFD">
            <w:pPr>
              <w:pStyle w:val="TableText0"/>
              <w:jc w:val="center"/>
              <w:rPr>
                <w:rFonts w:cstheme="minorHAnsi"/>
              </w:rPr>
            </w:pPr>
            <w:r w:rsidRPr="007A4E7E">
              <w:t>-</w:t>
            </w:r>
          </w:p>
        </w:tc>
        <w:tc>
          <w:tcPr>
            <w:tcW w:w="971" w:type="pct"/>
            <w:shd w:val="clear" w:color="auto" w:fill="auto"/>
            <w:vAlign w:val="center"/>
          </w:tcPr>
          <w:p w14:paraId="08D17E5D" w14:textId="77777777" w:rsidR="007D00BA" w:rsidRPr="007A4E7E" w:rsidRDefault="007D00BA" w:rsidP="00EA6DFD">
            <w:pPr>
              <w:pStyle w:val="TableText0"/>
              <w:jc w:val="center"/>
              <w:rPr>
                <w:rFonts w:cstheme="minorHAnsi"/>
              </w:rPr>
            </w:pPr>
            <w:r w:rsidRPr="007A4E7E">
              <w:t>-</w:t>
            </w:r>
          </w:p>
        </w:tc>
        <w:tc>
          <w:tcPr>
            <w:tcW w:w="868" w:type="pct"/>
            <w:vAlign w:val="center"/>
          </w:tcPr>
          <w:p w14:paraId="67E95F85" w14:textId="77777777" w:rsidR="007D00BA" w:rsidRPr="007A4E7E" w:rsidRDefault="007D00BA" w:rsidP="00EA6DFD">
            <w:pPr>
              <w:pStyle w:val="TableText0"/>
              <w:jc w:val="center"/>
              <w:rPr>
                <w:rFonts w:cstheme="minorHAnsi"/>
              </w:rPr>
            </w:pPr>
            <w:r w:rsidRPr="007A4E7E">
              <w:t>62/100 (62.0)</w:t>
            </w:r>
          </w:p>
        </w:tc>
      </w:tr>
      <w:tr w:rsidR="007D00BA" w:rsidRPr="007A4E7E" w14:paraId="0949580D" w14:textId="77777777" w:rsidTr="00EA6DFD">
        <w:tc>
          <w:tcPr>
            <w:tcW w:w="1127" w:type="pct"/>
            <w:shd w:val="clear" w:color="auto" w:fill="auto"/>
            <w:vAlign w:val="center"/>
          </w:tcPr>
          <w:p w14:paraId="1709E3B2" w14:textId="77777777" w:rsidR="007D00BA" w:rsidRPr="007A4E7E" w:rsidRDefault="007D00BA" w:rsidP="00EA6DFD">
            <w:pPr>
              <w:pStyle w:val="TableText0"/>
            </w:pPr>
            <w:r w:rsidRPr="007A4E7E">
              <w:rPr>
                <w:iCs/>
              </w:rPr>
              <w:t xml:space="preserve">Week 120 among all enrolled, n/N (%) </w:t>
            </w:r>
            <w:r w:rsidRPr="007A4E7E">
              <w:rPr>
                <w:iCs/>
                <w:vertAlign w:val="superscript"/>
              </w:rPr>
              <w:t>d, e</w:t>
            </w:r>
          </w:p>
        </w:tc>
        <w:tc>
          <w:tcPr>
            <w:tcW w:w="853" w:type="pct"/>
            <w:shd w:val="clear" w:color="auto" w:fill="auto"/>
            <w:vAlign w:val="center"/>
          </w:tcPr>
          <w:p w14:paraId="7170E79F" w14:textId="77777777" w:rsidR="007D00BA" w:rsidRPr="007A4E7E" w:rsidRDefault="007D00BA" w:rsidP="00EA6DFD">
            <w:pPr>
              <w:pStyle w:val="TableText0"/>
              <w:jc w:val="center"/>
            </w:pPr>
            <w:r w:rsidRPr="007A4E7E">
              <w:t>-</w:t>
            </w:r>
          </w:p>
        </w:tc>
        <w:tc>
          <w:tcPr>
            <w:tcW w:w="1181" w:type="pct"/>
            <w:shd w:val="clear" w:color="auto" w:fill="auto"/>
            <w:vAlign w:val="center"/>
          </w:tcPr>
          <w:p w14:paraId="1372B54D" w14:textId="77777777" w:rsidR="007D00BA" w:rsidRPr="007A4E7E" w:rsidRDefault="007D00BA" w:rsidP="00EA6DFD">
            <w:pPr>
              <w:pStyle w:val="TableText0"/>
              <w:jc w:val="center"/>
            </w:pPr>
            <w:r w:rsidRPr="007A4E7E">
              <w:t>-</w:t>
            </w:r>
          </w:p>
        </w:tc>
        <w:tc>
          <w:tcPr>
            <w:tcW w:w="971" w:type="pct"/>
            <w:shd w:val="clear" w:color="auto" w:fill="auto"/>
            <w:vAlign w:val="center"/>
          </w:tcPr>
          <w:p w14:paraId="32A20C3D" w14:textId="77777777" w:rsidR="007D00BA" w:rsidRPr="007A4E7E" w:rsidRDefault="007D00BA" w:rsidP="00EA6DFD">
            <w:pPr>
              <w:pStyle w:val="TableText0"/>
              <w:jc w:val="center"/>
            </w:pPr>
            <w:r w:rsidRPr="007A4E7E">
              <w:t>-</w:t>
            </w:r>
          </w:p>
        </w:tc>
        <w:tc>
          <w:tcPr>
            <w:tcW w:w="868" w:type="pct"/>
            <w:vAlign w:val="center"/>
          </w:tcPr>
          <w:p w14:paraId="0DBC3BA8" w14:textId="77777777" w:rsidR="007D00BA" w:rsidRPr="007A4E7E" w:rsidRDefault="007D00BA" w:rsidP="00EA6DFD">
            <w:pPr>
              <w:pStyle w:val="TableText0"/>
              <w:jc w:val="center"/>
            </w:pPr>
            <w:r w:rsidRPr="007A4E7E">
              <w:rPr>
                <w:iCs/>
              </w:rPr>
              <w:t>62/137 (45.3)</w:t>
            </w:r>
          </w:p>
        </w:tc>
      </w:tr>
      <w:tr w:rsidR="007D00BA" w:rsidRPr="007A4E7E" w14:paraId="5A5CFD8C" w14:textId="77777777" w:rsidTr="00EA6DFD">
        <w:tc>
          <w:tcPr>
            <w:tcW w:w="1127" w:type="pct"/>
            <w:shd w:val="clear" w:color="auto" w:fill="D9E2F3" w:themeFill="accent1" w:themeFillTint="33"/>
            <w:vAlign w:val="center"/>
          </w:tcPr>
          <w:p w14:paraId="5DC3B127" w14:textId="77777777" w:rsidR="007D00BA" w:rsidRPr="007A4E7E" w:rsidRDefault="007D00BA" w:rsidP="00EA6DFD">
            <w:pPr>
              <w:pStyle w:val="TableText0"/>
              <w:rPr>
                <w:vertAlign w:val="superscript"/>
              </w:rPr>
            </w:pPr>
            <w:r w:rsidRPr="007A4E7E">
              <w:rPr>
                <w:rFonts w:cstheme="minorHAnsi"/>
              </w:rPr>
              <w:t>EOT Extension, n/N (%)</w:t>
            </w:r>
          </w:p>
        </w:tc>
        <w:tc>
          <w:tcPr>
            <w:tcW w:w="853" w:type="pct"/>
            <w:shd w:val="clear" w:color="auto" w:fill="D9E2F3" w:themeFill="accent1" w:themeFillTint="33"/>
            <w:vAlign w:val="center"/>
          </w:tcPr>
          <w:p w14:paraId="37701B7B" w14:textId="77777777" w:rsidR="007D00BA" w:rsidRPr="007A4E7E" w:rsidRDefault="007D00BA" w:rsidP="00EA6DFD">
            <w:pPr>
              <w:pStyle w:val="TableText0"/>
              <w:jc w:val="center"/>
            </w:pPr>
            <w:r w:rsidRPr="007A4E7E">
              <w:rPr>
                <w:rFonts w:cstheme="minorHAnsi"/>
              </w:rPr>
              <w:t>28/38 (73.7)</w:t>
            </w:r>
          </w:p>
        </w:tc>
        <w:tc>
          <w:tcPr>
            <w:tcW w:w="1181" w:type="pct"/>
            <w:shd w:val="clear" w:color="auto" w:fill="D9E2F3" w:themeFill="accent1" w:themeFillTint="33"/>
            <w:vAlign w:val="center"/>
          </w:tcPr>
          <w:p w14:paraId="62DB1041" w14:textId="77777777" w:rsidR="007D00BA" w:rsidRPr="007A4E7E" w:rsidRDefault="007D00BA" w:rsidP="00EA6DFD">
            <w:pPr>
              <w:pStyle w:val="TableText0"/>
              <w:jc w:val="center"/>
            </w:pPr>
            <w:r w:rsidRPr="007A4E7E">
              <w:rPr>
                <w:rFonts w:cstheme="minorHAnsi"/>
              </w:rPr>
              <w:t>14/20 (70.0)</w:t>
            </w:r>
          </w:p>
        </w:tc>
        <w:tc>
          <w:tcPr>
            <w:tcW w:w="971" w:type="pct"/>
            <w:shd w:val="clear" w:color="auto" w:fill="D9E2F3" w:themeFill="accent1" w:themeFillTint="33"/>
            <w:vAlign w:val="center"/>
          </w:tcPr>
          <w:p w14:paraId="090B6DE6" w14:textId="77777777" w:rsidR="007D00BA" w:rsidRPr="007A4E7E" w:rsidRDefault="007D00BA" w:rsidP="00EA6DFD">
            <w:pPr>
              <w:pStyle w:val="TableText0"/>
              <w:jc w:val="center"/>
            </w:pPr>
            <w:r w:rsidRPr="007A4E7E">
              <w:rPr>
                <w:rFonts w:cstheme="minorHAnsi"/>
              </w:rPr>
              <w:t>42/58 (72.4)</w:t>
            </w:r>
          </w:p>
        </w:tc>
        <w:tc>
          <w:tcPr>
            <w:tcW w:w="868" w:type="pct"/>
            <w:shd w:val="clear" w:color="auto" w:fill="D9E2F3" w:themeFill="accent1" w:themeFillTint="33"/>
            <w:vAlign w:val="center"/>
          </w:tcPr>
          <w:p w14:paraId="1683D3B1" w14:textId="77777777" w:rsidR="007D00BA" w:rsidRPr="007A4E7E" w:rsidRDefault="007D00BA" w:rsidP="00EA6DFD">
            <w:pPr>
              <w:pStyle w:val="TableText0"/>
              <w:jc w:val="center"/>
              <w:rPr>
                <w:rFonts w:cstheme="minorHAnsi"/>
              </w:rPr>
            </w:pPr>
            <w:r w:rsidRPr="007A4E7E">
              <w:t>86/137 (62.8)</w:t>
            </w:r>
          </w:p>
        </w:tc>
      </w:tr>
      <w:tr w:rsidR="007D00BA" w:rsidRPr="007A4E7E" w14:paraId="5BCBCA22" w14:textId="77777777" w:rsidTr="00EA6DFD">
        <w:tc>
          <w:tcPr>
            <w:tcW w:w="5000" w:type="pct"/>
            <w:gridSpan w:val="5"/>
            <w:shd w:val="clear" w:color="auto" w:fill="auto"/>
            <w:vAlign w:val="center"/>
          </w:tcPr>
          <w:p w14:paraId="3C77D24E" w14:textId="77777777" w:rsidR="007D00BA" w:rsidRPr="007A4E7E" w:rsidRDefault="007D00BA" w:rsidP="00EA6DFD">
            <w:pPr>
              <w:pStyle w:val="TableText0"/>
              <w:rPr>
                <w:b/>
                <w:bCs w:val="0"/>
              </w:rPr>
            </w:pPr>
            <w:r w:rsidRPr="007A4E7E">
              <w:rPr>
                <w:b/>
                <w:bCs w:val="0"/>
              </w:rPr>
              <w:t>Overall response rate</w:t>
            </w:r>
          </w:p>
        </w:tc>
      </w:tr>
      <w:tr w:rsidR="007D00BA" w:rsidRPr="007A4E7E" w14:paraId="69A3BBF1" w14:textId="77777777" w:rsidTr="00EA6DFD">
        <w:tc>
          <w:tcPr>
            <w:tcW w:w="1127" w:type="pct"/>
            <w:shd w:val="clear" w:color="auto" w:fill="D9E2F3" w:themeFill="accent1" w:themeFillTint="33"/>
            <w:vAlign w:val="center"/>
          </w:tcPr>
          <w:p w14:paraId="3416655A" w14:textId="77777777" w:rsidR="007D00BA" w:rsidRPr="007A4E7E" w:rsidRDefault="007D00BA" w:rsidP="00EA6DFD">
            <w:pPr>
              <w:pStyle w:val="TableText0"/>
            </w:pPr>
            <w:r w:rsidRPr="007A4E7E">
              <w:t>Week 12, n/N (%)</w:t>
            </w:r>
          </w:p>
        </w:tc>
        <w:tc>
          <w:tcPr>
            <w:tcW w:w="853" w:type="pct"/>
            <w:shd w:val="clear" w:color="auto" w:fill="D9E2F3" w:themeFill="accent1" w:themeFillTint="33"/>
            <w:vAlign w:val="center"/>
          </w:tcPr>
          <w:p w14:paraId="5A3AEFDB" w14:textId="77777777" w:rsidR="007D00BA" w:rsidRPr="007A4E7E" w:rsidRDefault="007D00BA" w:rsidP="00EA6DFD">
            <w:pPr>
              <w:pStyle w:val="TableText0"/>
              <w:jc w:val="center"/>
            </w:pPr>
            <w:r w:rsidRPr="007A4E7E">
              <w:t>39/48 (81.3)</w:t>
            </w:r>
          </w:p>
        </w:tc>
        <w:tc>
          <w:tcPr>
            <w:tcW w:w="1181" w:type="pct"/>
            <w:shd w:val="clear" w:color="auto" w:fill="D9E2F3" w:themeFill="accent1" w:themeFillTint="33"/>
            <w:vAlign w:val="center"/>
          </w:tcPr>
          <w:p w14:paraId="22108D4F" w14:textId="1232F419" w:rsidR="007D00BA" w:rsidRPr="007A4E7E" w:rsidRDefault="007D00BA" w:rsidP="00EA6DFD">
            <w:pPr>
              <w:pStyle w:val="TableText0"/>
              <w:jc w:val="center"/>
            </w:pPr>
            <w:r w:rsidRPr="007A4E7E">
              <w:t>4/25 (16.0%)</w:t>
            </w:r>
            <w:r w:rsidR="00C1108E" w:rsidRPr="007A4E7E">
              <w:t xml:space="preserve"> </w:t>
            </w:r>
            <w:r w:rsidR="00C1108E" w:rsidRPr="007A4E7E">
              <w:rPr>
                <w:vertAlign w:val="superscript"/>
              </w:rPr>
              <w:t>b</w:t>
            </w:r>
          </w:p>
        </w:tc>
        <w:tc>
          <w:tcPr>
            <w:tcW w:w="971" w:type="pct"/>
            <w:shd w:val="clear" w:color="auto" w:fill="D9E2F3" w:themeFill="accent1" w:themeFillTint="33"/>
            <w:vAlign w:val="center"/>
          </w:tcPr>
          <w:p w14:paraId="7009E6FD" w14:textId="77777777" w:rsidR="007D00BA" w:rsidRPr="007A4E7E" w:rsidRDefault="007D00BA" w:rsidP="00EA6DFD">
            <w:pPr>
              <w:pStyle w:val="TableText0"/>
              <w:jc w:val="center"/>
            </w:pPr>
            <w:r w:rsidRPr="007A4E7E">
              <w:t>NE</w:t>
            </w:r>
          </w:p>
        </w:tc>
        <w:tc>
          <w:tcPr>
            <w:tcW w:w="868" w:type="pct"/>
            <w:shd w:val="clear" w:color="auto" w:fill="D9E2F3" w:themeFill="accent1" w:themeFillTint="33"/>
            <w:vAlign w:val="center"/>
          </w:tcPr>
          <w:p w14:paraId="46EF6934" w14:textId="77777777" w:rsidR="007D00BA" w:rsidRPr="007A4E7E" w:rsidRDefault="007D00BA" w:rsidP="00EA6DFD">
            <w:pPr>
              <w:pStyle w:val="TableText0"/>
              <w:jc w:val="center"/>
            </w:pPr>
            <w:r w:rsidRPr="007A4E7E">
              <w:t>117/137 (85.4)</w:t>
            </w:r>
          </w:p>
        </w:tc>
      </w:tr>
      <w:tr w:rsidR="007D00BA" w:rsidRPr="007A4E7E" w14:paraId="6BF68F16" w14:textId="77777777" w:rsidTr="00EA6DFD">
        <w:tc>
          <w:tcPr>
            <w:tcW w:w="1127" w:type="pct"/>
            <w:shd w:val="clear" w:color="auto" w:fill="D9E2F3" w:themeFill="accent1" w:themeFillTint="33"/>
            <w:vAlign w:val="center"/>
          </w:tcPr>
          <w:p w14:paraId="496DF467" w14:textId="77777777" w:rsidR="007D00BA" w:rsidRPr="007A4E7E" w:rsidRDefault="007D00BA" w:rsidP="00EA6DFD">
            <w:pPr>
              <w:pStyle w:val="TableText0"/>
            </w:pPr>
            <w:r w:rsidRPr="007A4E7E">
              <w:t xml:space="preserve">Week 24, n/N (%) </w:t>
            </w:r>
          </w:p>
        </w:tc>
        <w:tc>
          <w:tcPr>
            <w:tcW w:w="853" w:type="pct"/>
            <w:shd w:val="clear" w:color="auto" w:fill="D9E2F3" w:themeFill="accent1" w:themeFillTint="33"/>
            <w:vAlign w:val="center"/>
          </w:tcPr>
          <w:p w14:paraId="1A45E3D2" w14:textId="77777777" w:rsidR="007D00BA" w:rsidRPr="007A4E7E" w:rsidRDefault="007D00BA" w:rsidP="00EA6DFD">
            <w:pPr>
              <w:pStyle w:val="TableText0"/>
              <w:jc w:val="center"/>
            </w:pPr>
            <w:r w:rsidRPr="007A4E7E">
              <w:t>-</w:t>
            </w:r>
          </w:p>
        </w:tc>
        <w:tc>
          <w:tcPr>
            <w:tcW w:w="1181" w:type="pct"/>
            <w:shd w:val="clear" w:color="auto" w:fill="D9E2F3" w:themeFill="accent1" w:themeFillTint="33"/>
            <w:vAlign w:val="center"/>
          </w:tcPr>
          <w:p w14:paraId="06419EF3" w14:textId="77777777" w:rsidR="007D00BA" w:rsidRPr="007A4E7E" w:rsidRDefault="007D00BA" w:rsidP="00EA6DFD">
            <w:pPr>
              <w:pStyle w:val="TableText0"/>
              <w:jc w:val="center"/>
            </w:pPr>
            <w:r w:rsidRPr="007A4E7E">
              <w:t>-</w:t>
            </w:r>
          </w:p>
        </w:tc>
        <w:tc>
          <w:tcPr>
            <w:tcW w:w="971" w:type="pct"/>
            <w:shd w:val="clear" w:color="auto" w:fill="D9E2F3" w:themeFill="accent1" w:themeFillTint="33"/>
            <w:vAlign w:val="center"/>
          </w:tcPr>
          <w:p w14:paraId="1E7B7179" w14:textId="77777777" w:rsidR="007D00BA" w:rsidRPr="007A4E7E" w:rsidRDefault="007D00BA" w:rsidP="00EA6DFD">
            <w:pPr>
              <w:pStyle w:val="TableText0"/>
              <w:jc w:val="center"/>
            </w:pPr>
            <w:r w:rsidRPr="007A4E7E">
              <w:t>-</w:t>
            </w:r>
          </w:p>
        </w:tc>
        <w:tc>
          <w:tcPr>
            <w:tcW w:w="868" w:type="pct"/>
            <w:shd w:val="clear" w:color="auto" w:fill="D9E2F3" w:themeFill="accent1" w:themeFillTint="33"/>
            <w:vAlign w:val="center"/>
          </w:tcPr>
          <w:p w14:paraId="00BCF458" w14:textId="77777777" w:rsidR="007D00BA" w:rsidRPr="007A4E7E" w:rsidRDefault="007D00BA" w:rsidP="00EA6DFD">
            <w:pPr>
              <w:pStyle w:val="TableText0"/>
              <w:jc w:val="center"/>
            </w:pPr>
            <w:r w:rsidRPr="007A4E7E">
              <w:t>113/137 (82.5)</w:t>
            </w:r>
          </w:p>
        </w:tc>
      </w:tr>
      <w:tr w:rsidR="007D00BA" w:rsidRPr="007A4E7E" w14:paraId="457F5129" w14:textId="77777777" w:rsidTr="00EA6DFD">
        <w:tc>
          <w:tcPr>
            <w:tcW w:w="1127" w:type="pct"/>
            <w:shd w:val="clear" w:color="auto" w:fill="auto"/>
            <w:vAlign w:val="center"/>
          </w:tcPr>
          <w:p w14:paraId="6CDC24E5" w14:textId="77777777" w:rsidR="007D00BA" w:rsidRPr="007A4E7E" w:rsidRDefault="007D00BA" w:rsidP="00EA6DFD">
            <w:pPr>
              <w:pStyle w:val="TableText0"/>
            </w:pPr>
            <w:r w:rsidRPr="007A4E7E">
              <w:rPr>
                <w:iCs/>
              </w:rPr>
              <w:t xml:space="preserve">Week 26, n/N (%) </w:t>
            </w:r>
            <w:r w:rsidRPr="007A4E7E">
              <w:rPr>
                <w:iCs/>
                <w:vertAlign w:val="superscript"/>
              </w:rPr>
              <w:t>e</w:t>
            </w:r>
          </w:p>
        </w:tc>
        <w:tc>
          <w:tcPr>
            <w:tcW w:w="853" w:type="pct"/>
            <w:shd w:val="clear" w:color="auto" w:fill="auto"/>
          </w:tcPr>
          <w:p w14:paraId="54804BC4" w14:textId="77777777" w:rsidR="007D00BA" w:rsidRPr="007A4E7E" w:rsidRDefault="007D00BA" w:rsidP="00EA6DFD">
            <w:pPr>
              <w:pStyle w:val="TableText0"/>
              <w:jc w:val="center"/>
            </w:pPr>
            <w:r w:rsidRPr="007A4E7E">
              <w:rPr>
                <w:iCs/>
              </w:rPr>
              <w:t>38/48 (79.2)</w:t>
            </w:r>
          </w:p>
        </w:tc>
        <w:tc>
          <w:tcPr>
            <w:tcW w:w="1181" w:type="pct"/>
            <w:shd w:val="clear" w:color="auto" w:fill="auto"/>
          </w:tcPr>
          <w:p w14:paraId="58E791AB" w14:textId="386070F3" w:rsidR="007D00BA" w:rsidRPr="007A4E7E" w:rsidRDefault="007D00BA" w:rsidP="00EA6DFD">
            <w:pPr>
              <w:pStyle w:val="TableText0"/>
              <w:jc w:val="center"/>
            </w:pPr>
            <w:r w:rsidRPr="007A4E7E">
              <w:rPr>
                <w:iCs/>
              </w:rPr>
              <w:t>24/25 (96</w:t>
            </w:r>
            <w:r w:rsidR="004123E5">
              <w:rPr>
                <w:iCs/>
              </w:rPr>
              <w:t>.0</w:t>
            </w:r>
            <w:r w:rsidRPr="007A4E7E">
              <w:rPr>
                <w:iCs/>
              </w:rPr>
              <w:t>)</w:t>
            </w:r>
          </w:p>
        </w:tc>
        <w:tc>
          <w:tcPr>
            <w:tcW w:w="971" w:type="pct"/>
            <w:shd w:val="clear" w:color="auto" w:fill="auto"/>
          </w:tcPr>
          <w:p w14:paraId="46CC2370" w14:textId="77777777" w:rsidR="007D00BA" w:rsidRPr="007A4E7E" w:rsidRDefault="007D00BA" w:rsidP="00EA6DFD">
            <w:pPr>
              <w:pStyle w:val="TableText0"/>
              <w:jc w:val="center"/>
            </w:pPr>
            <w:r w:rsidRPr="007A4E7E">
              <w:rPr>
                <w:iCs/>
              </w:rPr>
              <w:t>62/73 (84.9)</w:t>
            </w:r>
          </w:p>
        </w:tc>
        <w:tc>
          <w:tcPr>
            <w:tcW w:w="868" w:type="pct"/>
            <w:vAlign w:val="center"/>
          </w:tcPr>
          <w:p w14:paraId="2078631F" w14:textId="77777777" w:rsidR="007D00BA" w:rsidRPr="007A4E7E" w:rsidRDefault="007D00BA" w:rsidP="00EA6DFD">
            <w:pPr>
              <w:pStyle w:val="TableText0"/>
              <w:jc w:val="center"/>
            </w:pPr>
            <w:r w:rsidRPr="007A4E7E">
              <w:rPr>
                <w:iCs/>
              </w:rPr>
              <w:t>107/137 (78.1)</w:t>
            </w:r>
          </w:p>
        </w:tc>
      </w:tr>
      <w:tr w:rsidR="007D00BA" w:rsidRPr="007A4E7E" w14:paraId="11CC6462" w14:textId="77777777" w:rsidTr="00EA6DFD">
        <w:tc>
          <w:tcPr>
            <w:tcW w:w="1127" w:type="pct"/>
            <w:shd w:val="clear" w:color="auto" w:fill="D9E2F3" w:themeFill="accent1" w:themeFillTint="33"/>
            <w:vAlign w:val="center"/>
          </w:tcPr>
          <w:p w14:paraId="405974E0" w14:textId="77777777" w:rsidR="007D00BA" w:rsidRPr="007A4E7E" w:rsidRDefault="007D00BA" w:rsidP="00EA6DFD">
            <w:pPr>
              <w:pStyle w:val="TableText0"/>
            </w:pPr>
            <w:r w:rsidRPr="007A4E7E">
              <w:t>Week 36, n/N (%)</w:t>
            </w:r>
          </w:p>
        </w:tc>
        <w:tc>
          <w:tcPr>
            <w:tcW w:w="853" w:type="pct"/>
            <w:shd w:val="clear" w:color="auto" w:fill="D9E2F3" w:themeFill="accent1" w:themeFillTint="33"/>
            <w:vAlign w:val="center"/>
          </w:tcPr>
          <w:p w14:paraId="42E58D31" w14:textId="77777777" w:rsidR="007D00BA" w:rsidRPr="007A4E7E" w:rsidRDefault="007D00BA" w:rsidP="00EA6DFD">
            <w:pPr>
              <w:pStyle w:val="TableText0"/>
              <w:jc w:val="center"/>
            </w:pPr>
            <w:r w:rsidRPr="007A4E7E">
              <w:t>40/48 (83.3)</w:t>
            </w:r>
          </w:p>
        </w:tc>
        <w:tc>
          <w:tcPr>
            <w:tcW w:w="1181" w:type="pct"/>
            <w:shd w:val="clear" w:color="auto" w:fill="D9E2F3" w:themeFill="accent1" w:themeFillTint="33"/>
            <w:vAlign w:val="center"/>
          </w:tcPr>
          <w:p w14:paraId="7B666624" w14:textId="77777777" w:rsidR="007D00BA" w:rsidRPr="007A4E7E" w:rsidRDefault="007D00BA" w:rsidP="00EA6DFD">
            <w:pPr>
              <w:pStyle w:val="TableText0"/>
              <w:jc w:val="center"/>
            </w:pPr>
            <w:r w:rsidRPr="007A4E7E">
              <w:t>24/25 (96.0)</w:t>
            </w:r>
          </w:p>
        </w:tc>
        <w:tc>
          <w:tcPr>
            <w:tcW w:w="971" w:type="pct"/>
            <w:shd w:val="clear" w:color="auto" w:fill="D9E2F3" w:themeFill="accent1" w:themeFillTint="33"/>
            <w:vAlign w:val="center"/>
          </w:tcPr>
          <w:p w14:paraId="22696F03" w14:textId="77777777" w:rsidR="007D00BA" w:rsidRPr="007A4E7E" w:rsidRDefault="007D00BA" w:rsidP="00EA6DFD">
            <w:pPr>
              <w:pStyle w:val="TableText0"/>
              <w:jc w:val="center"/>
            </w:pPr>
            <w:r w:rsidRPr="007A4E7E">
              <w:t>64/73 (87.7)</w:t>
            </w:r>
          </w:p>
        </w:tc>
        <w:tc>
          <w:tcPr>
            <w:tcW w:w="868" w:type="pct"/>
            <w:shd w:val="clear" w:color="auto" w:fill="D9E2F3" w:themeFill="accent1" w:themeFillTint="33"/>
            <w:vAlign w:val="center"/>
          </w:tcPr>
          <w:p w14:paraId="41D48A5A" w14:textId="77777777" w:rsidR="007D00BA" w:rsidRPr="007A4E7E" w:rsidRDefault="007D00BA" w:rsidP="00EA6DFD">
            <w:pPr>
              <w:pStyle w:val="TableText0"/>
              <w:jc w:val="center"/>
              <w:rPr>
                <w:iCs/>
              </w:rPr>
            </w:pPr>
            <w:r w:rsidRPr="007A4E7E">
              <w:rPr>
                <w:iCs/>
              </w:rPr>
              <w:t>97/137 (70.8)</w:t>
            </w:r>
          </w:p>
        </w:tc>
      </w:tr>
      <w:tr w:rsidR="007D00BA" w:rsidRPr="007A4E7E" w14:paraId="6F5F9DF7" w14:textId="77777777" w:rsidTr="00EA6DFD">
        <w:tc>
          <w:tcPr>
            <w:tcW w:w="1127" w:type="pct"/>
            <w:shd w:val="clear" w:color="auto" w:fill="D9E2F3" w:themeFill="accent1" w:themeFillTint="33"/>
            <w:vAlign w:val="center"/>
          </w:tcPr>
          <w:p w14:paraId="6933B43A" w14:textId="77777777" w:rsidR="007D00BA" w:rsidRPr="007A4E7E" w:rsidRDefault="007D00BA" w:rsidP="00EA6DFD">
            <w:pPr>
              <w:pStyle w:val="TableText0"/>
              <w:rPr>
                <w:vertAlign w:val="superscript"/>
              </w:rPr>
            </w:pPr>
            <w:r w:rsidRPr="007A4E7E">
              <w:t xml:space="preserve">Week 48, n/N (%) </w:t>
            </w:r>
            <w:r w:rsidRPr="007A4E7E">
              <w:rPr>
                <w:vertAlign w:val="superscript"/>
              </w:rPr>
              <w:t>c</w:t>
            </w:r>
          </w:p>
        </w:tc>
        <w:tc>
          <w:tcPr>
            <w:tcW w:w="853" w:type="pct"/>
            <w:shd w:val="clear" w:color="auto" w:fill="D9E2F3" w:themeFill="accent1" w:themeFillTint="33"/>
            <w:vAlign w:val="center"/>
          </w:tcPr>
          <w:p w14:paraId="7F9610D9" w14:textId="77777777" w:rsidR="007D00BA" w:rsidRPr="007A4E7E" w:rsidRDefault="007D00BA" w:rsidP="00EA6DFD">
            <w:pPr>
              <w:pStyle w:val="TableText0"/>
              <w:jc w:val="center"/>
            </w:pPr>
            <w:r w:rsidRPr="007A4E7E">
              <w:t>39/48 (81.3)</w:t>
            </w:r>
          </w:p>
        </w:tc>
        <w:tc>
          <w:tcPr>
            <w:tcW w:w="1181" w:type="pct"/>
            <w:shd w:val="clear" w:color="auto" w:fill="D9E2F3" w:themeFill="accent1" w:themeFillTint="33"/>
            <w:vAlign w:val="center"/>
          </w:tcPr>
          <w:p w14:paraId="3B1157BB" w14:textId="77777777" w:rsidR="007D00BA" w:rsidRPr="007A4E7E" w:rsidRDefault="007D00BA" w:rsidP="00EA6DFD">
            <w:pPr>
              <w:pStyle w:val="TableText0"/>
              <w:jc w:val="center"/>
            </w:pPr>
            <w:r w:rsidRPr="007A4E7E">
              <w:t>19/25 (76.0)</w:t>
            </w:r>
          </w:p>
        </w:tc>
        <w:tc>
          <w:tcPr>
            <w:tcW w:w="971" w:type="pct"/>
            <w:shd w:val="clear" w:color="auto" w:fill="D9E2F3" w:themeFill="accent1" w:themeFillTint="33"/>
            <w:vAlign w:val="center"/>
          </w:tcPr>
          <w:p w14:paraId="235F875D" w14:textId="77777777" w:rsidR="007D00BA" w:rsidRPr="007A4E7E" w:rsidRDefault="007D00BA" w:rsidP="00EA6DFD">
            <w:pPr>
              <w:pStyle w:val="TableText0"/>
              <w:jc w:val="center"/>
            </w:pPr>
            <w:r w:rsidRPr="007A4E7E">
              <w:t>58/73 (79.5)</w:t>
            </w:r>
          </w:p>
        </w:tc>
        <w:tc>
          <w:tcPr>
            <w:tcW w:w="868" w:type="pct"/>
            <w:shd w:val="clear" w:color="auto" w:fill="D9E2F3" w:themeFill="accent1" w:themeFillTint="33"/>
            <w:vAlign w:val="center"/>
          </w:tcPr>
          <w:p w14:paraId="22D8B9E0" w14:textId="77777777" w:rsidR="007D00BA" w:rsidRPr="007A4E7E" w:rsidRDefault="007D00BA" w:rsidP="00EA6DFD">
            <w:pPr>
              <w:pStyle w:val="TableText0"/>
              <w:jc w:val="center"/>
              <w:rPr>
                <w:vertAlign w:val="superscript"/>
              </w:rPr>
            </w:pPr>
            <w:r w:rsidRPr="007A4E7E">
              <w:t>104/137 (75.9)</w:t>
            </w:r>
          </w:p>
        </w:tc>
      </w:tr>
      <w:tr w:rsidR="007D00BA" w:rsidRPr="007A4E7E" w14:paraId="627DB8DA" w14:textId="77777777" w:rsidTr="00EA6DFD">
        <w:tc>
          <w:tcPr>
            <w:tcW w:w="1127" w:type="pct"/>
            <w:shd w:val="clear" w:color="auto" w:fill="D9E2F3" w:themeFill="accent1" w:themeFillTint="33"/>
            <w:vAlign w:val="center"/>
          </w:tcPr>
          <w:p w14:paraId="423BF388" w14:textId="77777777" w:rsidR="007D00BA" w:rsidRPr="007A4E7E" w:rsidRDefault="007D00BA" w:rsidP="00EA6DFD">
            <w:pPr>
              <w:pStyle w:val="TableText0"/>
            </w:pPr>
            <w:r w:rsidRPr="007A4E7E">
              <w:rPr>
                <w:rFonts w:cstheme="minorHAnsi"/>
              </w:rPr>
              <w:t>Week 72, n/N (%)</w:t>
            </w:r>
          </w:p>
        </w:tc>
        <w:tc>
          <w:tcPr>
            <w:tcW w:w="853" w:type="pct"/>
            <w:shd w:val="clear" w:color="auto" w:fill="D9E2F3" w:themeFill="accent1" w:themeFillTint="33"/>
            <w:vAlign w:val="center"/>
          </w:tcPr>
          <w:p w14:paraId="10FA8A57" w14:textId="77777777" w:rsidR="007D00BA" w:rsidRPr="007A4E7E" w:rsidRDefault="007D00BA" w:rsidP="00EA6DFD">
            <w:pPr>
              <w:pStyle w:val="TableText0"/>
              <w:jc w:val="center"/>
            </w:pPr>
            <w:r w:rsidRPr="007A4E7E">
              <w:rPr>
                <w:rFonts w:cstheme="minorHAnsi"/>
              </w:rPr>
              <w:t>29/41 (70.7)</w:t>
            </w:r>
          </w:p>
        </w:tc>
        <w:tc>
          <w:tcPr>
            <w:tcW w:w="1181" w:type="pct"/>
            <w:shd w:val="clear" w:color="auto" w:fill="D9E2F3" w:themeFill="accent1" w:themeFillTint="33"/>
            <w:vAlign w:val="center"/>
          </w:tcPr>
          <w:p w14:paraId="7699EE97" w14:textId="77777777" w:rsidR="007D00BA" w:rsidRPr="007A4E7E" w:rsidRDefault="007D00BA" w:rsidP="00EA6DFD">
            <w:pPr>
              <w:pStyle w:val="TableText0"/>
              <w:jc w:val="center"/>
            </w:pPr>
            <w:r w:rsidRPr="007A4E7E">
              <w:rPr>
                <w:rFonts w:cstheme="minorHAnsi"/>
              </w:rPr>
              <w:t>16/24 (66.7)</w:t>
            </w:r>
          </w:p>
        </w:tc>
        <w:tc>
          <w:tcPr>
            <w:tcW w:w="971" w:type="pct"/>
            <w:shd w:val="clear" w:color="auto" w:fill="D9E2F3" w:themeFill="accent1" w:themeFillTint="33"/>
            <w:vAlign w:val="center"/>
          </w:tcPr>
          <w:p w14:paraId="0A62FF89" w14:textId="77777777" w:rsidR="007D00BA" w:rsidRPr="007A4E7E" w:rsidRDefault="007D00BA" w:rsidP="00EA6DFD">
            <w:pPr>
              <w:pStyle w:val="TableText0"/>
              <w:jc w:val="center"/>
            </w:pPr>
            <w:r w:rsidRPr="007A4E7E">
              <w:rPr>
                <w:rFonts w:cstheme="minorHAnsi"/>
              </w:rPr>
              <w:t>45/65 (69.2)</w:t>
            </w:r>
          </w:p>
        </w:tc>
        <w:tc>
          <w:tcPr>
            <w:tcW w:w="868" w:type="pct"/>
            <w:shd w:val="clear" w:color="auto" w:fill="D9E2F3" w:themeFill="accent1" w:themeFillTint="33"/>
            <w:vAlign w:val="center"/>
          </w:tcPr>
          <w:p w14:paraId="12F1D4CF" w14:textId="77777777" w:rsidR="007D00BA" w:rsidRPr="007A4E7E" w:rsidRDefault="007D00BA" w:rsidP="00EA6DFD">
            <w:pPr>
              <w:pStyle w:val="TableText0"/>
              <w:jc w:val="center"/>
              <w:rPr>
                <w:rFonts w:cstheme="minorHAnsi"/>
              </w:rPr>
            </w:pPr>
            <w:r w:rsidRPr="007A4E7E">
              <w:t>94/106 (88.7)</w:t>
            </w:r>
          </w:p>
        </w:tc>
      </w:tr>
      <w:tr w:rsidR="007D00BA" w:rsidRPr="007A4E7E" w14:paraId="5025BD56" w14:textId="77777777" w:rsidTr="00EA6DFD">
        <w:tc>
          <w:tcPr>
            <w:tcW w:w="1127" w:type="pct"/>
            <w:shd w:val="clear" w:color="auto" w:fill="D9E2F3" w:themeFill="accent1" w:themeFillTint="33"/>
            <w:vAlign w:val="center"/>
          </w:tcPr>
          <w:p w14:paraId="0C29711E" w14:textId="77777777" w:rsidR="007D00BA" w:rsidRPr="007A4E7E" w:rsidRDefault="007D00BA" w:rsidP="00EA6DFD">
            <w:pPr>
              <w:pStyle w:val="TableText0"/>
            </w:pPr>
            <w:r w:rsidRPr="007A4E7E">
              <w:rPr>
                <w:rFonts w:cstheme="minorHAnsi"/>
              </w:rPr>
              <w:t>Week 96, n/N (%)</w:t>
            </w:r>
          </w:p>
        </w:tc>
        <w:tc>
          <w:tcPr>
            <w:tcW w:w="853" w:type="pct"/>
            <w:shd w:val="clear" w:color="auto" w:fill="D9E2F3" w:themeFill="accent1" w:themeFillTint="33"/>
            <w:vAlign w:val="center"/>
          </w:tcPr>
          <w:p w14:paraId="2CE55149" w14:textId="77777777" w:rsidR="007D00BA" w:rsidRPr="007A4E7E" w:rsidRDefault="007D00BA" w:rsidP="00EA6DFD">
            <w:pPr>
              <w:pStyle w:val="TableText0"/>
              <w:jc w:val="center"/>
            </w:pPr>
            <w:r w:rsidRPr="007A4E7E">
              <w:rPr>
                <w:rFonts w:cstheme="minorHAnsi"/>
              </w:rPr>
              <w:t>5/19 (26.3)</w:t>
            </w:r>
          </w:p>
        </w:tc>
        <w:tc>
          <w:tcPr>
            <w:tcW w:w="1181" w:type="pct"/>
            <w:shd w:val="clear" w:color="auto" w:fill="D9E2F3" w:themeFill="accent1" w:themeFillTint="33"/>
            <w:vAlign w:val="center"/>
          </w:tcPr>
          <w:p w14:paraId="746C18A3" w14:textId="77777777" w:rsidR="007D00BA" w:rsidRPr="007A4E7E" w:rsidRDefault="007D00BA" w:rsidP="00EA6DFD">
            <w:pPr>
              <w:pStyle w:val="TableText0"/>
              <w:jc w:val="center"/>
            </w:pPr>
            <w:r w:rsidRPr="007A4E7E">
              <w:rPr>
                <w:rFonts w:cstheme="minorHAnsi"/>
              </w:rPr>
              <w:t>6/13 (46.2)</w:t>
            </w:r>
          </w:p>
        </w:tc>
        <w:tc>
          <w:tcPr>
            <w:tcW w:w="971" w:type="pct"/>
            <w:shd w:val="clear" w:color="auto" w:fill="D9E2F3" w:themeFill="accent1" w:themeFillTint="33"/>
            <w:vAlign w:val="center"/>
          </w:tcPr>
          <w:p w14:paraId="71FA0B1D" w14:textId="77777777" w:rsidR="007D00BA" w:rsidRPr="007A4E7E" w:rsidRDefault="007D00BA" w:rsidP="00EA6DFD">
            <w:pPr>
              <w:pStyle w:val="TableText0"/>
              <w:jc w:val="center"/>
            </w:pPr>
            <w:r w:rsidRPr="007A4E7E">
              <w:rPr>
                <w:rFonts w:cstheme="minorHAnsi"/>
              </w:rPr>
              <w:t>11/32 (34.4)</w:t>
            </w:r>
          </w:p>
        </w:tc>
        <w:tc>
          <w:tcPr>
            <w:tcW w:w="868" w:type="pct"/>
            <w:shd w:val="clear" w:color="auto" w:fill="D9E2F3" w:themeFill="accent1" w:themeFillTint="33"/>
            <w:vAlign w:val="center"/>
          </w:tcPr>
          <w:p w14:paraId="208958F0" w14:textId="77777777" w:rsidR="007D00BA" w:rsidRPr="007A4E7E" w:rsidRDefault="007D00BA" w:rsidP="00EA6DFD">
            <w:pPr>
              <w:pStyle w:val="TableText0"/>
              <w:jc w:val="center"/>
              <w:rPr>
                <w:rFonts w:cstheme="minorHAnsi"/>
                <w:iCs/>
              </w:rPr>
            </w:pPr>
            <w:r w:rsidRPr="007A4E7E">
              <w:rPr>
                <w:rFonts w:cstheme="minorHAnsi"/>
                <w:iCs/>
              </w:rPr>
              <w:t>77/105 (73.3)</w:t>
            </w:r>
          </w:p>
        </w:tc>
      </w:tr>
      <w:tr w:rsidR="007D00BA" w:rsidRPr="007A4E7E" w14:paraId="36DA21B5" w14:textId="77777777" w:rsidTr="00EA6DFD">
        <w:tc>
          <w:tcPr>
            <w:tcW w:w="1127" w:type="pct"/>
            <w:shd w:val="clear" w:color="auto" w:fill="auto"/>
            <w:vAlign w:val="center"/>
          </w:tcPr>
          <w:p w14:paraId="52DD7764" w14:textId="77777777" w:rsidR="007D00BA" w:rsidRPr="007A4E7E" w:rsidRDefault="007D00BA" w:rsidP="00EA6DFD">
            <w:pPr>
              <w:pStyle w:val="TableText0"/>
              <w:rPr>
                <w:rFonts w:cstheme="minorHAnsi"/>
              </w:rPr>
            </w:pPr>
            <w:r w:rsidRPr="007A4E7E">
              <w:t>Week 120, n/N (%)</w:t>
            </w:r>
          </w:p>
        </w:tc>
        <w:tc>
          <w:tcPr>
            <w:tcW w:w="853" w:type="pct"/>
            <w:shd w:val="clear" w:color="auto" w:fill="auto"/>
            <w:vAlign w:val="center"/>
          </w:tcPr>
          <w:p w14:paraId="153A076E" w14:textId="77777777" w:rsidR="007D00BA" w:rsidRPr="007A4E7E" w:rsidRDefault="007D00BA" w:rsidP="00EA6DFD">
            <w:pPr>
              <w:pStyle w:val="TableText0"/>
              <w:jc w:val="center"/>
              <w:rPr>
                <w:rFonts w:cstheme="minorHAnsi"/>
              </w:rPr>
            </w:pPr>
            <w:r w:rsidRPr="007A4E7E">
              <w:t>-</w:t>
            </w:r>
          </w:p>
        </w:tc>
        <w:tc>
          <w:tcPr>
            <w:tcW w:w="1181" w:type="pct"/>
            <w:shd w:val="clear" w:color="auto" w:fill="auto"/>
            <w:vAlign w:val="center"/>
          </w:tcPr>
          <w:p w14:paraId="6E3BC11A" w14:textId="77777777" w:rsidR="007D00BA" w:rsidRPr="007A4E7E" w:rsidRDefault="007D00BA" w:rsidP="00EA6DFD">
            <w:pPr>
              <w:pStyle w:val="TableText0"/>
              <w:jc w:val="center"/>
              <w:rPr>
                <w:rFonts w:cstheme="minorHAnsi"/>
              </w:rPr>
            </w:pPr>
            <w:r w:rsidRPr="007A4E7E">
              <w:t>-</w:t>
            </w:r>
          </w:p>
        </w:tc>
        <w:tc>
          <w:tcPr>
            <w:tcW w:w="971" w:type="pct"/>
            <w:shd w:val="clear" w:color="auto" w:fill="auto"/>
            <w:vAlign w:val="center"/>
          </w:tcPr>
          <w:p w14:paraId="056C00DA" w14:textId="77777777" w:rsidR="007D00BA" w:rsidRPr="007A4E7E" w:rsidRDefault="007D00BA" w:rsidP="00EA6DFD">
            <w:pPr>
              <w:pStyle w:val="TableText0"/>
              <w:jc w:val="center"/>
              <w:rPr>
                <w:rFonts w:cstheme="minorHAnsi"/>
              </w:rPr>
            </w:pPr>
            <w:r w:rsidRPr="007A4E7E">
              <w:t>-</w:t>
            </w:r>
          </w:p>
        </w:tc>
        <w:tc>
          <w:tcPr>
            <w:tcW w:w="868" w:type="pct"/>
            <w:vAlign w:val="center"/>
          </w:tcPr>
          <w:p w14:paraId="1B696F28" w14:textId="77777777" w:rsidR="007D00BA" w:rsidRPr="007A4E7E" w:rsidRDefault="007D00BA" w:rsidP="00EA6DFD">
            <w:pPr>
              <w:pStyle w:val="TableText0"/>
              <w:jc w:val="center"/>
            </w:pPr>
            <w:r w:rsidRPr="007A4E7E">
              <w:t>73/100 (73.0)</w:t>
            </w:r>
          </w:p>
        </w:tc>
      </w:tr>
      <w:tr w:rsidR="007D00BA" w:rsidRPr="007A4E7E" w14:paraId="0144A09A" w14:textId="77777777" w:rsidTr="00EA6DFD">
        <w:tc>
          <w:tcPr>
            <w:tcW w:w="1127" w:type="pct"/>
            <w:shd w:val="clear" w:color="auto" w:fill="auto"/>
            <w:vAlign w:val="center"/>
          </w:tcPr>
          <w:p w14:paraId="694BDDDD" w14:textId="77777777" w:rsidR="007D00BA" w:rsidRPr="007A4E7E" w:rsidRDefault="007D00BA" w:rsidP="00EA6DFD">
            <w:pPr>
              <w:pStyle w:val="TableText0"/>
            </w:pPr>
            <w:r w:rsidRPr="007A4E7E">
              <w:rPr>
                <w:iCs/>
              </w:rPr>
              <w:t xml:space="preserve">Week 120 among all enrolled, n/N (%) </w:t>
            </w:r>
            <w:r w:rsidRPr="007A4E7E">
              <w:rPr>
                <w:iCs/>
                <w:vertAlign w:val="superscript"/>
              </w:rPr>
              <w:t>d, e</w:t>
            </w:r>
          </w:p>
        </w:tc>
        <w:tc>
          <w:tcPr>
            <w:tcW w:w="853" w:type="pct"/>
            <w:shd w:val="clear" w:color="auto" w:fill="auto"/>
            <w:vAlign w:val="center"/>
          </w:tcPr>
          <w:p w14:paraId="1E8B6192" w14:textId="77777777" w:rsidR="007D00BA" w:rsidRPr="007A4E7E" w:rsidRDefault="007D00BA" w:rsidP="00EA6DFD">
            <w:pPr>
              <w:pStyle w:val="TableText0"/>
              <w:jc w:val="center"/>
            </w:pPr>
            <w:r w:rsidRPr="007A4E7E">
              <w:t>-</w:t>
            </w:r>
          </w:p>
        </w:tc>
        <w:tc>
          <w:tcPr>
            <w:tcW w:w="1181" w:type="pct"/>
            <w:shd w:val="clear" w:color="auto" w:fill="auto"/>
            <w:vAlign w:val="center"/>
          </w:tcPr>
          <w:p w14:paraId="642AE24C" w14:textId="77777777" w:rsidR="007D00BA" w:rsidRPr="007A4E7E" w:rsidRDefault="007D00BA" w:rsidP="00EA6DFD">
            <w:pPr>
              <w:pStyle w:val="TableText0"/>
              <w:jc w:val="center"/>
            </w:pPr>
            <w:r w:rsidRPr="007A4E7E">
              <w:t>-</w:t>
            </w:r>
          </w:p>
        </w:tc>
        <w:tc>
          <w:tcPr>
            <w:tcW w:w="971" w:type="pct"/>
            <w:shd w:val="clear" w:color="auto" w:fill="auto"/>
            <w:vAlign w:val="center"/>
          </w:tcPr>
          <w:p w14:paraId="5C3869A8" w14:textId="77777777" w:rsidR="007D00BA" w:rsidRPr="007A4E7E" w:rsidRDefault="007D00BA" w:rsidP="00EA6DFD">
            <w:pPr>
              <w:pStyle w:val="TableText0"/>
              <w:jc w:val="center"/>
            </w:pPr>
            <w:r w:rsidRPr="007A4E7E">
              <w:t>-</w:t>
            </w:r>
          </w:p>
        </w:tc>
        <w:tc>
          <w:tcPr>
            <w:tcW w:w="868" w:type="pct"/>
            <w:vAlign w:val="center"/>
          </w:tcPr>
          <w:p w14:paraId="7B3A2905" w14:textId="77777777" w:rsidR="007D00BA" w:rsidRPr="007A4E7E" w:rsidRDefault="007D00BA" w:rsidP="00EA6DFD">
            <w:pPr>
              <w:pStyle w:val="TableText0"/>
              <w:jc w:val="center"/>
            </w:pPr>
            <w:r w:rsidRPr="007A4E7E">
              <w:rPr>
                <w:iCs/>
              </w:rPr>
              <w:t>73/137 (53.3)</w:t>
            </w:r>
          </w:p>
        </w:tc>
      </w:tr>
      <w:tr w:rsidR="007D00BA" w:rsidRPr="007A4E7E" w14:paraId="640ABB83" w14:textId="77777777" w:rsidTr="00EA6DFD">
        <w:tc>
          <w:tcPr>
            <w:tcW w:w="1127" w:type="pct"/>
            <w:shd w:val="clear" w:color="auto" w:fill="D9E2F3" w:themeFill="accent1" w:themeFillTint="33"/>
            <w:vAlign w:val="center"/>
          </w:tcPr>
          <w:p w14:paraId="40D1EA1E" w14:textId="77777777" w:rsidR="007D00BA" w:rsidRPr="007A4E7E" w:rsidRDefault="007D00BA" w:rsidP="00EA6DFD">
            <w:pPr>
              <w:pStyle w:val="TableText0"/>
              <w:rPr>
                <w:vertAlign w:val="superscript"/>
              </w:rPr>
            </w:pPr>
            <w:r w:rsidRPr="007A4E7E">
              <w:rPr>
                <w:rFonts w:cstheme="minorHAnsi"/>
              </w:rPr>
              <w:t>EOT Extension, n/N (%)</w:t>
            </w:r>
          </w:p>
        </w:tc>
        <w:tc>
          <w:tcPr>
            <w:tcW w:w="853" w:type="pct"/>
            <w:shd w:val="clear" w:color="auto" w:fill="D9E2F3" w:themeFill="accent1" w:themeFillTint="33"/>
            <w:vAlign w:val="center"/>
          </w:tcPr>
          <w:p w14:paraId="500F6740" w14:textId="77777777" w:rsidR="007D00BA" w:rsidRPr="007A4E7E" w:rsidRDefault="007D00BA" w:rsidP="00EA6DFD">
            <w:pPr>
              <w:pStyle w:val="TableText0"/>
              <w:jc w:val="center"/>
            </w:pPr>
            <w:r w:rsidRPr="007A4E7E">
              <w:rPr>
                <w:rFonts w:cstheme="minorHAnsi"/>
              </w:rPr>
              <w:t>31/38 (81.6)</w:t>
            </w:r>
          </w:p>
        </w:tc>
        <w:tc>
          <w:tcPr>
            <w:tcW w:w="1181" w:type="pct"/>
            <w:shd w:val="clear" w:color="auto" w:fill="D9E2F3" w:themeFill="accent1" w:themeFillTint="33"/>
            <w:vAlign w:val="center"/>
          </w:tcPr>
          <w:p w14:paraId="79F8EC32" w14:textId="77777777" w:rsidR="007D00BA" w:rsidRPr="007A4E7E" w:rsidRDefault="007D00BA" w:rsidP="00EA6DFD">
            <w:pPr>
              <w:pStyle w:val="TableText0"/>
              <w:jc w:val="center"/>
            </w:pPr>
            <w:r w:rsidRPr="007A4E7E">
              <w:rPr>
                <w:rFonts w:cstheme="minorHAnsi"/>
              </w:rPr>
              <w:t>16/20 (80.0)</w:t>
            </w:r>
          </w:p>
        </w:tc>
        <w:tc>
          <w:tcPr>
            <w:tcW w:w="971" w:type="pct"/>
            <w:shd w:val="clear" w:color="auto" w:fill="D9E2F3" w:themeFill="accent1" w:themeFillTint="33"/>
            <w:vAlign w:val="center"/>
          </w:tcPr>
          <w:p w14:paraId="5D8A3439" w14:textId="77777777" w:rsidR="007D00BA" w:rsidRPr="007A4E7E" w:rsidRDefault="007D00BA" w:rsidP="00EA6DFD">
            <w:pPr>
              <w:pStyle w:val="TableText0"/>
              <w:jc w:val="center"/>
            </w:pPr>
            <w:r w:rsidRPr="007A4E7E">
              <w:rPr>
                <w:rFonts w:cstheme="minorHAnsi"/>
              </w:rPr>
              <w:t>47/58 (81.0)</w:t>
            </w:r>
          </w:p>
        </w:tc>
        <w:tc>
          <w:tcPr>
            <w:tcW w:w="868" w:type="pct"/>
            <w:shd w:val="clear" w:color="auto" w:fill="D9E2F3" w:themeFill="accent1" w:themeFillTint="33"/>
            <w:vAlign w:val="center"/>
          </w:tcPr>
          <w:p w14:paraId="1A024481" w14:textId="77777777" w:rsidR="007D00BA" w:rsidRPr="007A4E7E" w:rsidRDefault="007D00BA" w:rsidP="00EA6DFD">
            <w:pPr>
              <w:pStyle w:val="TableText0"/>
              <w:jc w:val="center"/>
              <w:rPr>
                <w:rFonts w:cstheme="minorHAnsi"/>
              </w:rPr>
            </w:pPr>
            <w:r w:rsidRPr="007A4E7E">
              <w:t>113/137 (82.5)</w:t>
            </w:r>
          </w:p>
        </w:tc>
      </w:tr>
    </w:tbl>
    <w:p w14:paraId="0AC888B4" w14:textId="61A6F707" w:rsidR="007D00BA" w:rsidRPr="007A4E7E" w:rsidRDefault="007D00BA" w:rsidP="00914C1A">
      <w:pPr>
        <w:pStyle w:val="FooterTableFigure"/>
        <w:keepNext/>
        <w:keepLines/>
      </w:pPr>
      <w:r w:rsidRPr="007A4E7E">
        <w:t>Source: Table 2.5-9; Table 2.5-18; Table 2.5-28; Table 2.5-29; Table 2.5-37, of the submission; Table 14-.2-2.1, and LINC 3 Final CSR</w:t>
      </w:r>
    </w:p>
    <w:p w14:paraId="4A311B63" w14:textId="77777777" w:rsidR="007D00BA" w:rsidRPr="007A4E7E" w:rsidRDefault="007D00BA" w:rsidP="00914C1A">
      <w:pPr>
        <w:pStyle w:val="FooterTableFigure"/>
        <w:keepNext/>
        <w:keepLines/>
      </w:pPr>
      <w:r w:rsidRPr="007A4E7E">
        <w:t>CI = confidence interval; EOT = end of treatment; FAS = full analysis set; mUFC = Mean Urinary free cortisol; ULN = Upper Limit of Normal</w:t>
      </w:r>
    </w:p>
    <w:p w14:paraId="58F46F11" w14:textId="77777777" w:rsidR="007D00BA" w:rsidRPr="007A4E7E" w:rsidRDefault="007D00BA" w:rsidP="00914C1A">
      <w:pPr>
        <w:pStyle w:val="FooterTableFigure"/>
        <w:keepNext/>
        <w:keepLines/>
      </w:pPr>
      <w:r w:rsidRPr="007A4E7E">
        <w:t>a LINC 4: Patients randomised to placebo switched to open-label osilodrostat at Week 12</w:t>
      </w:r>
    </w:p>
    <w:p w14:paraId="3455D1AB" w14:textId="77777777" w:rsidR="007D00BA" w:rsidRPr="007A4E7E" w:rsidRDefault="007D00BA" w:rsidP="00914C1A">
      <w:pPr>
        <w:pStyle w:val="FooterTableFigure"/>
        <w:keepNext/>
        <w:keepLines/>
      </w:pPr>
      <w:r w:rsidRPr="007A4E7E">
        <w:t>b LINC 4: Week 12 estimate is based on placebo patients only (have not received osilodrostat)</w:t>
      </w:r>
    </w:p>
    <w:p w14:paraId="5B595593" w14:textId="77777777" w:rsidR="007D00BA" w:rsidRPr="007A4E7E" w:rsidRDefault="007D00BA" w:rsidP="00914C1A">
      <w:pPr>
        <w:pStyle w:val="FooterTableFigure"/>
        <w:keepNext/>
        <w:keepLines/>
      </w:pPr>
      <w:r w:rsidRPr="007A4E7E">
        <w:t>c the denominator rules after Week 48 (extension period) were as follows:</w:t>
      </w:r>
    </w:p>
    <w:p w14:paraId="0D34DB0C" w14:textId="77777777" w:rsidR="007D00BA" w:rsidRPr="007A4E7E" w:rsidRDefault="007D00BA" w:rsidP="00914C1A">
      <w:pPr>
        <w:pStyle w:val="FooterTableFigure"/>
        <w:keepNext/>
        <w:keepLines/>
        <w:ind w:left="113"/>
      </w:pPr>
      <w:r w:rsidRPr="007A4E7E">
        <w:t>LINC 3: 1) patients who declined to enter optional extension period after completion of the core phase were excluded and 2) patients who discontinued prior to the December 2019 data cut off were included up to the furthest scheduled visit they could have completed if they had not discontinued early based on data cut off and last completed based on the date of last completed schedule visit and analyses cut-off date.</w:t>
      </w:r>
    </w:p>
    <w:p w14:paraId="3FC40B64" w14:textId="77777777" w:rsidR="007D00BA" w:rsidRPr="007A4E7E" w:rsidRDefault="007D00BA" w:rsidP="00914C1A">
      <w:pPr>
        <w:pStyle w:val="FooterTableFigure"/>
        <w:keepNext/>
        <w:keepLines/>
        <w:ind w:left="113"/>
      </w:pPr>
      <w:r w:rsidRPr="007A4E7E">
        <w:t>LINC 4: Patients who completed the extension phase were only included in the denominator until their individual EOT visit. Beyond Week 48, patients who completed the extension phase will only be included in the denominator until their individual EOT visit. Patients who discontinued prior to the data cutoff date were included for visits they could have completed if they had continued until week 96 or data cut off for the analysis (whatever occurs earlier) but excluded for further visits.</w:t>
      </w:r>
    </w:p>
    <w:p w14:paraId="5EF5BF5D" w14:textId="77777777" w:rsidR="007D00BA" w:rsidRPr="007A4E7E" w:rsidRDefault="007D00BA" w:rsidP="00914C1A">
      <w:pPr>
        <w:pStyle w:val="FooterTableFigure"/>
        <w:keepNext/>
        <w:keepLines/>
      </w:pPr>
      <w:r w:rsidRPr="007A4E7E">
        <w:t>d Using all patients as denominator, as in an intention to treat analysis</w:t>
      </w:r>
    </w:p>
    <w:p w14:paraId="14BB29EE" w14:textId="77777777" w:rsidR="007D00BA" w:rsidRPr="007A4E7E" w:rsidRDefault="007D00BA" w:rsidP="00914C1A">
      <w:pPr>
        <w:pStyle w:val="FooterTableFigure"/>
        <w:keepNext/>
        <w:keepLines/>
      </w:pPr>
      <w:r w:rsidRPr="007A4E7E">
        <w:t>e Additional information included during the evaluation</w:t>
      </w:r>
    </w:p>
    <w:p w14:paraId="6B444C73" w14:textId="77777777" w:rsidR="007D00BA" w:rsidRPr="007A4E7E" w:rsidRDefault="007D00BA" w:rsidP="00914C1A">
      <w:pPr>
        <w:pStyle w:val="FooterTableFigure"/>
        <w:keepNext/>
        <w:keepLines/>
      </w:pPr>
      <w:r w:rsidRPr="007A4E7E">
        <w:t>Complete responder: mUFC≤ULN, Partial responder: mUFC &gt; ULN but ≥ 50% reduction from baseline, Overall responder: either a complete or partial responder</w:t>
      </w:r>
    </w:p>
    <w:p w14:paraId="3635D270" w14:textId="77777777" w:rsidR="007D00BA" w:rsidRPr="007A4E7E" w:rsidRDefault="007D00BA" w:rsidP="007D00BA">
      <w:pPr>
        <w:pStyle w:val="FooterTableFigure"/>
      </w:pPr>
      <w:r w:rsidRPr="007A4E7E">
        <w:rPr>
          <w:shd w:val="clear" w:color="auto" w:fill="D9E2F3" w:themeFill="accent1" w:themeFillTint="33"/>
        </w:rPr>
        <w:t>Blue shaded</w:t>
      </w:r>
      <w:r w:rsidRPr="007A4E7E">
        <w:t xml:space="preserve"> text indicates data previously seen by the PBAC</w:t>
      </w:r>
    </w:p>
    <w:p w14:paraId="49D6D380" w14:textId="4DF62869" w:rsidR="007D00BA" w:rsidRPr="007A4E7E" w:rsidRDefault="007D00BA" w:rsidP="007D00BA">
      <w:pPr>
        <w:pStyle w:val="ExecSumBodyText"/>
        <w:numPr>
          <w:ilvl w:val="1"/>
          <w:numId w:val="1"/>
        </w:numPr>
      </w:pPr>
      <w:r w:rsidRPr="007A4E7E">
        <w:t xml:space="preserve">Results for QoL outcomes showed no statistically significant advantages for osilodrostat compared to placebo, although there was greater improvement on the Beck Depression Inventory (BDI-II) for placebo-treated patients (paragraph 6.14, osilodrostat, PSD, March 2023 PBAC meeting). </w:t>
      </w:r>
      <w:r w:rsidRPr="007A4E7E">
        <w:rPr>
          <w:iCs/>
        </w:rPr>
        <w:t xml:space="preserve">The extension data of LINC 4 and LINC 3 in the resubmission suggested that improvements in QoL could be maintained to the EOT visits. Notably, the baseline QoL scores for all patients in LINC 4 appeared relatively high, particularly for EuroQol-5 Dimension (EQ-5D)-5L utility values (0.83 in </w:t>
      </w:r>
      <w:r w:rsidRPr="007A4E7E">
        <w:rPr>
          <w:iCs/>
        </w:rPr>
        <w:lastRenderedPageBreak/>
        <w:t xml:space="preserve">osilodrostat and 0.90 in placebo), potentially suggesting that patients were not experiencing substantial deterioration in QoL prior to entering the trial. The economic model however does not rely on any of this data and instead, a </w:t>
      </w:r>
      <w:r w:rsidRPr="007A4E7E">
        <w:t>post hoc</w:t>
      </w:r>
      <w:r w:rsidRPr="007A4E7E">
        <w:rPr>
          <w:iCs/>
        </w:rPr>
        <w:t xml:space="preserve"> analysis of utilities in overall responders at week 26 in LINC 4 was used to inform the economic model (discussed further in paragraphs </w:t>
      </w:r>
      <w:r w:rsidRPr="007A4E7E">
        <w:rPr>
          <w:iCs/>
        </w:rPr>
        <w:fldChar w:fldCharType="begin" w:fldLock="1"/>
      </w:r>
      <w:r w:rsidRPr="007A4E7E">
        <w:rPr>
          <w:iCs/>
        </w:rPr>
        <w:instrText xml:space="preserve"> REF _Ref153200410 \r \h </w:instrText>
      </w:r>
      <w:r w:rsidRPr="007A4E7E">
        <w:rPr>
          <w:iCs/>
        </w:rPr>
      </w:r>
      <w:r w:rsidRPr="007A4E7E">
        <w:rPr>
          <w:iCs/>
        </w:rPr>
        <w:fldChar w:fldCharType="separate"/>
      </w:r>
      <w:r w:rsidR="00043D39">
        <w:rPr>
          <w:iCs/>
        </w:rPr>
        <w:t>6.59</w:t>
      </w:r>
      <w:r w:rsidRPr="007A4E7E">
        <w:rPr>
          <w:iCs/>
        </w:rPr>
        <w:fldChar w:fldCharType="end"/>
      </w:r>
      <w:r w:rsidRPr="007A4E7E">
        <w:rPr>
          <w:iCs/>
        </w:rPr>
        <w:t xml:space="preserve"> to </w:t>
      </w:r>
      <w:r w:rsidRPr="007A4E7E">
        <w:rPr>
          <w:iCs/>
        </w:rPr>
        <w:fldChar w:fldCharType="begin" w:fldLock="1"/>
      </w:r>
      <w:r w:rsidRPr="007A4E7E">
        <w:rPr>
          <w:iCs/>
        </w:rPr>
        <w:instrText xml:space="preserve"> REF _Ref153200439 \r \h </w:instrText>
      </w:r>
      <w:r w:rsidRPr="007A4E7E">
        <w:rPr>
          <w:iCs/>
        </w:rPr>
      </w:r>
      <w:r w:rsidRPr="007A4E7E">
        <w:rPr>
          <w:iCs/>
        </w:rPr>
        <w:fldChar w:fldCharType="separate"/>
      </w:r>
      <w:r w:rsidR="00043D39">
        <w:rPr>
          <w:iCs/>
        </w:rPr>
        <w:t>6.61</w:t>
      </w:r>
      <w:r w:rsidRPr="007A4E7E">
        <w:rPr>
          <w:iCs/>
        </w:rPr>
        <w:fldChar w:fldCharType="end"/>
      </w:r>
      <w:r w:rsidRPr="007A4E7E">
        <w:rPr>
          <w:iCs/>
        </w:rPr>
        <w:t>).</w:t>
      </w:r>
    </w:p>
    <w:p w14:paraId="517CB3E9" w14:textId="77777777" w:rsidR="007D00BA" w:rsidRPr="007A4E7E" w:rsidRDefault="007D00BA" w:rsidP="007D00BA">
      <w:pPr>
        <w:pStyle w:val="ExecSumBodyText"/>
        <w:numPr>
          <w:ilvl w:val="1"/>
          <w:numId w:val="1"/>
        </w:numPr>
      </w:pPr>
      <w:r w:rsidRPr="007A4E7E">
        <w:t>The</w:t>
      </w:r>
      <w:r w:rsidRPr="007A4E7E">
        <w:rPr>
          <w:szCs w:val="18"/>
        </w:rPr>
        <w:t xml:space="preserve"> PBAC had previously considered</w:t>
      </w:r>
      <w:r w:rsidRPr="007A4E7E">
        <w:t xml:space="preserve"> that despite the limitations of the evidence, it was biologically plausible that if a patient is tolerating and responding to osilodrostat, that the response would be maintained. The PBAC suggested that in clinical practice there may be variation in response related to the unintended effects or hormonal changes from the treatment (as a result of blocking cortisol production and increasing the levels of other hormones) requiring patients to take a break from the treatment to allow their hormone levels to return to normal. However, the PBAC further considered that it is unknown what impact this may have on long-term outcomes and quality of life (paragraph 7.7, osilodrostat, PSD, March 2023 PBAC meeting). </w:t>
      </w:r>
    </w:p>
    <w:p w14:paraId="380EC664" w14:textId="77777777" w:rsidR="007D00BA" w:rsidRPr="007A4E7E" w:rsidRDefault="007D00BA" w:rsidP="007D00BA">
      <w:pPr>
        <w:pStyle w:val="ExecSumBodyText"/>
        <w:numPr>
          <w:ilvl w:val="1"/>
          <w:numId w:val="1"/>
        </w:numPr>
      </w:pPr>
      <w:bookmarkStart w:id="32" w:name="_Ref163372773"/>
      <w:r w:rsidRPr="007A4E7E">
        <w:t>To address this issue, the resubmission provided the following analyses:</w:t>
      </w:r>
      <w:bookmarkEnd w:id="32"/>
      <w:r w:rsidRPr="007A4E7E">
        <w:t xml:space="preserve"> </w:t>
      </w:r>
    </w:p>
    <w:p w14:paraId="29DDAE84" w14:textId="5D5FA9C6" w:rsidR="007D00BA" w:rsidRPr="007A4E7E" w:rsidRDefault="007D00BA" w:rsidP="007D00BA">
      <w:pPr>
        <w:pStyle w:val="3-BodyText"/>
        <w:numPr>
          <w:ilvl w:val="0"/>
          <w:numId w:val="9"/>
        </w:numPr>
        <w:ind w:left="1080"/>
      </w:pPr>
      <w:r w:rsidRPr="007A4E7E">
        <w:t>an unanchored indirect treatment comparison (ITC) of pooled osilodrostat (LINC</w:t>
      </w:r>
      <w:r w:rsidR="00FD173B">
        <w:t> </w:t>
      </w:r>
      <w:r w:rsidRPr="007A4E7E">
        <w:t xml:space="preserve">4, LINC 3, and C1201) vs placebo (LINC 4); </w:t>
      </w:r>
    </w:p>
    <w:p w14:paraId="387CBCAB" w14:textId="77777777" w:rsidR="007D00BA" w:rsidRPr="007A4E7E" w:rsidRDefault="007D00BA" w:rsidP="007D00BA">
      <w:pPr>
        <w:pStyle w:val="3-BodyText"/>
        <w:numPr>
          <w:ilvl w:val="0"/>
          <w:numId w:val="9"/>
        </w:numPr>
        <w:ind w:left="1080"/>
      </w:pPr>
      <w:r w:rsidRPr="007A4E7E">
        <w:t xml:space="preserve">individual patient swimmer plots of dose and response over time; and </w:t>
      </w:r>
    </w:p>
    <w:p w14:paraId="245EC73C" w14:textId="77777777" w:rsidR="007D00BA" w:rsidRPr="007A4E7E" w:rsidRDefault="007D00BA" w:rsidP="007D00BA">
      <w:pPr>
        <w:pStyle w:val="3-BodyText"/>
        <w:numPr>
          <w:ilvl w:val="0"/>
          <w:numId w:val="9"/>
        </w:numPr>
        <w:ind w:left="1080"/>
      </w:pPr>
      <w:r w:rsidRPr="007A4E7E">
        <w:t xml:space="preserve">a </w:t>
      </w:r>
      <w:r w:rsidRPr="007A4E7E">
        <w:rPr>
          <w:iCs/>
        </w:rPr>
        <w:t>post-hoc</w:t>
      </w:r>
      <w:r w:rsidRPr="007A4E7E">
        <w:t xml:space="preserve"> analysis of responders from a subgroup of patients from LINC 4 and LINC 3 who met the proposed PBS restriction for initiating (mUFC&gt;1.3xULN based on two values) and continuing treatment (achieved overall response at 26 weeks). This analysis included patients who were initially randomised to placebo but then subsequently crossed over to osilodrostat at week 12. </w:t>
      </w:r>
    </w:p>
    <w:p w14:paraId="630E1DD7" w14:textId="6C490939" w:rsidR="007D00BA" w:rsidRPr="007A4E7E" w:rsidRDefault="007D00BA" w:rsidP="007D00BA">
      <w:pPr>
        <w:pStyle w:val="ExecSumBodyText"/>
        <w:numPr>
          <w:ilvl w:val="1"/>
          <w:numId w:val="1"/>
        </w:numPr>
        <w:rPr>
          <w:iCs/>
        </w:rPr>
      </w:pPr>
      <w:r w:rsidRPr="007A4E7E">
        <w:rPr>
          <w:iCs/>
        </w:rPr>
        <w:t xml:space="preserve">The resubmission noted the ITC was performed for completeness, however, given the pooled trials/studies presented transitivity issues and that LINC 4 already provided direct randomised evidence for osilodrostat vs placebo, the </w:t>
      </w:r>
      <w:r w:rsidR="00A209E8">
        <w:rPr>
          <w:iCs/>
        </w:rPr>
        <w:t xml:space="preserve">evaluators considered </w:t>
      </w:r>
      <w:r w:rsidRPr="007A4E7E">
        <w:rPr>
          <w:iCs/>
        </w:rPr>
        <w:t xml:space="preserve">the ITC </w:t>
      </w:r>
      <w:r w:rsidR="00A209E8">
        <w:rPr>
          <w:iCs/>
        </w:rPr>
        <w:t>had limited value</w:t>
      </w:r>
      <w:r w:rsidRPr="007A4E7E">
        <w:rPr>
          <w:iCs/>
        </w:rPr>
        <w:t xml:space="preserve">. </w:t>
      </w:r>
      <w:r w:rsidRPr="007A4E7E">
        <w:t>The response rates for osilodrostat in the ITC at week 12 (CR = 141/194, 72.7%; ORR = 163/194, 84%) were similar to LINC 4 (CR = 37/48, 77.1%; ORR = 39/48, 81.3%</w:t>
      </w:r>
      <w:r w:rsidR="00A209E8">
        <w:t>)</w:t>
      </w:r>
      <w:r w:rsidRPr="007A4E7E">
        <w:t>. The submission claimed the swimmer plots suggested that patients who maintained their therapeutic dose could maintain their response and patients with appropriately titrated doses could improve their response (from PR to CR; Figures 2.6-1, and 2.6-2</w:t>
      </w:r>
      <w:r w:rsidR="00F63E54">
        <w:t xml:space="preserve"> </w:t>
      </w:r>
      <w:r w:rsidRPr="007A4E7E">
        <w:t>from the resubmission).</w:t>
      </w:r>
      <w:r w:rsidRPr="007A4E7E">
        <w:rPr>
          <w:iCs/>
        </w:rPr>
        <w:t xml:space="preserve"> The ESC advised the swimmer plots provide a descriptive plot of individual patient data, but they cannot be relied on to infer anything about maintenance of response.</w:t>
      </w:r>
    </w:p>
    <w:p w14:paraId="2F9BA12A" w14:textId="1E580C32" w:rsidR="007D00BA" w:rsidRPr="007A4E7E" w:rsidRDefault="007D00BA" w:rsidP="007D00BA">
      <w:pPr>
        <w:pStyle w:val="ExecSumBodyText"/>
        <w:numPr>
          <w:ilvl w:val="1"/>
          <w:numId w:val="1"/>
        </w:numPr>
      </w:pPr>
      <w:r w:rsidRPr="007A4E7E">
        <w:t xml:space="preserve">The </w:t>
      </w:r>
      <w:r w:rsidRPr="007A4E7E">
        <w:rPr>
          <w:iCs/>
        </w:rPr>
        <w:t>post-hoc</w:t>
      </w:r>
      <w:r w:rsidRPr="007A4E7E">
        <w:t xml:space="preserve"> analysis of the subgroup of patients in LINC 4 treated with osilodrostat who met the proposed PBS restriction for initiating (mUFC&gt;1.3xULN based on two values) and continuing treatment (achieved overall response at 26 weeks) was used to inform the economic model. Specifically, the ORR at Week 26, the duration of response (DoR) among patients who achieved response at Week 26, and the EQ-5D-</w:t>
      </w:r>
      <w:r w:rsidRPr="007A4E7E">
        <w:lastRenderedPageBreak/>
        <w:t xml:space="preserve">5L utility scores using the Australian tariff for responders and non-responders were used to inform the model. These results are presented in </w:t>
      </w:r>
      <w:r w:rsidRPr="007A4E7E">
        <w:fldChar w:fldCharType="begin" w:fldLock="1"/>
      </w:r>
      <w:r w:rsidRPr="007A4E7E">
        <w:instrText xml:space="preserve"> REF _Ref152851778 \h  \* MERGEFORMAT </w:instrText>
      </w:r>
      <w:r w:rsidRPr="007A4E7E">
        <w:fldChar w:fldCharType="separate"/>
      </w:r>
      <w:r w:rsidR="00043D39" w:rsidRPr="007A4E7E">
        <w:t xml:space="preserve">Table </w:t>
      </w:r>
      <w:r w:rsidR="00043D39">
        <w:t>6</w:t>
      </w:r>
      <w:r w:rsidRPr="007A4E7E">
        <w:fldChar w:fldCharType="end"/>
      </w:r>
      <w:r w:rsidR="007A4E7E">
        <w:t xml:space="preserve">. </w:t>
      </w:r>
    </w:p>
    <w:p w14:paraId="00829CDB" w14:textId="1579FC77" w:rsidR="007D00BA" w:rsidRPr="007A4E7E" w:rsidRDefault="007D00BA" w:rsidP="007D00BA">
      <w:pPr>
        <w:pStyle w:val="Caption"/>
      </w:pPr>
      <w:bookmarkStart w:id="33" w:name="_Ref152851778"/>
      <w:r w:rsidRPr="007A4E7E">
        <w:t xml:space="preserve">Table </w:t>
      </w:r>
      <w:r w:rsidR="00545EA1">
        <w:fldChar w:fldCharType="begin" w:fldLock="1"/>
      </w:r>
      <w:r w:rsidR="00545EA1">
        <w:instrText xml:space="preserve"> SEQ Table \* ARABIC </w:instrText>
      </w:r>
      <w:r w:rsidR="00545EA1">
        <w:fldChar w:fldCharType="separate"/>
      </w:r>
      <w:r w:rsidR="00043D39">
        <w:rPr>
          <w:noProof/>
        </w:rPr>
        <w:t>6</w:t>
      </w:r>
      <w:r w:rsidR="00545EA1">
        <w:rPr>
          <w:noProof/>
        </w:rPr>
        <w:fldChar w:fldCharType="end"/>
      </w:r>
      <w:bookmarkEnd w:id="33"/>
      <w:r w:rsidRPr="007A4E7E">
        <w:t>: Response, DoR, and QoL (EQ-5D-5L utility score) results from the LINC 4 post-hoc analysis of the proposed PBS population (baseline mUFC&gt;1.3xULN and Week 26 ORR) and LINC 4 FAS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Response, DoR, and QoL (EQ-5D-5L utility score) results from the LINC 4 post-hoc analysis of the proposed PBS population (baseline mUFC&gt;1.3xULN and Week 26 ORR) and LINC 4 FAS population"/>
      </w:tblPr>
      <w:tblGrid>
        <w:gridCol w:w="3114"/>
        <w:gridCol w:w="1877"/>
        <w:gridCol w:w="1950"/>
        <w:gridCol w:w="2076"/>
      </w:tblGrid>
      <w:tr w:rsidR="007D00BA" w:rsidRPr="007A4E7E" w14:paraId="73910C76" w14:textId="77777777" w:rsidTr="00EA6DFD">
        <w:trPr>
          <w:trHeight w:val="20"/>
        </w:trPr>
        <w:tc>
          <w:tcPr>
            <w:tcW w:w="3114" w:type="dxa"/>
            <w:shd w:val="clear" w:color="auto" w:fill="auto"/>
            <w:noWrap/>
            <w:vAlign w:val="center"/>
            <w:hideMark/>
          </w:tcPr>
          <w:p w14:paraId="2DC833CF" w14:textId="77777777" w:rsidR="007D00BA" w:rsidRPr="007A4E7E" w:rsidRDefault="007D00BA" w:rsidP="00EA6DFD">
            <w:pPr>
              <w:pStyle w:val="TableText0"/>
              <w:rPr>
                <w:b/>
                <w:bCs w:val="0"/>
                <w:szCs w:val="22"/>
              </w:rPr>
            </w:pPr>
            <w:r w:rsidRPr="007A4E7E">
              <w:rPr>
                <w:b/>
                <w:bCs w:val="0"/>
              </w:rPr>
              <w:t>Response</w:t>
            </w:r>
          </w:p>
        </w:tc>
        <w:tc>
          <w:tcPr>
            <w:tcW w:w="3827" w:type="dxa"/>
            <w:gridSpan w:val="2"/>
            <w:shd w:val="clear" w:color="auto" w:fill="auto"/>
            <w:noWrap/>
            <w:vAlign w:val="center"/>
            <w:hideMark/>
          </w:tcPr>
          <w:p w14:paraId="74785328" w14:textId="77777777" w:rsidR="007D00BA" w:rsidRPr="007A4E7E" w:rsidRDefault="007D00BA" w:rsidP="00EA6DFD">
            <w:pPr>
              <w:pStyle w:val="TableText0"/>
              <w:jc w:val="center"/>
              <w:rPr>
                <w:b/>
                <w:bCs w:val="0"/>
                <w:szCs w:val="22"/>
              </w:rPr>
            </w:pPr>
            <w:r w:rsidRPr="007A4E7E">
              <w:rPr>
                <w:b/>
                <w:bCs w:val="0"/>
              </w:rPr>
              <w:t xml:space="preserve">LINC 4 post-hoc analysis, N=60 </w:t>
            </w:r>
            <w:r w:rsidRPr="007A4E7E">
              <w:rPr>
                <w:b/>
                <w:bCs w:val="0"/>
                <w:vertAlign w:val="superscript"/>
              </w:rPr>
              <w:t>a</w:t>
            </w:r>
          </w:p>
        </w:tc>
        <w:tc>
          <w:tcPr>
            <w:tcW w:w="2076" w:type="dxa"/>
            <w:vAlign w:val="center"/>
          </w:tcPr>
          <w:p w14:paraId="471B0B65" w14:textId="77777777" w:rsidR="007D00BA" w:rsidRPr="007A4E7E" w:rsidRDefault="007D00BA" w:rsidP="00EA6DFD">
            <w:pPr>
              <w:pStyle w:val="TableText0"/>
              <w:jc w:val="center"/>
              <w:rPr>
                <w:b/>
                <w:bCs w:val="0"/>
              </w:rPr>
            </w:pPr>
            <w:r w:rsidRPr="007A4E7E">
              <w:rPr>
                <w:b/>
                <w:bCs w:val="0"/>
              </w:rPr>
              <w:t>LINC 4 FAS, N=73</w:t>
            </w:r>
          </w:p>
        </w:tc>
      </w:tr>
      <w:tr w:rsidR="007D00BA" w:rsidRPr="007A4E7E" w14:paraId="1DE38220" w14:textId="77777777" w:rsidTr="00EA6DFD">
        <w:trPr>
          <w:trHeight w:val="20"/>
        </w:trPr>
        <w:tc>
          <w:tcPr>
            <w:tcW w:w="3114" w:type="dxa"/>
            <w:shd w:val="clear" w:color="auto" w:fill="auto"/>
            <w:noWrap/>
            <w:vAlign w:val="center"/>
            <w:hideMark/>
          </w:tcPr>
          <w:p w14:paraId="1E9804DA" w14:textId="77777777" w:rsidR="007D00BA" w:rsidRPr="007A4E7E" w:rsidRDefault="007D00BA" w:rsidP="00EA6DFD">
            <w:pPr>
              <w:pStyle w:val="TableText0"/>
              <w:rPr>
                <w:szCs w:val="22"/>
              </w:rPr>
            </w:pPr>
            <w:r w:rsidRPr="007A4E7E">
              <w:t>Complete response at Week 26, n (%)</w:t>
            </w:r>
          </w:p>
        </w:tc>
        <w:tc>
          <w:tcPr>
            <w:tcW w:w="3827" w:type="dxa"/>
            <w:gridSpan w:val="2"/>
            <w:shd w:val="clear" w:color="auto" w:fill="auto"/>
            <w:noWrap/>
            <w:vAlign w:val="center"/>
            <w:hideMark/>
          </w:tcPr>
          <w:p w14:paraId="48FEEDF2" w14:textId="77777777" w:rsidR="007D00BA" w:rsidRPr="007A4E7E" w:rsidRDefault="007D00BA" w:rsidP="00EA6DFD">
            <w:pPr>
              <w:pStyle w:val="TableText0"/>
              <w:jc w:val="center"/>
              <w:rPr>
                <w:szCs w:val="22"/>
              </w:rPr>
            </w:pPr>
            <w:r w:rsidRPr="007A4E7E">
              <w:t>47/60 (78)</w:t>
            </w:r>
          </w:p>
        </w:tc>
        <w:tc>
          <w:tcPr>
            <w:tcW w:w="2076" w:type="dxa"/>
            <w:vAlign w:val="center"/>
          </w:tcPr>
          <w:p w14:paraId="76FB3314" w14:textId="77777777" w:rsidR="007D00BA" w:rsidRPr="007A4E7E" w:rsidRDefault="007D00BA" w:rsidP="00EA6DFD">
            <w:pPr>
              <w:pStyle w:val="TableText0"/>
              <w:jc w:val="center"/>
            </w:pPr>
            <w:r w:rsidRPr="007A4E7E">
              <w:rPr>
                <w:szCs w:val="20"/>
              </w:rPr>
              <w:t>60/73 (82.2)</w:t>
            </w:r>
          </w:p>
        </w:tc>
      </w:tr>
      <w:tr w:rsidR="007D00BA" w:rsidRPr="007A4E7E" w14:paraId="600AE38A" w14:textId="77777777" w:rsidTr="00EA6DFD">
        <w:trPr>
          <w:trHeight w:val="20"/>
        </w:trPr>
        <w:tc>
          <w:tcPr>
            <w:tcW w:w="3114" w:type="dxa"/>
            <w:shd w:val="clear" w:color="auto" w:fill="auto"/>
            <w:noWrap/>
            <w:vAlign w:val="center"/>
            <w:hideMark/>
          </w:tcPr>
          <w:p w14:paraId="3C03C2D8" w14:textId="77777777" w:rsidR="007D00BA" w:rsidRPr="007A4E7E" w:rsidRDefault="007D00BA" w:rsidP="00EA6DFD">
            <w:pPr>
              <w:pStyle w:val="TableText0"/>
              <w:rPr>
                <w:szCs w:val="22"/>
              </w:rPr>
            </w:pPr>
            <w:r w:rsidRPr="007A4E7E">
              <w:t>Overall response at Week 26, n (%)</w:t>
            </w:r>
          </w:p>
        </w:tc>
        <w:tc>
          <w:tcPr>
            <w:tcW w:w="3827" w:type="dxa"/>
            <w:gridSpan w:val="2"/>
            <w:shd w:val="clear" w:color="auto" w:fill="auto"/>
            <w:noWrap/>
            <w:vAlign w:val="center"/>
            <w:hideMark/>
          </w:tcPr>
          <w:p w14:paraId="77569B4D" w14:textId="77777777" w:rsidR="007D00BA" w:rsidRPr="007A4E7E" w:rsidRDefault="007D00BA" w:rsidP="00EA6DFD">
            <w:pPr>
              <w:pStyle w:val="TableText0"/>
              <w:jc w:val="center"/>
              <w:rPr>
                <w:szCs w:val="22"/>
              </w:rPr>
            </w:pPr>
            <w:r w:rsidRPr="007A4E7E">
              <w:t>52/60 (87)</w:t>
            </w:r>
          </w:p>
        </w:tc>
        <w:tc>
          <w:tcPr>
            <w:tcW w:w="2076" w:type="dxa"/>
            <w:vAlign w:val="center"/>
          </w:tcPr>
          <w:p w14:paraId="5090DA13" w14:textId="77777777" w:rsidR="007D00BA" w:rsidRPr="007A4E7E" w:rsidRDefault="007D00BA" w:rsidP="00EA6DFD">
            <w:pPr>
              <w:pStyle w:val="TableText0"/>
              <w:jc w:val="center"/>
            </w:pPr>
            <w:r w:rsidRPr="007A4E7E">
              <w:rPr>
                <w:szCs w:val="20"/>
              </w:rPr>
              <w:t>62/73 (84.9)</w:t>
            </w:r>
          </w:p>
        </w:tc>
      </w:tr>
      <w:tr w:rsidR="007D00BA" w:rsidRPr="007A4E7E" w14:paraId="47F409E9" w14:textId="77777777" w:rsidTr="00EA6DFD">
        <w:trPr>
          <w:trHeight w:val="20"/>
        </w:trPr>
        <w:tc>
          <w:tcPr>
            <w:tcW w:w="3114" w:type="dxa"/>
            <w:shd w:val="clear" w:color="auto" w:fill="auto"/>
            <w:noWrap/>
            <w:vAlign w:val="center"/>
            <w:hideMark/>
          </w:tcPr>
          <w:p w14:paraId="1CC820C4" w14:textId="77777777" w:rsidR="007D00BA" w:rsidRPr="007A4E7E" w:rsidRDefault="007D00BA" w:rsidP="00EA6DFD">
            <w:pPr>
              <w:pStyle w:val="TableText0"/>
              <w:rPr>
                <w:szCs w:val="22"/>
              </w:rPr>
            </w:pPr>
            <w:r w:rsidRPr="007A4E7E">
              <w:t>Median time to response (95% CI)</w:t>
            </w:r>
          </w:p>
        </w:tc>
        <w:tc>
          <w:tcPr>
            <w:tcW w:w="3827" w:type="dxa"/>
            <w:gridSpan w:val="2"/>
            <w:shd w:val="clear" w:color="auto" w:fill="auto"/>
            <w:noWrap/>
            <w:vAlign w:val="center"/>
            <w:hideMark/>
          </w:tcPr>
          <w:p w14:paraId="449DCDCE" w14:textId="77777777" w:rsidR="007D00BA" w:rsidRPr="007A4E7E" w:rsidRDefault="007D00BA" w:rsidP="00EA6DFD">
            <w:pPr>
              <w:pStyle w:val="TableText0"/>
              <w:jc w:val="center"/>
              <w:rPr>
                <w:szCs w:val="22"/>
              </w:rPr>
            </w:pPr>
            <w:r w:rsidRPr="007A4E7E">
              <w:t>5 weeks</w:t>
            </w:r>
          </w:p>
        </w:tc>
        <w:tc>
          <w:tcPr>
            <w:tcW w:w="2076" w:type="dxa"/>
            <w:vAlign w:val="center"/>
          </w:tcPr>
          <w:p w14:paraId="74ED2010" w14:textId="77777777" w:rsidR="007D00BA" w:rsidRPr="007A4E7E" w:rsidRDefault="007D00BA" w:rsidP="00EA6DFD">
            <w:pPr>
              <w:pStyle w:val="TableText0"/>
              <w:jc w:val="center"/>
            </w:pPr>
            <w:r w:rsidRPr="007A4E7E">
              <w:t>5 weeks (4.9, 7.4)</w:t>
            </w:r>
          </w:p>
        </w:tc>
      </w:tr>
      <w:tr w:rsidR="007D00BA" w:rsidRPr="007A4E7E" w14:paraId="0B76A32C" w14:textId="77777777" w:rsidTr="00EA6DFD">
        <w:trPr>
          <w:trHeight w:val="20"/>
        </w:trPr>
        <w:tc>
          <w:tcPr>
            <w:tcW w:w="3114" w:type="dxa"/>
            <w:shd w:val="clear" w:color="auto" w:fill="auto"/>
            <w:noWrap/>
            <w:vAlign w:val="center"/>
            <w:hideMark/>
          </w:tcPr>
          <w:p w14:paraId="782D1279" w14:textId="77777777" w:rsidR="007D00BA" w:rsidRPr="007A4E7E" w:rsidRDefault="007D00BA" w:rsidP="00EA6DFD">
            <w:pPr>
              <w:pStyle w:val="TableText0"/>
              <w:rPr>
                <w:szCs w:val="22"/>
              </w:rPr>
            </w:pPr>
            <w:r w:rsidRPr="007A4E7E">
              <w:t>Median duration of response</w:t>
            </w:r>
          </w:p>
        </w:tc>
        <w:tc>
          <w:tcPr>
            <w:tcW w:w="3827" w:type="dxa"/>
            <w:gridSpan w:val="2"/>
            <w:shd w:val="clear" w:color="auto" w:fill="auto"/>
            <w:noWrap/>
            <w:vAlign w:val="center"/>
            <w:hideMark/>
          </w:tcPr>
          <w:p w14:paraId="742A9C32" w14:textId="77777777" w:rsidR="007D00BA" w:rsidRPr="007A4E7E" w:rsidRDefault="007D00BA" w:rsidP="00EA6DFD">
            <w:pPr>
              <w:pStyle w:val="TableText0"/>
              <w:jc w:val="center"/>
              <w:rPr>
                <w:szCs w:val="22"/>
              </w:rPr>
            </w:pPr>
            <w:r w:rsidRPr="007A4E7E">
              <w:t>1.34 years</w:t>
            </w:r>
          </w:p>
        </w:tc>
        <w:tc>
          <w:tcPr>
            <w:tcW w:w="2076" w:type="dxa"/>
            <w:vAlign w:val="center"/>
          </w:tcPr>
          <w:p w14:paraId="21B72E44" w14:textId="77777777" w:rsidR="007D00BA" w:rsidRPr="007A4E7E" w:rsidRDefault="007D00BA" w:rsidP="00EA6DFD">
            <w:pPr>
              <w:pStyle w:val="TableText0"/>
              <w:jc w:val="center"/>
            </w:pPr>
            <w:r w:rsidRPr="007A4E7E">
              <w:t>NR</w:t>
            </w:r>
          </w:p>
        </w:tc>
      </w:tr>
      <w:tr w:rsidR="007D00BA" w:rsidRPr="007A4E7E" w14:paraId="7C95D66F" w14:textId="77777777" w:rsidTr="00EA6DFD">
        <w:trPr>
          <w:trHeight w:val="20"/>
        </w:trPr>
        <w:tc>
          <w:tcPr>
            <w:tcW w:w="3114" w:type="dxa"/>
            <w:shd w:val="clear" w:color="auto" w:fill="auto"/>
            <w:noWrap/>
            <w:vAlign w:val="center"/>
            <w:hideMark/>
          </w:tcPr>
          <w:p w14:paraId="615E98DD" w14:textId="77777777" w:rsidR="007D00BA" w:rsidRPr="007A4E7E" w:rsidRDefault="007D00BA" w:rsidP="00EA6DFD">
            <w:pPr>
              <w:pStyle w:val="TableText0"/>
              <w:rPr>
                <w:b/>
                <w:bCs w:val="0"/>
                <w:szCs w:val="22"/>
                <w:vertAlign w:val="superscript"/>
              </w:rPr>
            </w:pPr>
            <w:r w:rsidRPr="007A4E7E">
              <w:rPr>
                <w:b/>
                <w:bCs w:val="0"/>
              </w:rPr>
              <w:t xml:space="preserve">EQ-5D-5L utility score </w:t>
            </w:r>
          </w:p>
        </w:tc>
        <w:tc>
          <w:tcPr>
            <w:tcW w:w="1877" w:type="dxa"/>
            <w:shd w:val="clear" w:color="auto" w:fill="auto"/>
            <w:noWrap/>
            <w:vAlign w:val="center"/>
            <w:hideMark/>
          </w:tcPr>
          <w:p w14:paraId="051B33E0" w14:textId="77777777" w:rsidR="007D00BA" w:rsidRPr="007A4E7E" w:rsidRDefault="007D00BA" w:rsidP="00EA6DFD">
            <w:pPr>
              <w:pStyle w:val="TableText0"/>
              <w:jc w:val="center"/>
              <w:rPr>
                <w:b/>
                <w:bCs w:val="0"/>
                <w:szCs w:val="22"/>
              </w:rPr>
            </w:pPr>
            <w:r w:rsidRPr="007A4E7E">
              <w:rPr>
                <w:b/>
                <w:bCs w:val="0"/>
              </w:rPr>
              <w:t>Responders, n=35</w:t>
            </w:r>
            <w:r w:rsidRPr="007A4E7E">
              <w:rPr>
                <w:b/>
                <w:bCs w:val="0"/>
                <w:vertAlign w:val="superscript"/>
              </w:rPr>
              <w:t xml:space="preserve"> b</w:t>
            </w:r>
          </w:p>
        </w:tc>
        <w:tc>
          <w:tcPr>
            <w:tcW w:w="1950" w:type="dxa"/>
            <w:shd w:val="clear" w:color="auto" w:fill="auto"/>
            <w:noWrap/>
            <w:vAlign w:val="center"/>
            <w:hideMark/>
          </w:tcPr>
          <w:p w14:paraId="7FA1C6D4" w14:textId="77777777" w:rsidR="007D00BA" w:rsidRPr="007A4E7E" w:rsidRDefault="007D00BA" w:rsidP="00EA6DFD">
            <w:pPr>
              <w:pStyle w:val="TableText0"/>
              <w:jc w:val="center"/>
              <w:rPr>
                <w:b/>
                <w:bCs w:val="0"/>
                <w:szCs w:val="22"/>
              </w:rPr>
            </w:pPr>
            <w:r w:rsidRPr="007A4E7E">
              <w:rPr>
                <w:b/>
                <w:bCs w:val="0"/>
              </w:rPr>
              <w:t>Non-responders, n=7</w:t>
            </w:r>
            <w:r w:rsidRPr="007A4E7E">
              <w:rPr>
                <w:b/>
                <w:bCs w:val="0"/>
                <w:vertAlign w:val="superscript"/>
              </w:rPr>
              <w:t xml:space="preserve"> b</w:t>
            </w:r>
          </w:p>
        </w:tc>
        <w:tc>
          <w:tcPr>
            <w:tcW w:w="2076" w:type="dxa"/>
            <w:vAlign w:val="center"/>
          </w:tcPr>
          <w:p w14:paraId="7C55A487" w14:textId="77777777" w:rsidR="007D00BA" w:rsidRPr="007A4E7E" w:rsidRDefault="007D00BA" w:rsidP="00EA6DFD">
            <w:pPr>
              <w:pStyle w:val="TableText0"/>
              <w:jc w:val="center"/>
              <w:rPr>
                <w:b/>
                <w:bCs w:val="0"/>
              </w:rPr>
            </w:pPr>
            <w:r w:rsidRPr="007A4E7E">
              <w:rPr>
                <w:b/>
                <w:bCs w:val="0"/>
              </w:rPr>
              <w:t>All patients, N=73</w:t>
            </w:r>
          </w:p>
        </w:tc>
      </w:tr>
      <w:tr w:rsidR="007D00BA" w:rsidRPr="007A4E7E" w14:paraId="445D14A9" w14:textId="77777777" w:rsidTr="00EA6DFD">
        <w:trPr>
          <w:trHeight w:val="20"/>
        </w:trPr>
        <w:tc>
          <w:tcPr>
            <w:tcW w:w="3114" w:type="dxa"/>
            <w:shd w:val="clear" w:color="auto" w:fill="auto"/>
            <w:noWrap/>
            <w:vAlign w:val="center"/>
            <w:hideMark/>
          </w:tcPr>
          <w:p w14:paraId="1B506939" w14:textId="77777777" w:rsidR="007D00BA" w:rsidRPr="007A4E7E" w:rsidRDefault="007D00BA" w:rsidP="00EA6DFD">
            <w:pPr>
              <w:pStyle w:val="TableText0"/>
              <w:rPr>
                <w:szCs w:val="22"/>
              </w:rPr>
            </w:pPr>
            <w:r w:rsidRPr="007A4E7E">
              <w:t>Baseline, mean (SD)</w:t>
            </w:r>
          </w:p>
        </w:tc>
        <w:tc>
          <w:tcPr>
            <w:tcW w:w="1877" w:type="dxa"/>
            <w:shd w:val="clear" w:color="auto" w:fill="auto"/>
            <w:noWrap/>
            <w:vAlign w:val="center"/>
            <w:hideMark/>
          </w:tcPr>
          <w:p w14:paraId="76E15DC9" w14:textId="77777777" w:rsidR="007D00BA" w:rsidRPr="007A4E7E" w:rsidRDefault="007D00BA" w:rsidP="00EA6DFD">
            <w:pPr>
              <w:pStyle w:val="TableText0"/>
              <w:jc w:val="center"/>
              <w:rPr>
                <w:szCs w:val="22"/>
              </w:rPr>
            </w:pPr>
            <w:r w:rsidRPr="007A4E7E">
              <w:t>0.713 (0.227)</w:t>
            </w:r>
          </w:p>
        </w:tc>
        <w:tc>
          <w:tcPr>
            <w:tcW w:w="1950" w:type="dxa"/>
            <w:shd w:val="clear" w:color="auto" w:fill="auto"/>
            <w:noWrap/>
            <w:vAlign w:val="center"/>
            <w:hideMark/>
          </w:tcPr>
          <w:p w14:paraId="3ED7DD0F" w14:textId="77777777" w:rsidR="007D00BA" w:rsidRPr="007A4E7E" w:rsidRDefault="007D00BA" w:rsidP="00EA6DFD">
            <w:pPr>
              <w:pStyle w:val="TableText0"/>
              <w:jc w:val="center"/>
              <w:rPr>
                <w:szCs w:val="22"/>
              </w:rPr>
            </w:pPr>
            <w:r w:rsidRPr="007A4E7E">
              <w:t>0.658 (0.257)</w:t>
            </w:r>
          </w:p>
        </w:tc>
        <w:tc>
          <w:tcPr>
            <w:tcW w:w="2076" w:type="dxa"/>
            <w:vAlign w:val="center"/>
          </w:tcPr>
          <w:p w14:paraId="7A4857CC" w14:textId="77777777" w:rsidR="007D00BA" w:rsidRPr="007A4E7E" w:rsidRDefault="007D00BA" w:rsidP="00EA6DFD">
            <w:pPr>
              <w:pStyle w:val="TableText0"/>
              <w:jc w:val="center"/>
            </w:pPr>
            <w:r w:rsidRPr="007A4E7E">
              <w:t>0.85 (0.14)</w:t>
            </w:r>
          </w:p>
        </w:tc>
      </w:tr>
      <w:tr w:rsidR="007D00BA" w:rsidRPr="007A4E7E" w14:paraId="30E129C8" w14:textId="77777777" w:rsidTr="00EA6DFD">
        <w:trPr>
          <w:trHeight w:val="20"/>
        </w:trPr>
        <w:tc>
          <w:tcPr>
            <w:tcW w:w="3114" w:type="dxa"/>
            <w:shd w:val="clear" w:color="auto" w:fill="auto"/>
            <w:noWrap/>
            <w:vAlign w:val="center"/>
            <w:hideMark/>
          </w:tcPr>
          <w:p w14:paraId="41EE726F" w14:textId="77777777" w:rsidR="007D00BA" w:rsidRPr="007A4E7E" w:rsidRDefault="007D00BA" w:rsidP="00EA6DFD">
            <w:pPr>
              <w:pStyle w:val="TableText0"/>
              <w:rPr>
                <w:szCs w:val="22"/>
                <w:vertAlign w:val="superscript"/>
              </w:rPr>
            </w:pPr>
            <w:r w:rsidRPr="007A4E7E">
              <w:t>Mean change from baseline: dose titration period up to Week 12 (95% CI)</w:t>
            </w:r>
          </w:p>
        </w:tc>
        <w:tc>
          <w:tcPr>
            <w:tcW w:w="1877" w:type="dxa"/>
            <w:shd w:val="clear" w:color="auto" w:fill="auto"/>
            <w:noWrap/>
            <w:vAlign w:val="center"/>
            <w:hideMark/>
          </w:tcPr>
          <w:p w14:paraId="73A8DA66" w14:textId="77777777" w:rsidR="007D00BA" w:rsidRPr="007A4E7E" w:rsidRDefault="007D00BA" w:rsidP="00EA6DFD">
            <w:pPr>
              <w:pStyle w:val="TableText0"/>
              <w:jc w:val="center"/>
            </w:pPr>
            <w:r w:rsidRPr="007A4E7E">
              <w:t xml:space="preserve">0.012 </w:t>
            </w:r>
          </w:p>
          <w:p w14:paraId="2FCF5F3C" w14:textId="77777777" w:rsidR="007D00BA" w:rsidRPr="007A4E7E" w:rsidRDefault="007D00BA" w:rsidP="00EA6DFD">
            <w:pPr>
              <w:pStyle w:val="TableText0"/>
              <w:jc w:val="center"/>
              <w:rPr>
                <w:szCs w:val="22"/>
              </w:rPr>
            </w:pPr>
            <w:r w:rsidRPr="007A4E7E">
              <w:t>(-0.065, 0.088)</w:t>
            </w:r>
          </w:p>
        </w:tc>
        <w:tc>
          <w:tcPr>
            <w:tcW w:w="1950" w:type="dxa"/>
            <w:shd w:val="clear" w:color="auto" w:fill="auto"/>
            <w:noWrap/>
            <w:vAlign w:val="center"/>
            <w:hideMark/>
          </w:tcPr>
          <w:p w14:paraId="41855517" w14:textId="77777777" w:rsidR="007D00BA" w:rsidRPr="007A4E7E" w:rsidRDefault="007D00BA" w:rsidP="00EA6DFD">
            <w:pPr>
              <w:pStyle w:val="TableText0"/>
              <w:jc w:val="center"/>
            </w:pPr>
            <w:r w:rsidRPr="007A4E7E">
              <w:t xml:space="preserve">-0.065 </w:t>
            </w:r>
          </w:p>
          <w:p w14:paraId="331E3A75" w14:textId="77777777" w:rsidR="007D00BA" w:rsidRPr="007A4E7E" w:rsidRDefault="007D00BA" w:rsidP="00EA6DFD">
            <w:pPr>
              <w:pStyle w:val="TableText0"/>
              <w:jc w:val="center"/>
              <w:rPr>
                <w:szCs w:val="22"/>
              </w:rPr>
            </w:pPr>
            <w:r w:rsidRPr="007A4E7E">
              <w:t>(-0.214, 0.085)</w:t>
            </w:r>
          </w:p>
        </w:tc>
        <w:tc>
          <w:tcPr>
            <w:tcW w:w="2076" w:type="dxa"/>
            <w:vAlign w:val="center"/>
          </w:tcPr>
          <w:p w14:paraId="29B571F2" w14:textId="77777777" w:rsidR="007D00BA" w:rsidRPr="007A4E7E" w:rsidRDefault="007D00BA" w:rsidP="00EA6DFD">
            <w:pPr>
              <w:pStyle w:val="TableText0"/>
              <w:jc w:val="center"/>
            </w:pPr>
            <w:r w:rsidRPr="007A4E7E">
              <w:t>-</w:t>
            </w:r>
          </w:p>
        </w:tc>
      </w:tr>
      <w:tr w:rsidR="007D00BA" w:rsidRPr="007A4E7E" w14:paraId="26C44316" w14:textId="77777777" w:rsidTr="00EA6DFD">
        <w:trPr>
          <w:trHeight w:val="20"/>
        </w:trPr>
        <w:tc>
          <w:tcPr>
            <w:tcW w:w="3114" w:type="dxa"/>
            <w:shd w:val="clear" w:color="auto" w:fill="auto"/>
            <w:noWrap/>
            <w:vAlign w:val="center"/>
            <w:hideMark/>
          </w:tcPr>
          <w:p w14:paraId="490CA177" w14:textId="77777777" w:rsidR="007D00BA" w:rsidRPr="007A4E7E" w:rsidRDefault="007D00BA" w:rsidP="00EA6DFD">
            <w:pPr>
              <w:pStyle w:val="TableText0"/>
              <w:rPr>
                <w:szCs w:val="22"/>
                <w:vertAlign w:val="superscript"/>
              </w:rPr>
            </w:pPr>
            <w:r w:rsidRPr="007A4E7E">
              <w:t>Mean change from baseline: after dose titration period for continuing responders (95% CI)</w:t>
            </w:r>
          </w:p>
        </w:tc>
        <w:tc>
          <w:tcPr>
            <w:tcW w:w="1877" w:type="dxa"/>
            <w:shd w:val="clear" w:color="auto" w:fill="auto"/>
            <w:noWrap/>
            <w:vAlign w:val="center"/>
            <w:hideMark/>
          </w:tcPr>
          <w:p w14:paraId="049B3AD6" w14:textId="77777777" w:rsidR="007D00BA" w:rsidRPr="007A4E7E" w:rsidRDefault="007D00BA" w:rsidP="00EA6DFD">
            <w:pPr>
              <w:pStyle w:val="TableText0"/>
              <w:jc w:val="center"/>
            </w:pPr>
            <w:r w:rsidRPr="007A4E7E">
              <w:t xml:space="preserve">0.086 </w:t>
            </w:r>
          </w:p>
          <w:p w14:paraId="522CC6BC" w14:textId="77777777" w:rsidR="007D00BA" w:rsidRPr="007A4E7E" w:rsidRDefault="007D00BA" w:rsidP="00EA6DFD">
            <w:pPr>
              <w:pStyle w:val="TableText0"/>
              <w:jc w:val="center"/>
              <w:rPr>
                <w:szCs w:val="22"/>
              </w:rPr>
            </w:pPr>
            <w:r w:rsidRPr="007A4E7E">
              <w:t>(0.026, 0.146)</w:t>
            </w:r>
          </w:p>
        </w:tc>
        <w:tc>
          <w:tcPr>
            <w:tcW w:w="1950" w:type="dxa"/>
            <w:shd w:val="clear" w:color="auto" w:fill="auto"/>
            <w:noWrap/>
            <w:vAlign w:val="center"/>
            <w:hideMark/>
          </w:tcPr>
          <w:p w14:paraId="1AD0ED78" w14:textId="77777777" w:rsidR="007D00BA" w:rsidRPr="007A4E7E" w:rsidRDefault="007D00BA" w:rsidP="00EA6DFD">
            <w:pPr>
              <w:pStyle w:val="TableText0"/>
              <w:jc w:val="center"/>
              <w:rPr>
                <w:szCs w:val="22"/>
              </w:rPr>
            </w:pPr>
            <w:r w:rsidRPr="007A4E7E">
              <w:t>-</w:t>
            </w:r>
          </w:p>
        </w:tc>
        <w:tc>
          <w:tcPr>
            <w:tcW w:w="2076" w:type="dxa"/>
            <w:vAlign w:val="center"/>
          </w:tcPr>
          <w:p w14:paraId="5C32DFE5" w14:textId="77777777" w:rsidR="007D00BA" w:rsidRPr="007A4E7E" w:rsidRDefault="007D00BA" w:rsidP="00EA6DFD">
            <w:pPr>
              <w:pStyle w:val="TableText0"/>
              <w:jc w:val="center"/>
            </w:pPr>
            <w:r w:rsidRPr="007A4E7E">
              <w:t>0.037 (-0.004, 0.078) at week 72 (n=47)</w:t>
            </w:r>
          </w:p>
        </w:tc>
      </w:tr>
    </w:tbl>
    <w:p w14:paraId="524E763D" w14:textId="0F229E25" w:rsidR="007D00BA" w:rsidRPr="007A4E7E" w:rsidRDefault="007D00BA" w:rsidP="00914C1A">
      <w:pPr>
        <w:pStyle w:val="FooterTableFigure"/>
        <w:keepNext/>
      </w:pPr>
      <w:r w:rsidRPr="007A4E7E">
        <w:t>Source: Table 2.5-4; Table 2.5-25; Tables 2.6-9 to 2.6-11; Table 2.6-28; Table 2.6-34; Table 2.6-38 of the submission</w:t>
      </w:r>
    </w:p>
    <w:p w14:paraId="271AD46F" w14:textId="77777777" w:rsidR="007D00BA" w:rsidRPr="007A4E7E" w:rsidRDefault="007D00BA" w:rsidP="00914C1A">
      <w:pPr>
        <w:pStyle w:val="FooterTableFigure"/>
        <w:keepNext/>
      </w:pPr>
      <w:r w:rsidRPr="007A4E7E">
        <w:t>CI = confidence interval; CR = complete response; DoR = duration of response; EQ-5D = EuroQol 5 Dimension; FAS = full analysis set; mUFC = Mean Urinary Free Cortisol; OL = open label; ORR = overall response rate; QoL = quality of life; SD = standard deviation; ULN = Upper limit of normal</w:t>
      </w:r>
    </w:p>
    <w:p w14:paraId="4B546ABC" w14:textId="77777777" w:rsidR="007D00BA" w:rsidRPr="007A4E7E" w:rsidRDefault="007D00BA" w:rsidP="00914C1A">
      <w:pPr>
        <w:pStyle w:val="FooterTableFigure"/>
        <w:keepNext/>
      </w:pPr>
      <w:r w:rsidRPr="007A4E7E">
        <w:rPr>
          <w:vertAlign w:val="superscript"/>
        </w:rPr>
        <w:t xml:space="preserve">a </w:t>
      </w:r>
      <w:r w:rsidRPr="007A4E7E">
        <w:t xml:space="preserve">Included patients had baseline mUFC&gt;1.3xULN based on two daily values from the osilodrostat arm (at Week 0) and from the placebo arm for those who crossed over (at Week 12). Patients randomised to placebo treatment for the first 12 weeks have had their response to open-label osilodrostat analysed after Week 12. For these patients, the baseline mUFC is the mUFC value at week 12, the 'week 12' response is based on the mUFC at Week 23 and the 'Week 26' response is based on the mUFC at Week 36. </w:t>
      </w:r>
      <w:r w:rsidRPr="007A4E7E">
        <w:rPr>
          <w:iCs/>
        </w:rPr>
        <w:t xml:space="preserve">The resubmission reported that 60 patients received osilodrostat when including the placebo patients who switched to osilodrostat, however, there were only 59 patients who met the PBS restriction criteria (42 in osilodrostat arm and 17 in placebo arm at Week 0). It is possible that at Week 12 given this was the ‘baseline mUFC’ for placebo switchers, a total of 18 patients in the placebo arm could have met the eligibility criteria and therefore were included. </w:t>
      </w:r>
    </w:p>
    <w:p w14:paraId="008F81EC" w14:textId="77777777" w:rsidR="007D00BA" w:rsidRPr="007A4E7E" w:rsidRDefault="007D00BA" w:rsidP="00914C1A">
      <w:pPr>
        <w:pStyle w:val="FooterTableFigure"/>
        <w:keepNext/>
      </w:pPr>
      <w:r w:rsidRPr="007A4E7E">
        <w:rPr>
          <w:vertAlign w:val="superscript"/>
        </w:rPr>
        <w:t xml:space="preserve">b </w:t>
      </w:r>
      <w:r w:rsidRPr="007A4E7E">
        <w:t>only used QoL data from patients randomised to osilodrostat at baseline and while in response (n=42)</w:t>
      </w:r>
    </w:p>
    <w:p w14:paraId="1C77E320" w14:textId="77777777" w:rsidR="007D00BA" w:rsidRPr="007A4E7E" w:rsidRDefault="007D00BA" w:rsidP="007D00BA">
      <w:pPr>
        <w:pStyle w:val="FooterTableFigure"/>
      </w:pPr>
      <w:r w:rsidRPr="007A4E7E">
        <w:t xml:space="preserve">Notes: mUFC was calculated from the first two daily values at each visit in the post-hoc analysis and based on three (or two when only available) in the LINC 4 FAS population; ULN defined as 138 nmol/day; Overall response is defined as a complete response (mUFC </w:t>
      </w:r>
      <w:r w:rsidRPr="007A4E7E">
        <w:rPr>
          <w:rFonts w:cs="Calibri"/>
        </w:rPr>
        <w:t>≤</w:t>
      </w:r>
      <w:r w:rsidRPr="007A4E7E">
        <w:t xml:space="preserve"> 1 x ULN) or partial response (mUFC &gt; ULN but ≥ 50% reduction from baseline)</w:t>
      </w:r>
    </w:p>
    <w:p w14:paraId="3E50F26E" w14:textId="77777777" w:rsidR="007D00BA" w:rsidRPr="007A4E7E" w:rsidRDefault="007D00BA" w:rsidP="007D00BA">
      <w:pPr>
        <w:pStyle w:val="ExecSumBodyText"/>
        <w:numPr>
          <w:ilvl w:val="1"/>
          <w:numId w:val="1"/>
        </w:numPr>
      </w:pPr>
      <w:r w:rsidRPr="007A4E7E">
        <w:t xml:space="preserve">In the LINC 4 </w:t>
      </w:r>
      <w:r w:rsidRPr="007A4E7E">
        <w:rPr>
          <w:iCs/>
        </w:rPr>
        <w:t>post-hoc</w:t>
      </w:r>
      <w:r w:rsidRPr="007A4E7E">
        <w:t xml:space="preserve"> analysis, there were 60/73 (82%) patients who met the proposed PBS restriction criteria for initiating osilodrostat treatment (baseline mUFC</w:t>
      </w:r>
      <w:r w:rsidRPr="007A4E7E">
        <w:rPr>
          <w:rFonts w:cs="Calibri"/>
        </w:rPr>
        <w:t>&gt;</w:t>
      </w:r>
      <w:r w:rsidRPr="007A4E7E">
        <w:t xml:space="preserve">1.3xULN based on two values). 52/60 (87%) patients subsequently achieved an overall response at Week 26 and therefore met the continuing treatment criterion. The median time to first overall response was five weeks, and the median DoR was 1.34 years. This pattern was consistently reflected in mUFC levels which sharply decreased in the first 12 weeks of treatment and remained steadily below the ULN (138 nmol/day) through to 96 weeks. </w:t>
      </w:r>
    </w:p>
    <w:p w14:paraId="427146F5" w14:textId="1D1484E0" w:rsidR="007D00BA" w:rsidRPr="007A4E7E" w:rsidRDefault="007D00BA" w:rsidP="007D00BA">
      <w:pPr>
        <w:pStyle w:val="ExecSumBodyText"/>
        <w:numPr>
          <w:ilvl w:val="1"/>
          <w:numId w:val="1"/>
        </w:numPr>
      </w:pPr>
      <w:bookmarkStart w:id="34" w:name="_Ref153184667"/>
      <w:r w:rsidRPr="007A4E7E">
        <w:t xml:space="preserve">The resubmission reported QoL of responders compared to non-responders based on patients randomised to osilodrostat who met the proposed PBS restriction criteria (n=42). The resubmission reported that patients who achieved response (n= 35) had a better QoL at baseline compared to non-responders (n=7). For example, as shown in </w:t>
      </w:r>
      <w:r w:rsidRPr="007A4E7E">
        <w:fldChar w:fldCharType="begin" w:fldLock="1"/>
      </w:r>
      <w:r w:rsidRPr="007A4E7E">
        <w:instrText xml:space="preserve"> REF _Ref152851778 \h  \* MERGEFORMAT </w:instrText>
      </w:r>
      <w:r w:rsidRPr="007A4E7E">
        <w:fldChar w:fldCharType="separate"/>
      </w:r>
      <w:r w:rsidR="00043D39" w:rsidRPr="007A4E7E">
        <w:t xml:space="preserve">Table </w:t>
      </w:r>
      <w:r w:rsidR="00043D39">
        <w:t>6</w:t>
      </w:r>
      <w:r w:rsidRPr="007A4E7E">
        <w:fldChar w:fldCharType="end"/>
      </w:r>
      <w:r w:rsidRPr="007A4E7E">
        <w:t xml:space="preserve">, baseline EQ-5D utility score was higher in responders (0.713) than non-responders (0.658). </w:t>
      </w:r>
      <w:r w:rsidRPr="007A4E7E">
        <w:rPr>
          <w:iCs/>
        </w:rPr>
        <w:t xml:space="preserve">Inappropriately, these differences in baseline scores were carried through to the economic evaluation, implying that patients who will become ‘responders’ inherently have a higher QoL at baseline compared to those who will become ‘non-responders’ prior to and without any treatment being administered. </w:t>
      </w:r>
    </w:p>
    <w:p w14:paraId="0EBBF0D6" w14:textId="77777777" w:rsidR="007D00BA" w:rsidRPr="007A4E7E" w:rsidRDefault="007D00BA" w:rsidP="007D00BA">
      <w:pPr>
        <w:pStyle w:val="ExecSumBodyText"/>
        <w:numPr>
          <w:ilvl w:val="1"/>
          <w:numId w:val="1"/>
        </w:numPr>
        <w:rPr>
          <w:iCs/>
        </w:rPr>
      </w:pPr>
      <w:r w:rsidRPr="007A4E7E">
        <w:rPr>
          <w:iCs/>
        </w:rPr>
        <w:lastRenderedPageBreak/>
        <w:t xml:space="preserve">No justification or statistical tests were conducted to support the assumption that baseline utilities should be different between responders and non-responders. The baseline differences highlighted by the resubmission suggest that the populations being analysed were inherently different, though this was likely due to the results being derived from a selective subgroup from an already small sample size of patients (35 responders vs seven non-responders). </w:t>
      </w:r>
      <w:bookmarkEnd w:id="34"/>
      <w:r w:rsidRPr="007A4E7E">
        <w:rPr>
          <w:iCs/>
        </w:rPr>
        <w:t>It was unclear whether any subsequent improvements in QoL would be attributed to osilodrostat or if any differences observed were simply due to unobserved confounding factors beyond the treatment administered.</w:t>
      </w:r>
    </w:p>
    <w:p w14:paraId="5B12EE53" w14:textId="4EF62040" w:rsidR="007D00BA" w:rsidRPr="007A4E7E" w:rsidRDefault="007D00BA" w:rsidP="007D00BA">
      <w:pPr>
        <w:pStyle w:val="ExecSumBodyText"/>
        <w:numPr>
          <w:ilvl w:val="1"/>
          <w:numId w:val="1"/>
        </w:numPr>
      </w:pPr>
      <w:r w:rsidRPr="007A4E7E">
        <w:rPr>
          <w:iCs/>
        </w:rPr>
        <w:t>Additionally, it was unclear why the baseline utility in this subgroup of patients (0.713 for responders and 0.658 for non-responders) was so much lower than the FAS population of LINC 4 (0.83 in osilodrostat, 0.90 in placebo, and 0.85 in all patients). While potentially attributed to the use of different tariffs, th</w:t>
      </w:r>
      <w:r w:rsidR="00A209E8">
        <w:rPr>
          <w:iCs/>
        </w:rPr>
        <w:t>e magnitude of the</w:t>
      </w:r>
      <w:r w:rsidRPr="007A4E7E">
        <w:rPr>
          <w:iCs/>
        </w:rPr>
        <w:t xml:space="preserve"> difference raise</w:t>
      </w:r>
      <w:r w:rsidR="00A209E8">
        <w:rPr>
          <w:iCs/>
        </w:rPr>
        <w:t>d</w:t>
      </w:r>
      <w:r w:rsidRPr="007A4E7E">
        <w:rPr>
          <w:iCs/>
        </w:rPr>
        <w:t xml:space="preserve"> concerns </w:t>
      </w:r>
      <w:r w:rsidR="00A209E8">
        <w:rPr>
          <w:iCs/>
        </w:rPr>
        <w:t>regarding</w:t>
      </w:r>
      <w:r w:rsidR="00A209E8" w:rsidRPr="007A4E7E">
        <w:rPr>
          <w:iCs/>
        </w:rPr>
        <w:t xml:space="preserve"> </w:t>
      </w:r>
      <w:r w:rsidRPr="007A4E7E">
        <w:rPr>
          <w:iCs/>
        </w:rPr>
        <w:t xml:space="preserve">the validity of the values. For example, a patient assumed to have overall response at week 26 in the subgroup of patients with baseline mUFC&gt;1.3xULN would have a utility of 0.799 [0.713 + 0.086], which was lower than the baseline value in the FAS population of LINC 4. </w:t>
      </w:r>
    </w:p>
    <w:p w14:paraId="004DC2EB" w14:textId="399E0E07" w:rsidR="007D00BA" w:rsidRPr="007A4E7E" w:rsidRDefault="007D00BA" w:rsidP="007D00BA">
      <w:pPr>
        <w:pStyle w:val="ExecSumBodyText"/>
        <w:numPr>
          <w:ilvl w:val="1"/>
          <w:numId w:val="1"/>
        </w:numPr>
        <w:rPr>
          <w:iCs/>
        </w:rPr>
      </w:pPr>
      <w:bookmarkStart w:id="35" w:name="_Ref153184684"/>
      <w:r w:rsidRPr="007A4E7E">
        <w:rPr>
          <w:iCs/>
        </w:rPr>
        <w:t>While there were improvements from baseline QoL (Cushing’s QoL, BDI-II, and EQ-5D-5L utility scores) for the Week 26 responders who maintained osilodrostat treatment, the sample sizes were small, the baseline utility values differed substantially from the FAS population in LINC 4 and also differed between responders and non-responders and as such the utility results in the proposed PBS subgroup in LINC 4 were highly uncertain. The mean change in the Cushing’s QoL (10.4</w:t>
      </w:r>
      <w:r w:rsidRPr="007A4E7E">
        <w:rPr>
          <w:iCs/>
        </w:rPr>
        <w:noBreakHyphen/>
        <w:t>point, 95% CI 5.7, 15.1), BDI-II (-3.7%, 95% CI -4.6, -1.8), and EQ-5D-5L utility scores (</w:t>
      </w:r>
      <w:r w:rsidRPr="007A4E7E">
        <w:rPr>
          <w:iCs/>
          <w:szCs w:val="20"/>
        </w:rPr>
        <w:t xml:space="preserve">0.086, 95% CI 0.026, 0.146) </w:t>
      </w:r>
      <w:r w:rsidRPr="007A4E7E">
        <w:rPr>
          <w:iCs/>
        </w:rPr>
        <w:t xml:space="preserve">after week 12 up to week 96 for responders in the LINC 4 </w:t>
      </w:r>
      <w:r w:rsidRPr="007A4E7E">
        <w:t>post-hoc</w:t>
      </w:r>
      <w:r w:rsidRPr="007A4E7E">
        <w:rPr>
          <w:iCs/>
        </w:rPr>
        <w:t xml:space="preserve"> analysis favoured osilodrostat, however, the lower confidence intervals were not regarded as clinically meaningful.</w:t>
      </w:r>
      <w:r w:rsidRPr="007A4E7E">
        <w:rPr>
          <w:rStyle w:val="FootnoteReference"/>
          <w:iCs/>
        </w:rPr>
        <w:footnoteReference w:id="6"/>
      </w:r>
      <w:r w:rsidRPr="007A4E7E">
        <w:rPr>
          <w:iCs/>
        </w:rPr>
        <w:t xml:space="preserve"> This may be related to the limited follow-up and/or the capacity of these instruments to capture improvements in CS symptoms and comorbidities given the gradual improvements in CS patients. The PBAC has previously noted that “it was not uncommon for patients with CS to have a gradual improvement in symptoms after treatment, with clinical benefits usually seen after a year or so, requiring considerable amount of time to adapt to the normal cortisol level” (paragraph 7.8, osilodrostat, PSD, March 2023 PBAC meeting).</w:t>
      </w:r>
      <w:bookmarkEnd w:id="35"/>
      <w:r w:rsidRPr="007A4E7E">
        <w:rPr>
          <w:iCs/>
        </w:rPr>
        <w:t xml:space="preserve"> Given that osilodrostat was expected to be a lifelong treatment, the PBAC was interested to consider the important long-term benefits of cortisol control from the literature or natural history data (paragraph 7.11, osilodrostat, PSD, March 2023 PBAC meeting). The resubmission provided some evidence from the literature that suggested sustained remission from hypercortisolism regardless of treatment strategy could lead to improvements in CS comorbidities and QoL (see paragraphs </w:t>
      </w:r>
      <w:r w:rsidRPr="007A4E7E">
        <w:rPr>
          <w:iCs/>
        </w:rPr>
        <w:fldChar w:fldCharType="begin" w:fldLock="1"/>
      </w:r>
      <w:r w:rsidRPr="007A4E7E">
        <w:rPr>
          <w:iCs/>
        </w:rPr>
        <w:instrText xml:space="preserve"> REF _Ref155689711 \r \h </w:instrText>
      </w:r>
      <w:r w:rsidRPr="007A4E7E">
        <w:rPr>
          <w:iCs/>
        </w:rPr>
      </w:r>
      <w:r w:rsidRPr="007A4E7E">
        <w:rPr>
          <w:iCs/>
        </w:rPr>
        <w:fldChar w:fldCharType="separate"/>
      </w:r>
      <w:r w:rsidR="00043D39">
        <w:rPr>
          <w:iCs/>
        </w:rPr>
        <w:t>4.6</w:t>
      </w:r>
      <w:r w:rsidRPr="007A4E7E">
        <w:rPr>
          <w:iCs/>
        </w:rPr>
        <w:fldChar w:fldCharType="end"/>
      </w:r>
      <w:r w:rsidRPr="007A4E7E">
        <w:rPr>
          <w:iCs/>
        </w:rPr>
        <w:t xml:space="preserve"> and </w:t>
      </w:r>
      <w:r w:rsidRPr="007A4E7E">
        <w:rPr>
          <w:iCs/>
        </w:rPr>
        <w:fldChar w:fldCharType="begin" w:fldLock="1"/>
      </w:r>
      <w:r w:rsidRPr="007A4E7E">
        <w:rPr>
          <w:iCs/>
        </w:rPr>
        <w:instrText xml:space="preserve"> REF _Ref155690834 \r \h </w:instrText>
      </w:r>
      <w:r w:rsidRPr="007A4E7E">
        <w:rPr>
          <w:iCs/>
        </w:rPr>
      </w:r>
      <w:r w:rsidRPr="007A4E7E">
        <w:rPr>
          <w:iCs/>
        </w:rPr>
        <w:fldChar w:fldCharType="separate"/>
      </w:r>
      <w:r w:rsidR="00043D39">
        <w:rPr>
          <w:iCs/>
        </w:rPr>
        <w:t>4.7</w:t>
      </w:r>
      <w:r w:rsidRPr="007A4E7E">
        <w:rPr>
          <w:iCs/>
        </w:rPr>
        <w:fldChar w:fldCharType="end"/>
      </w:r>
      <w:r w:rsidRPr="007A4E7E">
        <w:rPr>
          <w:iCs/>
        </w:rPr>
        <w:t xml:space="preserve">), but were not incorporated in the </w:t>
      </w:r>
      <w:r w:rsidRPr="007A4E7E">
        <w:rPr>
          <w:iCs/>
        </w:rPr>
        <w:lastRenderedPageBreak/>
        <w:t xml:space="preserve">economic model. The PSCR suggested osilodrostat is more accurately described as a chronic therapy and for some patients this may be long term, rather than as a lifelong treatment, and as such the clinical evidence presented in the resubmission is adequate. The ESC considered the long-term benefits from improvements in cardiovascular and metabolic outcomes (as noted in paragraph </w:t>
      </w:r>
      <w:r w:rsidRPr="007A4E7E">
        <w:rPr>
          <w:iCs/>
        </w:rPr>
        <w:fldChar w:fldCharType="begin" w:fldLock="1"/>
      </w:r>
      <w:r w:rsidRPr="007A4E7E">
        <w:rPr>
          <w:iCs/>
        </w:rPr>
        <w:instrText xml:space="preserve"> REF _Ref159498604 \r \h  \* MERGEFORMAT </w:instrText>
      </w:r>
      <w:r w:rsidRPr="007A4E7E">
        <w:rPr>
          <w:iCs/>
        </w:rPr>
      </w:r>
      <w:r w:rsidRPr="007A4E7E">
        <w:rPr>
          <w:iCs/>
        </w:rPr>
        <w:fldChar w:fldCharType="separate"/>
      </w:r>
      <w:r w:rsidR="00043D39">
        <w:rPr>
          <w:iCs/>
        </w:rPr>
        <w:t>4.6</w:t>
      </w:r>
      <w:r w:rsidRPr="007A4E7E">
        <w:rPr>
          <w:iCs/>
        </w:rPr>
        <w:fldChar w:fldCharType="end"/>
      </w:r>
      <w:r w:rsidRPr="007A4E7E">
        <w:rPr>
          <w:iCs/>
        </w:rPr>
        <w:t>) were highly relevant to considering the value of achieving a sustained complete or partial response in normalisation of mUFC.</w:t>
      </w:r>
    </w:p>
    <w:p w14:paraId="423B5FE7" w14:textId="77777777" w:rsidR="007D00BA" w:rsidRPr="007A4E7E" w:rsidRDefault="007D00BA" w:rsidP="007D00BA">
      <w:pPr>
        <w:pStyle w:val="4-SubsectionHeading"/>
      </w:pPr>
      <w:bookmarkStart w:id="36" w:name="_Toc156988657"/>
      <w:r w:rsidRPr="007A4E7E">
        <w:t>Comparative harms</w:t>
      </w:r>
      <w:bookmarkEnd w:id="36"/>
    </w:p>
    <w:p w14:paraId="7ADAF30A" w14:textId="46B9A0FA" w:rsidR="007D00BA" w:rsidRPr="007A4E7E" w:rsidRDefault="007D00BA" w:rsidP="007D00BA">
      <w:pPr>
        <w:pStyle w:val="ExecSumBodyText"/>
        <w:numPr>
          <w:ilvl w:val="1"/>
          <w:numId w:val="1"/>
        </w:numPr>
      </w:pPr>
      <w:r w:rsidRPr="007A4E7E">
        <w:t xml:space="preserve">The safety evidence presented was the same as the previous submission. A summary of adverse events (AEs) from the randomised periods of LINC 4 and LINC 3 are presented in </w:t>
      </w:r>
      <w:r w:rsidRPr="007A4E7E">
        <w:fldChar w:fldCharType="begin" w:fldLock="1"/>
      </w:r>
      <w:r w:rsidRPr="007A4E7E">
        <w:instrText xml:space="preserve"> REF _Ref152855217 \h  \* MERGEFORMAT </w:instrText>
      </w:r>
      <w:r w:rsidRPr="007A4E7E">
        <w:fldChar w:fldCharType="separate"/>
      </w:r>
      <w:r w:rsidR="00043D39" w:rsidRPr="007A4E7E">
        <w:t xml:space="preserve">Table </w:t>
      </w:r>
      <w:r w:rsidR="00043D39">
        <w:t>7</w:t>
      </w:r>
      <w:r w:rsidRPr="007A4E7E">
        <w:fldChar w:fldCharType="end"/>
      </w:r>
      <w:r w:rsidRPr="007A4E7E">
        <w:t>.</w:t>
      </w:r>
    </w:p>
    <w:p w14:paraId="3CAAB1DB" w14:textId="1297492F" w:rsidR="007D00BA" w:rsidRPr="00AA105F" w:rsidRDefault="007D00BA" w:rsidP="00914C1A">
      <w:pPr>
        <w:pStyle w:val="TableFigureHeading"/>
        <w:rPr>
          <w:rStyle w:val="CommentReference"/>
          <w:rFonts w:cs="Arial"/>
          <w:b/>
          <w:bCs w:val="0"/>
          <w:snapToGrid w:val="0"/>
          <w:szCs w:val="24"/>
        </w:rPr>
      </w:pPr>
      <w:bookmarkStart w:id="37" w:name="_Ref152855217"/>
      <w:bookmarkStart w:id="38" w:name="_Ref152855214"/>
      <w:r w:rsidRPr="00AA105F">
        <w:lastRenderedPageBreak/>
        <w:t xml:space="preserve">Table </w:t>
      </w:r>
      <w:r w:rsidR="00397E6D" w:rsidRPr="00914C1A">
        <w:fldChar w:fldCharType="begin" w:fldLock="1"/>
      </w:r>
      <w:r w:rsidR="00397E6D" w:rsidRPr="00AA105F">
        <w:instrText xml:space="preserve"> SEQ Table \* ARABIC </w:instrText>
      </w:r>
      <w:r w:rsidR="00397E6D" w:rsidRPr="00914C1A">
        <w:fldChar w:fldCharType="separate"/>
      </w:r>
      <w:r w:rsidR="00043D39" w:rsidRPr="00914C1A">
        <w:t>7</w:t>
      </w:r>
      <w:r w:rsidR="00397E6D" w:rsidRPr="00914C1A">
        <w:fldChar w:fldCharType="end"/>
      </w:r>
      <w:bookmarkEnd w:id="37"/>
      <w:r w:rsidRPr="00AA105F">
        <w:t xml:space="preserve">: </w:t>
      </w:r>
      <w:r w:rsidRPr="00914C1A">
        <w:rPr>
          <w:rStyle w:val="CommentReference"/>
          <w:b/>
          <w:szCs w:val="24"/>
        </w:rPr>
        <w:t xml:space="preserve">Summary of key adverse events in </w:t>
      </w:r>
      <w:bookmarkEnd w:id="38"/>
      <w:r w:rsidRPr="00914C1A">
        <w:rPr>
          <w:rStyle w:val="CommentReference"/>
          <w:b/>
          <w:szCs w:val="24"/>
        </w:rPr>
        <w:t>LINC 4 and LINC 3 randomised periods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28" w:type="dxa"/>
          <w:right w:w="28" w:type="dxa"/>
        </w:tblCellMar>
        <w:tblLook w:val="04A0" w:firstRow="1" w:lastRow="0" w:firstColumn="1" w:lastColumn="0" w:noHBand="0" w:noVBand="1"/>
        <w:tblCaption w:val="Table 7: Summary of key adverse events in LINC 4 and LINC 3 randomised periods"/>
      </w:tblPr>
      <w:tblGrid>
        <w:gridCol w:w="1996"/>
        <w:gridCol w:w="1369"/>
        <w:gridCol w:w="1210"/>
        <w:gridCol w:w="1414"/>
        <w:gridCol w:w="1488"/>
        <w:gridCol w:w="1540"/>
      </w:tblGrid>
      <w:tr w:rsidR="007D00BA" w:rsidRPr="007A4E7E" w14:paraId="5B727BBA" w14:textId="77777777" w:rsidTr="00EA6DFD">
        <w:tc>
          <w:tcPr>
            <w:tcW w:w="1107" w:type="pct"/>
            <w:tcBorders>
              <w:bottom w:val="single" w:sz="4" w:space="0" w:color="auto"/>
            </w:tcBorders>
            <w:shd w:val="clear" w:color="auto" w:fill="D9E2F3" w:themeFill="accent1" w:themeFillTint="33"/>
            <w:vAlign w:val="center"/>
          </w:tcPr>
          <w:p w14:paraId="7B75F5B2" w14:textId="77777777" w:rsidR="007D00BA" w:rsidRPr="007A4E7E" w:rsidRDefault="007D00BA" w:rsidP="00914C1A">
            <w:pPr>
              <w:pStyle w:val="TableText0"/>
              <w:keepLines/>
              <w:tabs>
                <w:tab w:val="left" w:pos="102"/>
              </w:tabs>
              <w:rPr>
                <w:rFonts w:cstheme="minorHAnsi"/>
                <w:b/>
                <w:szCs w:val="20"/>
              </w:rPr>
            </w:pPr>
            <w:r w:rsidRPr="007A4E7E">
              <w:rPr>
                <w:rFonts w:cstheme="minorHAnsi"/>
                <w:b/>
                <w:szCs w:val="20"/>
              </w:rPr>
              <w:t>Adverse event</w:t>
            </w:r>
          </w:p>
        </w:tc>
        <w:tc>
          <w:tcPr>
            <w:tcW w:w="759" w:type="pct"/>
            <w:tcBorders>
              <w:bottom w:val="single" w:sz="4" w:space="0" w:color="auto"/>
            </w:tcBorders>
            <w:shd w:val="clear" w:color="auto" w:fill="D9E2F3" w:themeFill="accent1" w:themeFillTint="33"/>
            <w:vAlign w:val="center"/>
          </w:tcPr>
          <w:p w14:paraId="775FB761" w14:textId="77777777" w:rsidR="007D00BA" w:rsidRPr="007A4E7E" w:rsidRDefault="007D00BA" w:rsidP="00914C1A">
            <w:pPr>
              <w:pStyle w:val="In-tableHeading"/>
              <w:keepLines/>
              <w:jc w:val="center"/>
              <w:rPr>
                <w:bCs/>
                <w:szCs w:val="20"/>
                <w:lang w:val="en-AU"/>
              </w:rPr>
            </w:pPr>
            <w:r w:rsidRPr="007A4E7E">
              <w:rPr>
                <w:bCs/>
                <w:szCs w:val="20"/>
                <w:lang w:val="en-AU"/>
              </w:rPr>
              <w:t xml:space="preserve">Osilodrostat </w:t>
            </w:r>
          </w:p>
          <w:p w14:paraId="2E0AFF0C" w14:textId="77777777" w:rsidR="007D00BA" w:rsidRPr="007A4E7E" w:rsidRDefault="007D00BA" w:rsidP="00914C1A">
            <w:pPr>
              <w:pStyle w:val="TableText0"/>
              <w:keepLines/>
              <w:jc w:val="center"/>
              <w:rPr>
                <w:rFonts w:cstheme="minorHAnsi"/>
                <w:b/>
                <w:szCs w:val="20"/>
              </w:rPr>
            </w:pPr>
            <w:r w:rsidRPr="007A4E7E">
              <w:rPr>
                <w:b/>
                <w:szCs w:val="20"/>
              </w:rPr>
              <w:t>(N=48)</w:t>
            </w:r>
          </w:p>
        </w:tc>
        <w:tc>
          <w:tcPr>
            <w:tcW w:w="671" w:type="pct"/>
            <w:tcBorders>
              <w:bottom w:val="single" w:sz="4" w:space="0" w:color="auto"/>
            </w:tcBorders>
            <w:shd w:val="clear" w:color="auto" w:fill="D9E2F3" w:themeFill="accent1" w:themeFillTint="33"/>
            <w:vAlign w:val="center"/>
          </w:tcPr>
          <w:p w14:paraId="76E73E1B" w14:textId="77777777" w:rsidR="007D00BA" w:rsidRPr="007A4E7E" w:rsidRDefault="007D00BA" w:rsidP="00914C1A">
            <w:pPr>
              <w:pStyle w:val="In-tableHeading"/>
              <w:keepLines/>
              <w:jc w:val="center"/>
              <w:rPr>
                <w:bCs/>
                <w:szCs w:val="20"/>
                <w:lang w:val="en-AU"/>
              </w:rPr>
            </w:pPr>
            <w:r w:rsidRPr="007A4E7E">
              <w:rPr>
                <w:bCs/>
                <w:szCs w:val="20"/>
                <w:lang w:val="en-AU"/>
              </w:rPr>
              <w:t>Placebo</w:t>
            </w:r>
          </w:p>
          <w:p w14:paraId="20468E57"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b/>
                <w:bCs/>
                <w:sz w:val="20"/>
                <w:szCs w:val="20"/>
              </w:rPr>
              <w:t>(N=25)</w:t>
            </w:r>
          </w:p>
        </w:tc>
        <w:tc>
          <w:tcPr>
            <w:tcW w:w="784" w:type="pct"/>
            <w:tcBorders>
              <w:bottom w:val="single" w:sz="4" w:space="0" w:color="auto"/>
            </w:tcBorders>
            <w:shd w:val="clear" w:color="auto" w:fill="D9E2F3" w:themeFill="accent1" w:themeFillTint="33"/>
            <w:vAlign w:val="center"/>
          </w:tcPr>
          <w:p w14:paraId="4DCF753F" w14:textId="77777777" w:rsidR="007D00BA" w:rsidRPr="007A4E7E" w:rsidRDefault="007D00BA" w:rsidP="00914C1A">
            <w:pPr>
              <w:pStyle w:val="In-tableHeading"/>
              <w:keepLines/>
              <w:jc w:val="center"/>
              <w:rPr>
                <w:bCs/>
                <w:szCs w:val="20"/>
                <w:lang w:val="en-AU"/>
              </w:rPr>
            </w:pPr>
            <w:r w:rsidRPr="007A4E7E">
              <w:rPr>
                <w:bCs/>
                <w:szCs w:val="20"/>
                <w:lang w:val="en-AU"/>
              </w:rPr>
              <w:t xml:space="preserve">RD </w:t>
            </w:r>
          </w:p>
          <w:p w14:paraId="2AD1E354"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b/>
                <w:bCs/>
                <w:sz w:val="20"/>
                <w:szCs w:val="20"/>
              </w:rPr>
              <w:t>(95% CI)</w:t>
            </w:r>
          </w:p>
        </w:tc>
        <w:tc>
          <w:tcPr>
            <w:tcW w:w="825" w:type="pct"/>
            <w:tcBorders>
              <w:bottom w:val="single" w:sz="4" w:space="0" w:color="auto"/>
            </w:tcBorders>
            <w:shd w:val="clear" w:color="auto" w:fill="D9E2F3" w:themeFill="accent1" w:themeFillTint="33"/>
            <w:vAlign w:val="center"/>
          </w:tcPr>
          <w:p w14:paraId="510AE781" w14:textId="77777777" w:rsidR="007D00BA" w:rsidRPr="007A4E7E" w:rsidRDefault="007D00BA" w:rsidP="00914C1A">
            <w:pPr>
              <w:pStyle w:val="In-tableHeading"/>
              <w:keepLines/>
              <w:jc w:val="center"/>
              <w:rPr>
                <w:bCs/>
                <w:szCs w:val="20"/>
                <w:lang w:val="en-AU"/>
              </w:rPr>
            </w:pPr>
            <w:r w:rsidRPr="007A4E7E">
              <w:rPr>
                <w:bCs/>
                <w:szCs w:val="20"/>
                <w:lang w:val="en-AU"/>
              </w:rPr>
              <w:t xml:space="preserve">RR </w:t>
            </w:r>
          </w:p>
          <w:p w14:paraId="2A601F79"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b/>
                <w:bCs/>
                <w:sz w:val="20"/>
                <w:szCs w:val="20"/>
              </w:rPr>
              <w:t>(95% CI)</w:t>
            </w:r>
          </w:p>
        </w:tc>
        <w:tc>
          <w:tcPr>
            <w:tcW w:w="854" w:type="pct"/>
            <w:tcBorders>
              <w:bottom w:val="single" w:sz="4" w:space="0" w:color="auto"/>
            </w:tcBorders>
            <w:shd w:val="clear" w:color="auto" w:fill="D9E2F3" w:themeFill="accent1" w:themeFillTint="33"/>
            <w:vAlign w:val="center"/>
          </w:tcPr>
          <w:p w14:paraId="44A4361B" w14:textId="77777777" w:rsidR="007D00BA" w:rsidRPr="007A4E7E" w:rsidRDefault="007D00BA" w:rsidP="00914C1A">
            <w:pPr>
              <w:pStyle w:val="In-tableHeading"/>
              <w:keepLines/>
              <w:jc w:val="center"/>
              <w:rPr>
                <w:bCs/>
                <w:szCs w:val="20"/>
                <w:lang w:val="en-AU"/>
              </w:rPr>
            </w:pPr>
            <w:r w:rsidRPr="007A4E7E">
              <w:rPr>
                <w:bCs/>
                <w:szCs w:val="20"/>
                <w:lang w:val="en-AU"/>
              </w:rPr>
              <w:t xml:space="preserve">OR </w:t>
            </w:r>
          </w:p>
          <w:p w14:paraId="6ABC78C8"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b/>
                <w:bCs/>
                <w:sz w:val="20"/>
                <w:szCs w:val="20"/>
              </w:rPr>
              <w:t>(95% CI)</w:t>
            </w:r>
          </w:p>
        </w:tc>
      </w:tr>
      <w:tr w:rsidR="007D00BA" w:rsidRPr="007A4E7E" w14:paraId="2FC57724" w14:textId="77777777" w:rsidTr="00EA6DFD">
        <w:tc>
          <w:tcPr>
            <w:tcW w:w="1107" w:type="pct"/>
            <w:tcBorders>
              <w:top w:val="single" w:sz="4" w:space="0" w:color="auto"/>
              <w:left w:val="single" w:sz="4" w:space="0" w:color="auto"/>
              <w:bottom w:val="single" w:sz="4" w:space="0" w:color="auto"/>
              <w:right w:val="nil"/>
            </w:tcBorders>
            <w:shd w:val="clear" w:color="auto" w:fill="D9E2F3" w:themeFill="accent1" w:themeFillTint="33"/>
            <w:vAlign w:val="center"/>
          </w:tcPr>
          <w:p w14:paraId="52017E10" w14:textId="77777777" w:rsidR="007D00BA" w:rsidRPr="007A4E7E" w:rsidRDefault="007D00BA" w:rsidP="00914C1A">
            <w:pPr>
              <w:pStyle w:val="TableText0"/>
              <w:keepLines/>
              <w:tabs>
                <w:tab w:val="left" w:pos="102"/>
              </w:tabs>
              <w:rPr>
                <w:b/>
                <w:szCs w:val="20"/>
              </w:rPr>
            </w:pPr>
            <w:r w:rsidRPr="007A4E7E">
              <w:rPr>
                <w:b/>
                <w:szCs w:val="20"/>
              </w:rPr>
              <w:t>LINC 4 at Week 12</w:t>
            </w:r>
          </w:p>
        </w:tc>
        <w:tc>
          <w:tcPr>
            <w:tcW w:w="759" w:type="pct"/>
            <w:tcBorders>
              <w:top w:val="single" w:sz="4" w:space="0" w:color="auto"/>
              <w:left w:val="nil"/>
              <w:bottom w:val="single" w:sz="4" w:space="0" w:color="auto"/>
              <w:right w:val="nil"/>
            </w:tcBorders>
            <w:shd w:val="clear" w:color="auto" w:fill="D9E2F3" w:themeFill="accent1" w:themeFillTint="33"/>
            <w:vAlign w:val="center"/>
          </w:tcPr>
          <w:p w14:paraId="1E4E1072" w14:textId="77777777" w:rsidR="007D00BA" w:rsidRPr="007A4E7E" w:rsidRDefault="007D00BA" w:rsidP="00914C1A">
            <w:pPr>
              <w:pStyle w:val="In-tableHeading"/>
              <w:keepLines/>
              <w:jc w:val="center"/>
              <w:rPr>
                <w:bCs/>
                <w:szCs w:val="20"/>
                <w:lang w:val="en-AU"/>
              </w:rPr>
            </w:pPr>
          </w:p>
        </w:tc>
        <w:tc>
          <w:tcPr>
            <w:tcW w:w="671" w:type="pct"/>
            <w:tcBorders>
              <w:top w:val="single" w:sz="4" w:space="0" w:color="auto"/>
              <w:left w:val="nil"/>
              <w:bottom w:val="single" w:sz="4" w:space="0" w:color="auto"/>
              <w:right w:val="nil"/>
            </w:tcBorders>
            <w:shd w:val="clear" w:color="auto" w:fill="D9E2F3" w:themeFill="accent1" w:themeFillTint="33"/>
            <w:vAlign w:val="center"/>
          </w:tcPr>
          <w:p w14:paraId="33D996B8" w14:textId="77777777" w:rsidR="007D00BA" w:rsidRPr="007A4E7E" w:rsidRDefault="007D00BA" w:rsidP="00914C1A">
            <w:pPr>
              <w:pStyle w:val="In-tableHeading"/>
              <w:keepLines/>
              <w:jc w:val="center"/>
              <w:rPr>
                <w:bCs/>
                <w:szCs w:val="20"/>
                <w:lang w:val="en-AU"/>
              </w:rPr>
            </w:pPr>
          </w:p>
        </w:tc>
        <w:tc>
          <w:tcPr>
            <w:tcW w:w="784" w:type="pct"/>
            <w:tcBorders>
              <w:top w:val="single" w:sz="4" w:space="0" w:color="auto"/>
              <w:left w:val="nil"/>
              <w:bottom w:val="single" w:sz="4" w:space="0" w:color="auto"/>
              <w:right w:val="nil"/>
            </w:tcBorders>
            <w:shd w:val="clear" w:color="auto" w:fill="D9E2F3" w:themeFill="accent1" w:themeFillTint="33"/>
            <w:vAlign w:val="center"/>
          </w:tcPr>
          <w:p w14:paraId="3D77D840" w14:textId="77777777" w:rsidR="007D00BA" w:rsidRPr="007A4E7E" w:rsidRDefault="007D00BA" w:rsidP="00914C1A">
            <w:pPr>
              <w:pStyle w:val="In-tableHeading"/>
              <w:keepLines/>
              <w:jc w:val="center"/>
              <w:rPr>
                <w:bCs/>
                <w:szCs w:val="20"/>
                <w:lang w:val="en-AU"/>
              </w:rPr>
            </w:pPr>
          </w:p>
        </w:tc>
        <w:tc>
          <w:tcPr>
            <w:tcW w:w="825" w:type="pct"/>
            <w:tcBorders>
              <w:top w:val="single" w:sz="4" w:space="0" w:color="auto"/>
              <w:left w:val="nil"/>
              <w:bottom w:val="single" w:sz="4" w:space="0" w:color="auto"/>
              <w:right w:val="nil"/>
            </w:tcBorders>
            <w:shd w:val="clear" w:color="auto" w:fill="D9E2F3" w:themeFill="accent1" w:themeFillTint="33"/>
            <w:vAlign w:val="center"/>
          </w:tcPr>
          <w:p w14:paraId="39AFED10" w14:textId="77777777" w:rsidR="007D00BA" w:rsidRPr="007A4E7E" w:rsidRDefault="007D00BA" w:rsidP="00914C1A">
            <w:pPr>
              <w:pStyle w:val="In-tableHeading"/>
              <w:keepLines/>
              <w:jc w:val="center"/>
              <w:rPr>
                <w:bCs/>
                <w:szCs w:val="20"/>
                <w:lang w:val="en-AU"/>
              </w:rPr>
            </w:pPr>
          </w:p>
        </w:tc>
        <w:tc>
          <w:tcPr>
            <w:tcW w:w="854" w:type="pct"/>
            <w:tcBorders>
              <w:top w:val="single" w:sz="4" w:space="0" w:color="auto"/>
              <w:left w:val="nil"/>
              <w:bottom w:val="single" w:sz="4" w:space="0" w:color="auto"/>
              <w:right w:val="single" w:sz="4" w:space="0" w:color="auto"/>
            </w:tcBorders>
            <w:shd w:val="clear" w:color="auto" w:fill="D9E2F3" w:themeFill="accent1" w:themeFillTint="33"/>
            <w:vAlign w:val="center"/>
          </w:tcPr>
          <w:p w14:paraId="2D26422D" w14:textId="77777777" w:rsidR="007D00BA" w:rsidRPr="007A4E7E" w:rsidRDefault="007D00BA" w:rsidP="00914C1A">
            <w:pPr>
              <w:pStyle w:val="In-tableHeading"/>
              <w:keepLines/>
              <w:jc w:val="center"/>
              <w:rPr>
                <w:bCs/>
                <w:szCs w:val="20"/>
                <w:lang w:val="en-AU"/>
              </w:rPr>
            </w:pPr>
          </w:p>
        </w:tc>
      </w:tr>
      <w:tr w:rsidR="007D00BA" w:rsidRPr="007A4E7E" w14:paraId="2C27221B" w14:textId="77777777" w:rsidTr="00EA6DFD">
        <w:trPr>
          <w:trHeight w:val="293"/>
        </w:trPr>
        <w:tc>
          <w:tcPr>
            <w:tcW w:w="1107" w:type="pct"/>
            <w:tcBorders>
              <w:top w:val="single" w:sz="4" w:space="0" w:color="auto"/>
            </w:tcBorders>
            <w:shd w:val="clear" w:color="auto" w:fill="D9E2F3" w:themeFill="accent1" w:themeFillTint="33"/>
            <w:vAlign w:val="center"/>
          </w:tcPr>
          <w:p w14:paraId="45785BCC"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Any AE</w:t>
            </w:r>
          </w:p>
        </w:tc>
        <w:tc>
          <w:tcPr>
            <w:tcW w:w="759" w:type="pct"/>
            <w:tcBorders>
              <w:top w:val="single" w:sz="4" w:space="0" w:color="auto"/>
            </w:tcBorders>
            <w:shd w:val="clear" w:color="auto" w:fill="D9E2F3" w:themeFill="accent1" w:themeFillTint="33"/>
            <w:vAlign w:val="center"/>
          </w:tcPr>
          <w:p w14:paraId="35667208" w14:textId="77777777" w:rsidR="007D00BA" w:rsidRPr="007A4E7E" w:rsidRDefault="007D00BA" w:rsidP="00914C1A">
            <w:pPr>
              <w:pStyle w:val="TableText0"/>
              <w:keepLines/>
              <w:jc w:val="center"/>
              <w:rPr>
                <w:bCs w:val="0"/>
                <w:szCs w:val="20"/>
              </w:rPr>
            </w:pPr>
            <w:r w:rsidRPr="007A4E7E">
              <w:rPr>
                <w:rFonts w:cstheme="minorHAnsi"/>
                <w:bCs w:val="0"/>
                <w:szCs w:val="20"/>
              </w:rPr>
              <w:t xml:space="preserve">46 (95.8%) </w:t>
            </w:r>
          </w:p>
        </w:tc>
        <w:tc>
          <w:tcPr>
            <w:tcW w:w="671" w:type="pct"/>
            <w:tcBorders>
              <w:top w:val="single" w:sz="4" w:space="0" w:color="auto"/>
            </w:tcBorders>
            <w:shd w:val="clear" w:color="auto" w:fill="D9E2F3" w:themeFill="accent1" w:themeFillTint="33"/>
            <w:vAlign w:val="center"/>
          </w:tcPr>
          <w:p w14:paraId="36317D57"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23 (92.0</w:t>
            </w:r>
            <w:r w:rsidRPr="007A4E7E">
              <w:rPr>
                <w:rFonts w:ascii="Arial Narrow" w:hAnsi="Arial Narrow" w:cstheme="minorHAnsi"/>
                <w:bCs/>
                <w:sz w:val="20"/>
                <w:szCs w:val="20"/>
              </w:rPr>
              <w:t>%</w:t>
            </w:r>
            <w:r w:rsidRPr="007A4E7E">
              <w:rPr>
                <w:rFonts w:ascii="Arial Narrow" w:hAnsi="Arial Narrow" w:cstheme="minorHAnsi"/>
                <w:sz w:val="20"/>
                <w:szCs w:val="20"/>
              </w:rPr>
              <w:t>)</w:t>
            </w:r>
          </w:p>
        </w:tc>
        <w:tc>
          <w:tcPr>
            <w:tcW w:w="784" w:type="pct"/>
            <w:tcBorders>
              <w:top w:val="single" w:sz="4" w:space="0" w:color="auto"/>
            </w:tcBorders>
            <w:shd w:val="clear" w:color="auto" w:fill="D9E2F3" w:themeFill="accent1" w:themeFillTint="33"/>
            <w:vAlign w:val="center"/>
          </w:tcPr>
          <w:p w14:paraId="23A243AE"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0.04 (</w:t>
            </w:r>
            <w:r w:rsidRPr="007A4E7E">
              <w:rPr>
                <w:rFonts w:ascii="Arial Narrow" w:hAnsi="Arial Narrow" w:cstheme="minorHAnsi"/>
                <w:sz w:val="20"/>
                <w:szCs w:val="20"/>
              </w:rPr>
              <w:noBreakHyphen/>
              <w:t>0.08, 0.16)</w:t>
            </w:r>
          </w:p>
        </w:tc>
        <w:tc>
          <w:tcPr>
            <w:tcW w:w="825" w:type="pct"/>
            <w:tcBorders>
              <w:top w:val="single" w:sz="4" w:space="0" w:color="auto"/>
            </w:tcBorders>
            <w:shd w:val="clear" w:color="auto" w:fill="D9E2F3" w:themeFill="accent1" w:themeFillTint="33"/>
            <w:vAlign w:val="center"/>
          </w:tcPr>
          <w:p w14:paraId="230B3238"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1.04 (0.91, 1.19)</w:t>
            </w:r>
          </w:p>
        </w:tc>
        <w:tc>
          <w:tcPr>
            <w:tcW w:w="854" w:type="pct"/>
            <w:tcBorders>
              <w:top w:val="single" w:sz="4" w:space="0" w:color="auto"/>
            </w:tcBorders>
            <w:shd w:val="clear" w:color="auto" w:fill="D9E2F3" w:themeFill="accent1" w:themeFillTint="33"/>
            <w:vAlign w:val="center"/>
          </w:tcPr>
          <w:p w14:paraId="7F92572C"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2.00 (0.26, 15.12)</w:t>
            </w:r>
          </w:p>
        </w:tc>
      </w:tr>
      <w:tr w:rsidR="007D00BA" w:rsidRPr="007A4E7E" w14:paraId="08539CC6" w14:textId="77777777" w:rsidTr="00EA6DFD">
        <w:tc>
          <w:tcPr>
            <w:tcW w:w="1107" w:type="pct"/>
            <w:shd w:val="clear" w:color="auto" w:fill="D9E2F3" w:themeFill="accent1" w:themeFillTint="33"/>
            <w:vAlign w:val="center"/>
          </w:tcPr>
          <w:p w14:paraId="745427AB"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Treatment</w:t>
            </w:r>
            <w:r w:rsidRPr="007A4E7E">
              <w:rPr>
                <w:rFonts w:cstheme="minorHAnsi"/>
                <w:bCs w:val="0"/>
                <w:szCs w:val="20"/>
              </w:rPr>
              <w:noBreakHyphen/>
              <w:t>related AE</w:t>
            </w:r>
          </w:p>
        </w:tc>
        <w:tc>
          <w:tcPr>
            <w:tcW w:w="759" w:type="pct"/>
            <w:shd w:val="clear" w:color="auto" w:fill="D9E2F3" w:themeFill="accent1" w:themeFillTint="33"/>
            <w:vAlign w:val="center"/>
          </w:tcPr>
          <w:p w14:paraId="5B82BE5C"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 xml:space="preserve">30 (62.5%) </w:t>
            </w:r>
          </w:p>
        </w:tc>
        <w:tc>
          <w:tcPr>
            <w:tcW w:w="671" w:type="pct"/>
            <w:shd w:val="clear" w:color="auto" w:fill="D9E2F3" w:themeFill="accent1" w:themeFillTint="33"/>
            <w:vAlign w:val="center"/>
          </w:tcPr>
          <w:p w14:paraId="41CDB759"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11 (44.0</w:t>
            </w:r>
            <w:r w:rsidRPr="007A4E7E">
              <w:rPr>
                <w:rFonts w:ascii="Arial Narrow" w:hAnsi="Arial Narrow" w:cstheme="minorHAnsi"/>
                <w:bCs/>
                <w:sz w:val="20"/>
                <w:szCs w:val="20"/>
              </w:rPr>
              <w:t>%</w:t>
            </w:r>
            <w:r w:rsidRPr="007A4E7E">
              <w:rPr>
                <w:rFonts w:ascii="Arial Narrow" w:hAnsi="Arial Narrow" w:cstheme="minorHAnsi"/>
                <w:sz w:val="20"/>
                <w:szCs w:val="20"/>
              </w:rPr>
              <w:t>)</w:t>
            </w:r>
          </w:p>
        </w:tc>
        <w:tc>
          <w:tcPr>
            <w:tcW w:w="784" w:type="pct"/>
            <w:shd w:val="clear" w:color="auto" w:fill="D9E2F3" w:themeFill="accent1" w:themeFillTint="33"/>
            <w:vAlign w:val="center"/>
          </w:tcPr>
          <w:p w14:paraId="0BFFA8B4"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0.18 (</w:t>
            </w:r>
            <w:r w:rsidRPr="007A4E7E">
              <w:rPr>
                <w:rFonts w:ascii="Arial Narrow" w:hAnsi="Arial Narrow" w:cstheme="minorHAnsi"/>
                <w:sz w:val="20"/>
                <w:szCs w:val="20"/>
              </w:rPr>
              <w:noBreakHyphen/>
              <w:t>0.05, 0.42)</w:t>
            </w:r>
          </w:p>
        </w:tc>
        <w:tc>
          <w:tcPr>
            <w:tcW w:w="825" w:type="pct"/>
            <w:shd w:val="clear" w:color="auto" w:fill="D9E2F3" w:themeFill="accent1" w:themeFillTint="33"/>
            <w:vAlign w:val="center"/>
          </w:tcPr>
          <w:p w14:paraId="69F7ACEC"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1.42 (0.87, 2.33)</w:t>
            </w:r>
          </w:p>
        </w:tc>
        <w:tc>
          <w:tcPr>
            <w:tcW w:w="854" w:type="pct"/>
            <w:shd w:val="clear" w:color="auto" w:fill="D9E2F3" w:themeFill="accent1" w:themeFillTint="33"/>
            <w:vAlign w:val="center"/>
          </w:tcPr>
          <w:p w14:paraId="5DB1C807"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2.12 (0.79, 5.67)</w:t>
            </w:r>
          </w:p>
        </w:tc>
      </w:tr>
      <w:tr w:rsidR="007D00BA" w:rsidRPr="007A4E7E" w14:paraId="007CCAAF" w14:textId="77777777" w:rsidTr="00EA6DFD">
        <w:tc>
          <w:tcPr>
            <w:tcW w:w="1107" w:type="pct"/>
            <w:shd w:val="clear" w:color="auto" w:fill="D9E2F3" w:themeFill="accent1" w:themeFillTint="33"/>
            <w:vAlign w:val="center"/>
          </w:tcPr>
          <w:p w14:paraId="0AB1FE72"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Treatment-related Grade </w:t>
            </w:r>
            <w:r w:rsidRPr="007A4E7E">
              <w:rPr>
                <w:rFonts w:cstheme="minorHAnsi"/>
                <w:bCs w:val="0"/>
                <w:szCs w:val="20"/>
              </w:rPr>
              <w:tab/>
              <w:t>≥3 AE</w:t>
            </w:r>
          </w:p>
        </w:tc>
        <w:tc>
          <w:tcPr>
            <w:tcW w:w="759" w:type="pct"/>
            <w:shd w:val="clear" w:color="auto" w:fill="D9E2F3" w:themeFill="accent1" w:themeFillTint="33"/>
            <w:vAlign w:val="center"/>
          </w:tcPr>
          <w:p w14:paraId="697B1CD3"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4 (8.3%)</w:t>
            </w:r>
          </w:p>
        </w:tc>
        <w:tc>
          <w:tcPr>
            <w:tcW w:w="671" w:type="pct"/>
            <w:shd w:val="clear" w:color="auto" w:fill="D9E2F3" w:themeFill="accent1" w:themeFillTint="33"/>
            <w:vAlign w:val="center"/>
          </w:tcPr>
          <w:p w14:paraId="330DBA72"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1 (4.0</w:t>
            </w:r>
            <w:r w:rsidRPr="007A4E7E">
              <w:rPr>
                <w:rFonts w:ascii="Arial Narrow" w:hAnsi="Arial Narrow" w:cstheme="minorHAnsi"/>
                <w:bCs/>
                <w:sz w:val="20"/>
                <w:szCs w:val="20"/>
              </w:rPr>
              <w:t>%</w:t>
            </w:r>
            <w:r w:rsidRPr="007A4E7E">
              <w:rPr>
                <w:rFonts w:ascii="Arial Narrow" w:hAnsi="Arial Narrow" w:cstheme="minorHAnsi"/>
                <w:sz w:val="20"/>
                <w:szCs w:val="20"/>
              </w:rPr>
              <w:t>)</w:t>
            </w:r>
          </w:p>
        </w:tc>
        <w:tc>
          <w:tcPr>
            <w:tcW w:w="784" w:type="pct"/>
            <w:shd w:val="clear" w:color="auto" w:fill="D9E2F3" w:themeFill="accent1" w:themeFillTint="33"/>
            <w:vAlign w:val="center"/>
          </w:tcPr>
          <w:p w14:paraId="30B6818E"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0.04 (</w:t>
            </w:r>
            <w:r w:rsidRPr="007A4E7E">
              <w:rPr>
                <w:rFonts w:ascii="Arial Narrow" w:hAnsi="Arial Narrow" w:cstheme="minorHAnsi"/>
                <w:sz w:val="20"/>
                <w:szCs w:val="20"/>
              </w:rPr>
              <w:noBreakHyphen/>
              <w:t>0.07, 0.15)</w:t>
            </w:r>
          </w:p>
        </w:tc>
        <w:tc>
          <w:tcPr>
            <w:tcW w:w="825" w:type="pct"/>
            <w:shd w:val="clear" w:color="auto" w:fill="D9E2F3" w:themeFill="accent1" w:themeFillTint="33"/>
            <w:vAlign w:val="center"/>
          </w:tcPr>
          <w:p w14:paraId="6494EBC4"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2.08 (0.25, 17.66)</w:t>
            </w:r>
          </w:p>
        </w:tc>
        <w:tc>
          <w:tcPr>
            <w:tcW w:w="854" w:type="pct"/>
            <w:shd w:val="clear" w:color="auto" w:fill="D9E2F3" w:themeFill="accent1" w:themeFillTint="33"/>
            <w:vAlign w:val="center"/>
          </w:tcPr>
          <w:p w14:paraId="4025AD79"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2.18 (0.23, 20.64)</w:t>
            </w:r>
          </w:p>
        </w:tc>
      </w:tr>
      <w:tr w:rsidR="007D00BA" w:rsidRPr="007A4E7E" w14:paraId="634DBD62" w14:textId="77777777" w:rsidTr="00EA6DFD">
        <w:tc>
          <w:tcPr>
            <w:tcW w:w="1107" w:type="pct"/>
            <w:shd w:val="clear" w:color="auto" w:fill="D9E2F3" w:themeFill="accent1" w:themeFillTint="33"/>
            <w:vAlign w:val="center"/>
          </w:tcPr>
          <w:p w14:paraId="4E78593D"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Treatment</w:t>
            </w:r>
            <w:r w:rsidRPr="007A4E7E">
              <w:rPr>
                <w:rFonts w:cstheme="minorHAnsi"/>
                <w:bCs w:val="0"/>
                <w:szCs w:val="20"/>
              </w:rPr>
              <w:noBreakHyphen/>
              <w:t>related SAE</w:t>
            </w:r>
          </w:p>
        </w:tc>
        <w:tc>
          <w:tcPr>
            <w:tcW w:w="759" w:type="pct"/>
            <w:shd w:val="clear" w:color="auto" w:fill="D9E2F3" w:themeFill="accent1" w:themeFillTint="33"/>
            <w:vAlign w:val="center"/>
          </w:tcPr>
          <w:p w14:paraId="7A0465CE"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0</w:t>
            </w:r>
            <w:r w:rsidRPr="007A4E7E">
              <w:rPr>
                <w:rFonts w:cstheme="minorHAnsi"/>
                <w:bCs w:val="0"/>
                <w:szCs w:val="20"/>
                <w:vertAlign w:val="superscript"/>
              </w:rPr>
              <w:t>a</w:t>
            </w:r>
          </w:p>
        </w:tc>
        <w:tc>
          <w:tcPr>
            <w:tcW w:w="671" w:type="pct"/>
            <w:shd w:val="clear" w:color="auto" w:fill="D9E2F3" w:themeFill="accent1" w:themeFillTint="33"/>
            <w:vAlign w:val="center"/>
          </w:tcPr>
          <w:p w14:paraId="15C283AE"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0</w:t>
            </w:r>
            <w:r w:rsidRPr="007A4E7E">
              <w:rPr>
                <w:rFonts w:ascii="Arial Narrow" w:hAnsi="Arial Narrow" w:cstheme="minorHAnsi"/>
                <w:sz w:val="20"/>
                <w:szCs w:val="20"/>
                <w:vertAlign w:val="superscript"/>
              </w:rPr>
              <w:t>a</w:t>
            </w:r>
          </w:p>
        </w:tc>
        <w:tc>
          <w:tcPr>
            <w:tcW w:w="784" w:type="pct"/>
            <w:shd w:val="clear" w:color="auto" w:fill="D9E2F3" w:themeFill="accent1" w:themeFillTint="33"/>
            <w:vAlign w:val="center"/>
          </w:tcPr>
          <w:p w14:paraId="624256CB"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0.00 (</w:t>
            </w:r>
            <w:r w:rsidRPr="007A4E7E">
              <w:rPr>
                <w:rFonts w:ascii="Arial Narrow" w:hAnsi="Arial Narrow" w:cstheme="minorHAnsi"/>
                <w:sz w:val="20"/>
                <w:szCs w:val="20"/>
              </w:rPr>
              <w:noBreakHyphen/>
              <w:t>0.06, 0.06)</w:t>
            </w:r>
          </w:p>
        </w:tc>
        <w:tc>
          <w:tcPr>
            <w:tcW w:w="825" w:type="pct"/>
            <w:shd w:val="clear" w:color="auto" w:fill="D9E2F3" w:themeFill="accent1" w:themeFillTint="33"/>
            <w:vAlign w:val="center"/>
          </w:tcPr>
          <w:p w14:paraId="26088682"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c>
          <w:tcPr>
            <w:tcW w:w="854" w:type="pct"/>
            <w:shd w:val="clear" w:color="auto" w:fill="D9E2F3" w:themeFill="accent1" w:themeFillTint="33"/>
            <w:vAlign w:val="center"/>
          </w:tcPr>
          <w:p w14:paraId="301CFE1F"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r>
      <w:tr w:rsidR="007D00BA" w:rsidRPr="007A4E7E" w14:paraId="02D8AB55" w14:textId="77777777" w:rsidTr="00EA6DFD">
        <w:tc>
          <w:tcPr>
            <w:tcW w:w="1107" w:type="pct"/>
            <w:shd w:val="clear" w:color="auto" w:fill="D9E2F3" w:themeFill="accent1" w:themeFillTint="33"/>
            <w:vAlign w:val="center"/>
          </w:tcPr>
          <w:p w14:paraId="38673570"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Treatment</w:t>
            </w:r>
            <w:r w:rsidRPr="007A4E7E">
              <w:rPr>
                <w:rFonts w:cstheme="minorHAnsi"/>
                <w:bCs w:val="0"/>
                <w:szCs w:val="20"/>
              </w:rPr>
              <w:noBreakHyphen/>
              <w:t xml:space="preserve">related </w:t>
            </w:r>
            <w:r w:rsidRPr="007A4E7E">
              <w:rPr>
                <w:rFonts w:cstheme="minorHAnsi"/>
                <w:bCs w:val="0"/>
                <w:szCs w:val="20"/>
              </w:rPr>
              <w:tab/>
              <w:t>discontinuation due to AE</w:t>
            </w:r>
          </w:p>
        </w:tc>
        <w:tc>
          <w:tcPr>
            <w:tcW w:w="759" w:type="pct"/>
            <w:shd w:val="clear" w:color="auto" w:fill="D9E2F3" w:themeFill="accent1" w:themeFillTint="33"/>
            <w:vAlign w:val="center"/>
          </w:tcPr>
          <w:p w14:paraId="6A79E58C"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 xml:space="preserve">1 (2.1%) </w:t>
            </w:r>
          </w:p>
        </w:tc>
        <w:tc>
          <w:tcPr>
            <w:tcW w:w="671" w:type="pct"/>
            <w:shd w:val="clear" w:color="auto" w:fill="D9E2F3" w:themeFill="accent1" w:themeFillTint="33"/>
            <w:vAlign w:val="center"/>
          </w:tcPr>
          <w:p w14:paraId="61682039"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0</w:t>
            </w:r>
          </w:p>
        </w:tc>
        <w:tc>
          <w:tcPr>
            <w:tcW w:w="784" w:type="pct"/>
            <w:shd w:val="clear" w:color="auto" w:fill="D9E2F3" w:themeFill="accent1" w:themeFillTint="33"/>
            <w:vAlign w:val="center"/>
          </w:tcPr>
          <w:p w14:paraId="72A907EA"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0.02 (</w:t>
            </w:r>
            <w:r w:rsidRPr="007A4E7E">
              <w:rPr>
                <w:rFonts w:ascii="Arial Narrow" w:hAnsi="Arial Narrow" w:cstheme="minorHAnsi"/>
                <w:sz w:val="20"/>
                <w:szCs w:val="20"/>
              </w:rPr>
              <w:noBreakHyphen/>
              <w:t>0.05, 0.09)</w:t>
            </w:r>
          </w:p>
        </w:tc>
        <w:tc>
          <w:tcPr>
            <w:tcW w:w="825" w:type="pct"/>
            <w:shd w:val="clear" w:color="auto" w:fill="D9E2F3" w:themeFill="accent1" w:themeFillTint="33"/>
            <w:vAlign w:val="center"/>
          </w:tcPr>
          <w:p w14:paraId="59A19AB6"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1.58 (0.07, 37.35)</w:t>
            </w:r>
          </w:p>
        </w:tc>
        <w:tc>
          <w:tcPr>
            <w:tcW w:w="854" w:type="pct"/>
            <w:shd w:val="clear" w:color="auto" w:fill="D9E2F3" w:themeFill="accent1" w:themeFillTint="33"/>
            <w:vAlign w:val="center"/>
          </w:tcPr>
          <w:p w14:paraId="27B917F4"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1.61 (0.06, 40.98)</w:t>
            </w:r>
          </w:p>
        </w:tc>
      </w:tr>
      <w:tr w:rsidR="007D00BA" w:rsidRPr="007A4E7E" w14:paraId="09ACDD9E" w14:textId="77777777" w:rsidTr="00EA6DFD">
        <w:tc>
          <w:tcPr>
            <w:tcW w:w="1107" w:type="pct"/>
            <w:shd w:val="clear" w:color="auto" w:fill="D9E2F3" w:themeFill="accent1" w:themeFillTint="33"/>
            <w:vAlign w:val="center"/>
          </w:tcPr>
          <w:p w14:paraId="4D319E7D"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AEs requiring additional </w:t>
            </w:r>
            <w:r w:rsidRPr="007A4E7E">
              <w:rPr>
                <w:rFonts w:cstheme="minorHAnsi"/>
                <w:bCs w:val="0"/>
                <w:szCs w:val="20"/>
              </w:rPr>
              <w:tab/>
              <w:t>therapy</w:t>
            </w:r>
          </w:p>
        </w:tc>
        <w:tc>
          <w:tcPr>
            <w:tcW w:w="759" w:type="pct"/>
            <w:shd w:val="clear" w:color="auto" w:fill="D9E2F3" w:themeFill="accent1" w:themeFillTint="33"/>
            <w:vAlign w:val="center"/>
          </w:tcPr>
          <w:p w14:paraId="039A0D9D" w14:textId="77777777" w:rsidR="007D00BA" w:rsidRPr="007A4E7E" w:rsidRDefault="007D00BA" w:rsidP="00914C1A">
            <w:pPr>
              <w:pStyle w:val="TableText0"/>
              <w:keepLines/>
              <w:jc w:val="center"/>
              <w:rPr>
                <w:rFonts w:cstheme="minorHAnsi"/>
                <w:bCs w:val="0"/>
                <w:szCs w:val="20"/>
              </w:rPr>
            </w:pPr>
            <w:r w:rsidRPr="007A4E7E">
              <w:rPr>
                <w:rFonts w:cstheme="minorHAnsi"/>
                <w:bCs w:val="0"/>
                <w:szCs w:val="20"/>
              </w:rPr>
              <w:t xml:space="preserve">37 (77.1%) </w:t>
            </w:r>
          </w:p>
        </w:tc>
        <w:tc>
          <w:tcPr>
            <w:tcW w:w="671" w:type="pct"/>
            <w:shd w:val="clear" w:color="auto" w:fill="D9E2F3" w:themeFill="accent1" w:themeFillTint="33"/>
            <w:vAlign w:val="center"/>
          </w:tcPr>
          <w:p w14:paraId="4808EF3D"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11 (44.0</w:t>
            </w:r>
            <w:r w:rsidRPr="007A4E7E">
              <w:rPr>
                <w:rFonts w:ascii="Arial Narrow" w:hAnsi="Arial Narrow" w:cstheme="minorHAnsi"/>
                <w:bCs/>
                <w:sz w:val="20"/>
                <w:szCs w:val="20"/>
              </w:rPr>
              <w:t>%</w:t>
            </w:r>
            <w:r w:rsidRPr="007A4E7E">
              <w:rPr>
                <w:rFonts w:ascii="Arial Narrow" w:hAnsi="Arial Narrow" w:cstheme="minorHAnsi"/>
                <w:sz w:val="20"/>
                <w:szCs w:val="20"/>
              </w:rPr>
              <w:t>)</w:t>
            </w:r>
          </w:p>
        </w:tc>
        <w:tc>
          <w:tcPr>
            <w:tcW w:w="784" w:type="pct"/>
            <w:shd w:val="clear" w:color="auto" w:fill="D9E2F3" w:themeFill="accent1" w:themeFillTint="33"/>
            <w:vAlign w:val="center"/>
          </w:tcPr>
          <w:p w14:paraId="19CEE1A3"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 xml:space="preserve">0.33 (0.10, 0.56) </w:t>
            </w:r>
          </w:p>
        </w:tc>
        <w:tc>
          <w:tcPr>
            <w:tcW w:w="825" w:type="pct"/>
            <w:shd w:val="clear" w:color="auto" w:fill="D9E2F3" w:themeFill="accent1" w:themeFillTint="33"/>
            <w:vAlign w:val="center"/>
          </w:tcPr>
          <w:p w14:paraId="30B2E1F6"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1.75 (1.10, 2.80)</w:t>
            </w:r>
          </w:p>
        </w:tc>
        <w:tc>
          <w:tcPr>
            <w:tcW w:w="854" w:type="pct"/>
            <w:shd w:val="clear" w:color="auto" w:fill="D9E2F3" w:themeFill="accent1" w:themeFillTint="33"/>
            <w:vAlign w:val="center"/>
          </w:tcPr>
          <w:p w14:paraId="5993799A"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4.28 (1.52, 12.08)</w:t>
            </w:r>
          </w:p>
        </w:tc>
      </w:tr>
      <w:tr w:rsidR="007D00BA" w:rsidRPr="007A4E7E" w14:paraId="5CAD837A" w14:textId="77777777" w:rsidTr="00EA6DFD">
        <w:tc>
          <w:tcPr>
            <w:tcW w:w="1107" w:type="pct"/>
            <w:tcBorders>
              <w:bottom w:val="single" w:sz="4" w:space="0" w:color="auto"/>
            </w:tcBorders>
            <w:shd w:val="clear" w:color="auto" w:fill="D9E2F3" w:themeFill="accent1" w:themeFillTint="33"/>
            <w:vAlign w:val="center"/>
          </w:tcPr>
          <w:p w14:paraId="47BEB39D"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Death</w:t>
            </w:r>
          </w:p>
        </w:tc>
        <w:tc>
          <w:tcPr>
            <w:tcW w:w="759" w:type="pct"/>
            <w:tcBorders>
              <w:bottom w:val="single" w:sz="4" w:space="0" w:color="auto"/>
            </w:tcBorders>
            <w:shd w:val="clear" w:color="auto" w:fill="D9E2F3" w:themeFill="accent1" w:themeFillTint="33"/>
            <w:vAlign w:val="center"/>
          </w:tcPr>
          <w:p w14:paraId="79FD773B"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0</w:t>
            </w:r>
            <w:r w:rsidRPr="007A4E7E">
              <w:rPr>
                <w:rFonts w:cstheme="minorHAnsi"/>
                <w:bCs w:val="0"/>
                <w:szCs w:val="20"/>
                <w:vertAlign w:val="superscript"/>
              </w:rPr>
              <w:t>a</w:t>
            </w:r>
          </w:p>
        </w:tc>
        <w:tc>
          <w:tcPr>
            <w:tcW w:w="671" w:type="pct"/>
            <w:tcBorders>
              <w:bottom w:val="single" w:sz="4" w:space="0" w:color="auto"/>
            </w:tcBorders>
            <w:shd w:val="clear" w:color="auto" w:fill="D9E2F3" w:themeFill="accent1" w:themeFillTint="33"/>
            <w:vAlign w:val="center"/>
          </w:tcPr>
          <w:p w14:paraId="0BD4138A"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0</w:t>
            </w:r>
            <w:r w:rsidRPr="007A4E7E">
              <w:rPr>
                <w:rFonts w:ascii="Arial Narrow" w:hAnsi="Arial Narrow" w:cstheme="minorHAnsi"/>
                <w:sz w:val="20"/>
                <w:szCs w:val="20"/>
                <w:vertAlign w:val="superscript"/>
              </w:rPr>
              <w:t>a</w:t>
            </w:r>
          </w:p>
        </w:tc>
        <w:tc>
          <w:tcPr>
            <w:tcW w:w="784" w:type="pct"/>
            <w:tcBorders>
              <w:bottom w:val="single" w:sz="4" w:space="0" w:color="auto"/>
            </w:tcBorders>
            <w:shd w:val="clear" w:color="auto" w:fill="D9E2F3" w:themeFill="accent1" w:themeFillTint="33"/>
            <w:vAlign w:val="center"/>
          </w:tcPr>
          <w:p w14:paraId="61FE4768"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0.00 (</w:t>
            </w:r>
            <w:r w:rsidRPr="007A4E7E">
              <w:rPr>
                <w:rFonts w:ascii="Arial Narrow" w:hAnsi="Arial Narrow" w:cstheme="minorHAnsi"/>
                <w:sz w:val="20"/>
                <w:szCs w:val="20"/>
              </w:rPr>
              <w:noBreakHyphen/>
              <w:t>0.06, 0.06)</w:t>
            </w:r>
          </w:p>
        </w:tc>
        <w:tc>
          <w:tcPr>
            <w:tcW w:w="825" w:type="pct"/>
            <w:tcBorders>
              <w:bottom w:val="single" w:sz="4" w:space="0" w:color="auto"/>
            </w:tcBorders>
            <w:shd w:val="clear" w:color="auto" w:fill="D9E2F3" w:themeFill="accent1" w:themeFillTint="33"/>
            <w:vAlign w:val="center"/>
          </w:tcPr>
          <w:p w14:paraId="73065C69"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c>
          <w:tcPr>
            <w:tcW w:w="854" w:type="pct"/>
            <w:tcBorders>
              <w:bottom w:val="single" w:sz="4" w:space="0" w:color="auto"/>
            </w:tcBorders>
            <w:shd w:val="clear" w:color="auto" w:fill="D9E2F3" w:themeFill="accent1" w:themeFillTint="33"/>
            <w:vAlign w:val="center"/>
          </w:tcPr>
          <w:p w14:paraId="56141D1B"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r>
      <w:tr w:rsidR="007D00BA" w:rsidRPr="007A4E7E" w14:paraId="655543A5" w14:textId="77777777" w:rsidTr="00EA6DFD">
        <w:tc>
          <w:tcPr>
            <w:tcW w:w="1107" w:type="pct"/>
            <w:tcBorders>
              <w:top w:val="single" w:sz="4" w:space="0" w:color="auto"/>
              <w:left w:val="single" w:sz="4" w:space="0" w:color="auto"/>
              <w:bottom w:val="single" w:sz="4" w:space="0" w:color="auto"/>
              <w:right w:val="nil"/>
            </w:tcBorders>
            <w:shd w:val="clear" w:color="auto" w:fill="D9E2F3" w:themeFill="accent1" w:themeFillTint="33"/>
            <w:vAlign w:val="center"/>
          </w:tcPr>
          <w:p w14:paraId="0799C407"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szCs w:val="20"/>
              </w:rPr>
              <w:t>AEs of special interest</w:t>
            </w:r>
          </w:p>
        </w:tc>
        <w:tc>
          <w:tcPr>
            <w:tcW w:w="759" w:type="pct"/>
            <w:tcBorders>
              <w:top w:val="single" w:sz="4" w:space="0" w:color="auto"/>
              <w:left w:val="nil"/>
              <w:bottom w:val="single" w:sz="4" w:space="0" w:color="auto"/>
              <w:right w:val="nil"/>
            </w:tcBorders>
            <w:shd w:val="clear" w:color="auto" w:fill="D9E2F3" w:themeFill="accent1" w:themeFillTint="33"/>
            <w:vAlign w:val="center"/>
          </w:tcPr>
          <w:p w14:paraId="3101F8D1" w14:textId="77777777" w:rsidR="007D00BA" w:rsidRPr="007A4E7E" w:rsidRDefault="007D00BA" w:rsidP="00914C1A">
            <w:pPr>
              <w:pStyle w:val="TableText0"/>
              <w:keepLines/>
              <w:jc w:val="center"/>
              <w:rPr>
                <w:rFonts w:cstheme="minorHAnsi"/>
                <w:bCs w:val="0"/>
                <w:szCs w:val="20"/>
              </w:rPr>
            </w:pPr>
          </w:p>
        </w:tc>
        <w:tc>
          <w:tcPr>
            <w:tcW w:w="671" w:type="pct"/>
            <w:tcBorders>
              <w:top w:val="single" w:sz="4" w:space="0" w:color="auto"/>
              <w:left w:val="nil"/>
              <w:bottom w:val="single" w:sz="4" w:space="0" w:color="auto"/>
              <w:right w:val="nil"/>
            </w:tcBorders>
            <w:shd w:val="clear" w:color="auto" w:fill="D9E2F3" w:themeFill="accent1" w:themeFillTint="33"/>
            <w:vAlign w:val="center"/>
          </w:tcPr>
          <w:p w14:paraId="33B32D36" w14:textId="77777777" w:rsidR="007D00BA" w:rsidRPr="007A4E7E" w:rsidRDefault="007D00BA" w:rsidP="00914C1A">
            <w:pPr>
              <w:keepNext/>
              <w:keepLines/>
              <w:jc w:val="center"/>
              <w:rPr>
                <w:rFonts w:ascii="Arial Narrow" w:hAnsi="Arial Narrow" w:cstheme="minorHAnsi"/>
                <w:sz w:val="20"/>
                <w:szCs w:val="20"/>
              </w:rPr>
            </w:pPr>
          </w:p>
        </w:tc>
        <w:tc>
          <w:tcPr>
            <w:tcW w:w="784" w:type="pct"/>
            <w:tcBorders>
              <w:top w:val="single" w:sz="4" w:space="0" w:color="auto"/>
              <w:left w:val="nil"/>
              <w:bottom w:val="single" w:sz="4" w:space="0" w:color="auto"/>
              <w:right w:val="nil"/>
            </w:tcBorders>
            <w:shd w:val="clear" w:color="auto" w:fill="D9E2F3" w:themeFill="accent1" w:themeFillTint="33"/>
            <w:vAlign w:val="center"/>
          </w:tcPr>
          <w:p w14:paraId="7BDA4ECC" w14:textId="77777777" w:rsidR="007D00BA" w:rsidRPr="007A4E7E" w:rsidRDefault="007D00BA" w:rsidP="00914C1A">
            <w:pPr>
              <w:keepNext/>
              <w:keepLines/>
              <w:jc w:val="center"/>
              <w:rPr>
                <w:rFonts w:ascii="Arial Narrow" w:hAnsi="Arial Narrow" w:cstheme="minorHAnsi"/>
                <w:sz w:val="20"/>
                <w:szCs w:val="20"/>
              </w:rPr>
            </w:pPr>
          </w:p>
        </w:tc>
        <w:tc>
          <w:tcPr>
            <w:tcW w:w="825" w:type="pct"/>
            <w:tcBorders>
              <w:top w:val="single" w:sz="4" w:space="0" w:color="auto"/>
              <w:left w:val="nil"/>
              <w:bottom w:val="single" w:sz="4" w:space="0" w:color="auto"/>
              <w:right w:val="nil"/>
            </w:tcBorders>
            <w:shd w:val="clear" w:color="auto" w:fill="D9E2F3" w:themeFill="accent1" w:themeFillTint="33"/>
            <w:vAlign w:val="center"/>
          </w:tcPr>
          <w:p w14:paraId="010DF4AE" w14:textId="77777777" w:rsidR="007D00BA" w:rsidRPr="007A4E7E" w:rsidRDefault="007D00BA" w:rsidP="00914C1A">
            <w:pPr>
              <w:keepNext/>
              <w:keepLines/>
              <w:jc w:val="center"/>
              <w:rPr>
                <w:rFonts w:ascii="Arial Narrow" w:hAnsi="Arial Narrow" w:cstheme="minorHAnsi"/>
                <w:sz w:val="20"/>
                <w:szCs w:val="20"/>
              </w:rPr>
            </w:pPr>
          </w:p>
        </w:tc>
        <w:tc>
          <w:tcPr>
            <w:tcW w:w="854" w:type="pct"/>
            <w:tcBorders>
              <w:top w:val="single" w:sz="4" w:space="0" w:color="auto"/>
              <w:left w:val="nil"/>
              <w:bottom w:val="single" w:sz="4" w:space="0" w:color="auto"/>
              <w:right w:val="single" w:sz="4" w:space="0" w:color="auto"/>
            </w:tcBorders>
            <w:shd w:val="clear" w:color="auto" w:fill="D9E2F3" w:themeFill="accent1" w:themeFillTint="33"/>
            <w:vAlign w:val="center"/>
          </w:tcPr>
          <w:p w14:paraId="0F706166" w14:textId="77777777" w:rsidR="007D00BA" w:rsidRPr="007A4E7E" w:rsidRDefault="007D00BA" w:rsidP="00914C1A">
            <w:pPr>
              <w:keepNext/>
              <w:keepLines/>
              <w:jc w:val="center"/>
              <w:rPr>
                <w:rFonts w:ascii="Arial Narrow" w:hAnsi="Arial Narrow" w:cstheme="minorHAnsi"/>
                <w:sz w:val="20"/>
                <w:szCs w:val="20"/>
              </w:rPr>
            </w:pPr>
          </w:p>
        </w:tc>
      </w:tr>
      <w:tr w:rsidR="007D00BA" w:rsidRPr="007A4E7E" w14:paraId="09176759" w14:textId="77777777" w:rsidTr="00EA6DFD">
        <w:tc>
          <w:tcPr>
            <w:tcW w:w="1107" w:type="pct"/>
            <w:tcBorders>
              <w:top w:val="single" w:sz="4" w:space="0" w:color="auto"/>
            </w:tcBorders>
            <w:shd w:val="clear" w:color="auto" w:fill="D9E2F3" w:themeFill="accent1" w:themeFillTint="33"/>
            <w:vAlign w:val="center"/>
          </w:tcPr>
          <w:p w14:paraId="13110220"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Adrenal hormone </w:t>
            </w:r>
            <w:r w:rsidRPr="007A4E7E">
              <w:rPr>
                <w:rFonts w:cstheme="minorHAnsi"/>
                <w:bCs w:val="0"/>
                <w:szCs w:val="20"/>
              </w:rPr>
              <w:tab/>
              <w:t>precursor accumulation</w:t>
            </w:r>
          </w:p>
        </w:tc>
        <w:tc>
          <w:tcPr>
            <w:tcW w:w="759" w:type="pct"/>
            <w:tcBorders>
              <w:top w:val="single" w:sz="4" w:space="0" w:color="auto"/>
            </w:tcBorders>
            <w:shd w:val="clear" w:color="auto" w:fill="D9E2F3" w:themeFill="accent1" w:themeFillTint="33"/>
            <w:vAlign w:val="center"/>
          </w:tcPr>
          <w:p w14:paraId="0E8B3415"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21 (43.8%)</w:t>
            </w:r>
          </w:p>
        </w:tc>
        <w:tc>
          <w:tcPr>
            <w:tcW w:w="671" w:type="pct"/>
            <w:tcBorders>
              <w:top w:val="single" w:sz="4" w:space="0" w:color="auto"/>
            </w:tcBorders>
            <w:shd w:val="clear" w:color="auto" w:fill="D9E2F3" w:themeFill="accent1" w:themeFillTint="33"/>
            <w:vAlign w:val="center"/>
          </w:tcPr>
          <w:p w14:paraId="0D59D4C9"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9 (36.0</w:t>
            </w:r>
            <w:r w:rsidRPr="007A4E7E">
              <w:rPr>
                <w:rFonts w:ascii="Arial Narrow" w:hAnsi="Arial Narrow" w:cstheme="minorHAnsi"/>
                <w:bCs/>
                <w:sz w:val="20"/>
                <w:szCs w:val="20"/>
              </w:rPr>
              <w:t>%</w:t>
            </w:r>
            <w:r w:rsidRPr="007A4E7E">
              <w:rPr>
                <w:rFonts w:ascii="Arial Narrow" w:hAnsi="Arial Narrow" w:cstheme="minorHAnsi"/>
                <w:sz w:val="20"/>
                <w:szCs w:val="20"/>
              </w:rPr>
              <w:t>)</w:t>
            </w:r>
          </w:p>
        </w:tc>
        <w:tc>
          <w:tcPr>
            <w:tcW w:w="784" w:type="pct"/>
            <w:tcBorders>
              <w:top w:val="single" w:sz="4" w:space="0" w:color="auto"/>
            </w:tcBorders>
            <w:shd w:val="clear" w:color="auto" w:fill="D9E2F3" w:themeFill="accent1" w:themeFillTint="33"/>
            <w:vAlign w:val="center"/>
          </w:tcPr>
          <w:p w14:paraId="4A44DD9D"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0.08 (</w:t>
            </w:r>
            <w:r w:rsidRPr="007A4E7E">
              <w:rPr>
                <w:rFonts w:ascii="Arial Narrow" w:hAnsi="Arial Narrow" w:cstheme="minorHAnsi"/>
                <w:sz w:val="20"/>
                <w:szCs w:val="20"/>
              </w:rPr>
              <w:noBreakHyphen/>
              <w:t>0.16, 0.31)</w:t>
            </w:r>
          </w:p>
        </w:tc>
        <w:tc>
          <w:tcPr>
            <w:tcW w:w="825" w:type="pct"/>
            <w:tcBorders>
              <w:top w:val="single" w:sz="4" w:space="0" w:color="auto"/>
            </w:tcBorders>
            <w:shd w:val="clear" w:color="auto" w:fill="D9E2F3" w:themeFill="accent1" w:themeFillTint="33"/>
            <w:vAlign w:val="center"/>
          </w:tcPr>
          <w:p w14:paraId="4EF6AB86"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1.22 (0.66, 2.24)</w:t>
            </w:r>
          </w:p>
        </w:tc>
        <w:tc>
          <w:tcPr>
            <w:tcW w:w="854" w:type="pct"/>
            <w:tcBorders>
              <w:top w:val="single" w:sz="4" w:space="0" w:color="auto"/>
            </w:tcBorders>
            <w:shd w:val="clear" w:color="auto" w:fill="D9E2F3" w:themeFill="accent1" w:themeFillTint="33"/>
            <w:vAlign w:val="center"/>
          </w:tcPr>
          <w:p w14:paraId="681F0533"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1.38 (0.51, 3.74)</w:t>
            </w:r>
          </w:p>
        </w:tc>
      </w:tr>
      <w:tr w:rsidR="007D00BA" w:rsidRPr="007A4E7E" w14:paraId="5AEFD982" w14:textId="77777777" w:rsidTr="00EA6DFD">
        <w:tc>
          <w:tcPr>
            <w:tcW w:w="1107" w:type="pct"/>
            <w:shd w:val="clear" w:color="auto" w:fill="D9E2F3" w:themeFill="accent1" w:themeFillTint="33"/>
            <w:vAlign w:val="center"/>
          </w:tcPr>
          <w:p w14:paraId="61E4716F"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Hypocortisolism-related </w:t>
            </w:r>
            <w:r w:rsidRPr="007A4E7E">
              <w:rPr>
                <w:rFonts w:cstheme="minorHAnsi"/>
                <w:bCs w:val="0"/>
                <w:szCs w:val="20"/>
              </w:rPr>
              <w:tab/>
              <w:t xml:space="preserve">AEs </w:t>
            </w:r>
          </w:p>
        </w:tc>
        <w:tc>
          <w:tcPr>
            <w:tcW w:w="759" w:type="pct"/>
            <w:shd w:val="clear" w:color="auto" w:fill="D9E2F3" w:themeFill="accent1" w:themeFillTint="33"/>
            <w:vAlign w:val="center"/>
          </w:tcPr>
          <w:p w14:paraId="13E0A0B2"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7 (14.6)</w:t>
            </w:r>
          </w:p>
        </w:tc>
        <w:tc>
          <w:tcPr>
            <w:tcW w:w="671" w:type="pct"/>
            <w:shd w:val="clear" w:color="auto" w:fill="D9E2F3" w:themeFill="accent1" w:themeFillTint="33"/>
            <w:vAlign w:val="center"/>
          </w:tcPr>
          <w:p w14:paraId="2B817953"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0</w:t>
            </w:r>
          </w:p>
        </w:tc>
        <w:tc>
          <w:tcPr>
            <w:tcW w:w="784" w:type="pct"/>
            <w:shd w:val="clear" w:color="auto" w:fill="D9E2F3" w:themeFill="accent1" w:themeFillTint="33"/>
            <w:vAlign w:val="center"/>
          </w:tcPr>
          <w:p w14:paraId="21182285"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0.15 (0.03, 0.26)</w:t>
            </w:r>
          </w:p>
        </w:tc>
        <w:tc>
          <w:tcPr>
            <w:tcW w:w="825" w:type="pct"/>
            <w:shd w:val="clear" w:color="auto" w:fill="D9E2F3" w:themeFill="accent1" w:themeFillTint="33"/>
            <w:vAlign w:val="center"/>
          </w:tcPr>
          <w:p w14:paraId="35F11917"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7.89 (0.47, 132.61)</w:t>
            </w:r>
          </w:p>
        </w:tc>
        <w:tc>
          <w:tcPr>
            <w:tcW w:w="854" w:type="pct"/>
            <w:shd w:val="clear" w:color="auto" w:fill="D9E2F3" w:themeFill="accent1" w:themeFillTint="33"/>
            <w:vAlign w:val="center"/>
          </w:tcPr>
          <w:p w14:paraId="7D5C59D9"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9.22 (0.50, 168.33)</w:t>
            </w:r>
          </w:p>
        </w:tc>
      </w:tr>
      <w:tr w:rsidR="007D00BA" w:rsidRPr="007A4E7E" w14:paraId="3BF81CAF" w14:textId="77777777" w:rsidTr="00EA6DFD">
        <w:tc>
          <w:tcPr>
            <w:tcW w:w="1107" w:type="pct"/>
            <w:shd w:val="clear" w:color="auto" w:fill="D9E2F3" w:themeFill="accent1" w:themeFillTint="33"/>
            <w:vAlign w:val="center"/>
          </w:tcPr>
          <w:p w14:paraId="3E783DD9"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Pituitary tumour </w:t>
            </w:r>
            <w:r w:rsidRPr="007A4E7E">
              <w:rPr>
                <w:rFonts w:cstheme="minorHAnsi"/>
                <w:bCs w:val="0"/>
                <w:szCs w:val="20"/>
              </w:rPr>
              <w:tab/>
              <w:t>enlargement</w:t>
            </w:r>
            <w:r w:rsidRPr="007A4E7E">
              <w:rPr>
                <w:rFonts w:cstheme="minorHAnsi"/>
                <w:bCs w:val="0"/>
                <w:szCs w:val="20"/>
              </w:rPr>
              <w:noBreakHyphen/>
              <w:t>related AEs</w:t>
            </w:r>
          </w:p>
        </w:tc>
        <w:tc>
          <w:tcPr>
            <w:tcW w:w="759" w:type="pct"/>
            <w:shd w:val="clear" w:color="auto" w:fill="D9E2F3" w:themeFill="accent1" w:themeFillTint="33"/>
          </w:tcPr>
          <w:p w14:paraId="25E97DB5" w14:textId="77777777" w:rsidR="007D00BA" w:rsidRPr="007A4E7E" w:rsidRDefault="007D00BA" w:rsidP="00914C1A">
            <w:pPr>
              <w:pStyle w:val="TableText0"/>
              <w:keepLines/>
              <w:jc w:val="center"/>
              <w:rPr>
                <w:rFonts w:eastAsia="Calibri" w:cs="Calibri"/>
                <w:bCs w:val="0"/>
                <w:szCs w:val="20"/>
              </w:rPr>
            </w:pPr>
            <w:r w:rsidRPr="007A4E7E">
              <w:rPr>
                <w:szCs w:val="20"/>
              </w:rPr>
              <w:t>0</w:t>
            </w:r>
          </w:p>
        </w:tc>
        <w:tc>
          <w:tcPr>
            <w:tcW w:w="671" w:type="pct"/>
            <w:shd w:val="clear" w:color="auto" w:fill="D9E2F3" w:themeFill="accent1" w:themeFillTint="33"/>
          </w:tcPr>
          <w:p w14:paraId="0988545C"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sz w:val="20"/>
                <w:szCs w:val="20"/>
              </w:rPr>
              <w:t>0</w:t>
            </w:r>
          </w:p>
        </w:tc>
        <w:tc>
          <w:tcPr>
            <w:tcW w:w="784" w:type="pct"/>
            <w:shd w:val="clear" w:color="auto" w:fill="D9E2F3" w:themeFill="accent1" w:themeFillTint="33"/>
            <w:vAlign w:val="center"/>
          </w:tcPr>
          <w:p w14:paraId="4E190B76"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0.00 (</w:t>
            </w:r>
            <w:r w:rsidRPr="007A4E7E">
              <w:rPr>
                <w:rFonts w:ascii="Arial Narrow" w:hAnsi="Arial Narrow" w:cstheme="minorHAnsi"/>
                <w:sz w:val="20"/>
                <w:szCs w:val="20"/>
              </w:rPr>
              <w:noBreakHyphen/>
              <w:t>0.06, 0.06)</w:t>
            </w:r>
          </w:p>
        </w:tc>
        <w:tc>
          <w:tcPr>
            <w:tcW w:w="825" w:type="pct"/>
            <w:shd w:val="clear" w:color="auto" w:fill="D9E2F3" w:themeFill="accent1" w:themeFillTint="33"/>
            <w:vAlign w:val="center"/>
          </w:tcPr>
          <w:p w14:paraId="31D996FE"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c>
          <w:tcPr>
            <w:tcW w:w="854" w:type="pct"/>
            <w:shd w:val="clear" w:color="auto" w:fill="D9E2F3" w:themeFill="accent1" w:themeFillTint="33"/>
            <w:vAlign w:val="center"/>
          </w:tcPr>
          <w:p w14:paraId="0382620C"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r>
      <w:tr w:rsidR="007D00BA" w:rsidRPr="007A4E7E" w14:paraId="2A97010A" w14:textId="77777777" w:rsidTr="00EA6DFD">
        <w:tc>
          <w:tcPr>
            <w:tcW w:w="1107" w:type="pct"/>
            <w:shd w:val="clear" w:color="auto" w:fill="D9E2F3" w:themeFill="accent1" w:themeFillTint="33"/>
            <w:vAlign w:val="center"/>
          </w:tcPr>
          <w:p w14:paraId="38713380"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Arrhythmogenic potential </w:t>
            </w:r>
            <w:r w:rsidRPr="007A4E7E">
              <w:rPr>
                <w:rFonts w:cstheme="minorHAnsi"/>
                <w:bCs w:val="0"/>
                <w:szCs w:val="20"/>
              </w:rPr>
              <w:tab/>
              <w:t xml:space="preserve">and QT </w:t>
            </w:r>
            <w:r w:rsidRPr="007A4E7E">
              <w:rPr>
                <w:rFonts w:cstheme="minorHAnsi"/>
                <w:bCs w:val="0"/>
                <w:szCs w:val="20"/>
              </w:rPr>
              <w:tab/>
              <w:t>prolongation</w:t>
            </w:r>
          </w:p>
        </w:tc>
        <w:tc>
          <w:tcPr>
            <w:tcW w:w="759" w:type="pct"/>
            <w:shd w:val="clear" w:color="auto" w:fill="D9E2F3" w:themeFill="accent1" w:themeFillTint="33"/>
          </w:tcPr>
          <w:p w14:paraId="69D18BBE" w14:textId="77777777" w:rsidR="007D00BA" w:rsidRPr="007A4E7E" w:rsidRDefault="007D00BA" w:rsidP="00914C1A">
            <w:pPr>
              <w:pStyle w:val="TableText0"/>
              <w:keepLines/>
              <w:jc w:val="center"/>
              <w:rPr>
                <w:rFonts w:eastAsia="Calibri" w:cs="Calibri"/>
                <w:bCs w:val="0"/>
                <w:szCs w:val="20"/>
              </w:rPr>
            </w:pPr>
            <w:r w:rsidRPr="007A4E7E">
              <w:rPr>
                <w:szCs w:val="20"/>
              </w:rPr>
              <w:t>0</w:t>
            </w:r>
          </w:p>
        </w:tc>
        <w:tc>
          <w:tcPr>
            <w:tcW w:w="671" w:type="pct"/>
            <w:shd w:val="clear" w:color="auto" w:fill="D9E2F3" w:themeFill="accent1" w:themeFillTint="33"/>
          </w:tcPr>
          <w:p w14:paraId="26EAD47D"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sz w:val="20"/>
                <w:szCs w:val="20"/>
              </w:rPr>
              <w:t>0</w:t>
            </w:r>
          </w:p>
        </w:tc>
        <w:tc>
          <w:tcPr>
            <w:tcW w:w="784" w:type="pct"/>
            <w:shd w:val="clear" w:color="auto" w:fill="D9E2F3" w:themeFill="accent1" w:themeFillTint="33"/>
            <w:vAlign w:val="center"/>
          </w:tcPr>
          <w:p w14:paraId="19E6786F"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0.00 (</w:t>
            </w:r>
            <w:r w:rsidRPr="007A4E7E">
              <w:rPr>
                <w:rFonts w:ascii="Arial Narrow" w:hAnsi="Arial Narrow" w:cstheme="minorHAnsi"/>
                <w:sz w:val="20"/>
                <w:szCs w:val="20"/>
              </w:rPr>
              <w:noBreakHyphen/>
              <w:t>0.06, 0.06)</w:t>
            </w:r>
          </w:p>
        </w:tc>
        <w:tc>
          <w:tcPr>
            <w:tcW w:w="825" w:type="pct"/>
            <w:shd w:val="clear" w:color="auto" w:fill="D9E2F3" w:themeFill="accent1" w:themeFillTint="33"/>
            <w:vAlign w:val="center"/>
          </w:tcPr>
          <w:p w14:paraId="39A6F691"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c>
          <w:tcPr>
            <w:tcW w:w="854" w:type="pct"/>
            <w:shd w:val="clear" w:color="auto" w:fill="D9E2F3" w:themeFill="accent1" w:themeFillTint="33"/>
            <w:vAlign w:val="center"/>
          </w:tcPr>
          <w:p w14:paraId="554DF403"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r>
      <w:tr w:rsidR="007D00BA" w:rsidRPr="007A4E7E" w14:paraId="3E0D11D3" w14:textId="77777777" w:rsidTr="00EA6DFD">
        <w:tc>
          <w:tcPr>
            <w:tcW w:w="110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0FB053" w14:textId="77777777" w:rsidR="007D00BA" w:rsidRPr="007A4E7E" w:rsidRDefault="007D00BA" w:rsidP="00914C1A">
            <w:pPr>
              <w:pStyle w:val="TableText0"/>
              <w:keepLines/>
              <w:rPr>
                <w:rFonts w:cstheme="minorHAnsi"/>
                <w:b/>
                <w:szCs w:val="20"/>
              </w:rPr>
            </w:pPr>
            <w:r w:rsidRPr="007A4E7E">
              <w:rPr>
                <w:rFonts w:cstheme="minorHAnsi"/>
                <w:b/>
                <w:szCs w:val="20"/>
              </w:rPr>
              <w:t>Adverse event</w:t>
            </w:r>
          </w:p>
        </w:tc>
        <w:tc>
          <w:tcPr>
            <w:tcW w:w="75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EC5C3C" w14:textId="77777777" w:rsidR="007D00BA" w:rsidRPr="007A4E7E" w:rsidRDefault="007D00BA" w:rsidP="00914C1A">
            <w:pPr>
              <w:pStyle w:val="TableText0"/>
              <w:keepLines/>
              <w:jc w:val="center"/>
              <w:rPr>
                <w:rFonts w:cstheme="minorHAnsi"/>
                <w:b/>
                <w:szCs w:val="20"/>
              </w:rPr>
            </w:pPr>
            <w:r w:rsidRPr="007A4E7E">
              <w:rPr>
                <w:rFonts w:cstheme="minorHAnsi"/>
                <w:b/>
                <w:szCs w:val="20"/>
              </w:rPr>
              <w:t>Osilodrostat</w:t>
            </w:r>
          </w:p>
          <w:p w14:paraId="189B3BD9" w14:textId="77777777" w:rsidR="007D00BA" w:rsidRPr="007A4E7E" w:rsidRDefault="007D00BA" w:rsidP="00914C1A">
            <w:pPr>
              <w:pStyle w:val="TableText0"/>
              <w:keepLines/>
              <w:jc w:val="center"/>
              <w:rPr>
                <w:rFonts w:cstheme="minorHAnsi"/>
                <w:b/>
                <w:szCs w:val="20"/>
              </w:rPr>
            </w:pPr>
            <w:r w:rsidRPr="007A4E7E">
              <w:rPr>
                <w:rFonts w:cstheme="minorHAnsi"/>
                <w:b/>
                <w:szCs w:val="20"/>
              </w:rPr>
              <w:t>(N=36)</w:t>
            </w:r>
          </w:p>
        </w:tc>
        <w:tc>
          <w:tcPr>
            <w:tcW w:w="67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53A357"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Placebo</w:t>
            </w:r>
          </w:p>
          <w:p w14:paraId="21ADFA3A"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(N=35)</w:t>
            </w:r>
          </w:p>
        </w:tc>
        <w:tc>
          <w:tcPr>
            <w:tcW w:w="78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6550B3"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RD</w:t>
            </w:r>
          </w:p>
          <w:p w14:paraId="0BD59D66"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(95% CI)</w:t>
            </w:r>
          </w:p>
        </w:tc>
        <w:tc>
          <w:tcPr>
            <w:tcW w:w="82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0418A4"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RR</w:t>
            </w:r>
          </w:p>
          <w:p w14:paraId="4132031A"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(95% CI)</w:t>
            </w: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ADC6C6"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OR</w:t>
            </w:r>
          </w:p>
          <w:p w14:paraId="43AF7AF6" w14:textId="77777777" w:rsidR="007D00BA" w:rsidRPr="007A4E7E" w:rsidRDefault="007D00BA" w:rsidP="00914C1A">
            <w:pPr>
              <w:keepNext/>
              <w:keepLines/>
              <w:jc w:val="center"/>
              <w:rPr>
                <w:rFonts w:ascii="Arial Narrow" w:hAnsi="Arial Narrow" w:cstheme="minorHAnsi"/>
                <w:b/>
                <w:bCs/>
                <w:sz w:val="20"/>
                <w:szCs w:val="20"/>
              </w:rPr>
            </w:pPr>
            <w:r w:rsidRPr="007A4E7E">
              <w:rPr>
                <w:rFonts w:ascii="Arial Narrow" w:hAnsi="Arial Narrow" w:cstheme="minorHAnsi"/>
                <w:b/>
                <w:bCs/>
                <w:sz w:val="20"/>
                <w:szCs w:val="20"/>
              </w:rPr>
              <w:t>(95% CI)</w:t>
            </w:r>
          </w:p>
        </w:tc>
      </w:tr>
      <w:tr w:rsidR="007D00BA" w:rsidRPr="007A4E7E" w14:paraId="1F0979EA" w14:textId="77777777" w:rsidTr="00EA6DFD">
        <w:tc>
          <w:tcPr>
            <w:tcW w:w="5000" w:type="pct"/>
            <w:gridSpan w:val="6"/>
            <w:shd w:val="clear" w:color="auto" w:fill="D9E2F3" w:themeFill="accent1" w:themeFillTint="33"/>
            <w:vAlign w:val="center"/>
          </w:tcPr>
          <w:p w14:paraId="1671990E" w14:textId="77777777" w:rsidR="007D00BA" w:rsidRPr="007A4E7E" w:rsidRDefault="007D00BA" w:rsidP="00914C1A">
            <w:pPr>
              <w:keepNext/>
              <w:keepLines/>
              <w:tabs>
                <w:tab w:val="left" w:pos="102"/>
              </w:tabs>
              <w:jc w:val="left"/>
              <w:rPr>
                <w:rFonts w:ascii="Arial Narrow" w:hAnsi="Arial Narrow"/>
                <w:b/>
                <w:bCs/>
                <w:sz w:val="20"/>
                <w:szCs w:val="20"/>
              </w:rPr>
            </w:pPr>
            <w:r w:rsidRPr="007A4E7E">
              <w:rPr>
                <w:rFonts w:ascii="Arial Narrow" w:hAnsi="Arial Narrow"/>
                <w:b/>
                <w:bCs/>
                <w:sz w:val="20"/>
                <w:szCs w:val="20"/>
              </w:rPr>
              <w:t>LINC 3 at Week 26-34</w:t>
            </w:r>
          </w:p>
        </w:tc>
      </w:tr>
      <w:tr w:rsidR="007D00BA" w:rsidRPr="007A4E7E" w14:paraId="6DB72639" w14:textId="77777777" w:rsidTr="00EA6DFD">
        <w:tc>
          <w:tcPr>
            <w:tcW w:w="1107" w:type="pct"/>
            <w:shd w:val="clear" w:color="auto" w:fill="D9E2F3" w:themeFill="accent1" w:themeFillTint="33"/>
            <w:vAlign w:val="center"/>
          </w:tcPr>
          <w:p w14:paraId="4996D8F4"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Any AE</w:t>
            </w:r>
          </w:p>
        </w:tc>
        <w:tc>
          <w:tcPr>
            <w:tcW w:w="759" w:type="pct"/>
            <w:shd w:val="clear" w:color="auto" w:fill="D9E2F3" w:themeFill="accent1" w:themeFillTint="33"/>
            <w:vAlign w:val="center"/>
          </w:tcPr>
          <w:p w14:paraId="3B0DE567" w14:textId="77777777" w:rsidR="007D00BA" w:rsidRPr="007A4E7E" w:rsidRDefault="007D00BA" w:rsidP="00914C1A">
            <w:pPr>
              <w:pStyle w:val="TableText0"/>
              <w:keepLines/>
              <w:jc w:val="center"/>
              <w:rPr>
                <w:bCs w:val="0"/>
                <w:szCs w:val="20"/>
              </w:rPr>
            </w:pPr>
            <w:r w:rsidRPr="007A4E7E">
              <w:rPr>
                <w:rFonts w:cstheme="minorHAnsi"/>
                <w:bCs w:val="0"/>
                <w:szCs w:val="20"/>
              </w:rPr>
              <w:t>26 (72%)</w:t>
            </w:r>
          </w:p>
        </w:tc>
        <w:tc>
          <w:tcPr>
            <w:tcW w:w="671" w:type="pct"/>
            <w:shd w:val="clear" w:color="auto" w:fill="D9E2F3" w:themeFill="accent1" w:themeFillTint="33"/>
            <w:vAlign w:val="center"/>
          </w:tcPr>
          <w:p w14:paraId="1F267550"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23 (66%)</w:t>
            </w:r>
          </w:p>
        </w:tc>
        <w:tc>
          <w:tcPr>
            <w:tcW w:w="784" w:type="pct"/>
            <w:shd w:val="clear" w:color="auto" w:fill="D9E2F3" w:themeFill="accent1" w:themeFillTint="33"/>
            <w:vAlign w:val="center"/>
          </w:tcPr>
          <w:p w14:paraId="216F5030"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0.07 (</w:t>
            </w:r>
            <w:r w:rsidRPr="007A4E7E">
              <w:rPr>
                <w:rFonts w:ascii="Arial Narrow" w:hAnsi="Arial Narrow" w:cstheme="minorHAnsi"/>
                <w:sz w:val="20"/>
                <w:szCs w:val="20"/>
              </w:rPr>
              <w:noBreakHyphen/>
              <w:t>0.15, 0.28)</w:t>
            </w:r>
          </w:p>
        </w:tc>
        <w:tc>
          <w:tcPr>
            <w:tcW w:w="825" w:type="pct"/>
            <w:shd w:val="clear" w:color="auto" w:fill="D9E2F3" w:themeFill="accent1" w:themeFillTint="33"/>
            <w:vAlign w:val="center"/>
          </w:tcPr>
          <w:p w14:paraId="4663F7E9"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1.10 (0.80, 1.50)</w:t>
            </w:r>
          </w:p>
        </w:tc>
        <w:tc>
          <w:tcPr>
            <w:tcW w:w="854" w:type="pct"/>
            <w:shd w:val="clear" w:color="auto" w:fill="D9E2F3" w:themeFill="accent1" w:themeFillTint="33"/>
            <w:vAlign w:val="center"/>
          </w:tcPr>
          <w:p w14:paraId="042A8183"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1.36 (0.49, 3.72)</w:t>
            </w:r>
          </w:p>
        </w:tc>
      </w:tr>
      <w:tr w:rsidR="007D00BA" w:rsidRPr="007A4E7E" w14:paraId="503DCDF3" w14:textId="77777777" w:rsidTr="00EA6DFD">
        <w:tc>
          <w:tcPr>
            <w:tcW w:w="1107" w:type="pct"/>
            <w:shd w:val="clear" w:color="auto" w:fill="D9E2F3" w:themeFill="accent1" w:themeFillTint="33"/>
            <w:vAlign w:val="center"/>
          </w:tcPr>
          <w:p w14:paraId="26425C48"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Treatment</w:t>
            </w:r>
            <w:r w:rsidRPr="007A4E7E">
              <w:rPr>
                <w:rFonts w:cstheme="minorHAnsi"/>
                <w:bCs w:val="0"/>
                <w:szCs w:val="20"/>
              </w:rPr>
              <w:noBreakHyphen/>
              <w:t>related AE</w:t>
            </w:r>
          </w:p>
        </w:tc>
        <w:tc>
          <w:tcPr>
            <w:tcW w:w="759" w:type="pct"/>
            <w:shd w:val="clear" w:color="auto" w:fill="D9E2F3" w:themeFill="accent1" w:themeFillTint="33"/>
            <w:vAlign w:val="center"/>
          </w:tcPr>
          <w:p w14:paraId="5ADB0E7F"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15 (41.7%)</w:t>
            </w:r>
          </w:p>
        </w:tc>
        <w:tc>
          <w:tcPr>
            <w:tcW w:w="671" w:type="pct"/>
            <w:shd w:val="clear" w:color="auto" w:fill="D9E2F3" w:themeFill="accent1" w:themeFillTint="33"/>
            <w:vAlign w:val="center"/>
          </w:tcPr>
          <w:p w14:paraId="20C7FDE6"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11 (31.4%)</w:t>
            </w:r>
          </w:p>
        </w:tc>
        <w:tc>
          <w:tcPr>
            <w:tcW w:w="784" w:type="pct"/>
            <w:shd w:val="clear" w:color="auto" w:fill="D9E2F3" w:themeFill="accent1" w:themeFillTint="33"/>
            <w:vAlign w:val="center"/>
          </w:tcPr>
          <w:p w14:paraId="33641947"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0.10 (</w:t>
            </w:r>
            <w:r w:rsidRPr="007A4E7E">
              <w:rPr>
                <w:rFonts w:ascii="Arial Narrow" w:hAnsi="Arial Narrow" w:cstheme="minorHAnsi"/>
                <w:sz w:val="20"/>
                <w:szCs w:val="20"/>
              </w:rPr>
              <w:noBreakHyphen/>
              <w:t>0.12, 0.33)</w:t>
            </w:r>
          </w:p>
        </w:tc>
        <w:tc>
          <w:tcPr>
            <w:tcW w:w="825" w:type="pct"/>
            <w:shd w:val="clear" w:color="auto" w:fill="D9E2F3" w:themeFill="accent1" w:themeFillTint="33"/>
            <w:vAlign w:val="center"/>
          </w:tcPr>
          <w:p w14:paraId="222A7F87"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1.33 (0.71, 2.47)</w:t>
            </w:r>
          </w:p>
        </w:tc>
        <w:tc>
          <w:tcPr>
            <w:tcW w:w="854" w:type="pct"/>
            <w:shd w:val="clear" w:color="auto" w:fill="D9E2F3" w:themeFill="accent1" w:themeFillTint="33"/>
            <w:vAlign w:val="center"/>
          </w:tcPr>
          <w:p w14:paraId="536B2380"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1.56 (0.59, 4.13)</w:t>
            </w:r>
          </w:p>
        </w:tc>
      </w:tr>
      <w:tr w:rsidR="007D00BA" w:rsidRPr="007A4E7E" w14:paraId="210A4455" w14:textId="77777777" w:rsidTr="00EA6DFD">
        <w:tc>
          <w:tcPr>
            <w:tcW w:w="1107" w:type="pct"/>
            <w:shd w:val="clear" w:color="auto" w:fill="D9E2F3" w:themeFill="accent1" w:themeFillTint="33"/>
            <w:vAlign w:val="center"/>
          </w:tcPr>
          <w:p w14:paraId="6E12C50E"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Any SAE</w:t>
            </w:r>
          </w:p>
        </w:tc>
        <w:tc>
          <w:tcPr>
            <w:tcW w:w="759" w:type="pct"/>
            <w:shd w:val="clear" w:color="auto" w:fill="D9E2F3" w:themeFill="accent1" w:themeFillTint="33"/>
            <w:vAlign w:val="center"/>
          </w:tcPr>
          <w:p w14:paraId="611EABDC"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2 (6%)</w:t>
            </w:r>
          </w:p>
        </w:tc>
        <w:tc>
          <w:tcPr>
            <w:tcW w:w="671" w:type="pct"/>
            <w:shd w:val="clear" w:color="auto" w:fill="D9E2F3" w:themeFill="accent1" w:themeFillTint="33"/>
            <w:vAlign w:val="center"/>
          </w:tcPr>
          <w:p w14:paraId="70B407D6"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1 (3%)</w:t>
            </w:r>
          </w:p>
        </w:tc>
        <w:tc>
          <w:tcPr>
            <w:tcW w:w="784" w:type="pct"/>
            <w:shd w:val="clear" w:color="auto" w:fill="D9E2F3" w:themeFill="accent1" w:themeFillTint="33"/>
            <w:vAlign w:val="center"/>
          </w:tcPr>
          <w:p w14:paraId="459D92AE"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0.03 (</w:t>
            </w:r>
            <w:r w:rsidRPr="007A4E7E">
              <w:rPr>
                <w:rFonts w:ascii="Arial Narrow" w:hAnsi="Arial Narrow" w:cstheme="minorHAnsi"/>
                <w:sz w:val="20"/>
                <w:szCs w:val="20"/>
              </w:rPr>
              <w:noBreakHyphen/>
              <w:t>0.07, 0.12)</w:t>
            </w:r>
          </w:p>
        </w:tc>
        <w:tc>
          <w:tcPr>
            <w:tcW w:w="825" w:type="pct"/>
            <w:shd w:val="clear" w:color="auto" w:fill="D9E2F3" w:themeFill="accent1" w:themeFillTint="33"/>
            <w:vAlign w:val="center"/>
          </w:tcPr>
          <w:p w14:paraId="4910F374"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1.94 (0.18, 20.49)</w:t>
            </w:r>
          </w:p>
        </w:tc>
        <w:tc>
          <w:tcPr>
            <w:tcW w:w="854" w:type="pct"/>
            <w:shd w:val="clear" w:color="auto" w:fill="D9E2F3" w:themeFill="accent1" w:themeFillTint="33"/>
            <w:vAlign w:val="center"/>
          </w:tcPr>
          <w:p w14:paraId="2A58859B"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2.00 (0.17, 23.11)</w:t>
            </w:r>
          </w:p>
        </w:tc>
      </w:tr>
      <w:tr w:rsidR="007D00BA" w:rsidRPr="007A4E7E" w14:paraId="07C7F79D" w14:textId="77777777" w:rsidTr="00EA6DFD">
        <w:tc>
          <w:tcPr>
            <w:tcW w:w="1107" w:type="pct"/>
            <w:shd w:val="clear" w:color="auto" w:fill="D9E2F3" w:themeFill="accent1" w:themeFillTint="33"/>
            <w:vAlign w:val="center"/>
          </w:tcPr>
          <w:p w14:paraId="21EC2D20"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Discontinuation due to AE</w:t>
            </w:r>
          </w:p>
        </w:tc>
        <w:tc>
          <w:tcPr>
            <w:tcW w:w="759" w:type="pct"/>
            <w:shd w:val="clear" w:color="auto" w:fill="D9E2F3" w:themeFill="accent1" w:themeFillTint="33"/>
            <w:vAlign w:val="center"/>
          </w:tcPr>
          <w:p w14:paraId="7C8BD999"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0</w:t>
            </w:r>
          </w:p>
        </w:tc>
        <w:tc>
          <w:tcPr>
            <w:tcW w:w="671" w:type="pct"/>
            <w:shd w:val="clear" w:color="auto" w:fill="D9E2F3" w:themeFill="accent1" w:themeFillTint="33"/>
            <w:vAlign w:val="center"/>
          </w:tcPr>
          <w:p w14:paraId="1C27AC88"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2 (5.7%)</w:t>
            </w:r>
          </w:p>
        </w:tc>
        <w:tc>
          <w:tcPr>
            <w:tcW w:w="784" w:type="pct"/>
            <w:shd w:val="clear" w:color="auto" w:fill="D9E2F3" w:themeFill="accent1" w:themeFillTint="33"/>
            <w:vAlign w:val="center"/>
          </w:tcPr>
          <w:p w14:paraId="3912B140"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noBreakHyphen/>
              <w:t>0.06 (</w:t>
            </w:r>
            <w:r w:rsidRPr="007A4E7E">
              <w:rPr>
                <w:rFonts w:ascii="Arial Narrow" w:hAnsi="Arial Narrow" w:cstheme="minorHAnsi"/>
                <w:sz w:val="20"/>
                <w:szCs w:val="20"/>
              </w:rPr>
              <w:noBreakHyphen/>
              <w:t>0.15, 0.03)</w:t>
            </w:r>
          </w:p>
        </w:tc>
        <w:tc>
          <w:tcPr>
            <w:tcW w:w="825" w:type="pct"/>
            <w:shd w:val="clear" w:color="auto" w:fill="D9E2F3" w:themeFill="accent1" w:themeFillTint="33"/>
            <w:vAlign w:val="center"/>
          </w:tcPr>
          <w:p w14:paraId="1D26C7E8"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0.19 (0.01, 3.91)</w:t>
            </w:r>
          </w:p>
        </w:tc>
        <w:tc>
          <w:tcPr>
            <w:tcW w:w="854" w:type="pct"/>
            <w:shd w:val="clear" w:color="auto" w:fill="D9E2F3" w:themeFill="accent1" w:themeFillTint="33"/>
            <w:vAlign w:val="center"/>
          </w:tcPr>
          <w:p w14:paraId="73CFD915"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0.18 (0.01, 3.96)</w:t>
            </w:r>
          </w:p>
        </w:tc>
      </w:tr>
      <w:tr w:rsidR="007D00BA" w:rsidRPr="007A4E7E" w14:paraId="1F9D7030" w14:textId="77777777" w:rsidTr="00EA6DFD">
        <w:tc>
          <w:tcPr>
            <w:tcW w:w="1107" w:type="pct"/>
            <w:shd w:val="clear" w:color="auto" w:fill="D9E2F3" w:themeFill="accent1" w:themeFillTint="33"/>
            <w:vAlign w:val="center"/>
          </w:tcPr>
          <w:p w14:paraId="1D72F49D"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Death</w:t>
            </w:r>
          </w:p>
        </w:tc>
        <w:tc>
          <w:tcPr>
            <w:tcW w:w="759" w:type="pct"/>
            <w:shd w:val="clear" w:color="auto" w:fill="D9E2F3" w:themeFill="accent1" w:themeFillTint="33"/>
            <w:vAlign w:val="center"/>
          </w:tcPr>
          <w:p w14:paraId="5E1EF5D0" w14:textId="77777777" w:rsidR="007D00BA" w:rsidRPr="007A4E7E" w:rsidRDefault="007D00BA" w:rsidP="00914C1A">
            <w:pPr>
              <w:pStyle w:val="TableText0"/>
              <w:keepLines/>
              <w:jc w:val="center"/>
              <w:rPr>
                <w:rFonts w:eastAsia="Calibri" w:cs="Calibri"/>
                <w:bCs w:val="0"/>
                <w:szCs w:val="20"/>
              </w:rPr>
            </w:pPr>
            <w:r w:rsidRPr="007A4E7E">
              <w:rPr>
                <w:rFonts w:eastAsia="Calibri" w:cs="Calibri"/>
                <w:bCs w:val="0"/>
                <w:szCs w:val="20"/>
              </w:rPr>
              <w:t>0</w:t>
            </w:r>
            <w:r w:rsidRPr="007A4E7E">
              <w:rPr>
                <w:rFonts w:eastAsia="Calibri" w:cs="Calibri"/>
                <w:bCs w:val="0"/>
                <w:szCs w:val="20"/>
                <w:vertAlign w:val="superscript"/>
              </w:rPr>
              <w:t>a</w:t>
            </w:r>
          </w:p>
        </w:tc>
        <w:tc>
          <w:tcPr>
            <w:tcW w:w="671" w:type="pct"/>
            <w:shd w:val="clear" w:color="auto" w:fill="D9E2F3" w:themeFill="accent1" w:themeFillTint="33"/>
            <w:vAlign w:val="center"/>
          </w:tcPr>
          <w:p w14:paraId="64C9110A"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eastAsia="Calibri" w:hAnsi="Arial Narrow" w:cs="Calibri"/>
                <w:sz w:val="20"/>
                <w:szCs w:val="20"/>
              </w:rPr>
              <w:t>0</w:t>
            </w:r>
            <w:r w:rsidRPr="007A4E7E">
              <w:rPr>
                <w:rFonts w:ascii="Arial Narrow" w:eastAsia="Calibri" w:hAnsi="Arial Narrow" w:cs="Calibri"/>
                <w:sz w:val="20"/>
                <w:szCs w:val="20"/>
                <w:vertAlign w:val="superscript"/>
              </w:rPr>
              <w:t>a</w:t>
            </w:r>
          </w:p>
        </w:tc>
        <w:tc>
          <w:tcPr>
            <w:tcW w:w="784" w:type="pct"/>
            <w:shd w:val="clear" w:color="auto" w:fill="D9E2F3" w:themeFill="accent1" w:themeFillTint="33"/>
            <w:vAlign w:val="center"/>
          </w:tcPr>
          <w:p w14:paraId="109F9CBB"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0.00 (</w:t>
            </w:r>
            <w:r w:rsidRPr="007A4E7E">
              <w:rPr>
                <w:rFonts w:ascii="Arial Narrow" w:hAnsi="Arial Narrow" w:cstheme="minorHAnsi"/>
                <w:sz w:val="20"/>
                <w:szCs w:val="20"/>
              </w:rPr>
              <w:noBreakHyphen/>
              <w:t>0.05, 0.05)</w:t>
            </w:r>
          </w:p>
        </w:tc>
        <w:tc>
          <w:tcPr>
            <w:tcW w:w="825" w:type="pct"/>
            <w:shd w:val="clear" w:color="auto" w:fill="D9E2F3" w:themeFill="accent1" w:themeFillTint="33"/>
            <w:vAlign w:val="center"/>
          </w:tcPr>
          <w:p w14:paraId="564C5B38"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c>
          <w:tcPr>
            <w:tcW w:w="854" w:type="pct"/>
            <w:shd w:val="clear" w:color="auto" w:fill="D9E2F3" w:themeFill="accent1" w:themeFillTint="33"/>
            <w:vAlign w:val="center"/>
          </w:tcPr>
          <w:p w14:paraId="4A545068"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r>
      <w:tr w:rsidR="007D00BA" w:rsidRPr="007A4E7E" w14:paraId="05ADEE3E" w14:textId="77777777" w:rsidTr="00EA6DFD">
        <w:tc>
          <w:tcPr>
            <w:tcW w:w="5000" w:type="pct"/>
            <w:gridSpan w:val="6"/>
            <w:shd w:val="clear" w:color="auto" w:fill="D9E2F3" w:themeFill="accent1" w:themeFillTint="33"/>
            <w:vAlign w:val="center"/>
          </w:tcPr>
          <w:p w14:paraId="75E5A312" w14:textId="77777777" w:rsidR="007D00BA" w:rsidRPr="007A4E7E" w:rsidRDefault="007D00BA" w:rsidP="00914C1A">
            <w:pPr>
              <w:keepNext/>
              <w:keepLines/>
              <w:jc w:val="left"/>
              <w:rPr>
                <w:rFonts w:ascii="Arial Narrow" w:hAnsi="Arial Narrow" w:cstheme="minorHAnsi"/>
                <w:sz w:val="20"/>
                <w:szCs w:val="20"/>
              </w:rPr>
            </w:pPr>
            <w:r w:rsidRPr="007A4E7E">
              <w:rPr>
                <w:rFonts w:ascii="Arial Narrow" w:hAnsi="Arial Narrow" w:cstheme="minorHAnsi"/>
                <w:sz w:val="20"/>
                <w:szCs w:val="20"/>
              </w:rPr>
              <w:t>AEs of special interest</w:t>
            </w:r>
          </w:p>
        </w:tc>
      </w:tr>
      <w:tr w:rsidR="007D00BA" w:rsidRPr="007A4E7E" w14:paraId="6958F245" w14:textId="77777777" w:rsidTr="00EA6DFD">
        <w:tc>
          <w:tcPr>
            <w:tcW w:w="1107" w:type="pct"/>
            <w:shd w:val="clear" w:color="auto" w:fill="D9E2F3" w:themeFill="accent1" w:themeFillTint="33"/>
            <w:vAlign w:val="center"/>
          </w:tcPr>
          <w:p w14:paraId="7C996802"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Adrenal hormone </w:t>
            </w:r>
            <w:r w:rsidRPr="007A4E7E">
              <w:rPr>
                <w:rFonts w:cstheme="minorHAnsi"/>
                <w:bCs w:val="0"/>
                <w:szCs w:val="20"/>
              </w:rPr>
              <w:tab/>
              <w:t xml:space="preserve">precursor accumulation </w:t>
            </w:r>
          </w:p>
        </w:tc>
        <w:tc>
          <w:tcPr>
            <w:tcW w:w="759" w:type="pct"/>
            <w:shd w:val="clear" w:color="auto" w:fill="D9E2F3" w:themeFill="accent1" w:themeFillTint="33"/>
            <w:vAlign w:val="center"/>
          </w:tcPr>
          <w:p w14:paraId="24380A5E"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2 (6%)</w:t>
            </w:r>
          </w:p>
        </w:tc>
        <w:tc>
          <w:tcPr>
            <w:tcW w:w="671" w:type="pct"/>
            <w:shd w:val="clear" w:color="auto" w:fill="D9E2F3" w:themeFill="accent1" w:themeFillTint="33"/>
            <w:vAlign w:val="center"/>
          </w:tcPr>
          <w:p w14:paraId="14F27285"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1 (3%)</w:t>
            </w:r>
          </w:p>
        </w:tc>
        <w:tc>
          <w:tcPr>
            <w:tcW w:w="784" w:type="pct"/>
            <w:shd w:val="clear" w:color="auto" w:fill="D9E2F3" w:themeFill="accent1" w:themeFillTint="33"/>
            <w:vAlign w:val="center"/>
          </w:tcPr>
          <w:p w14:paraId="34201EE6"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0.03 (</w:t>
            </w:r>
            <w:r w:rsidRPr="007A4E7E">
              <w:rPr>
                <w:rFonts w:ascii="Arial Narrow" w:hAnsi="Arial Narrow" w:cstheme="minorHAnsi"/>
                <w:sz w:val="20"/>
                <w:szCs w:val="20"/>
              </w:rPr>
              <w:noBreakHyphen/>
              <w:t>0.07, 0.12)</w:t>
            </w:r>
          </w:p>
        </w:tc>
        <w:tc>
          <w:tcPr>
            <w:tcW w:w="825" w:type="pct"/>
            <w:shd w:val="clear" w:color="auto" w:fill="D9E2F3" w:themeFill="accent1" w:themeFillTint="33"/>
            <w:vAlign w:val="center"/>
          </w:tcPr>
          <w:p w14:paraId="4F4E3B70"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1.94 (0.18, 20.49)</w:t>
            </w:r>
          </w:p>
        </w:tc>
        <w:tc>
          <w:tcPr>
            <w:tcW w:w="854" w:type="pct"/>
            <w:shd w:val="clear" w:color="auto" w:fill="D9E2F3" w:themeFill="accent1" w:themeFillTint="33"/>
            <w:vAlign w:val="center"/>
          </w:tcPr>
          <w:p w14:paraId="074B2862"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2.00 (0.17, 23.11)</w:t>
            </w:r>
          </w:p>
        </w:tc>
      </w:tr>
      <w:tr w:rsidR="007D00BA" w:rsidRPr="007A4E7E" w14:paraId="52A77AAA" w14:textId="77777777" w:rsidTr="00EA6DFD">
        <w:tc>
          <w:tcPr>
            <w:tcW w:w="1107" w:type="pct"/>
            <w:shd w:val="clear" w:color="auto" w:fill="D9E2F3" w:themeFill="accent1" w:themeFillTint="33"/>
            <w:vAlign w:val="center"/>
          </w:tcPr>
          <w:p w14:paraId="14532386"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Hypocortisolism related </w:t>
            </w:r>
            <w:r w:rsidRPr="007A4E7E">
              <w:rPr>
                <w:rFonts w:cstheme="minorHAnsi"/>
                <w:bCs w:val="0"/>
                <w:szCs w:val="20"/>
              </w:rPr>
              <w:tab/>
              <w:t xml:space="preserve">AEs </w:t>
            </w:r>
          </w:p>
        </w:tc>
        <w:tc>
          <w:tcPr>
            <w:tcW w:w="759" w:type="pct"/>
            <w:shd w:val="clear" w:color="auto" w:fill="D9E2F3" w:themeFill="accent1" w:themeFillTint="33"/>
            <w:vAlign w:val="center"/>
          </w:tcPr>
          <w:p w14:paraId="54869914" w14:textId="77777777" w:rsidR="007D00BA" w:rsidRPr="007A4E7E" w:rsidRDefault="007D00BA" w:rsidP="00914C1A">
            <w:pPr>
              <w:pStyle w:val="TableText0"/>
              <w:keepLines/>
              <w:jc w:val="center"/>
              <w:rPr>
                <w:rFonts w:eastAsia="Calibri" w:cs="Calibri"/>
                <w:bCs w:val="0"/>
                <w:szCs w:val="20"/>
              </w:rPr>
            </w:pPr>
            <w:r w:rsidRPr="007A4E7E">
              <w:rPr>
                <w:rFonts w:cstheme="minorHAnsi"/>
                <w:bCs w:val="0"/>
                <w:szCs w:val="20"/>
              </w:rPr>
              <w:t>3 (8%)</w:t>
            </w:r>
          </w:p>
        </w:tc>
        <w:tc>
          <w:tcPr>
            <w:tcW w:w="671" w:type="pct"/>
            <w:shd w:val="clear" w:color="auto" w:fill="D9E2F3" w:themeFill="accent1" w:themeFillTint="33"/>
            <w:vAlign w:val="center"/>
          </w:tcPr>
          <w:p w14:paraId="4AAB8675"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1 (3%)</w:t>
            </w:r>
          </w:p>
        </w:tc>
        <w:tc>
          <w:tcPr>
            <w:tcW w:w="784" w:type="pct"/>
            <w:shd w:val="clear" w:color="auto" w:fill="D9E2F3" w:themeFill="accent1" w:themeFillTint="33"/>
            <w:vAlign w:val="center"/>
          </w:tcPr>
          <w:p w14:paraId="31520973"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0.05 (</w:t>
            </w:r>
            <w:r w:rsidRPr="007A4E7E">
              <w:rPr>
                <w:rFonts w:ascii="Arial Narrow" w:hAnsi="Arial Narrow" w:cstheme="minorHAnsi"/>
                <w:sz w:val="20"/>
                <w:szCs w:val="20"/>
              </w:rPr>
              <w:noBreakHyphen/>
              <w:t>0.05, 0.16)</w:t>
            </w:r>
          </w:p>
        </w:tc>
        <w:tc>
          <w:tcPr>
            <w:tcW w:w="825" w:type="pct"/>
            <w:shd w:val="clear" w:color="auto" w:fill="D9E2F3" w:themeFill="accent1" w:themeFillTint="33"/>
            <w:vAlign w:val="center"/>
          </w:tcPr>
          <w:p w14:paraId="33415D8A"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2.92 (0.32, 26.72)</w:t>
            </w:r>
          </w:p>
        </w:tc>
        <w:tc>
          <w:tcPr>
            <w:tcW w:w="854" w:type="pct"/>
            <w:shd w:val="clear" w:color="auto" w:fill="D9E2F3" w:themeFill="accent1" w:themeFillTint="33"/>
            <w:vAlign w:val="center"/>
          </w:tcPr>
          <w:p w14:paraId="6DAE4C06"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3.09 (0.31, 31.24)</w:t>
            </w:r>
          </w:p>
        </w:tc>
      </w:tr>
      <w:tr w:rsidR="007D00BA" w:rsidRPr="007A4E7E" w14:paraId="0FDD501C" w14:textId="77777777" w:rsidTr="00EA6DFD">
        <w:tc>
          <w:tcPr>
            <w:tcW w:w="1107" w:type="pct"/>
            <w:shd w:val="clear" w:color="auto" w:fill="D9E2F3" w:themeFill="accent1" w:themeFillTint="33"/>
            <w:vAlign w:val="center"/>
          </w:tcPr>
          <w:p w14:paraId="7E19A897"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Pituitary tumour </w:t>
            </w:r>
            <w:r w:rsidRPr="007A4E7E">
              <w:rPr>
                <w:rFonts w:cstheme="minorHAnsi"/>
                <w:bCs w:val="0"/>
                <w:szCs w:val="20"/>
              </w:rPr>
              <w:tab/>
              <w:t>enlargement</w:t>
            </w:r>
            <w:r w:rsidRPr="007A4E7E">
              <w:rPr>
                <w:rFonts w:cstheme="minorHAnsi"/>
                <w:bCs w:val="0"/>
                <w:szCs w:val="20"/>
              </w:rPr>
              <w:noBreakHyphen/>
              <w:t>related AEs</w:t>
            </w:r>
          </w:p>
        </w:tc>
        <w:tc>
          <w:tcPr>
            <w:tcW w:w="759" w:type="pct"/>
            <w:shd w:val="clear" w:color="auto" w:fill="D9E2F3" w:themeFill="accent1" w:themeFillTint="33"/>
          </w:tcPr>
          <w:p w14:paraId="3965AB15" w14:textId="77777777" w:rsidR="007D00BA" w:rsidRPr="007A4E7E" w:rsidRDefault="007D00BA" w:rsidP="00914C1A">
            <w:pPr>
              <w:pStyle w:val="TableText0"/>
              <w:keepLines/>
              <w:jc w:val="center"/>
              <w:rPr>
                <w:rFonts w:eastAsia="Calibri" w:cs="Calibri"/>
                <w:bCs w:val="0"/>
                <w:szCs w:val="20"/>
              </w:rPr>
            </w:pPr>
            <w:r w:rsidRPr="007A4E7E">
              <w:rPr>
                <w:szCs w:val="20"/>
              </w:rPr>
              <w:t>0</w:t>
            </w:r>
          </w:p>
        </w:tc>
        <w:tc>
          <w:tcPr>
            <w:tcW w:w="671" w:type="pct"/>
            <w:shd w:val="clear" w:color="auto" w:fill="D9E2F3" w:themeFill="accent1" w:themeFillTint="33"/>
          </w:tcPr>
          <w:p w14:paraId="0C6112C8"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sz w:val="20"/>
                <w:szCs w:val="20"/>
              </w:rPr>
              <w:t>0</w:t>
            </w:r>
          </w:p>
        </w:tc>
        <w:tc>
          <w:tcPr>
            <w:tcW w:w="784" w:type="pct"/>
            <w:shd w:val="clear" w:color="auto" w:fill="D9E2F3" w:themeFill="accent1" w:themeFillTint="33"/>
            <w:vAlign w:val="center"/>
          </w:tcPr>
          <w:p w14:paraId="031A4772"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0.00 (</w:t>
            </w:r>
            <w:r w:rsidRPr="007A4E7E">
              <w:rPr>
                <w:rFonts w:ascii="Arial Narrow" w:hAnsi="Arial Narrow" w:cstheme="minorHAnsi"/>
                <w:sz w:val="20"/>
                <w:szCs w:val="20"/>
              </w:rPr>
              <w:noBreakHyphen/>
              <w:t>0.05, 0.05)</w:t>
            </w:r>
          </w:p>
        </w:tc>
        <w:tc>
          <w:tcPr>
            <w:tcW w:w="825" w:type="pct"/>
            <w:shd w:val="clear" w:color="auto" w:fill="D9E2F3" w:themeFill="accent1" w:themeFillTint="33"/>
            <w:vAlign w:val="center"/>
          </w:tcPr>
          <w:p w14:paraId="22338A27"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c>
          <w:tcPr>
            <w:tcW w:w="854" w:type="pct"/>
            <w:shd w:val="clear" w:color="auto" w:fill="D9E2F3" w:themeFill="accent1" w:themeFillTint="33"/>
            <w:vAlign w:val="center"/>
          </w:tcPr>
          <w:p w14:paraId="2E47B451"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r>
      <w:tr w:rsidR="007D00BA" w:rsidRPr="007A4E7E" w14:paraId="5E1B9102" w14:textId="77777777" w:rsidTr="00EA6DFD">
        <w:tc>
          <w:tcPr>
            <w:tcW w:w="1107" w:type="pct"/>
            <w:shd w:val="clear" w:color="auto" w:fill="D9E2F3" w:themeFill="accent1" w:themeFillTint="33"/>
            <w:vAlign w:val="center"/>
          </w:tcPr>
          <w:p w14:paraId="3856FCFE"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 xml:space="preserve">Related to QT </w:t>
            </w:r>
            <w:r w:rsidRPr="007A4E7E">
              <w:rPr>
                <w:rFonts w:cstheme="minorHAnsi"/>
                <w:bCs w:val="0"/>
                <w:szCs w:val="20"/>
              </w:rPr>
              <w:tab/>
              <w:t>prolongation</w:t>
            </w:r>
          </w:p>
        </w:tc>
        <w:tc>
          <w:tcPr>
            <w:tcW w:w="759" w:type="pct"/>
            <w:shd w:val="clear" w:color="auto" w:fill="D9E2F3" w:themeFill="accent1" w:themeFillTint="33"/>
          </w:tcPr>
          <w:p w14:paraId="7C34664D" w14:textId="77777777" w:rsidR="007D00BA" w:rsidRPr="007A4E7E" w:rsidRDefault="007D00BA" w:rsidP="00914C1A">
            <w:pPr>
              <w:pStyle w:val="TableText0"/>
              <w:keepLines/>
              <w:jc w:val="center"/>
              <w:rPr>
                <w:rFonts w:eastAsia="Calibri" w:cs="Calibri"/>
                <w:bCs w:val="0"/>
                <w:szCs w:val="20"/>
              </w:rPr>
            </w:pPr>
            <w:r w:rsidRPr="007A4E7E">
              <w:rPr>
                <w:szCs w:val="20"/>
              </w:rPr>
              <w:t>0</w:t>
            </w:r>
          </w:p>
        </w:tc>
        <w:tc>
          <w:tcPr>
            <w:tcW w:w="671" w:type="pct"/>
            <w:shd w:val="clear" w:color="auto" w:fill="D9E2F3" w:themeFill="accent1" w:themeFillTint="33"/>
          </w:tcPr>
          <w:p w14:paraId="01458380"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sz w:val="20"/>
                <w:szCs w:val="20"/>
              </w:rPr>
              <w:t>0</w:t>
            </w:r>
          </w:p>
        </w:tc>
        <w:tc>
          <w:tcPr>
            <w:tcW w:w="784" w:type="pct"/>
            <w:shd w:val="clear" w:color="auto" w:fill="D9E2F3" w:themeFill="accent1" w:themeFillTint="33"/>
            <w:vAlign w:val="center"/>
          </w:tcPr>
          <w:p w14:paraId="62D26BC9"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0.00 (</w:t>
            </w:r>
            <w:r w:rsidRPr="007A4E7E">
              <w:rPr>
                <w:rFonts w:ascii="Arial Narrow" w:hAnsi="Arial Narrow" w:cstheme="minorHAnsi"/>
                <w:sz w:val="20"/>
                <w:szCs w:val="20"/>
              </w:rPr>
              <w:noBreakHyphen/>
              <w:t>0.05, 0.05)</w:t>
            </w:r>
          </w:p>
        </w:tc>
        <w:tc>
          <w:tcPr>
            <w:tcW w:w="825" w:type="pct"/>
            <w:shd w:val="clear" w:color="auto" w:fill="D9E2F3" w:themeFill="accent1" w:themeFillTint="33"/>
            <w:vAlign w:val="center"/>
          </w:tcPr>
          <w:p w14:paraId="3D7DF741"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c>
          <w:tcPr>
            <w:tcW w:w="854" w:type="pct"/>
            <w:shd w:val="clear" w:color="auto" w:fill="D9E2F3" w:themeFill="accent1" w:themeFillTint="33"/>
            <w:vAlign w:val="center"/>
          </w:tcPr>
          <w:p w14:paraId="248359DF"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r>
      <w:tr w:rsidR="007D00BA" w:rsidRPr="007A4E7E" w14:paraId="54745D5D" w14:textId="77777777" w:rsidTr="00EA6DFD">
        <w:tc>
          <w:tcPr>
            <w:tcW w:w="1107" w:type="pct"/>
            <w:shd w:val="clear" w:color="auto" w:fill="D9E2F3" w:themeFill="accent1" w:themeFillTint="33"/>
            <w:vAlign w:val="center"/>
          </w:tcPr>
          <w:p w14:paraId="6296E120" w14:textId="77777777" w:rsidR="007D00BA" w:rsidRPr="007A4E7E" w:rsidRDefault="007D00BA" w:rsidP="00914C1A">
            <w:pPr>
              <w:pStyle w:val="TableText0"/>
              <w:keepLines/>
              <w:tabs>
                <w:tab w:val="left" w:pos="102"/>
              </w:tabs>
              <w:rPr>
                <w:rFonts w:cstheme="minorHAnsi"/>
                <w:bCs w:val="0"/>
                <w:szCs w:val="20"/>
              </w:rPr>
            </w:pPr>
            <w:r w:rsidRPr="007A4E7E">
              <w:rPr>
                <w:rFonts w:cstheme="minorHAnsi"/>
                <w:bCs w:val="0"/>
                <w:szCs w:val="20"/>
              </w:rPr>
              <w:tab/>
              <w:t>Arrhythmogenic potential</w:t>
            </w:r>
          </w:p>
        </w:tc>
        <w:tc>
          <w:tcPr>
            <w:tcW w:w="759" w:type="pct"/>
            <w:shd w:val="clear" w:color="auto" w:fill="D9E2F3" w:themeFill="accent1" w:themeFillTint="33"/>
          </w:tcPr>
          <w:p w14:paraId="51477BF0" w14:textId="77777777" w:rsidR="007D00BA" w:rsidRPr="007A4E7E" w:rsidRDefault="007D00BA" w:rsidP="00914C1A">
            <w:pPr>
              <w:pStyle w:val="TableText0"/>
              <w:keepLines/>
              <w:jc w:val="center"/>
              <w:rPr>
                <w:rFonts w:eastAsia="Calibri" w:cs="Calibri"/>
                <w:bCs w:val="0"/>
                <w:szCs w:val="20"/>
              </w:rPr>
            </w:pPr>
            <w:r w:rsidRPr="007A4E7E">
              <w:rPr>
                <w:szCs w:val="20"/>
              </w:rPr>
              <w:t>0</w:t>
            </w:r>
          </w:p>
        </w:tc>
        <w:tc>
          <w:tcPr>
            <w:tcW w:w="671" w:type="pct"/>
            <w:shd w:val="clear" w:color="auto" w:fill="D9E2F3" w:themeFill="accent1" w:themeFillTint="33"/>
          </w:tcPr>
          <w:p w14:paraId="3E6A94EF"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sz w:val="20"/>
                <w:szCs w:val="20"/>
              </w:rPr>
              <w:t>0</w:t>
            </w:r>
          </w:p>
        </w:tc>
        <w:tc>
          <w:tcPr>
            <w:tcW w:w="784" w:type="pct"/>
            <w:shd w:val="clear" w:color="auto" w:fill="D9E2F3" w:themeFill="accent1" w:themeFillTint="33"/>
            <w:vAlign w:val="center"/>
          </w:tcPr>
          <w:p w14:paraId="19E05A23" w14:textId="77777777" w:rsidR="007D00BA" w:rsidRPr="007A4E7E" w:rsidRDefault="007D00BA" w:rsidP="00914C1A">
            <w:pPr>
              <w:keepNext/>
              <w:keepLines/>
              <w:jc w:val="center"/>
              <w:rPr>
                <w:rFonts w:ascii="Arial Narrow" w:hAnsi="Arial Narrow" w:cstheme="minorHAnsi"/>
                <w:sz w:val="20"/>
                <w:szCs w:val="20"/>
              </w:rPr>
            </w:pPr>
            <w:r w:rsidRPr="007A4E7E">
              <w:rPr>
                <w:rFonts w:ascii="Arial Narrow" w:hAnsi="Arial Narrow" w:cstheme="minorHAnsi"/>
                <w:sz w:val="20"/>
                <w:szCs w:val="20"/>
              </w:rPr>
              <w:t>0.00 (</w:t>
            </w:r>
            <w:r w:rsidRPr="007A4E7E">
              <w:rPr>
                <w:rFonts w:ascii="Arial Narrow" w:hAnsi="Arial Narrow" w:cstheme="minorHAnsi"/>
                <w:sz w:val="20"/>
                <w:szCs w:val="20"/>
              </w:rPr>
              <w:noBreakHyphen/>
              <w:t>0.05, 0.05)</w:t>
            </w:r>
          </w:p>
        </w:tc>
        <w:tc>
          <w:tcPr>
            <w:tcW w:w="825" w:type="pct"/>
            <w:shd w:val="clear" w:color="auto" w:fill="D9E2F3" w:themeFill="accent1" w:themeFillTint="33"/>
            <w:vAlign w:val="center"/>
          </w:tcPr>
          <w:p w14:paraId="4EEEA4DD"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c>
          <w:tcPr>
            <w:tcW w:w="854" w:type="pct"/>
            <w:shd w:val="clear" w:color="auto" w:fill="D9E2F3" w:themeFill="accent1" w:themeFillTint="33"/>
            <w:vAlign w:val="center"/>
          </w:tcPr>
          <w:p w14:paraId="34379C4F" w14:textId="77777777" w:rsidR="007D00BA" w:rsidRPr="007A4E7E" w:rsidRDefault="007D00BA" w:rsidP="00914C1A">
            <w:pPr>
              <w:keepNext/>
              <w:keepLines/>
              <w:jc w:val="center"/>
              <w:rPr>
                <w:rFonts w:ascii="Arial Narrow" w:eastAsia="Calibri" w:hAnsi="Arial Narrow" w:cs="Calibri"/>
                <w:sz w:val="20"/>
                <w:szCs w:val="20"/>
              </w:rPr>
            </w:pPr>
            <w:r w:rsidRPr="007A4E7E">
              <w:rPr>
                <w:rFonts w:ascii="Arial Narrow" w:hAnsi="Arial Narrow" w:cstheme="minorHAnsi"/>
                <w:sz w:val="20"/>
                <w:szCs w:val="20"/>
              </w:rPr>
              <w:t>NE</w:t>
            </w:r>
          </w:p>
        </w:tc>
      </w:tr>
    </w:tbl>
    <w:p w14:paraId="0F2E8A63" w14:textId="0C3DD215" w:rsidR="007D00BA" w:rsidRPr="007A4E7E" w:rsidRDefault="007D00BA" w:rsidP="00914C1A">
      <w:pPr>
        <w:pStyle w:val="FooterTableFigure"/>
        <w:keepNext/>
        <w:keepLines/>
        <w:rPr>
          <w:sz w:val="20"/>
        </w:rPr>
      </w:pPr>
      <w:r w:rsidRPr="007A4E7E">
        <w:t>Source: Table 10, osilodrostat, PSD, March 2023 PBAC meeting cross-referenced from Table 2.5-54; Table 2.5-55; Table 2.5-59; Table 2.5-60 of the resubmission.</w:t>
      </w:r>
    </w:p>
    <w:p w14:paraId="077FA407" w14:textId="77777777" w:rsidR="007D00BA" w:rsidRPr="007A4E7E" w:rsidRDefault="007D00BA" w:rsidP="00914C1A">
      <w:pPr>
        <w:pStyle w:val="FooterTableFigure"/>
        <w:keepNext/>
        <w:keepLines/>
        <w:rPr>
          <w:rFonts w:eastAsia="Calibri"/>
        </w:rPr>
      </w:pPr>
      <w:r w:rsidRPr="007A4E7E">
        <w:rPr>
          <w:rFonts w:eastAsia="Calibri"/>
        </w:rPr>
        <w:t>AE = adverse event; CI = confidence interval; NE = not evaluable; OR = odds ratio; RD = risk difference; RR = relative risk</w:t>
      </w:r>
    </w:p>
    <w:p w14:paraId="46C44C87" w14:textId="77777777" w:rsidR="007D00BA" w:rsidRPr="007A4E7E" w:rsidRDefault="007D00BA" w:rsidP="00914C1A">
      <w:pPr>
        <w:pStyle w:val="FooterTableFigure"/>
        <w:keepNext/>
        <w:keepLines/>
        <w:tabs>
          <w:tab w:val="left" w:pos="142"/>
        </w:tabs>
        <w:rPr>
          <w:rFonts w:eastAsia="Calibri"/>
        </w:rPr>
      </w:pPr>
      <w:r w:rsidRPr="007A4E7E">
        <w:rPr>
          <w:rFonts w:eastAsia="Calibri"/>
          <w:b/>
          <w:bCs/>
        </w:rPr>
        <w:t xml:space="preserve">Bold values </w:t>
      </w:r>
      <w:r w:rsidRPr="007A4E7E">
        <w:rPr>
          <w:rFonts w:eastAsia="Calibri"/>
        </w:rPr>
        <w:t xml:space="preserve">indicate a difference in which the 95% confidence interval does not include no difference. </w:t>
      </w:r>
    </w:p>
    <w:p w14:paraId="73B8A26B" w14:textId="77777777" w:rsidR="007D00BA" w:rsidRPr="007A4E7E" w:rsidRDefault="007D00BA" w:rsidP="007D00BA">
      <w:pPr>
        <w:pStyle w:val="FooterTableFigure"/>
        <w:tabs>
          <w:tab w:val="left" w:pos="142"/>
        </w:tabs>
        <w:rPr>
          <w:rFonts w:eastAsia="Calibri"/>
        </w:rPr>
      </w:pPr>
      <w:r w:rsidRPr="007A4E7E">
        <w:rPr>
          <w:shd w:val="clear" w:color="auto" w:fill="D9E2F3" w:themeFill="accent1" w:themeFillTint="33"/>
        </w:rPr>
        <w:t>Blue shade</w:t>
      </w:r>
      <w:r w:rsidRPr="007A4E7E">
        <w:t xml:space="preserve"> indicates data previously seen by the PBAC</w:t>
      </w:r>
    </w:p>
    <w:p w14:paraId="0D3BD8BD" w14:textId="77777777" w:rsidR="007D00BA" w:rsidRPr="007A4E7E" w:rsidRDefault="007D00BA" w:rsidP="007D00BA">
      <w:pPr>
        <w:pStyle w:val="ExecSumBodyText"/>
        <w:numPr>
          <w:ilvl w:val="1"/>
          <w:numId w:val="1"/>
        </w:numPr>
      </w:pPr>
      <w:r w:rsidRPr="007A4E7E">
        <w:t xml:space="preserve">Despite the higher proportion of hypocortisolism in patients randomised to osilodrostat in LINC 4 and even higher proportions in the overall study period, the PBAC had previously accepted the Sponsor’s pre-PBAC response that hypocortisolism occurred more frequently during dose titration and there was low level of QTc </w:t>
      </w:r>
      <w:r w:rsidRPr="007A4E7E">
        <w:lastRenderedPageBreak/>
        <w:t>prolongation throughout the treatment period. Therefore, the PBAC accepted that the claim of non-inferiority safety to placebo was reasonable noting regular monitoring of side effects of hypocortisolism was required (paragraph 7.9, osilodrostat, PSD, March 2023 PBAC meeting).</w:t>
      </w:r>
    </w:p>
    <w:p w14:paraId="4BF6737F" w14:textId="3AB12B7F" w:rsidR="007D00BA" w:rsidRPr="007A4E7E" w:rsidRDefault="007D00BA" w:rsidP="007D00BA">
      <w:pPr>
        <w:pStyle w:val="ExecSumBodyText"/>
        <w:numPr>
          <w:ilvl w:val="1"/>
          <w:numId w:val="1"/>
        </w:numPr>
      </w:pPr>
      <w:r w:rsidRPr="007A4E7E">
        <w:t>The PBAC noted that “adverse events relating to pituitary tumour enlargement should be monitored and required further investigation to better understand the impact of this phenomenon” (paragraph 7.9, osilodrostat, PSD, March 2023 PBAC meeting). The resubmission provided additional detail around pituitary tumour enlargement in LINC</w:t>
      </w:r>
      <w:r w:rsidR="00AA105F">
        <w:t> </w:t>
      </w:r>
      <w:r w:rsidRPr="007A4E7E">
        <w:t xml:space="preserve">4 and LINC 3 in the form of patient narratives. </w:t>
      </w:r>
    </w:p>
    <w:p w14:paraId="48B9A8C0" w14:textId="77777777" w:rsidR="007D00BA" w:rsidRPr="007A4E7E" w:rsidRDefault="007D00BA" w:rsidP="007D00BA">
      <w:pPr>
        <w:pStyle w:val="ExecSumBodyText"/>
        <w:numPr>
          <w:ilvl w:val="1"/>
          <w:numId w:val="1"/>
        </w:numPr>
      </w:pPr>
      <w:bookmarkStart w:id="39" w:name="_Ref163375448"/>
      <w:r w:rsidRPr="007A4E7E">
        <w:t xml:space="preserve">Generally, pituitary tumour enlargement AEs were low in LINC 4 (four patients, 5.5%) and these patients discontinued osilodrostat without medical treatment for the AE. In LINC 3, 22 patients (16.1%) experienced at least one pituitary tumour enlargement-related AE with 12 (8.8%) suspected of being osilodrostat-related. Most pituitary tumour enlargement-related AEs occurred during the extension phase from Week 48 onwards. Generally, the serious AEs were Grade </w:t>
      </w:r>
      <w:r w:rsidRPr="007A4E7E">
        <w:rPr>
          <w:rFonts w:cs="Calibri"/>
        </w:rPr>
        <w:t>≥</w:t>
      </w:r>
      <w:r w:rsidRPr="007A4E7E">
        <w:t>3 and patients were treated with pituitary surgery or radiotherapy and or received various medical therapies. Patients had recovered from treatment and the primary tumour was resolved, generally in the same day. Most of these patients discontinued during the extension phase.</w:t>
      </w:r>
      <w:bookmarkEnd w:id="39"/>
    </w:p>
    <w:p w14:paraId="158BB0E2" w14:textId="77777777" w:rsidR="007D00BA" w:rsidRPr="007A4E7E" w:rsidRDefault="007D00BA" w:rsidP="007D00BA">
      <w:pPr>
        <w:pStyle w:val="4-SubsectionHeading"/>
      </w:pPr>
      <w:bookmarkStart w:id="40" w:name="_Toc156988658"/>
      <w:r w:rsidRPr="007A4E7E">
        <w:t>Benefits/harms</w:t>
      </w:r>
      <w:bookmarkEnd w:id="40"/>
    </w:p>
    <w:p w14:paraId="2B0D8D7E" w14:textId="6C3A606E" w:rsidR="007D00BA" w:rsidRPr="007A4E7E" w:rsidRDefault="007D00BA" w:rsidP="007D00BA">
      <w:pPr>
        <w:pStyle w:val="ExecSumBodyText"/>
        <w:numPr>
          <w:ilvl w:val="1"/>
          <w:numId w:val="1"/>
        </w:numPr>
      </w:pPr>
      <w:r w:rsidRPr="007A4E7E">
        <w:t xml:space="preserve">A summary of the comparative benefits and harms for osilodrostat versus placebo is presented in </w:t>
      </w:r>
      <w:r w:rsidRPr="007A4E7E">
        <w:fldChar w:fldCharType="begin" w:fldLock="1"/>
      </w:r>
      <w:r w:rsidRPr="007A4E7E">
        <w:instrText xml:space="preserve"> REF _Ref152855821 \h </w:instrText>
      </w:r>
      <w:r w:rsidRPr="007A4E7E">
        <w:fldChar w:fldCharType="separate"/>
      </w:r>
      <w:r w:rsidR="00043D39" w:rsidRPr="007A4E7E">
        <w:t xml:space="preserve">Table </w:t>
      </w:r>
      <w:r w:rsidR="00043D39">
        <w:rPr>
          <w:noProof/>
        </w:rPr>
        <w:t>8</w:t>
      </w:r>
      <w:r w:rsidRPr="007A4E7E">
        <w:fldChar w:fldCharType="end"/>
      </w:r>
      <w:r w:rsidRPr="007A4E7E">
        <w:t xml:space="preserve">. </w:t>
      </w:r>
    </w:p>
    <w:p w14:paraId="41F9E7E0" w14:textId="745D6EC0" w:rsidR="007D00BA" w:rsidRPr="00AA105F" w:rsidRDefault="007D00BA" w:rsidP="00DE6661">
      <w:pPr>
        <w:pStyle w:val="TableFigureHeading"/>
        <w:rPr>
          <w:rStyle w:val="CommentReference"/>
          <w:b/>
          <w:bCs w:val="0"/>
          <w:snapToGrid w:val="0"/>
          <w:szCs w:val="24"/>
        </w:rPr>
      </w:pPr>
      <w:bookmarkStart w:id="41" w:name="_Ref152855821"/>
      <w:r w:rsidRPr="00AA105F">
        <w:t xml:space="preserve">Table </w:t>
      </w:r>
      <w:r w:rsidR="00397E6D" w:rsidRPr="00914C1A">
        <w:fldChar w:fldCharType="begin" w:fldLock="1"/>
      </w:r>
      <w:r w:rsidR="00397E6D" w:rsidRPr="00AA105F">
        <w:instrText xml:space="preserve"> SEQ Table \* ARABIC </w:instrText>
      </w:r>
      <w:r w:rsidR="00397E6D" w:rsidRPr="00914C1A">
        <w:fldChar w:fldCharType="separate"/>
      </w:r>
      <w:r w:rsidR="00043D39" w:rsidRPr="00914C1A">
        <w:t>8</w:t>
      </w:r>
      <w:r w:rsidR="00397E6D" w:rsidRPr="00914C1A">
        <w:fldChar w:fldCharType="end"/>
      </w:r>
      <w:bookmarkEnd w:id="41"/>
      <w:r w:rsidRPr="00AA105F">
        <w:t xml:space="preserve">: </w:t>
      </w:r>
      <w:r w:rsidRPr="00AA105F">
        <w:rPr>
          <w:rStyle w:val="CommentReference"/>
          <w:b/>
          <w:szCs w:val="24"/>
        </w:rPr>
        <w:t>Summary of comparative benefits and harms for osilodrostat and placebo</w:t>
      </w:r>
    </w:p>
    <w:tbl>
      <w:tblPr>
        <w:tblW w:w="5000" w:type="pct"/>
        <w:tblCellMar>
          <w:left w:w="28" w:type="dxa"/>
          <w:right w:w="28" w:type="dxa"/>
        </w:tblCellMar>
        <w:tblLook w:val="04A0" w:firstRow="1" w:lastRow="0" w:firstColumn="1" w:lastColumn="0" w:noHBand="0" w:noVBand="1"/>
        <w:tblCaption w:val="Table 8: Summary of comparative benefits and harms for osilodrostat and placebo"/>
      </w:tblPr>
      <w:tblGrid>
        <w:gridCol w:w="1141"/>
        <w:gridCol w:w="7"/>
        <w:gridCol w:w="1145"/>
        <w:gridCol w:w="1284"/>
        <w:gridCol w:w="1555"/>
        <w:gridCol w:w="1133"/>
        <w:gridCol w:w="90"/>
        <w:gridCol w:w="1273"/>
        <w:gridCol w:w="1389"/>
      </w:tblGrid>
      <w:tr w:rsidR="007D00BA" w:rsidRPr="007A4E7E" w14:paraId="6BF13484" w14:textId="77777777" w:rsidTr="008E5316">
        <w:trPr>
          <w:trHeight w:val="20"/>
          <w:tblHeader/>
        </w:trPr>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4152B2" w14:textId="77777777" w:rsidR="007D00BA" w:rsidRPr="00AA105F" w:rsidRDefault="007D00BA" w:rsidP="00DE6661">
            <w:pPr>
              <w:pStyle w:val="In-tableHeading"/>
              <w:keepLines/>
              <w:rPr>
                <w:rFonts w:cstheme="minorHAnsi"/>
                <w:szCs w:val="20"/>
                <w:lang w:val="en-AU"/>
              </w:rPr>
            </w:pPr>
            <w:r w:rsidRPr="00AA105F">
              <w:rPr>
                <w:rFonts w:cstheme="minorHAnsi"/>
                <w:szCs w:val="20"/>
                <w:lang w:val="en-AU"/>
              </w:rPr>
              <w:t>Trial</w:t>
            </w:r>
          </w:p>
        </w:tc>
        <w:tc>
          <w:tcPr>
            <w:tcW w:w="639" w:type="pct"/>
            <w:gridSpan w:val="2"/>
            <w:vMerge w:val="restart"/>
            <w:tcBorders>
              <w:top w:val="single" w:sz="4" w:space="0" w:color="auto"/>
              <w:left w:val="single" w:sz="4" w:space="0" w:color="auto"/>
              <w:bottom w:val="single" w:sz="4" w:space="0" w:color="auto"/>
              <w:right w:val="single" w:sz="4" w:space="0" w:color="auto"/>
            </w:tcBorders>
            <w:vAlign w:val="center"/>
          </w:tcPr>
          <w:p w14:paraId="040E33BC"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Osilodrostat</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14:paraId="2FE36833"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Placebo</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42212925"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OR</w:t>
            </w:r>
          </w:p>
          <w:p w14:paraId="0D344843"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(95% CI)</w:t>
            </w:r>
          </w:p>
        </w:tc>
        <w:tc>
          <w:tcPr>
            <w:tcW w:w="1384" w:type="pct"/>
            <w:gridSpan w:val="3"/>
            <w:tcBorders>
              <w:top w:val="single" w:sz="4" w:space="0" w:color="auto"/>
              <w:left w:val="single" w:sz="4" w:space="0" w:color="auto"/>
              <w:bottom w:val="single" w:sz="4" w:space="0" w:color="auto"/>
              <w:right w:val="single" w:sz="4" w:space="0" w:color="auto"/>
            </w:tcBorders>
            <w:vAlign w:val="center"/>
          </w:tcPr>
          <w:p w14:paraId="29C4E152"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Event rate/100 patients</w:t>
            </w: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0104DC5D" w14:textId="77777777" w:rsidR="007D00BA" w:rsidRPr="00AA105F" w:rsidRDefault="007D00BA" w:rsidP="00DE6661">
            <w:pPr>
              <w:pStyle w:val="In-tableHeading"/>
              <w:keepLines/>
              <w:jc w:val="center"/>
              <w:rPr>
                <w:rFonts w:cstheme="minorHAnsi"/>
                <w:bCs/>
                <w:iCs/>
                <w:szCs w:val="20"/>
                <w:lang w:val="en-AU"/>
              </w:rPr>
            </w:pPr>
            <w:r w:rsidRPr="00AA105F">
              <w:rPr>
                <w:rFonts w:cstheme="minorHAnsi"/>
                <w:bCs/>
                <w:iCs/>
                <w:szCs w:val="20"/>
                <w:lang w:val="en-AU"/>
              </w:rPr>
              <w:t>RD</w:t>
            </w:r>
            <w:r w:rsidRPr="00AA105F">
              <w:rPr>
                <w:rFonts w:cstheme="minorHAnsi"/>
                <w:bCs/>
                <w:iCs/>
                <w:szCs w:val="20"/>
                <w:vertAlign w:val="superscript"/>
                <w:lang w:val="en-AU"/>
              </w:rPr>
              <w:t>a</w:t>
            </w:r>
          </w:p>
          <w:p w14:paraId="32867988" w14:textId="77777777" w:rsidR="007D00BA" w:rsidRPr="00AA105F" w:rsidRDefault="007D00BA" w:rsidP="00DE6661">
            <w:pPr>
              <w:pStyle w:val="In-tableHeading"/>
              <w:keepLines/>
              <w:jc w:val="center"/>
              <w:rPr>
                <w:rFonts w:cstheme="minorHAnsi"/>
                <w:szCs w:val="20"/>
                <w:lang w:val="en-AU"/>
              </w:rPr>
            </w:pPr>
            <w:r w:rsidRPr="00AA105F">
              <w:rPr>
                <w:rFonts w:cstheme="minorHAnsi"/>
                <w:bCs/>
                <w:iCs/>
                <w:szCs w:val="20"/>
                <w:lang w:val="en-AU"/>
              </w:rPr>
              <w:t>(95% CI)</w:t>
            </w:r>
          </w:p>
        </w:tc>
      </w:tr>
      <w:tr w:rsidR="007D00BA" w:rsidRPr="007A4E7E" w14:paraId="3018BD64" w14:textId="77777777" w:rsidTr="008E5316">
        <w:trPr>
          <w:trHeight w:val="20"/>
        </w:trPr>
        <w:tc>
          <w:tcPr>
            <w:tcW w:w="633" w:type="pct"/>
            <w:vMerge/>
            <w:tcBorders>
              <w:top w:val="single" w:sz="4" w:space="0" w:color="auto"/>
              <w:left w:val="single" w:sz="4" w:space="0" w:color="auto"/>
              <w:bottom w:val="double" w:sz="4" w:space="0" w:color="auto"/>
              <w:right w:val="single" w:sz="4" w:space="0" w:color="auto"/>
            </w:tcBorders>
            <w:shd w:val="clear" w:color="auto" w:fill="auto"/>
            <w:vAlign w:val="center"/>
          </w:tcPr>
          <w:p w14:paraId="1F7896B1" w14:textId="77777777" w:rsidR="007D00BA" w:rsidRPr="00AA105F" w:rsidRDefault="007D00BA" w:rsidP="00DE6661">
            <w:pPr>
              <w:pStyle w:val="In-tableHeading"/>
              <w:keepLines/>
              <w:jc w:val="center"/>
              <w:rPr>
                <w:rFonts w:cstheme="minorHAnsi"/>
                <w:szCs w:val="20"/>
                <w:lang w:val="en-AU"/>
              </w:rPr>
            </w:pPr>
          </w:p>
        </w:tc>
        <w:tc>
          <w:tcPr>
            <w:tcW w:w="639" w:type="pct"/>
            <w:gridSpan w:val="2"/>
            <w:vMerge/>
            <w:tcBorders>
              <w:top w:val="single" w:sz="4" w:space="0" w:color="auto"/>
              <w:left w:val="single" w:sz="4" w:space="0" w:color="auto"/>
              <w:bottom w:val="double" w:sz="4" w:space="0" w:color="auto"/>
              <w:right w:val="single" w:sz="4" w:space="0" w:color="auto"/>
            </w:tcBorders>
            <w:vAlign w:val="center"/>
          </w:tcPr>
          <w:p w14:paraId="7039C15D" w14:textId="77777777" w:rsidR="007D00BA" w:rsidRPr="00AA105F" w:rsidRDefault="007D00BA" w:rsidP="00DE6661">
            <w:pPr>
              <w:pStyle w:val="In-tableHeading"/>
              <w:keepLines/>
              <w:jc w:val="center"/>
              <w:rPr>
                <w:rFonts w:cstheme="minorHAnsi"/>
                <w:szCs w:val="20"/>
                <w:lang w:val="en-AU"/>
              </w:rPr>
            </w:pPr>
          </w:p>
        </w:tc>
        <w:tc>
          <w:tcPr>
            <w:tcW w:w="712" w:type="pct"/>
            <w:vMerge/>
            <w:tcBorders>
              <w:top w:val="single" w:sz="4" w:space="0" w:color="auto"/>
              <w:left w:val="single" w:sz="4" w:space="0" w:color="auto"/>
              <w:bottom w:val="double" w:sz="4" w:space="0" w:color="auto"/>
              <w:right w:val="single" w:sz="4" w:space="0" w:color="auto"/>
            </w:tcBorders>
            <w:vAlign w:val="center"/>
          </w:tcPr>
          <w:p w14:paraId="72BC0E69" w14:textId="77777777" w:rsidR="007D00BA" w:rsidRPr="00AA105F" w:rsidRDefault="007D00BA" w:rsidP="00DE6661">
            <w:pPr>
              <w:pStyle w:val="In-tableHeading"/>
              <w:keepLines/>
              <w:jc w:val="center"/>
              <w:rPr>
                <w:rFonts w:cstheme="minorHAnsi"/>
                <w:szCs w:val="20"/>
                <w:lang w:val="en-AU"/>
              </w:rPr>
            </w:pPr>
          </w:p>
        </w:tc>
        <w:tc>
          <w:tcPr>
            <w:tcW w:w="862" w:type="pct"/>
            <w:vMerge/>
            <w:tcBorders>
              <w:top w:val="single" w:sz="4" w:space="0" w:color="auto"/>
              <w:left w:val="single" w:sz="4" w:space="0" w:color="auto"/>
              <w:bottom w:val="double" w:sz="4" w:space="0" w:color="auto"/>
              <w:right w:val="single" w:sz="4" w:space="0" w:color="auto"/>
            </w:tcBorders>
            <w:vAlign w:val="center"/>
          </w:tcPr>
          <w:p w14:paraId="3381B547" w14:textId="77777777" w:rsidR="007D00BA" w:rsidRPr="00AA105F" w:rsidRDefault="007D00BA" w:rsidP="00DE6661">
            <w:pPr>
              <w:pStyle w:val="In-tableHeading"/>
              <w:keepLines/>
              <w:jc w:val="center"/>
              <w:rPr>
                <w:rFonts w:cstheme="minorHAnsi"/>
                <w:szCs w:val="20"/>
                <w:lang w:val="en-AU"/>
              </w:rPr>
            </w:pPr>
          </w:p>
        </w:tc>
        <w:tc>
          <w:tcPr>
            <w:tcW w:w="678" w:type="pct"/>
            <w:gridSpan w:val="2"/>
            <w:tcBorders>
              <w:top w:val="single" w:sz="4" w:space="0" w:color="auto"/>
              <w:left w:val="single" w:sz="4" w:space="0" w:color="auto"/>
              <w:bottom w:val="double" w:sz="4" w:space="0" w:color="auto"/>
              <w:right w:val="single" w:sz="4" w:space="0" w:color="auto"/>
            </w:tcBorders>
            <w:vAlign w:val="center"/>
          </w:tcPr>
          <w:p w14:paraId="12142443"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Osilodrostat</w:t>
            </w:r>
          </w:p>
        </w:tc>
        <w:tc>
          <w:tcPr>
            <w:tcW w:w="706" w:type="pct"/>
            <w:tcBorders>
              <w:top w:val="single" w:sz="4" w:space="0" w:color="auto"/>
              <w:left w:val="single" w:sz="4" w:space="0" w:color="auto"/>
              <w:bottom w:val="double" w:sz="4" w:space="0" w:color="auto"/>
              <w:right w:val="single" w:sz="4" w:space="0" w:color="auto"/>
            </w:tcBorders>
            <w:vAlign w:val="center"/>
          </w:tcPr>
          <w:p w14:paraId="29BFCC0C"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Placebo</w:t>
            </w:r>
          </w:p>
        </w:tc>
        <w:tc>
          <w:tcPr>
            <w:tcW w:w="770" w:type="pct"/>
            <w:vMerge/>
            <w:tcBorders>
              <w:top w:val="single" w:sz="4" w:space="0" w:color="auto"/>
              <w:left w:val="single" w:sz="4" w:space="0" w:color="auto"/>
              <w:bottom w:val="double" w:sz="4" w:space="0" w:color="auto"/>
              <w:right w:val="single" w:sz="4" w:space="0" w:color="auto"/>
            </w:tcBorders>
            <w:vAlign w:val="center"/>
          </w:tcPr>
          <w:p w14:paraId="3E03BA8E" w14:textId="77777777" w:rsidR="007D00BA" w:rsidRPr="00AA105F" w:rsidRDefault="007D00BA" w:rsidP="00DE6661">
            <w:pPr>
              <w:pStyle w:val="In-tableHeading"/>
              <w:keepLines/>
              <w:jc w:val="center"/>
              <w:rPr>
                <w:rFonts w:cstheme="minorHAnsi"/>
                <w:szCs w:val="20"/>
                <w:lang w:val="en-AU"/>
              </w:rPr>
            </w:pPr>
          </w:p>
        </w:tc>
      </w:tr>
      <w:tr w:rsidR="007D00BA" w:rsidRPr="007A4E7E" w14:paraId="1F98E9EB" w14:textId="77777777" w:rsidTr="008E5316">
        <w:trPr>
          <w:trHeight w:val="20"/>
        </w:trPr>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14:paraId="40267D12" w14:textId="77777777" w:rsidR="007D00BA" w:rsidRPr="00AA105F" w:rsidRDefault="007D00BA" w:rsidP="00DE6661">
            <w:pPr>
              <w:pStyle w:val="In-tableHeading"/>
              <w:keepLines/>
              <w:rPr>
                <w:rFonts w:cstheme="minorHAnsi"/>
                <w:szCs w:val="20"/>
                <w:lang w:val="en-AU"/>
              </w:rPr>
            </w:pPr>
            <w:r w:rsidRPr="00AA105F">
              <w:rPr>
                <w:rFonts w:cstheme="minorHAnsi"/>
                <w:szCs w:val="20"/>
                <w:lang w:val="en-AU"/>
              </w:rPr>
              <w:t>Benefits</w:t>
            </w:r>
          </w:p>
        </w:tc>
      </w:tr>
      <w:tr w:rsidR="007D00BA" w:rsidRPr="007A4E7E" w14:paraId="225F89C4" w14:textId="77777777" w:rsidTr="008E5316">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8528FB2" w14:textId="77777777" w:rsidR="007D00BA" w:rsidRPr="00AA105F" w:rsidRDefault="007D00BA" w:rsidP="00DE6661">
            <w:pPr>
              <w:pStyle w:val="In-tableHeading"/>
              <w:keepLines/>
              <w:rPr>
                <w:rFonts w:cstheme="minorHAnsi"/>
                <w:szCs w:val="20"/>
                <w:lang w:val="en-AU"/>
              </w:rPr>
            </w:pPr>
            <w:r w:rsidRPr="00AA105F">
              <w:rPr>
                <w:rFonts w:cstheme="minorHAnsi"/>
                <w:szCs w:val="20"/>
                <w:lang w:val="en-AU"/>
              </w:rPr>
              <w:t xml:space="preserve">Overall response </w:t>
            </w:r>
            <w:r w:rsidRPr="00AA105F">
              <w:rPr>
                <w:rFonts w:cstheme="minorHAnsi"/>
                <w:b w:val="0"/>
                <w:iCs/>
                <w:szCs w:val="20"/>
                <w:vertAlign w:val="superscript"/>
                <w:lang w:val="en-AU"/>
              </w:rPr>
              <w:t>b</w:t>
            </w:r>
          </w:p>
        </w:tc>
      </w:tr>
      <w:tr w:rsidR="007D00BA" w:rsidRPr="007A4E7E" w14:paraId="24D3BF0E" w14:textId="77777777" w:rsidTr="008E5316">
        <w:trPr>
          <w:trHeight w:val="20"/>
        </w:trPr>
        <w:tc>
          <w:tcPr>
            <w:tcW w:w="633" w:type="pct"/>
            <w:tcBorders>
              <w:top w:val="single" w:sz="4" w:space="0" w:color="auto"/>
              <w:left w:val="single" w:sz="4" w:space="0" w:color="auto"/>
              <w:bottom w:val="double" w:sz="4" w:space="0" w:color="auto"/>
              <w:right w:val="single" w:sz="4" w:space="0" w:color="auto"/>
            </w:tcBorders>
            <w:shd w:val="clear" w:color="auto" w:fill="auto"/>
            <w:vAlign w:val="center"/>
          </w:tcPr>
          <w:p w14:paraId="4634DF79" w14:textId="77777777" w:rsidR="007D00BA" w:rsidRPr="00AA105F" w:rsidRDefault="007D00BA" w:rsidP="00DE6661">
            <w:pPr>
              <w:pStyle w:val="TableText0"/>
              <w:keepLines/>
              <w:rPr>
                <w:rFonts w:cstheme="minorHAnsi"/>
                <w:szCs w:val="20"/>
              </w:rPr>
            </w:pPr>
            <w:r w:rsidRPr="00AA105F">
              <w:rPr>
                <w:rFonts w:cstheme="minorHAnsi"/>
                <w:szCs w:val="20"/>
              </w:rPr>
              <w:t>LINC 4</w:t>
            </w:r>
          </w:p>
        </w:tc>
        <w:tc>
          <w:tcPr>
            <w:tcW w:w="639" w:type="pct"/>
            <w:gridSpan w:val="2"/>
            <w:tcBorders>
              <w:top w:val="single" w:sz="4" w:space="0" w:color="auto"/>
              <w:left w:val="single" w:sz="4" w:space="0" w:color="auto"/>
              <w:bottom w:val="double" w:sz="4" w:space="0" w:color="auto"/>
              <w:right w:val="single" w:sz="4" w:space="0" w:color="auto"/>
            </w:tcBorders>
            <w:shd w:val="clear" w:color="auto" w:fill="B4C6E7" w:themeFill="accent1" w:themeFillTint="66"/>
            <w:vAlign w:val="center"/>
          </w:tcPr>
          <w:p w14:paraId="756DF26E" w14:textId="77777777" w:rsidR="007D00BA" w:rsidRPr="00AA105F" w:rsidRDefault="007D00BA" w:rsidP="00DE6661">
            <w:pPr>
              <w:pStyle w:val="TableText0"/>
              <w:keepLines/>
              <w:jc w:val="center"/>
              <w:rPr>
                <w:rFonts w:cstheme="minorHAnsi"/>
                <w:szCs w:val="20"/>
              </w:rPr>
            </w:pPr>
            <w:r w:rsidRPr="00AA105F">
              <w:rPr>
                <w:rFonts w:cstheme="minorHAnsi"/>
                <w:szCs w:val="20"/>
              </w:rPr>
              <w:t>39/48</w:t>
            </w:r>
          </w:p>
        </w:tc>
        <w:tc>
          <w:tcPr>
            <w:tcW w:w="712" w:type="pct"/>
            <w:tcBorders>
              <w:top w:val="single" w:sz="4" w:space="0" w:color="auto"/>
              <w:left w:val="single" w:sz="4" w:space="0" w:color="auto"/>
              <w:bottom w:val="double" w:sz="4" w:space="0" w:color="auto"/>
              <w:right w:val="single" w:sz="4" w:space="0" w:color="auto"/>
            </w:tcBorders>
            <w:shd w:val="clear" w:color="auto" w:fill="B4C6E7" w:themeFill="accent1" w:themeFillTint="66"/>
            <w:vAlign w:val="center"/>
          </w:tcPr>
          <w:p w14:paraId="15FA5F1F" w14:textId="77777777" w:rsidR="007D00BA" w:rsidRPr="00AA105F" w:rsidRDefault="007D00BA" w:rsidP="00DE6661">
            <w:pPr>
              <w:pStyle w:val="TableText0"/>
              <w:keepLines/>
              <w:jc w:val="center"/>
              <w:rPr>
                <w:rFonts w:cstheme="minorHAnsi"/>
                <w:szCs w:val="20"/>
              </w:rPr>
            </w:pPr>
            <w:r w:rsidRPr="00AA105F">
              <w:rPr>
                <w:rFonts w:cstheme="minorHAnsi"/>
                <w:szCs w:val="20"/>
              </w:rPr>
              <w:t>4/25</w:t>
            </w:r>
          </w:p>
        </w:tc>
        <w:tc>
          <w:tcPr>
            <w:tcW w:w="862" w:type="pct"/>
            <w:tcBorders>
              <w:top w:val="single" w:sz="4" w:space="0" w:color="auto"/>
              <w:left w:val="single" w:sz="4" w:space="0" w:color="auto"/>
              <w:bottom w:val="double" w:sz="4" w:space="0" w:color="auto"/>
              <w:right w:val="single" w:sz="4" w:space="0" w:color="auto"/>
            </w:tcBorders>
            <w:shd w:val="clear" w:color="auto" w:fill="B4C6E7" w:themeFill="accent1" w:themeFillTint="66"/>
            <w:vAlign w:val="center"/>
          </w:tcPr>
          <w:p w14:paraId="411FF729" w14:textId="77777777" w:rsidR="007D00BA" w:rsidRPr="00AA105F" w:rsidRDefault="007D00BA" w:rsidP="00DE6661">
            <w:pPr>
              <w:pStyle w:val="TableText0"/>
              <w:keepLines/>
              <w:jc w:val="center"/>
              <w:rPr>
                <w:rFonts w:cstheme="minorHAnsi"/>
                <w:iCs/>
                <w:szCs w:val="20"/>
              </w:rPr>
            </w:pPr>
            <w:r w:rsidRPr="00AA105F">
              <w:rPr>
                <w:rFonts w:cstheme="minorHAnsi"/>
                <w:b/>
                <w:bCs w:val="0"/>
                <w:szCs w:val="20"/>
              </w:rPr>
              <w:t>22.8 (6.25,82.79)</w:t>
            </w:r>
          </w:p>
        </w:tc>
        <w:tc>
          <w:tcPr>
            <w:tcW w:w="678" w:type="pct"/>
            <w:gridSpan w:val="2"/>
            <w:tcBorders>
              <w:top w:val="single" w:sz="4" w:space="0" w:color="auto"/>
              <w:left w:val="single" w:sz="4" w:space="0" w:color="auto"/>
              <w:bottom w:val="double" w:sz="4" w:space="0" w:color="auto"/>
              <w:right w:val="single" w:sz="4" w:space="0" w:color="auto"/>
            </w:tcBorders>
            <w:shd w:val="clear" w:color="auto" w:fill="B4C6E7" w:themeFill="accent1" w:themeFillTint="66"/>
            <w:vAlign w:val="center"/>
          </w:tcPr>
          <w:p w14:paraId="0259C401" w14:textId="77777777" w:rsidR="007D00BA" w:rsidRPr="00AA105F" w:rsidRDefault="007D00BA" w:rsidP="00DE6661">
            <w:pPr>
              <w:pStyle w:val="TableText0"/>
              <w:keepLines/>
              <w:jc w:val="center"/>
              <w:rPr>
                <w:rFonts w:cstheme="minorHAnsi"/>
                <w:szCs w:val="20"/>
              </w:rPr>
            </w:pPr>
            <w:r w:rsidRPr="00AA105F">
              <w:rPr>
                <w:rFonts w:cstheme="minorHAnsi"/>
                <w:szCs w:val="20"/>
              </w:rPr>
              <w:t>81.3</w:t>
            </w:r>
          </w:p>
        </w:tc>
        <w:tc>
          <w:tcPr>
            <w:tcW w:w="706" w:type="pct"/>
            <w:tcBorders>
              <w:top w:val="single" w:sz="4" w:space="0" w:color="auto"/>
              <w:left w:val="single" w:sz="4" w:space="0" w:color="auto"/>
              <w:bottom w:val="double" w:sz="4" w:space="0" w:color="auto"/>
              <w:right w:val="single" w:sz="4" w:space="0" w:color="auto"/>
            </w:tcBorders>
            <w:shd w:val="clear" w:color="auto" w:fill="B4C6E7" w:themeFill="accent1" w:themeFillTint="66"/>
            <w:vAlign w:val="center"/>
          </w:tcPr>
          <w:p w14:paraId="48C10140" w14:textId="77777777" w:rsidR="007D00BA" w:rsidRPr="00AA105F" w:rsidRDefault="007D00BA" w:rsidP="00DE6661">
            <w:pPr>
              <w:pStyle w:val="TableText0"/>
              <w:keepLines/>
              <w:jc w:val="center"/>
              <w:rPr>
                <w:rFonts w:cstheme="minorHAnsi"/>
                <w:szCs w:val="20"/>
              </w:rPr>
            </w:pPr>
            <w:r w:rsidRPr="00AA105F">
              <w:rPr>
                <w:rFonts w:cstheme="minorHAnsi"/>
                <w:szCs w:val="20"/>
              </w:rPr>
              <w:t>16.0</w:t>
            </w:r>
          </w:p>
        </w:tc>
        <w:tc>
          <w:tcPr>
            <w:tcW w:w="770" w:type="pct"/>
            <w:tcBorders>
              <w:top w:val="single" w:sz="4" w:space="0" w:color="auto"/>
              <w:left w:val="single" w:sz="4" w:space="0" w:color="auto"/>
              <w:bottom w:val="double" w:sz="4" w:space="0" w:color="auto"/>
              <w:right w:val="single" w:sz="4" w:space="0" w:color="auto"/>
            </w:tcBorders>
            <w:shd w:val="clear" w:color="auto" w:fill="B4C6E7" w:themeFill="accent1" w:themeFillTint="66"/>
            <w:vAlign w:val="center"/>
          </w:tcPr>
          <w:p w14:paraId="2F59D882" w14:textId="77777777" w:rsidR="007D00BA" w:rsidRPr="00AA105F" w:rsidRDefault="007D00BA" w:rsidP="00DE6661">
            <w:pPr>
              <w:pStyle w:val="TableText0"/>
              <w:keepLines/>
              <w:jc w:val="center"/>
              <w:rPr>
                <w:rFonts w:cstheme="minorHAnsi"/>
                <w:szCs w:val="20"/>
              </w:rPr>
            </w:pPr>
            <w:r w:rsidRPr="00AA105F">
              <w:rPr>
                <w:rFonts w:cstheme="minorHAnsi"/>
                <w:b/>
                <w:bCs w:val="0"/>
                <w:iCs/>
                <w:szCs w:val="20"/>
              </w:rPr>
              <w:t>0.65 (0.47, 0.83)</w:t>
            </w:r>
          </w:p>
        </w:tc>
      </w:tr>
      <w:tr w:rsidR="007D00BA" w:rsidRPr="007A4E7E" w14:paraId="65C5C2AA" w14:textId="77777777" w:rsidTr="008E5316">
        <w:trPr>
          <w:trHeight w:val="20"/>
        </w:trPr>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14:paraId="6A554F08" w14:textId="77777777" w:rsidR="007D00BA" w:rsidRPr="00AA105F" w:rsidRDefault="007D00BA" w:rsidP="00DE6661">
            <w:pPr>
              <w:pStyle w:val="In-tableHeading"/>
              <w:keepLines/>
              <w:rPr>
                <w:rFonts w:cstheme="minorHAnsi"/>
                <w:szCs w:val="20"/>
                <w:lang w:val="en-AU"/>
              </w:rPr>
            </w:pPr>
            <w:r w:rsidRPr="00AA105F">
              <w:rPr>
                <w:rFonts w:cstheme="minorHAnsi"/>
                <w:szCs w:val="20"/>
                <w:lang w:val="en-AU"/>
              </w:rPr>
              <w:t xml:space="preserve">Harms </w:t>
            </w:r>
          </w:p>
        </w:tc>
      </w:tr>
      <w:tr w:rsidR="007D00BA" w:rsidRPr="007A4E7E" w14:paraId="5377837A" w14:textId="77777777" w:rsidTr="008E5316">
        <w:trPr>
          <w:trHeight w:val="20"/>
        </w:trPr>
        <w:tc>
          <w:tcPr>
            <w:tcW w:w="63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9EF03" w14:textId="77777777" w:rsidR="007D00BA" w:rsidRPr="00AA105F" w:rsidRDefault="007D00BA" w:rsidP="00DE6661">
            <w:pPr>
              <w:pStyle w:val="In-tableHeading"/>
              <w:keepLines/>
              <w:rPr>
                <w:rFonts w:cstheme="minorHAnsi"/>
                <w:szCs w:val="20"/>
                <w:lang w:val="en-AU"/>
              </w:rPr>
            </w:pPr>
          </w:p>
        </w:tc>
        <w:tc>
          <w:tcPr>
            <w:tcW w:w="635" w:type="pct"/>
            <w:vMerge w:val="restart"/>
            <w:tcBorders>
              <w:top w:val="single" w:sz="4" w:space="0" w:color="auto"/>
              <w:left w:val="single" w:sz="4" w:space="0" w:color="auto"/>
              <w:bottom w:val="single" w:sz="4" w:space="0" w:color="auto"/>
              <w:right w:val="single" w:sz="4" w:space="0" w:color="auto"/>
            </w:tcBorders>
            <w:vAlign w:val="center"/>
          </w:tcPr>
          <w:p w14:paraId="53E33E93"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Osilodrostat</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14:paraId="4FE46A3D"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Placebo</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08CC8207"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RR</w:t>
            </w:r>
          </w:p>
          <w:p w14:paraId="28A4EE2F"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(95% CI)</w:t>
            </w:r>
          </w:p>
        </w:tc>
        <w:tc>
          <w:tcPr>
            <w:tcW w:w="1384" w:type="pct"/>
            <w:gridSpan w:val="3"/>
            <w:tcBorders>
              <w:top w:val="single" w:sz="4" w:space="0" w:color="auto"/>
              <w:left w:val="single" w:sz="4" w:space="0" w:color="auto"/>
              <w:bottom w:val="single" w:sz="4" w:space="0" w:color="auto"/>
              <w:right w:val="single" w:sz="4" w:space="0" w:color="auto"/>
            </w:tcBorders>
            <w:vAlign w:val="center"/>
          </w:tcPr>
          <w:p w14:paraId="5A5237EC"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Event rate/100 patients</w:t>
            </w: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1F383114"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RD</w:t>
            </w:r>
          </w:p>
          <w:p w14:paraId="49BF85A9"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(95% CI)</w:t>
            </w:r>
          </w:p>
        </w:tc>
      </w:tr>
      <w:tr w:rsidR="007D00BA" w:rsidRPr="007A4E7E" w14:paraId="0EF69E29" w14:textId="77777777" w:rsidTr="008E5316">
        <w:trPr>
          <w:trHeight w:val="20"/>
        </w:trPr>
        <w:tc>
          <w:tcPr>
            <w:tcW w:w="637"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AFBCC6B" w14:textId="77777777" w:rsidR="007D00BA" w:rsidRPr="00AA105F" w:rsidRDefault="007D00BA" w:rsidP="00DE6661">
            <w:pPr>
              <w:pStyle w:val="In-tableHeading"/>
              <w:keepLines/>
              <w:rPr>
                <w:rFonts w:cstheme="minorHAnsi"/>
                <w:szCs w:val="20"/>
                <w:lang w:val="en-AU"/>
              </w:rPr>
            </w:pPr>
          </w:p>
        </w:tc>
        <w:tc>
          <w:tcPr>
            <w:tcW w:w="635" w:type="pct"/>
            <w:vMerge/>
            <w:tcBorders>
              <w:top w:val="single" w:sz="4" w:space="0" w:color="auto"/>
              <w:left w:val="single" w:sz="4" w:space="0" w:color="auto"/>
              <w:bottom w:val="single" w:sz="4" w:space="0" w:color="auto"/>
              <w:right w:val="single" w:sz="4" w:space="0" w:color="auto"/>
            </w:tcBorders>
            <w:vAlign w:val="center"/>
          </w:tcPr>
          <w:p w14:paraId="18DDEA55" w14:textId="77777777" w:rsidR="007D00BA" w:rsidRPr="00AA105F" w:rsidRDefault="007D00BA" w:rsidP="00DE6661">
            <w:pPr>
              <w:pStyle w:val="In-tableHeading"/>
              <w:keepLines/>
              <w:rPr>
                <w:rFonts w:cstheme="minorHAnsi"/>
                <w:szCs w:val="20"/>
                <w:lang w:val="en-AU"/>
              </w:rPr>
            </w:pPr>
          </w:p>
        </w:tc>
        <w:tc>
          <w:tcPr>
            <w:tcW w:w="712" w:type="pct"/>
            <w:vMerge/>
            <w:tcBorders>
              <w:top w:val="single" w:sz="4" w:space="0" w:color="auto"/>
              <w:left w:val="single" w:sz="4" w:space="0" w:color="auto"/>
              <w:bottom w:val="single" w:sz="4" w:space="0" w:color="auto"/>
              <w:right w:val="single" w:sz="4" w:space="0" w:color="auto"/>
            </w:tcBorders>
            <w:vAlign w:val="center"/>
          </w:tcPr>
          <w:p w14:paraId="147380F8" w14:textId="77777777" w:rsidR="007D00BA" w:rsidRPr="00AA105F" w:rsidRDefault="007D00BA" w:rsidP="00DE6661">
            <w:pPr>
              <w:pStyle w:val="In-tableHeading"/>
              <w:keepLines/>
              <w:rPr>
                <w:rFonts w:cstheme="minorHAnsi"/>
                <w:szCs w:val="20"/>
                <w:lang w:val="en-AU"/>
              </w:rPr>
            </w:pPr>
          </w:p>
        </w:tc>
        <w:tc>
          <w:tcPr>
            <w:tcW w:w="862" w:type="pct"/>
            <w:vMerge/>
            <w:tcBorders>
              <w:top w:val="single" w:sz="4" w:space="0" w:color="auto"/>
              <w:left w:val="single" w:sz="4" w:space="0" w:color="auto"/>
              <w:bottom w:val="single" w:sz="4" w:space="0" w:color="auto"/>
              <w:right w:val="single" w:sz="4" w:space="0" w:color="auto"/>
            </w:tcBorders>
            <w:vAlign w:val="center"/>
          </w:tcPr>
          <w:p w14:paraId="2E276583" w14:textId="77777777" w:rsidR="007D00BA" w:rsidRPr="00AA105F" w:rsidRDefault="007D00BA" w:rsidP="00DE6661">
            <w:pPr>
              <w:pStyle w:val="In-tableHeading"/>
              <w:keepLines/>
              <w:rPr>
                <w:rFonts w:cstheme="minorHAnsi"/>
                <w:szCs w:val="20"/>
                <w:lang w:val="en-AU"/>
              </w:rPr>
            </w:pPr>
          </w:p>
        </w:tc>
        <w:tc>
          <w:tcPr>
            <w:tcW w:w="628" w:type="pct"/>
            <w:tcBorders>
              <w:top w:val="single" w:sz="4" w:space="0" w:color="auto"/>
              <w:left w:val="single" w:sz="4" w:space="0" w:color="auto"/>
              <w:bottom w:val="single" w:sz="4" w:space="0" w:color="auto"/>
              <w:right w:val="single" w:sz="4" w:space="0" w:color="auto"/>
            </w:tcBorders>
            <w:vAlign w:val="center"/>
          </w:tcPr>
          <w:p w14:paraId="386E2E01"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Osilodrostat</w:t>
            </w:r>
          </w:p>
        </w:tc>
        <w:tc>
          <w:tcPr>
            <w:tcW w:w="756" w:type="pct"/>
            <w:gridSpan w:val="2"/>
            <w:tcBorders>
              <w:top w:val="single" w:sz="4" w:space="0" w:color="auto"/>
              <w:left w:val="single" w:sz="4" w:space="0" w:color="auto"/>
              <w:bottom w:val="single" w:sz="4" w:space="0" w:color="auto"/>
              <w:right w:val="single" w:sz="4" w:space="0" w:color="auto"/>
            </w:tcBorders>
            <w:vAlign w:val="center"/>
          </w:tcPr>
          <w:p w14:paraId="75E7A6EA" w14:textId="77777777" w:rsidR="007D00BA" w:rsidRPr="00AA105F" w:rsidRDefault="007D00BA" w:rsidP="00DE6661">
            <w:pPr>
              <w:pStyle w:val="In-tableHeading"/>
              <w:keepLines/>
              <w:jc w:val="center"/>
              <w:rPr>
                <w:rFonts w:cstheme="minorHAnsi"/>
                <w:szCs w:val="20"/>
                <w:lang w:val="en-AU"/>
              </w:rPr>
            </w:pPr>
            <w:r w:rsidRPr="00AA105F">
              <w:rPr>
                <w:rFonts w:cstheme="minorHAnsi"/>
                <w:szCs w:val="20"/>
                <w:lang w:val="en-AU"/>
              </w:rPr>
              <w:t>Placebo</w:t>
            </w:r>
          </w:p>
        </w:tc>
        <w:tc>
          <w:tcPr>
            <w:tcW w:w="770" w:type="pct"/>
            <w:vMerge/>
            <w:tcBorders>
              <w:top w:val="single" w:sz="4" w:space="0" w:color="auto"/>
              <w:left w:val="single" w:sz="4" w:space="0" w:color="auto"/>
              <w:bottom w:val="single" w:sz="4" w:space="0" w:color="auto"/>
              <w:right w:val="single" w:sz="4" w:space="0" w:color="auto"/>
            </w:tcBorders>
            <w:vAlign w:val="center"/>
          </w:tcPr>
          <w:p w14:paraId="52FB54F2" w14:textId="77777777" w:rsidR="007D00BA" w:rsidRPr="00AA105F" w:rsidRDefault="007D00BA" w:rsidP="00DE6661">
            <w:pPr>
              <w:pStyle w:val="In-tableHeading"/>
              <w:keepLines/>
              <w:rPr>
                <w:rFonts w:cstheme="minorHAnsi"/>
                <w:szCs w:val="20"/>
                <w:lang w:val="en-AU"/>
              </w:rPr>
            </w:pPr>
          </w:p>
        </w:tc>
      </w:tr>
      <w:tr w:rsidR="007D00BA" w:rsidRPr="007A4E7E" w14:paraId="71B02FA8" w14:textId="77777777" w:rsidTr="008E5316">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261E40FF" w14:textId="77777777" w:rsidR="007D00BA" w:rsidRPr="00AA105F" w:rsidRDefault="007D00BA" w:rsidP="00DE6661">
            <w:pPr>
              <w:pStyle w:val="In-tableHeading"/>
              <w:keepLines/>
              <w:jc w:val="both"/>
              <w:rPr>
                <w:rFonts w:cstheme="minorHAnsi"/>
                <w:szCs w:val="20"/>
                <w:lang w:val="en-AU"/>
              </w:rPr>
            </w:pPr>
            <w:r w:rsidRPr="00AA105F">
              <w:rPr>
                <w:rFonts w:cstheme="minorHAnsi"/>
                <w:szCs w:val="20"/>
                <w:lang w:val="en-AU"/>
              </w:rPr>
              <w:t>AEs requiring additional therapy</w:t>
            </w:r>
          </w:p>
        </w:tc>
      </w:tr>
      <w:tr w:rsidR="007D00BA" w:rsidRPr="007A4E7E" w14:paraId="434D25DA" w14:textId="77777777" w:rsidTr="008E5316">
        <w:trPr>
          <w:trHeight w:val="20"/>
        </w:trPr>
        <w:tc>
          <w:tcPr>
            <w:tcW w:w="6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2122A4" w14:textId="77777777" w:rsidR="007D00BA" w:rsidRPr="00AA105F" w:rsidRDefault="007D00BA" w:rsidP="00DE6661">
            <w:pPr>
              <w:pStyle w:val="TableText0"/>
              <w:keepLines/>
              <w:rPr>
                <w:rFonts w:cstheme="minorHAnsi"/>
                <w:szCs w:val="20"/>
              </w:rPr>
            </w:pPr>
            <w:r w:rsidRPr="00AA105F">
              <w:rPr>
                <w:rFonts w:cstheme="minorHAnsi"/>
                <w:szCs w:val="20"/>
              </w:rPr>
              <w:t>LINC 4</w:t>
            </w:r>
          </w:p>
        </w:tc>
        <w:tc>
          <w:tcPr>
            <w:tcW w:w="63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3AA28E" w14:textId="77777777" w:rsidR="007D00BA" w:rsidRPr="00AA105F" w:rsidRDefault="007D00BA" w:rsidP="00DE6661">
            <w:pPr>
              <w:pStyle w:val="TableText0"/>
              <w:keepLines/>
              <w:jc w:val="center"/>
              <w:rPr>
                <w:rFonts w:cstheme="minorHAnsi"/>
                <w:szCs w:val="20"/>
              </w:rPr>
            </w:pPr>
            <w:r w:rsidRPr="00AA105F">
              <w:rPr>
                <w:rFonts w:cstheme="minorHAnsi"/>
                <w:szCs w:val="20"/>
              </w:rPr>
              <w:t>37/48</w:t>
            </w:r>
          </w:p>
        </w:tc>
        <w:tc>
          <w:tcPr>
            <w:tcW w:w="71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57AE52C" w14:textId="77777777" w:rsidR="007D00BA" w:rsidRPr="00AA105F" w:rsidRDefault="007D00BA" w:rsidP="00DE6661">
            <w:pPr>
              <w:pStyle w:val="TableText0"/>
              <w:keepLines/>
              <w:jc w:val="center"/>
              <w:rPr>
                <w:rFonts w:cstheme="minorHAnsi"/>
                <w:szCs w:val="20"/>
              </w:rPr>
            </w:pPr>
            <w:r w:rsidRPr="00AA105F">
              <w:rPr>
                <w:rFonts w:cstheme="minorHAnsi"/>
                <w:szCs w:val="20"/>
              </w:rPr>
              <w:t>11/25</w:t>
            </w:r>
          </w:p>
        </w:tc>
        <w:tc>
          <w:tcPr>
            <w:tcW w:w="86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6B69CAE" w14:textId="77777777" w:rsidR="007D00BA" w:rsidRPr="00AA105F" w:rsidRDefault="007D00BA" w:rsidP="00DE6661">
            <w:pPr>
              <w:pStyle w:val="TableText0"/>
              <w:keepLines/>
              <w:jc w:val="center"/>
              <w:rPr>
                <w:rFonts w:cstheme="minorHAnsi"/>
                <w:szCs w:val="20"/>
              </w:rPr>
            </w:pPr>
            <w:r w:rsidRPr="00AA105F">
              <w:rPr>
                <w:rFonts w:cstheme="minorHAnsi"/>
                <w:b/>
                <w:szCs w:val="20"/>
              </w:rPr>
              <w:t>1.75 (1.10, 2.80)</w:t>
            </w:r>
          </w:p>
        </w:tc>
        <w:tc>
          <w:tcPr>
            <w:tcW w:w="62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6A594ED" w14:textId="77777777" w:rsidR="007D00BA" w:rsidRPr="00AA105F" w:rsidRDefault="007D00BA" w:rsidP="00DE6661">
            <w:pPr>
              <w:pStyle w:val="TableText0"/>
              <w:keepLines/>
              <w:jc w:val="center"/>
              <w:rPr>
                <w:rFonts w:cstheme="minorHAnsi"/>
                <w:szCs w:val="20"/>
              </w:rPr>
            </w:pPr>
            <w:r w:rsidRPr="00AA105F">
              <w:rPr>
                <w:rFonts w:cstheme="minorHAnsi"/>
                <w:szCs w:val="20"/>
              </w:rPr>
              <w:t>77.1</w:t>
            </w:r>
          </w:p>
        </w:tc>
        <w:tc>
          <w:tcPr>
            <w:tcW w:w="756"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94F4081" w14:textId="77777777" w:rsidR="007D00BA" w:rsidRPr="00AA105F" w:rsidRDefault="007D00BA" w:rsidP="00DE6661">
            <w:pPr>
              <w:pStyle w:val="TableText0"/>
              <w:keepLines/>
              <w:jc w:val="center"/>
              <w:rPr>
                <w:rFonts w:cstheme="minorHAnsi"/>
                <w:szCs w:val="20"/>
              </w:rPr>
            </w:pPr>
            <w:r w:rsidRPr="00AA105F">
              <w:rPr>
                <w:rFonts w:cstheme="minorHAnsi"/>
                <w:szCs w:val="20"/>
              </w:rPr>
              <w:t>44.0</w:t>
            </w:r>
          </w:p>
        </w:tc>
        <w:tc>
          <w:tcPr>
            <w:tcW w:w="77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06A9117" w14:textId="77777777" w:rsidR="007D00BA" w:rsidRPr="00AA105F" w:rsidRDefault="007D00BA" w:rsidP="00DE6661">
            <w:pPr>
              <w:pStyle w:val="TableText0"/>
              <w:keepLines/>
              <w:jc w:val="center"/>
              <w:rPr>
                <w:rFonts w:cstheme="minorHAnsi"/>
                <w:b/>
                <w:bCs w:val="0"/>
                <w:szCs w:val="20"/>
              </w:rPr>
            </w:pPr>
            <w:r w:rsidRPr="00AA105F">
              <w:rPr>
                <w:rFonts w:cstheme="minorHAnsi"/>
                <w:b/>
                <w:bCs w:val="0"/>
                <w:szCs w:val="20"/>
              </w:rPr>
              <w:t>0.33 (0.10, 0.56)</w:t>
            </w:r>
          </w:p>
        </w:tc>
      </w:tr>
      <w:tr w:rsidR="007D00BA" w:rsidRPr="007A4E7E" w14:paraId="237D85D7" w14:textId="77777777" w:rsidTr="008E5316">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1B1F7D6" w14:textId="77777777" w:rsidR="007D00BA" w:rsidRPr="00AA105F" w:rsidRDefault="007D00BA" w:rsidP="00DE6661">
            <w:pPr>
              <w:pStyle w:val="TableText0"/>
              <w:keepLines/>
              <w:rPr>
                <w:rFonts w:cstheme="minorHAnsi"/>
                <w:b/>
                <w:szCs w:val="20"/>
              </w:rPr>
            </w:pPr>
            <w:r w:rsidRPr="00AA105F">
              <w:rPr>
                <w:rFonts w:cstheme="minorHAnsi"/>
                <w:b/>
                <w:szCs w:val="20"/>
              </w:rPr>
              <w:t>Hypocortisolism-related AEs</w:t>
            </w:r>
          </w:p>
        </w:tc>
      </w:tr>
      <w:tr w:rsidR="007D00BA" w:rsidRPr="007A4E7E" w14:paraId="49FDF882" w14:textId="77777777" w:rsidTr="008E5316">
        <w:trPr>
          <w:trHeight w:val="20"/>
        </w:trPr>
        <w:tc>
          <w:tcPr>
            <w:tcW w:w="6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44C52" w14:textId="77777777" w:rsidR="007D00BA" w:rsidRPr="00AA105F" w:rsidRDefault="007D00BA" w:rsidP="00DE6661">
            <w:pPr>
              <w:pStyle w:val="TableText0"/>
              <w:keepLines/>
              <w:rPr>
                <w:rFonts w:cstheme="minorHAnsi"/>
                <w:szCs w:val="20"/>
              </w:rPr>
            </w:pPr>
            <w:r w:rsidRPr="00AA105F">
              <w:rPr>
                <w:rFonts w:cstheme="minorHAnsi"/>
                <w:szCs w:val="20"/>
              </w:rPr>
              <w:t>LINC 4</w:t>
            </w:r>
          </w:p>
        </w:tc>
        <w:tc>
          <w:tcPr>
            <w:tcW w:w="63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B70ADA5" w14:textId="77777777" w:rsidR="007D00BA" w:rsidRPr="00AA105F" w:rsidRDefault="007D00BA" w:rsidP="00DE6661">
            <w:pPr>
              <w:pStyle w:val="TableText0"/>
              <w:keepLines/>
              <w:jc w:val="center"/>
              <w:rPr>
                <w:rFonts w:cstheme="minorHAnsi"/>
                <w:szCs w:val="20"/>
              </w:rPr>
            </w:pPr>
            <w:r w:rsidRPr="00AA105F">
              <w:rPr>
                <w:rFonts w:cstheme="minorHAnsi"/>
                <w:szCs w:val="20"/>
              </w:rPr>
              <w:t>7/48</w:t>
            </w:r>
          </w:p>
        </w:tc>
        <w:tc>
          <w:tcPr>
            <w:tcW w:w="71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C27432" w14:textId="77777777" w:rsidR="007D00BA" w:rsidRPr="00AA105F" w:rsidRDefault="007D00BA" w:rsidP="00DE6661">
            <w:pPr>
              <w:pStyle w:val="TableText0"/>
              <w:keepLines/>
              <w:jc w:val="center"/>
              <w:rPr>
                <w:rFonts w:cstheme="minorHAnsi"/>
                <w:szCs w:val="20"/>
              </w:rPr>
            </w:pPr>
            <w:r w:rsidRPr="00AA105F">
              <w:rPr>
                <w:rFonts w:cstheme="minorHAnsi"/>
                <w:szCs w:val="20"/>
              </w:rPr>
              <w:t>0</w:t>
            </w:r>
          </w:p>
        </w:tc>
        <w:tc>
          <w:tcPr>
            <w:tcW w:w="86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AF099AD" w14:textId="77777777" w:rsidR="007D00BA" w:rsidRPr="00AA105F" w:rsidRDefault="007D00BA" w:rsidP="00DE6661">
            <w:pPr>
              <w:pStyle w:val="TableText0"/>
              <w:keepLines/>
              <w:jc w:val="center"/>
              <w:rPr>
                <w:rFonts w:cstheme="minorHAnsi"/>
                <w:b/>
                <w:szCs w:val="20"/>
              </w:rPr>
            </w:pPr>
            <w:r w:rsidRPr="00AA105F">
              <w:rPr>
                <w:rFonts w:cstheme="minorHAnsi"/>
                <w:szCs w:val="20"/>
              </w:rPr>
              <w:t>7.89 (0.47, 132.61)</w:t>
            </w:r>
          </w:p>
        </w:tc>
        <w:tc>
          <w:tcPr>
            <w:tcW w:w="62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B4450D2" w14:textId="77777777" w:rsidR="007D00BA" w:rsidRPr="00AA105F" w:rsidRDefault="007D00BA" w:rsidP="00DE6661">
            <w:pPr>
              <w:pStyle w:val="TableText0"/>
              <w:keepLines/>
              <w:jc w:val="center"/>
              <w:rPr>
                <w:rFonts w:cstheme="minorHAnsi"/>
                <w:szCs w:val="20"/>
              </w:rPr>
            </w:pPr>
            <w:r w:rsidRPr="00AA105F">
              <w:rPr>
                <w:rFonts w:cstheme="minorHAnsi"/>
                <w:szCs w:val="20"/>
              </w:rPr>
              <w:t>14.6</w:t>
            </w:r>
          </w:p>
        </w:tc>
        <w:tc>
          <w:tcPr>
            <w:tcW w:w="756"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6DD735D" w14:textId="77777777" w:rsidR="007D00BA" w:rsidRPr="00AA105F" w:rsidRDefault="007D00BA" w:rsidP="00DE6661">
            <w:pPr>
              <w:pStyle w:val="TableText0"/>
              <w:keepLines/>
              <w:jc w:val="center"/>
              <w:rPr>
                <w:rFonts w:cstheme="minorHAnsi"/>
                <w:szCs w:val="20"/>
              </w:rPr>
            </w:pPr>
            <w:r w:rsidRPr="00AA105F">
              <w:rPr>
                <w:rFonts w:cstheme="minorHAnsi"/>
                <w:szCs w:val="20"/>
              </w:rPr>
              <w:t>-</w:t>
            </w:r>
          </w:p>
        </w:tc>
        <w:tc>
          <w:tcPr>
            <w:tcW w:w="77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89F7FFD" w14:textId="77777777" w:rsidR="007D00BA" w:rsidRPr="00AA105F" w:rsidRDefault="007D00BA" w:rsidP="00DE6661">
            <w:pPr>
              <w:pStyle w:val="TableText0"/>
              <w:keepLines/>
              <w:jc w:val="center"/>
              <w:rPr>
                <w:rFonts w:cstheme="minorHAnsi"/>
                <w:b/>
                <w:bCs w:val="0"/>
                <w:szCs w:val="20"/>
              </w:rPr>
            </w:pPr>
            <w:r w:rsidRPr="00AA105F">
              <w:rPr>
                <w:rFonts w:cstheme="minorHAnsi"/>
                <w:b/>
                <w:szCs w:val="20"/>
              </w:rPr>
              <w:t>0.15 (0.03, 0.26)</w:t>
            </w:r>
          </w:p>
        </w:tc>
      </w:tr>
    </w:tbl>
    <w:p w14:paraId="2F3366C6" w14:textId="28C75FD4" w:rsidR="007D00BA" w:rsidRPr="007A4E7E" w:rsidRDefault="007D00BA" w:rsidP="00DE6661">
      <w:pPr>
        <w:pStyle w:val="FooterTableFigure"/>
        <w:keepNext/>
        <w:keepLines/>
        <w:rPr>
          <w:sz w:val="20"/>
        </w:rPr>
      </w:pPr>
      <w:r w:rsidRPr="007A4E7E">
        <w:t>Source: Table 2.5-2; Table 2.5-55 of the resubmission</w:t>
      </w:r>
    </w:p>
    <w:p w14:paraId="61FA81B6" w14:textId="77777777" w:rsidR="007D00BA" w:rsidRPr="007A4E7E" w:rsidRDefault="007D00BA" w:rsidP="00DE6661">
      <w:pPr>
        <w:pStyle w:val="FooterTableFigure"/>
        <w:keepNext/>
        <w:keepLines/>
      </w:pPr>
      <w:r w:rsidRPr="007A4E7E">
        <w:t>AE = adverse events; OR = odds ratio; RD = risk difference; RR = risk ratio</w:t>
      </w:r>
    </w:p>
    <w:p w14:paraId="624EFD67" w14:textId="77777777" w:rsidR="007D00BA" w:rsidRPr="007A4E7E" w:rsidRDefault="007D00BA" w:rsidP="00DE6661">
      <w:pPr>
        <w:pStyle w:val="FooterTableFigure"/>
        <w:keepNext/>
        <w:keepLines/>
        <w:tabs>
          <w:tab w:val="left" w:pos="142"/>
        </w:tabs>
        <w:rPr>
          <w:iCs/>
        </w:rPr>
      </w:pPr>
      <w:proofErr w:type="spellStart"/>
      <w:r w:rsidRPr="007A4E7E">
        <w:rPr>
          <w:iCs/>
          <w:vertAlign w:val="superscript"/>
        </w:rPr>
        <w:t>a</w:t>
      </w:r>
      <w:proofErr w:type="spellEnd"/>
      <w:r w:rsidRPr="007A4E7E">
        <w:rPr>
          <w:iCs/>
        </w:rPr>
        <w:t xml:space="preserve"> For the comparison of osilodrostat and placebo the resubmission calculated RD, RR, and OR </w:t>
      </w:r>
      <w:r w:rsidRPr="007A4E7E">
        <w:rPr>
          <w:i/>
        </w:rPr>
        <w:t>post hoc</w:t>
      </w:r>
      <w:r w:rsidRPr="007A4E7E">
        <w:rPr>
          <w:iCs/>
        </w:rPr>
        <w:t xml:space="preserve"> using R(v.4.1.0)</w:t>
      </w:r>
      <w:r w:rsidRPr="007A4E7E">
        <w:t xml:space="preserve"> </w:t>
      </w:r>
      <w:r w:rsidRPr="007A4E7E">
        <w:rPr>
          <w:iCs/>
        </w:rPr>
        <w:t xml:space="preserve">) with the Meta </w:t>
      </w:r>
      <w:r w:rsidRPr="007A4E7E">
        <w:rPr>
          <w:iCs/>
        </w:rPr>
        <w:tab/>
        <w:t>package (v.4.18 2)</w:t>
      </w:r>
    </w:p>
    <w:p w14:paraId="0B5C53E7" w14:textId="77777777" w:rsidR="007D00BA" w:rsidRPr="007A4E7E" w:rsidRDefault="007D00BA" w:rsidP="00DE6661">
      <w:pPr>
        <w:pStyle w:val="FooterTableFigure"/>
        <w:keepNext/>
        <w:keepLines/>
        <w:tabs>
          <w:tab w:val="left" w:pos="142"/>
        </w:tabs>
        <w:ind w:left="142" w:hanging="142"/>
      </w:pPr>
      <w:r w:rsidRPr="007A4E7E">
        <w:rPr>
          <w:vertAlign w:val="superscript"/>
        </w:rPr>
        <w:t>b</w:t>
      </w:r>
      <w:r w:rsidRPr="007A4E7E">
        <w:t xml:space="preserve"> Overall response</w:t>
      </w:r>
      <w:r w:rsidRPr="007A4E7E">
        <w:rPr>
          <w:rFonts w:ascii="Calibri" w:hAnsi="Calibri" w:cs="Calibri"/>
        </w:rPr>
        <w:t xml:space="preserve"> </w:t>
      </w:r>
      <w:r w:rsidRPr="007A4E7E">
        <w:t>defined as either normalisation of mean urinary free cortisol (complete response) or ≥50% reduction in mean urinary free cortisol from baseline but mean urinary free cortisol is still higher than upper limit of normal (partial response)</w:t>
      </w:r>
    </w:p>
    <w:p w14:paraId="700B8594" w14:textId="77777777" w:rsidR="007D00BA" w:rsidRPr="007A4E7E" w:rsidRDefault="007D00BA" w:rsidP="00DE6661">
      <w:pPr>
        <w:pStyle w:val="FooterTableFigure"/>
        <w:keepNext/>
        <w:keepLines/>
        <w:tabs>
          <w:tab w:val="left" w:pos="142"/>
        </w:tabs>
        <w:rPr>
          <w:rFonts w:eastAsia="Calibri"/>
          <w:iCs/>
        </w:rPr>
      </w:pPr>
      <w:r w:rsidRPr="007A4E7E">
        <w:rPr>
          <w:rFonts w:eastAsia="Calibri"/>
          <w:b/>
          <w:bCs/>
          <w:iCs/>
        </w:rPr>
        <w:t xml:space="preserve">Bold </w:t>
      </w:r>
      <w:r w:rsidRPr="007A4E7E">
        <w:rPr>
          <w:rFonts w:eastAsia="Calibri"/>
          <w:iCs/>
        </w:rPr>
        <w:t xml:space="preserve">indicates a difference in which the 95% confidence interval does not include no difference. </w:t>
      </w:r>
    </w:p>
    <w:p w14:paraId="0510759B" w14:textId="77777777" w:rsidR="007D00BA" w:rsidRPr="007A4E7E" w:rsidRDefault="007D00BA" w:rsidP="00DE6661">
      <w:pPr>
        <w:pStyle w:val="FooterTableFigure"/>
        <w:keepNext/>
        <w:rPr>
          <w:sz w:val="20"/>
        </w:rPr>
      </w:pPr>
      <w:r w:rsidRPr="007A4E7E">
        <w:rPr>
          <w:shd w:val="clear" w:color="auto" w:fill="D9E2F3" w:themeFill="accent1" w:themeFillTint="33"/>
        </w:rPr>
        <w:t>Blue shade</w:t>
      </w:r>
      <w:r w:rsidRPr="007A4E7E">
        <w:t xml:space="preserve"> indicates information previously considered by the PBAC</w:t>
      </w:r>
    </w:p>
    <w:p w14:paraId="637C7214" w14:textId="77777777" w:rsidR="007D00BA" w:rsidRPr="007A4E7E" w:rsidRDefault="007D00BA" w:rsidP="007D00BA">
      <w:pPr>
        <w:pStyle w:val="ExecSumBodyText"/>
        <w:numPr>
          <w:ilvl w:val="1"/>
          <w:numId w:val="1"/>
        </w:numPr>
      </w:pPr>
      <w:r w:rsidRPr="007A4E7E">
        <w:t>On the basis of direct evidence presented by the submission, for every 100 patients treated with osilodrostat in comparison with placebo over a 12-week treatment period:</w:t>
      </w:r>
    </w:p>
    <w:p w14:paraId="38316100" w14:textId="77777777" w:rsidR="007D00BA" w:rsidRPr="007A4E7E" w:rsidRDefault="007D00BA" w:rsidP="007D00BA">
      <w:pPr>
        <w:pStyle w:val="Bulletpoints"/>
        <w:ind w:left="1080"/>
        <w:contextualSpacing w:val="0"/>
      </w:pPr>
      <w:r w:rsidRPr="007A4E7E">
        <w:lastRenderedPageBreak/>
        <w:t>Approximately 65 additional patients would have either a complete response (normalisation of mean urinary free cortisol) or partial response (≥50% reduction in mean urinary free cortisol from baseline but mean urinary free cortisol is still higher than upper limit of normal);</w:t>
      </w:r>
    </w:p>
    <w:p w14:paraId="596320E1" w14:textId="77777777" w:rsidR="007D00BA" w:rsidRPr="007A4E7E" w:rsidRDefault="007D00BA" w:rsidP="007D00BA">
      <w:pPr>
        <w:pStyle w:val="Bulletpoints"/>
        <w:ind w:left="1080"/>
        <w:contextualSpacing w:val="0"/>
      </w:pPr>
      <w:r w:rsidRPr="007A4E7E">
        <w:t>Approximately 33 additional patients would experience AEs requiring additional therapy; and</w:t>
      </w:r>
    </w:p>
    <w:p w14:paraId="4AF13673" w14:textId="77777777" w:rsidR="007D00BA" w:rsidRPr="007A4E7E" w:rsidRDefault="007D00BA" w:rsidP="007D00BA">
      <w:pPr>
        <w:pStyle w:val="Bulletpoints"/>
        <w:ind w:left="1080"/>
        <w:contextualSpacing w:val="0"/>
      </w:pPr>
      <w:r w:rsidRPr="007A4E7E">
        <w:t>Approximately 15 additional patients would experience hypocortisolism-related AEs.</w:t>
      </w:r>
    </w:p>
    <w:p w14:paraId="22C2A409" w14:textId="77777777" w:rsidR="007D00BA" w:rsidRPr="007A4E7E" w:rsidRDefault="007D00BA" w:rsidP="007D00BA">
      <w:pPr>
        <w:pStyle w:val="4-SubsectionHeading"/>
      </w:pPr>
      <w:bookmarkStart w:id="42" w:name="_Toc156988659"/>
      <w:r w:rsidRPr="007A4E7E">
        <w:t>Clinical claim</w:t>
      </w:r>
      <w:bookmarkEnd w:id="42"/>
    </w:p>
    <w:p w14:paraId="201BA0F9" w14:textId="2D388E86" w:rsidR="007D00BA" w:rsidRPr="007A4E7E" w:rsidRDefault="007D00BA" w:rsidP="007D00BA">
      <w:pPr>
        <w:pStyle w:val="ExecSumBodyText"/>
        <w:numPr>
          <w:ilvl w:val="1"/>
          <w:numId w:val="1"/>
        </w:numPr>
        <w:rPr>
          <w:rFonts w:eastAsia="Calibri"/>
        </w:rPr>
      </w:pPr>
      <w:r w:rsidRPr="007A4E7E">
        <w:t>The resubmission described osilodrostat as superior in terms of effectiveness compared with placebo and non-inferior in terms of safety compared to placebo. The therapeutic conclusion presented in the resubmission was adequately supported by the evidence. The PBAC has previously “accepted the clinical claim of superior comparative effectiveness of osilodrostat to placebo for the surrogate outcome of complete response of UFC [at 12 weeks]” (paragraph 7.8, osilodrostat, PSD, March</w:t>
      </w:r>
      <w:r w:rsidR="00AA105F">
        <w:t> </w:t>
      </w:r>
      <w:r w:rsidRPr="007A4E7E">
        <w:t>2023 PBAC meeting) and “…accepted that the claim of non-inferiority safety to placebo was reasonable” (paragraph 7.9, osilodrostat, PSD, March 2023 PBAC meeting). The restriction in the resubmission proposed complete or partial response (overall response) be used to qualify for continuing therapy beyond the initial 6</w:t>
      </w:r>
      <w:r w:rsidR="00AA105F">
        <w:t> </w:t>
      </w:r>
      <w:r w:rsidRPr="007A4E7E">
        <w:t xml:space="preserve">months phase. The overall response data also supports the clinical claim, with 2 additional patients in each arm with an overall response at 12 weeks in </w:t>
      </w:r>
      <w:r w:rsidR="00AA105F" w:rsidRPr="007A4E7E">
        <w:t>LINC</w:t>
      </w:r>
      <w:r w:rsidR="00AA105F">
        <w:t> </w:t>
      </w:r>
      <w:r w:rsidRPr="007A4E7E">
        <w:t>4 compared to complete response.</w:t>
      </w:r>
    </w:p>
    <w:p w14:paraId="5EFB30AB" w14:textId="77777777" w:rsidR="007D00BA" w:rsidRPr="007A4E7E" w:rsidRDefault="007D00BA" w:rsidP="007D00BA">
      <w:pPr>
        <w:pStyle w:val="ExecSumBodyText"/>
        <w:numPr>
          <w:ilvl w:val="1"/>
          <w:numId w:val="1"/>
        </w:numPr>
        <w:rPr>
          <w:rFonts w:eastAsia="Calibri"/>
          <w:iCs/>
        </w:rPr>
      </w:pPr>
      <w:r w:rsidRPr="007A4E7E">
        <w:rPr>
          <w:iCs/>
        </w:rPr>
        <w:t>The PBAC had previously considered that despite the limitations of the evidence, it was biologically plausible that if a patient is tolerating and responding to osilodrostat, that the response would be maintained (paragraph 7.9, osilodrostat, PSD, March 2023 PBAC meeting). The economic analysis uses the EOT extension data to support this.</w:t>
      </w:r>
    </w:p>
    <w:p w14:paraId="65870382" w14:textId="77777777" w:rsidR="007D00BA" w:rsidRPr="007A4E7E" w:rsidRDefault="007D00BA" w:rsidP="007D00BA">
      <w:pPr>
        <w:pStyle w:val="ExecSumBodyText"/>
        <w:numPr>
          <w:ilvl w:val="1"/>
          <w:numId w:val="1"/>
        </w:numPr>
        <w:rPr>
          <w:rFonts w:eastAsia="Calibri"/>
          <w:iCs/>
        </w:rPr>
      </w:pPr>
      <w:r w:rsidRPr="007A4E7E">
        <w:rPr>
          <w:iCs/>
        </w:rPr>
        <w:t>The EOT extension data suggested that improvements in effectiveness and QoL outcomes could potentially be maintained but were possibly confounded by selection bias in the extension periods. Consistently, the resubmission’s analyses of responders suggested that for patients treated with osilodrostat, response could be achieved and maintained in the longer-term with the median DoR being 1.34 years among patients who achieved CR or PR after 26 weeks of treatment in LINC 4 post</w:t>
      </w:r>
      <w:r w:rsidRPr="007A4E7E">
        <w:rPr>
          <w:iCs/>
        </w:rPr>
        <w:noBreakHyphen/>
        <w:t xml:space="preserve">hoc analysis. However, the QoL analysis from the subgroup of patients with a baseline mUFC&gt;1.3xULN who were randomised to osilodrostat in LINC 4 should be interpreted with caution due to the small sample size and the difference in baseline utility between the subgroup analysis with the FAS population as well as between responder and non-responders. </w:t>
      </w:r>
    </w:p>
    <w:p w14:paraId="079E87F1" w14:textId="42A8FAD5" w:rsidR="007D00BA" w:rsidRPr="007A4E7E" w:rsidRDefault="007D00BA" w:rsidP="007D00BA">
      <w:pPr>
        <w:pStyle w:val="ExecSumBodyText"/>
        <w:numPr>
          <w:ilvl w:val="1"/>
          <w:numId w:val="1"/>
        </w:numPr>
        <w:rPr>
          <w:rFonts w:eastAsia="Calibri"/>
          <w:iCs/>
        </w:rPr>
      </w:pPr>
      <w:r w:rsidRPr="007A4E7E">
        <w:rPr>
          <w:iCs/>
        </w:rPr>
        <w:t xml:space="preserve">Overall, the limitations of the evidence (e.g., </w:t>
      </w:r>
      <w:proofErr w:type="gramStart"/>
      <w:r w:rsidRPr="007A4E7E">
        <w:rPr>
          <w:iCs/>
        </w:rPr>
        <w:t>short randomised</w:t>
      </w:r>
      <w:proofErr w:type="gramEnd"/>
      <w:r w:rsidRPr="007A4E7E">
        <w:rPr>
          <w:iCs/>
        </w:rPr>
        <w:t xml:space="preserve"> periods, high risk of bias in OL phases, small sample sizes, reliance on post-hoc analyses) created uncertainty around the duration and magnitude of the long-term incremental benefit </w:t>
      </w:r>
      <w:r w:rsidRPr="007A4E7E">
        <w:rPr>
          <w:iCs/>
        </w:rPr>
        <w:lastRenderedPageBreak/>
        <w:t xml:space="preserve">of osilodrostat over placebo which the resubmission was not able to fully address. However, the ESC agreed with the </w:t>
      </w:r>
      <w:r w:rsidR="00954C53">
        <w:rPr>
          <w:iCs/>
        </w:rPr>
        <w:t>prior</w:t>
      </w:r>
      <w:r w:rsidR="00954C53" w:rsidRPr="007A4E7E">
        <w:rPr>
          <w:iCs/>
        </w:rPr>
        <w:t xml:space="preserve"> </w:t>
      </w:r>
      <w:r w:rsidRPr="007A4E7E">
        <w:rPr>
          <w:iCs/>
        </w:rPr>
        <w:t xml:space="preserve">PBAC consideration that patients who tolerate and respond to osilodrostat would likely achieve and maintain improvements in CS symptoms and comorbidities, acknowledging that improvements are gradual with clinical benefit usually observed after a year of treatment given the considerable amount of time to adapt to normal cortisol levels (paragraph 7.8, osilodrostat, PSD, March 2023 PBAC meeting). </w:t>
      </w:r>
    </w:p>
    <w:p w14:paraId="67D1E9BC" w14:textId="77777777" w:rsidR="007D00BA" w:rsidRPr="007A4E7E" w:rsidRDefault="007D00BA" w:rsidP="007D00BA">
      <w:pPr>
        <w:pStyle w:val="ExecSumBodyText"/>
        <w:numPr>
          <w:ilvl w:val="1"/>
          <w:numId w:val="1"/>
        </w:numPr>
        <w:rPr>
          <w:rFonts w:eastAsia="Calibri"/>
          <w:iCs/>
        </w:rPr>
      </w:pPr>
      <w:r w:rsidRPr="007A4E7E">
        <w:rPr>
          <w:iCs/>
        </w:rPr>
        <w:t>The evidence supporting the claim of non-inferior safety of osilodrostat compared to placebo was consistent with the previous submission and was appropriate. Additional details of the patient experience with pituitary tumour enlargement-related AEs suggested that at least half of these events were serious and of Grade</w:t>
      </w:r>
      <w:r w:rsidRPr="007A4E7E">
        <w:rPr>
          <w:rFonts w:cs="Calibri"/>
          <w:iCs/>
        </w:rPr>
        <w:t>≥</w:t>
      </w:r>
      <w:r w:rsidRPr="007A4E7E">
        <w:rPr>
          <w:iCs/>
        </w:rPr>
        <w:t>3, and patients were treated with pituitary surgery or radiotherapy which were resolved soon after.</w:t>
      </w:r>
    </w:p>
    <w:p w14:paraId="7B00D28B" w14:textId="77777777" w:rsidR="007D00BA" w:rsidRPr="007A4E7E" w:rsidRDefault="007D00BA" w:rsidP="007D00BA">
      <w:pPr>
        <w:pStyle w:val="ExecSumBodyText"/>
        <w:numPr>
          <w:ilvl w:val="1"/>
          <w:numId w:val="1"/>
        </w:numPr>
        <w:rPr>
          <w:rFonts w:eastAsia="Calibri"/>
          <w:iCs/>
        </w:rPr>
      </w:pPr>
      <w:r w:rsidRPr="007A4E7E">
        <w:rPr>
          <w:iCs/>
        </w:rPr>
        <w:t>Despite the obvious limitations of the data, given the rarity of endogenous CS and the high unmet clinical need, the ESC considered that the claim of superiority in terms of effectiveness and non-inferiority in terms of safety compared to placebo was reasonable, and that additional retrospective studies detailing the impact of long-term sustained remission from hypercortisolism on cardiovascular and metabolic outcomes supported the clinical benefit of effective chronic therapy.</w:t>
      </w:r>
    </w:p>
    <w:p w14:paraId="699A2B5C" w14:textId="77777777" w:rsidR="007D00BA" w:rsidRPr="007A4E7E" w:rsidRDefault="007D00BA" w:rsidP="007D00BA">
      <w:pPr>
        <w:widowControl w:val="0"/>
        <w:numPr>
          <w:ilvl w:val="1"/>
          <w:numId w:val="1"/>
        </w:numPr>
        <w:spacing w:after="120"/>
        <w:ind w:left="720" w:hanging="720"/>
        <w:rPr>
          <w:rFonts w:asciiTheme="minorHAnsi" w:hAnsiTheme="minorHAnsi"/>
          <w:snapToGrid w:val="0"/>
          <w:szCs w:val="20"/>
        </w:rPr>
      </w:pPr>
      <w:bookmarkStart w:id="43" w:name="_Hlk76376200"/>
      <w:r w:rsidRPr="007A4E7E">
        <w:rPr>
          <w:rFonts w:asciiTheme="minorHAnsi" w:hAnsiTheme="minorHAnsi"/>
          <w:iCs/>
          <w:snapToGrid w:val="0"/>
        </w:rPr>
        <w:t>The</w:t>
      </w:r>
      <w:r w:rsidRPr="007A4E7E">
        <w:rPr>
          <w:rFonts w:asciiTheme="minorHAnsi" w:hAnsiTheme="minorHAnsi"/>
          <w:snapToGrid w:val="0"/>
          <w:szCs w:val="20"/>
        </w:rPr>
        <w:t xml:space="preserve"> PBAC considered that the claim of superior comparative effectiveness was reasonable.</w:t>
      </w:r>
    </w:p>
    <w:p w14:paraId="5A7E54D8" w14:textId="77777777" w:rsidR="007D00BA" w:rsidRPr="007A4E7E" w:rsidRDefault="007D00BA" w:rsidP="007D00BA">
      <w:pPr>
        <w:widowControl w:val="0"/>
        <w:numPr>
          <w:ilvl w:val="1"/>
          <w:numId w:val="1"/>
        </w:numPr>
        <w:spacing w:after="120"/>
        <w:ind w:left="720" w:hanging="720"/>
        <w:rPr>
          <w:rFonts w:asciiTheme="minorHAnsi" w:hAnsiTheme="minorHAnsi"/>
          <w:snapToGrid w:val="0"/>
          <w:szCs w:val="20"/>
        </w:rPr>
      </w:pPr>
      <w:r w:rsidRPr="007A4E7E">
        <w:rPr>
          <w:rFonts w:asciiTheme="minorHAnsi" w:hAnsiTheme="minorHAnsi"/>
          <w:snapToGrid w:val="0"/>
          <w:szCs w:val="20"/>
        </w:rPr>
        <w:t xml:space="preserve">The PBAC considered that the claim of non-inferior comparative safety was reasonable, </w:t>
      </w:r>
      <w:r w:rsidRPr="007A4E7E">
        <w:t xml:space="preserve">noting </w:t>
      </w:r>
      <w:r w:rsidRPr="007A4E7E">
        <w:rPr>
          <w:bCs/>
        </w:rPr>
        <w:t xml:space="preserve">regular monitoring of side effects of </w:t>
      </w:r>
      <w:r w:rsidRPr="007A4E7E">
        <w:t>hypocortisolism</w:t>
      </w:r>
      <w:r w:rsidRPr="007A4E7E">
        <w:rPr>
          <w:bCs/>
        </w:rPr>
        <w:t xml:space="preserve"> was required.</w:t>
      </w:r>
      <w:r w:rsidRPr="007A4E7E" w:rsidDel="00176FD7">
        <w:rPr>
          <w:rFonts w:asciiTheme="minorHAnsi" w:hAnsiTheme="minorHAnsi"/>
          <w:snapToGrid w:val="0"/>
          <w:szCs w:val="20"/>
        </w:rPr>
        <w:t xml:space="preserve"> </w:t>
      </w:r>
      <w:bookmarkEnd w:id="43"/>
    </w:p>
    <w:p w14:paraId="3B89B5F1" w14:textId="77777777" w:rsidR="007D00BA" w:rsidRPr="007A4E7E" w:rsidRDefault="007D00BA" w:rsidP="007D00BA">
      <w:pPr>
        <w:pStyle w:val="4-SubsectionHeading"/>
      </w:pPr>
      <w:bookmarkStart w:id="44" w:name="_Toc156988660"/>
      <w:r w:rsidRPr="007A4E7E">
        <w:t>Economic analysis</w:t>
      </w:r>
      <w:bookmarkEnd w:id="44"/>
      <w:r w:rsidRPr="007A4E7E">
        <w:t xml:space="preserve"> </w:t>
      </w:r>
    </w:p>
    <w:p w14:paraId="2D159F5E" w14:textId="14B2C3A5" w:rsidR="007D00BA" w:rsidRPr="007A4E7E" w:rsidRDefault="007D00BA" w:rsidP="007D00BA">
      <w:pPr>
        <w:pStyle w:val="ExecSumBodyText"/>
        <w:numPr>
          <w:ilvl w:val="1"/>
          <w:numId w:val="1"/>
        </w:numPr>
      </w:pPr>
      <w:r w:rsidRPr="007A4E7E">
        <w:t>The PBAC previously considered that the 12-week trial-based incremental cost per responder analyses in the previous submission did not allow for assessment of cost-effectiveness of long-term use of osilodrostat in this chronic condition (paragraph 7.11, osilodrostat, PSD, March 2023 PBAC meeting).</w:t>
      </w:r>
    </w:p>
    <w:p w14:paraId="318F9132" w14:textId="6DC0772E" w:rsidR="007D00BA" w:rsidRPr="007A4E7E" w:rsidRDefault="007D00BA" w:rsidP="007D00BA">
      <w:pPr>
        <w:pStyle w:val="ExecSumBodyText"/>
        <w:numPr>
          <w:ilvl w:val="1"/>
          <w:numId w:val="1"/>
        </w:numPr>
        <w:rPr>
          <w:i/>
        </w:rPr>
      </w:pPr>
      <w:r w:rsidRPr="007A4E7E">
        <w:t xml:space="preserve">In response, the resubmission presented a stepped cost-utility analysis based on one direct randomised trial, LINC 4, and implementing a modelled evaluation using microsimulation. The resubmission stated that due to the limited available clinical data to model treatment effect, the impacts of comorbidities associated with CS were not considered. </w:t>
      </w:r>
      <w:r w:rsidRPr="007A4E7E">
        <w:rPr>
          <w:iCs/>
        </w:rPr>
        <w:t>The PBAC had previously considered the economic analysis should incorporate longer durations of therapy and quality of life data, using literature and natural history data to supplement the available trial evidence. The PBAC considered that it is highly likely that responding patients would continue with treatment beyond three years (mean duration of treatment of 169.5 weeks as per the LINC trials) (paragraph 7.11, osilodrostat, PSD, March 2023 PBAC meeting).</w:t>
      </w:r>
      <w:r w:rsidRPr="007A4E7E">
        <w:t xml:space="preserve"> </w:t>
      </w:r>
    </w:p>
    <w:p w14:paraId="6BC1FFE8" w14:textId="43695B48" w:rsidR="007D00BA" w:rsidRPr="007A4E7E" w:rsidRDefault="007D00BA" w:rsidP="007D00BA">
      <w:pPr>
        <w:pStyle w:val="ExecSumBodyText"/>
        <w:numPr>
          <w:ilvl w:val="1"/>
          <w:numId w:val="1"/>
        </w:numPr>
        <w:rPr>
          <w:iCs/>
        </w:rPr>
      </w:pPr>
      <w:r w:rsidRPr="007A4E7E">
        <w:rPr>
          <w:iCs/>
        </w:rPr>
        <w:t xml:space="preserve">The resubmission discussed the impacts of longer-term remission from the literature (see paragraphs </w:t>
      </w:r>
      <w:r w:rsidRPr="007A4E7E">
        <w:rPr>
          <w:iCs/>
        </w:rPr>
        <w:fldChar w:fldCharType="begin" w:fldLock="1"/>
      </w:r>
      <w:r w:rsidRPr="007A4E7E">
        <w:rPr>
          <w:iCs/>
        </w:rPr>
        <w:instrText xml:space="preserve"> REF _Ref155689711 \r \h </w:instrText>
      </w:r>
      <w:r w:rsidRPr="007A4E7E">
        <w:rPr>
          <w:iCs/>
        </w:rPr>
      </w:r>
      <w:r w:rsidRPr="007A4E7E">
        <w:rPr>
          <w:iCs/>
        </w:rPr>
        <w:fldChar w:fldCharType="separate"/>
      </w:r>
      <w:r w:rsidR="00043D39">
        <w:rPr>
          <w:iCs/>
        </w:rPr>
        <w:t>4.6</w:t>
      </w:r>
      <w:r w:rsidRPr="007A4E7E">
        <w:rPr>
          <w:iCs/>
        </w:rPr>
        <w:fldChar w:fldCharType="end"/>
      </w:r>
      <w:r w:rsidRPr="007A4E7E">
        <w:rPr>
          <w:iCs/>
        </w:rPr>
        <w:t xml:space="preserve"> and </w:t>
      </w:r>
      <w:r w:rsidRPr="007A4E7E">
        <w:rPr>
          <w:iCs/>
        </w:rPr>
        <w:fldChar w:fldCharType="begin" w:fldLock="1"/>
      </w:r>
      <w:r w:rsidRPr="007A4E7E">
        <w:rPr>
          <w:iCs/>
        </w:rPr>
        <w:instrText xml:space="preserve"> REF _Ref155690834 \r \h </w:instrText>
      </w:r>
      <w:r w:rsidRPr="007A4E7E">
        <w:rPr>
          <w:iCs/>
        </w:rPr>
      </w:r>
      <w:r w:rsidRPr="007A4E7E">
        <w:rPr>
          <w:iCs/>
        </w:rPr>
        <w:fldChar w:fldCharType="separate"/>
      </w:r>
      <w:r w:rsidR="00043D39">
        <w:rPr>
          <w:iCs/>
        </w:rPr>
        <w:t>4.7</w:t>
      </w:r>
      <w:r w:rsidRPr="007A4E7E">
        <w:rPr>
          <w:iCs/>
        </w:rPr>
        <w:fldChar w:fldCharType="end"/>
      </w:r>
      <w:r w:rsidRPr="007A4E7E">
        <w:rPr>
          <w:iCs/>
        </w:rPr>
        <w:t xml:space="preserve">), noting that in Mondin 2023, there were improvements in cardiovascular and metabolic comorbidities with sustained remission which was </w:t>
      </w:r>
      <w:r w:rsidRPr="007A4E7E">
        <w:rPr>
          <w:iCs/>
        </w:rPr>
        <w:lastRenderedPageBreak/>
        <w:t>achieved irrespective of the treatment strategy, but these were not incorporated in the model. Hence, the evaluation advised the cost-utility analysis presented in the resubmission does not fully consider important long-term benefits of durable cortisol control and is therefore unlikely to adequately reflect the cost-effectiveness of treatment. The PSCR (pg 3) argued that, to minimise the complexity of the model, additional health states (e.g., diabetes, hypertension, body weight) and events (e.g., myocardial infarction, stroke) were not included. The ESC noted that the resubmission adopted a complex, 50 year, microsimulation model informed by a small sample size of LINC 4 without incorporating the long-term benefits of durable cortisol control or improvement in comor</w:t>
      </w:r>
      <w:r w:rsidRPr="007F2E84">
        <w:rPr>
          <w:iCs/>
        </w:rPr>
        <w:t xml:space="preserve">bidities. The ESC considered that this resulted in an inflated ICER despite the price reduction of </w:t>
      </w:r>
      <w:r w:rsidR="00DE6661" w:rsidRPr="00063CEB">
        <w:rPr>
          <w:iCs/>
          <w:color w:val="000000"/>
          <w:w w:val="15"/>
          <w:shd w:val="solid" w:color="000000" w:fill="000000"/>
          <w:fitText w:val="-20" w:id="-962329588"/>
          <w14:textFill>
            <w14:solidFill>
              <w14:srgbClr w14:val="000000">
                <w14:alpha w14:val="100000"/>
              </w14:srgbClr>
            </w14:solidFill>
          </w14:textFill>
        </w:rPr>
        <w:t xml:space="preserve">|  </w:t>
      </w:r>
      <w:r w:rsidR="00DE6661" w:rsidRPr="00063CEB">
        <w:rPr>
          <w:iCs/>
          <w:color w:val="000000"/>
          <w:spacing w:val="-69"/>
          <w:w w:val="15"/>
          <w:shd w:val="solid" w:color="000000" w:fill="000000"/>
          <w:fitText w:val="-20" w:id="-962329588"/>
          <w14:textFill>
            <w14:solidFill>
              <w14:srgbClr w14:val="000000">
                <w14:alpha w14:val="100000"/>
              </w14:srgbClr>
            </w14:solidFill>
          </w14:textFill>
        </w:rPr>
        <w:t>|</w:t>
      </w:r>
      <w:r w:rsidRPr="007F2E84">
        <w:rPr>
          <w:iCs/>
        </w:rPr>
        <w:t>% from the</w:t>
      </w:r>
      <w:r w:rsidRPr="007A4E7E">
        <w:rPr>
          <w:iCs/>
        </w:rPr>
        <w:t xml:space="preserve"> previous submission. Noting the tangible health benefits of osilodrostat on the comorbidities documented in the literature, the ESC advised that a Markov model incorporating the impacts of osilodrostat on comorbidities would have better captured the long-term benefits on quality of life.</w:t>
      </w:r>
    </w:p>
    <w:p w14:paraId="0C8351D5" w14:textId="77777777" w:rsidR="007D00BA" w:rsidRPr="007A4E7E" w:rsidRDefault="007D00BA" w:rsidP="007D00BA">
      <w:pPr>
        <w:pStyle w:val="ExecSumBodyText"/>
        <w:numPr>
          <w:ilvl w:val="1"/>
          <w:numId w:val="1"/>
        </w:numPr>
        <w:rPr>
          <w:iCs/>
        </w:rPr>
      </w:pPr>
      <w:bookmarkStart w:id="45" w:name="_Ref163464308"/>
      <w:r w:rsidRPr="007A4E7E">
        <w:rPr>
          <w:iCs/>
        </w:rPr>
        <w:t>Overall, the ESC acknowledged the attempt to address the PBAC request by modelling long-term costs and benefits, but essentially considered the modelled economic evaluation was not informative for decision-making. The ESC considered the literature quantifying the disease burden of CS and the improvements in comorbidities from sustained remission from hypercortisolism could be considered alongside the previously presented incremental cost per responder analysis over 12 weeks, including the lower proposed price in this resubmission.</w:t>
      </w:r>
      <w:bookmarkEnd w:id="45"/>
    </w:p>
    <w:p w14:paraId="5C3627E2" w14:textId="683D5ACE" w:rsidR="00AF6948" w:rsidRPr="007A4E7E" w:rsidRDefault="00AF6948" w:rsidP="00AF6948">
      <w:pPr>
        <w:pStyle w:val="ExecSumBodyText"/>
        <w:numPr>
          <w:ilvl w:val="1"/>
          <w:numId w:val="1"/>
        </w:numPr>
        <w:spacing w:after="240"/>
        <w:rPr>
          <w:bCs/>
          <w:szCs w:val="22"/>
        </w:rPr>
      </w:pPr>
      <w:r w:rsidRPr="007A4E7E">
        <w:rPr>
          <w:iCs/>
        </w:rPr>
        <w:t xml:space="preserve">The </w:t>
      </w:r>
      <w:r w:rsidR="005A3A45" w:rsidRPr="007A4E7E">
        <w:rPr>
          <w:iCs/>
        </w:rPr>
        <w:t>p</w:t>
      </w:r>
      <w:r w:rsidRPr="007A4E7E">
        <w:rPr>
          <w:iCs/>
        </w:rPr>
        <w:t>re-PBAC response provided updated cost per responder analyses for PBAC consideration. I</w:t>
      </w:r>
      <w:r w:rsidRPr="007A4E7E">
        <w:rPr>
          <w:bCs/>
          <w:szCs w:val="22"/>
        </w:rPr>
        <w:t xml:space="preserve">n the March 2023 </w:t>
      </w:r>
      <w:r w:rsidR="005A3A45" w:rsidRPr="007A4E7E">
        <w:rPr>
          <w:bCs/>
          <w:szCs w:val="22"/>
        </w:rPr>
        <w:t>submission,</w:t>
      </w:r>
      <w:r w:rsidRPr="007A4E7E">
        <w:rPr>
          <w:bCs/>
          <w:szCs w:val="22"/>
        </w:rPr>
        <w:t xml:space="preserve"> the proportion of patients who achieved a complete response (CR) at week 12 resulted in an incremental cost per </w:t>
      </w:r>
      <w:r w:rsidR="000D034F">
        <w:rPr>
          <w:bCs/>
          <w:szCs w:val="22"/>
        </w:rPr>
        <w:t>CR</w:t>
      </w:r>
      <w:r w:rsidR="000D034F" w:rsidRPr="007A4E7E">
        <w:rPr>
          <w:bCs/>
          <w:szCs w:val="22"/>
        </w:rPr>
        <w:t xml:space="preserve"> </w:t>
      </w:r>
      <w:r w:rsidRPr="007A4E7E">
        <w:rPr>
          <w:bCs/>
          <w:szCs w:val="22"/>
        </w:rPr>
        <w:t xml:space="preserve">of </w:t>
      </w:r>
      <w:r w:rsidR="00AF006F" w:rsidRPr="00AF006F">
        <w:rPr>
          <w:bCs/>
          <w:szCs w:val="22"/>
        </w:rPr>
        <w:t>$25,000</w:t>
      </w:r>
      <w:r w:rsidR="00AA105F">
        <w:rPr>
          <w:bCs/>
          <w:szCs w:val="22"/>
        </w:rPr>
        <w:t> </w:t>
      </w:r>
      <w:r w:rsidR="00AF006F" w:rsidRPr="00AF006F">
        <w:rPr>
          <w:bCs/>
          <w:szCs w:val="22"/>
        </w:rPr>
        <w:t>to &lt; $35,000</w:t>
      </w:r>
      <w:r w:rsidRPr="007A4E7E">
        <w:rPr>
          <w:bCs/>
          <w:szCs w:val="22"/>
        </w:rPr>
        <w:t xml:space="preserve">. This changes to </w:t>
      </w:r>
      <w:r w:rsidR="00AF006F" w:rsidRPr="00AF006F">
        <w:rPr>
          <w:bCs/>
          <w:szCs w:val="22"/>
        </w:rPr>
        <w:t>$</w:t>
      </w:r>
      <w:r w:rsidR="00AF006F">
        <w:rPr>
          <w:bCs/>
          <w:szCs w:val="22"/>
        </w:rPr>
        <w:t>1</w:t>
      </w:r>
      <w:r w:rsidR="00AF006F" w:rsidRPr="00AF006F">
        <w:rPr>
          <w:bCs/>
          <w:szCs w:val="22"/>
        </w:rPr>
        <w:t>5,000 to &lt; $</w:t>
      </w:r>
      <w:r w:rsidR="00AF006F">
        <w:rPr>
          <w:bCs/>
          <w:szCs w:val="22"/>
        </w:rPr>
        <w:t>2</w:t>
      </w:r>
      <w:r w:rsidR="00AF006F" w:rsidRPr="00AF006F">
        <w:rPr>
          <w:bCs/>
          <w:szCs w:val="22"/>
        </w:rPr>
        <w:t>5,000</w:t>
      </w:r>
      <w:r w:rsidRPr="007A4E7E">
        <w:rPr>
          <w:bCs/>
          <w:szCs w:val="22"/>
        </w:rPr>
        <w:t xml:space="preserve"> per CR when the analysis is updated to reflect the revised proposed AEMP and the removal of the 10</w:t>
      </w:r>
      <w:r w:rsidR="00AA105F">
        <w:rPr>
          <w:bCs/>
          <w:szCs w:val="22"/>
        </w:rPr>
        <w:t> </w:t>
      </w:r>
      <w:r w:rsidRPr="007A4E7E">
        <w:rPr>
          <w:bCs/>
          <w:szCs w:val="22"/>
        </w:rPr>
        <w:t xml:space="preserve">mg strength which </w:t>
      </w:r>
      <w:r w:rsidR="001F62A1">
        <w:rPr>
          <w:bCs/>
          <w:szCs w:val="22"/>
        </w:rPr>
        <w:t>wa</w:t>
      </w:r>
      <w:r w:rsidRPr="007A4E7E">
        <w:rPr>
          <w:bCs/>
          <w:szCs w:val="22"/>
        </w:rPr>
        <w:t xml:space="preserve">s no longer proposed for listing on the PBS. The resubmission requested an initiation period of 26 weeks and response was defined as achieving at least a partial response (PR). The cost per responder for this analysis, which corresponds to the Step 1 analysis of the stepped economic evaluation presented in the resubmission, is </w:t>
      </w:r>
      <w:r w:rsidR="00AA105F" w:rsidRPr="00AA105F">
        <w:rPr>
          <w:bCs/>
          <w:szCs w:val="22"/>
        </w:rPr>
        <w:t>$35,000 to &lt; $45,000</w:t>
      </w:r>
      <w:r w:rsidR="00AA105F">
        <w:rPr>
          <w:bCs/>
          <w:szCs w:val="22"/>
        </w:rPr>
        <w:t xml:space="preserve"> </w:t>
      </w:r>
      <w:r w:rsidRPr="007A4E7E">
        <w:rPr>
          <w:bCs/>
          <w:szCs w:val="22"/>
        </w:rPr>
        <w:t>per patient achieving at least a partial response (</w:t>
      </w:r>
      <w:r w:rsidR="005A3A45" w:rsidRPr="007A4E7E">
        <w:rPr>
          <w:bCs/>
          <w:szCs w:val="22"/>
        </w:rPr>
        <w:t xml:space="preserve">see </w:t>
      </w:r>
      <w:r w:rsidR="005A3A45" w:rsidRPr="007A4E7E">
        <w:rPr>
          <w:bCs/>
          <w:szCs w:val="22"/>
        </w:rPr>
        <w:fldChar w:fldCharType="begin" w:fldLock="1"/>
      </w:r>
      <w:r w:rsidR="005A3A45" w:rsidRPr="007A4E7E">
        <w:rPr>
          <w:bCs/>
          <w:szCs w:val="22"/>
        </w:rPr>
        <w:instrText xml:space="preserve"> REF _Ref163484041 \h </w:instrText>
      </w:r>
      <w:r w:rsidR="005A3A45" w:rsidRPr="007A4E7E">
        <w:rPr>
          <w:bCs/>
          <w:szCs w:val="22"/>
        </w:rPr>
      </w:r>
      <w:r w:rsidR="005A3A45" w:rsidRPr="007A4E7E">
        <w:rPr>
          <w:bCs/>
          <w:szCs w:val="22"/>
        </w:rPr>
        <w:fldChar w:fldCharType="separate"/>
      </w:r>
      <w:r w:rsidR="00043D39" w:rsidRPr="007A4E7E">
        <w:t xml:space="preserve">Table </w:t>
      </w:r>
      <w:r w:rsidR="00043D39">
        <w:rPr>
          <w:noProof/>
        </w:rPr>
        <w:t>9</w:t>
      </w:r>
      <w:r w:rsidR="005A3A45" w:rsidRPr="007A4E7E">
        <w:rPr>
          <w:bCs/>
          <w:szCs w:val="22"/>
        </w:rPr>
        <w:fldChar w:fldCharType="end"/>
      </w:r>
      <w:r w:rsidR="005A3A45" w:rsidRPr="007A4E7E">
        <w:rPr>
          <w:bCs/>
          <w:szCs w:val="22"/>
        </w:rPr>
        <w:t>)</w:t>
      </w:r>
      <w:r w:rsidRPr="007A4E7E">
        <w:rPr>
          <w:bCs/>
          <w:szCs w:val="22"/>
        </w:rPr>
        <w:t>.</w:t>
      </w:r>
    </w:p>
    <w:p w14:paraId="24A4F513" w14:textId="14D1819B" w:rsidR="00AF6948" w:rsidRPr="007A4E7E" w:rsidRDefault="00AF6948" w:rsidP="008E5316">
      <w:pPr>
        <w:pStyle w:val="Caption"/>
      </w:pPr>
      <w:bookmarkStart w:id="46" w:name="_Ref163484041"/>
      <w:r w:rsidRPr="007A4E7E">
        <w:lastRenderedPageBreak/>
        <w:t xml:space="preserve">Table </w:t>
      </w:r>
      <w:r w:rsidR="00545EA1">
        <w:fldChar w:fldCharType="begin" w:fldLock="1"/>
      </w:r>
      <w:r w:rsidR="00545EA1">
        <w:instrText xml:space="preserve"> SEQ Table \* ARABIC </w:instrText>
      </w:r>
      <w:r w:rsidR="00545EA1">
        <w:fldChar w:fldCharType="separate"/>
      </w:r>
      <w:r w:rsidR="00043D39">
        <w:rPr>
          <w:noProof/>
        </w:rPr>
        <w:t>9</w:t>
      </w:r>
      <w:r w:rsidR="00545EA1">
        <w:rPr>
          <w:noProof/>
        </w:rPr>
        <w:fldChar w:fldCharType="end"/>
      </w:r>
      <w:bookmarkEnd w:id="46"/>
      <w:r w:rsidRPr="007A4E7E">
        <w:t>:</w:t>
      </w:r>
      <w:r w:rsidRPr="007A4E7E">
        <w:rPr>
          <w:rStyle w:val="CommentReference"/>
          <w:szCs w:val="24"/>
        </w:rPr>
        <w:t xml:space="preserve"> </w:t>
      </w:r>
      <w:r w:rsidRPr="007A4E7E">
        <w:t>Economic evaluation: cost per responder analysis – pre-PBAC response</w:t>
      </w:r>
    </w:p>
    <w:tbl>
      <w:tblPr>
        <w:tblStyle w:val="Summarybox72"/>
        <w:tblW w:w="5028" w:type="pct"/>
        <w:tblLook w:val="04A0" w:firstRow="1" w:lastRow="0" w:firstColumn="1" w:lastColumn="0" w:noHBand="0" w:noVBand="1"/>
        <w:tblCaption w:val="Table 9: Economic evaluation: cost per responder analysis – pre-PBAC response"/>
      </w:tblPr>
      <w:tblGrid>
        <w:gridCol w:w="2419"/>
        <w:gridCol w:w="1183"/>
        <w:gridCol w:w="846"/>
        <w:gridCol w:w="743"/>
        <w:gridCol w:w="1183"/>
        <w:gridCol w:w="846"/>
        <w:gridCol w:w="743"/>
        <w:gridCol w:w="1104"/>
      </w:tblGrid>
      <w:tr w:rsidR="00AF6948" w:rsidRPr="007A4E7E" w14:paraId="4224497A" w14:textId="77777777" w:rsidTr="00EA6DFD">
        <w:tc>
          <w:tcPr>
            <w:tcW w:w="1428" w:type="pct"/>
            <w:vMerge w:val="restart"/>
            <w:shd w:val="clear" w:color="auto" w:fill="F2F2F2" w:themeFill="background1" w:themeFillShade="F2"/>
          </w:tcPr>
          <w:p w14:paraId="675AA9EC" w14:textId="77777777" w:rsidR="00AF6948" w:rsidRPr="007A4E7E" w:rsidRDefault="00AF6948" w:rsidP="008E5316">
            <w:pPr>
              <w:keepNext/>
              <w:keepLines/>
              <w:spacing w:line="276" w:lineRule="auto"/>
              <w:rPr>
                <w:rFonts w:ascii="Arial Narrow" w:hAnsi="Arial Narrow" w:cstheme="minorHAnsi"/>
                <w:sz w:val="20"/>
                <w:szCs w:val="20"/>
              </w:rPr>
            </w:pPr>
          </w:p>
        </w:tc>
        <w:tc>
          <w:tcPr>
            <w:tcW w:w="1300" w:type="pct"/>
            <w:gridSpan w:val="3"/>
            <w:shd w:val="clear" w:color="auto" w:fill="F2F2F2" w:themeFill="background1" w:themeFillShade="F2"/>
          </w:tcPr>
          <w:p w14:paraId="1C35C2A4"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Cost</w:t>
            </w:r>
          </w:p>
        </w:tc>
        <w:tc>
          <w:tcPr>
            <w:tcW w:w="1569" w:type="pct"/>
            <w:gridSpan w:val="3"/>
            <w:shd w:val="clear" w:color="auto" w:fill="F2F2F2" w:themeFill="background1" w:themeFillShade="F2"/>
          </w:tcPr>
          <w:p w14:paraId="5578C360"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Response</w:t>
            </w:r>
          </w:p>
        </w:tc>
        <w:tc>
          <w:tcPr>
            <w:tcW w:w="703" w:type="pct"/>
            <w:vMerge w:val="restart"/>
            <w:shd w:val="clear" w:color="auto" w:fill="F2F2F2" w:themeFill="background1" w:themeFillShade="F2"/>
            <w:vAlign w:val="center"/>
          </w:tcPr>
          <w:p w14:paraId="14EC23C0"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ICER</w:t>
            </w:r>
          </w:p>
        </w:tc>
      </w:tr>
      <w:tr w:rsidR="00AF6948" w:rsidRPr="007A4E7E" w14:paraId="4455374E" w14:textId="77777777" w:rsidTr="00EA6DFD">
        <w:tc>
          <w:tcPr>
            <w:tcW w:w="1428" w:type="pct"/>
            <w:vMerge/>
            <w:shd w:val="clear" w:color="auto" w:fill="F2F2F2" w:themeFill="background1" w:themeFillShade="F2"/>
          </w:tcPr>
          <w:p w14:paraId="0523A72A" w14:textId="77777777" w:rsidR="00AF6948" w:rsidRPr="007A4E7E" w:rsidRDefault="00AF6948" w:rsidP="008E5316">
            <w:pPr>
              <w:keepNext/>
              <w:keepLines/>
              <w:spacing w:line="276" w:lineRule="auto"/>
              <w:rPr>
                <w:rFonts w:ascii="Arial Narrow" w:hAnsi="Arial Narrow" w:cstheme="minorHAnsi"/>
                <w:sz w:val="20"/>
                <w:szCs w:val="20"/>
              </w:rPr>
            </w:pPr>
          </w:p>
        </w:tc>
        <w:tc>
          <w:tcPr>
            <w:tcW w:w="357" w:type="pct"/>
            <w:shd w:val="clear" w:color="auto" w:fill="F2F2F2" w:themeFill="background1" w:themeFillShade="F2"/>
          </w:tcPr>
          <w:p w14:paraId="43D0A191"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Osilodrostat</w:t>
            </w:r>
          </w:p>
        </w:tc>
        <w:tc>
          <w:tcPr>
            <w:tcW w:w="439" w:type="pct"/>
            <w:shd w:val="clear" w:color="auto" w:fill="F2F2F2" w:themeFill="background1" w:themeFillShade="F2"/>
          </w:tcPr>
          <w:p w14:paraId="35D31111"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Placebo</w:t>
            </w:r>
          </w:p>
        </w:tc>
        <w:tc>
          <w:tcPr>
            <w:tcW w:w="504" w:type="pct"/>
            <w:shd w:val="clear" w:color="auto" w:fill="F2F2F2" w:themeFill="background1" w:themeFillShade="F2"/>
          </w:tcPr>
          <w:p w14:paraId="7D428766"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Incr.</w:t>
            </w:r>
          </w:p>
        </w:tc>
        <w:tc>
          <w:tcPr>
            <w:tcW w:w="626" w:type="pct"/>
            <w:shd w:val="clear" w:color="auto" w:fill="F2F2F2" w:themeFill="background1" w:themeFillShade="F2"/>
          </w:tcPr>
          <w:p w14:paraId="7C51462B"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Osilodrostat</w:t>
            </w:r>
          </w:p>
        </w:tc>
        <w:tc>
          <w:tcPr>
            <w:tcW w:w="439" w:type="pct"/>
            <w:shd w:val="clear" w:color="auto" w:fill="F2F2F2" w:themeFill="background1" w:themeFillShade="F2"/>
          </w:tcPr>
          <w:p w14:paraId="54FDD209"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Placebo</w:t>
            </w:r>
          </w:p>
        </w:tc>
        <w:tc>
          <w:tcPr>
            <w:tcW w:w="504" w:type="pct"/>
            <w:shd w:val="clear" w:color="auto" w:fill="F2F2F2" w:themeFill="background1" w:themeFillShade="F2"/>
          </w:tcPr>
          <w:p w14:paraId="286F8B32"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 xml:space="preserve">Incr. </w:t>
            </w:r>
          </w:p>
        </w:tc>
        <w:tc>
          <w:tcPr>
            <w:tcW w:w="703" w:type="pct"/>
            <w:vMerge/>
            <w:shd w:val="clear" w:color="auto" w:fill="F2F2F2" w:themeFill="background1" w:themeFillShade="F2"/>
          </w:tcPr>
          <w:p w14:paraId="5A3BD487" w14:textId="77777777" w:rsidR="00AF6948" w:rsidRPr="007A4E7E" w:rsidRDefault="00AF6948" w:rsidP="008E5316">
            <w:pPr>
              <w:keepNext/>
              <w:keepLines/>
              <w:spacing w:line="276" w:lineRule="auto"/>
              <w:jc w:val="center"/>
              <w:rPr>
                <w:rFonts w:ascii="Arial Narrow" w:hAnsi="Arial Narrow" w:cstheme="minorHAnsi"/>
                <w:b/>
                <w:bCs/>
                <w:color w:val="000000"/>
                <w:sz w:val="20"/>
                <w:szCs w:val="20"/>
              </w:rPr>
            </w:pPr>
          </w:p>
        </w:tc>
      </w:tr>
      <w:tr w:rsidR="00AF6948" w:rsidRPr="007A4E7E" w14:paraId="04DECB6B" w14:textId="77777777" w:rsidTr="00EA6DFD">
        <w:tc>
          <w:tcPr>
            <w:tcW w:w="1428" w:type="pct"/>
          </w:tcPr>
          <w:p w14:paraId="14377345" w14:textId="02CFC0B0" w:rsidR="00AF6948" w:rsidRPr="007A4E7E" w:rsidRDefault="00AF6948" w:rsidP="008E5316">
            <w:pPr>
              <w:keepNext/>
              <w:keepLines/>
              <w:spacing w:line="276" w:lineRule="auto"/>
              <w:rPr>
                <w:rFonts w:ascii="Arial Narrow" w:hAnsi="Arial Narrow" w:cstheme="minorHAnsi"/>
                <w:color w:val="000000"/>
                <w:sz w:val="20"/>
                <w:szCs w:val="20"/>
              </w:rPr>
            </w:pPr>
            <w:r w:rsidRPr="007A4E7E">
              <w:rPr>
                <w:rFonts w:ascii="Arial Narrow" w:hAnsi="Arial Narrow" w:cstheme="minorHAnsi"/>
                <w:color w:val="000000"/>
                <w:sz w:val="20"/>
                <w:szCs w:val="20"/>
              </w:rPr>
              <w:t>ORR at 26 weeks</w:t>
            </w:r>
          </w:p>
        </w:tc>
        <w:tc>
          <w:tcPr>
            <w:tcW w:w="357" w:type="pct"/>
            <w:vAlign w:val="bottom"/>
          </w:tcPr>
          <w:p w14:paraId="2E4DDFEE" w14:textId="5A817AE9" w:rsidR="00AF6948" w:rsidRPr="007A4E7E" w:rsidRDefault="00AF6948" w:rsidP="008E5316">
            <w:pPr>
              <w:keepNext/>
              <w:keepLines/>
              <w:spacing w:line="276" w:lineRule="auto"/>
              <w:jc w:val="center"/>
              <w:rPr>
                <w:rFonts w:ascii="Arial Narrow" w:hAnsi="Arial Narrow" w:cstheme="minorHAnsi"/>
                <w:color w:val="000000"/>
                <w:sz w:val="20"/>
                <w:szCs w:val="20"/>
              </w:rPr>
            </w:pPr>
            <w:r w:rsidRPr="007A4E7E">
              <w:rPr>
                <w:rFonts w:ascii="Arial Narrow" w:hAnsi="Arial Narrow" w:cs="Calibri"/>
                <w:sz w:val="20"/>
                <w:szCs w:val="20"/>
              </w:rPr>
              <w:t>$</w:t>
            </w:r>
            <w:r w:rsidR="00DE6661" w:rsidRPr="00DE6661">
              <w:rPr>
                <w:rFonts w:ascii="Arial Narrow" w:hAnsi="Arial Narrow" w:cs="Calibri" w:hint="eastAsia"/>
                <w:color w:val="000000"/>
                <w:w w:val="25"/>
                <w:sz w:val="20"/>
                <w:szCs w:val="20"/>
                <w:shd w:val="solid" w:color="000000" w:fill="000000"/>
                <w:fitText w:val="112" w:id="-962329587"/>
                <w14:textFill>
                  <w14:solidFill>
                    <w14:srgbClr w14:val="000000">
                      <w14:alpha w14:val="100000"/>
                    </w14:srgbClr>
                  </w14:solidFill>
                </w14:textFill>
              </w:rPr>
              <w:t xml:space="preserve">　</w:t>
            </w:r>
            <w:r w:rsidR="00DE6661" w:rsidRPr="00DE6661">
              <w:rPr>
                <w:rFonts w:ascii="Arial Narrow" w:hAnsi="Arial Narrow" w:cs="Calibri"/>
                <w:color w:val="000000"/>
                <w:w w:val="25"/>
                <w:sz w:val="20"/>
                <w:szCs w:val="20"/>
                <w:shd w:val="solid" w:color="000000" w:fill="000000"/>
                <w:fitText w:val="112" w:id="-962329587"/>
                <w14:textFill>
                  <w14:solidFill>
                    <w14:srgbClr w14:val="000000">
                      <w14:alpha w14:val="100000"/>
                    </w14:srgbClr>
                  </w14:solidFill>
                </w14:textFill>
              </w:rPr>
              <w:t>|</w:t>
            </w:r>
            <w:r w:rsidR="00DE6661" w:rsidRPr="00DE6661">
              <w:rPr>
                <w:rFonts w:ascii="Arial Narrow" w:hAnsi="Arial Narrow" w:cs="Calibri" w:hint="eastAsia"/>
                <w:color w:val="000000"/>
                <w:spacing w:val="1"/>
                <w:w w:val="25"/>
                <w:sz w:val="20"/>
                <w:szCs w:val="20"/>
                <w:shd w:val="solid" w:color="000000" w:fill="000000"/>
                <w:fitText w:val="112" w:id="-962329587"/>
                <w14:textFill>
                  <w14:solidFill>
                    <w14:srgbClr w14:val="000000">
                      <w14:alpha w14:val="100000"/>
                    </w14:srgbClr>
                  </w14:solidFill>
                </w14:textFill>
              </w:rPr>
              <w:t xml:space="preserve">　</w:t>
            </w:r>
          </w:p>
        </w:tc>
        <w:tc>
          <w:tcPr>
            <w:tcW w:w="439" w:type="pct"/>
            <w:vAlign w:val="center"/>
          </w:tcPr>
          <w:p w14:paraId="7C947A56" w14:textId="77777777" w:rsidR="00AF6948" w:rsidRPr="007A4E7E" w:rsidRDefault="00AF6948" w:rsidP="008E5316">
            <w:pPr>
              <w:keepNext/>
              <w:keepLines/>
              <w:spacing w:line="276" w:lineRule="auto"/>
              <w:jc w:val="center"/>
              <w:rPr>
                <w:rFonts w:ascii="Arial Narrow" w:hAnsi="Arial Narrow" w:cstheme="minorHAnsi"/>
                <w:color w:val="000000"/>
                <w:sz w:val="20"/>
                <w:szCs w:val="20"/>
              </w:rPr>
            </w:pPr>
            <w:r w:rsidRPr="007A4E7E">
              <w:rPr>
                <w:rFonts w:ascii="Arial Narrow" w:hAnsi="Arial Narrow" w:cs="Calibri"/>
                <w:sz w:val="20"/>
                <w:szCs w:val="20"/>
              </w:rPr>
              <w:t>$0</w:t>
            </w:r>
          </w:p>
        </w:tc>
        <w:tc>
          <w:tcPr>
            <w:tcW w:w="504" w:type="pct"/>
            <w:vAlign w:val="center"/>
          </w:tcPr>
          <w:p w14:paraId="67261D04" w14:textId="7083CD2C" w:rsidR="00AF6948" w:rsidRPr="007A4E7E" w:rsidRDefault="00AF6948" w:rsidP="008E5316">
            <w:pPr>
              <w:keepNext/>
              <w:keepLines/>
              <w:spacing w:line="276" w:lineRule="auto"/>
              <w:jc w:val="center"/>
              <w:rPr>
                <w:rFonts w:ascii="Arial Narrow" w:hAnsi="Arial Narrow" w:cstheme="minorHAnsi"/>
                <w:color w:val="000000"/>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213"/>
                <w:sz w:val="20"/>
                <w:szCs w:val="20"/>
                <w:shd w:val="solid" w:color="000000" w:fill="000000"/>
                <w:fitText w:val="299" w:id="-962329586"/>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99" w:id="-962329586"/>
                <w14:textFill>
                  <w14:solidFill>
                    <w14:srgbClr w14:val="000000">
                      <w14:alpha w14:val="100000"/>
                    </w14:srgbClr>
                  </w14:solidFill>
                </w14:textFill>
              </w:rPr>
              <w:t>|</w:t>
            </w:r>
          </w:p>
        </w:tc>
        <w:tc>
          <w:tcPr>
            <w:tcW w:w="626" w:type="pct"/>
            <w:vAlign w:val="center"/>
          </w:tcPr>
          <w:p w14:paraId="3C341252" w14:textId="77777777" w:rsidR="00AF6948" w:rsidRPr="007A4E7E" w:rsidRDefault="00AF6948" w:rsidP="008E5316">
            <w:pPr>
              <w:keepNext/>
              <w:keepLines/>
              <w:spacing w:line="276" w:lineRule="auto"/>
              <w:jc w:val="center"/>
              <w:rPr>
                <w:rFonts w:ascii="Arial Narrow" w:hAnsi="Arial Narrow" w:cstheme="minorHAnsi"/>
                <w:color w:val="000000"/>
                <w:sz w:val="20"/>
                <w:szCs w:val="20"/>
              </w:rPr>
            </w:pPr>
            <w:r w:rsidRPr="007A4E7E">
              <w:rPr>
                <w:rFonts w:ascii="Arial Narrow" w:hAnsi="Arial Narrow" w:cs="Calibri"/>
                <w:sz w:val="20"/>
                <w:szCs w:val="20"/>
              </w:rPr>
              <w:t>86.66%</w:t>
            </w:r>
          </w:p>
        </w:tc>
        <w:tc>
          <w:tcPr>
            <w:tcW w:w="439" w:type="pct"/>
            <w:vAlign w:val="center"/>
          </w:tcPr>
          <w:p w14:paraId="34AFB4E6" w14:textId="77777777" w:rsidR="00AF6948" w:rsidRPr="007A4E7E" w:rsidRDefault="00AF6948" w:rsidP="008E5316">
            <w:pPr>
              <w:keepNext/>
              <w:keepLines/>
              <w:spacing w:line="276" w:lineRule="auto"/>
              <w:jc w:val="center"/>
              <w:rPr>
                <w:rFonts w:ascii="Arial Narrow" w:hAnsi="Arial Narrow" w:cstheme="minorHAnsi"/>
                <w:color w:val="000000"/>
                <w:sz w:val="20"/>
                <w:szCs w:val="20"/>
              </w:rPr>
            </w:pPr>
            <w:r w:rsidRPr="007A4E7E">
              <w:rPr>
                <w:rFonts w:ascii="Arial Narrow" w:hAnsi="Arial Narrow" w:cs="Calibri"/>
                <w:sz w:val="20"/>
                <w:szCs w:val="20"/>
              </w:rPr>
              <w:t>17.66%</w:t>
            </w:r>
          </w:p>
        </w:tc>
        <w:tc>
          <w:tcPr>
            <w:tcW w:w="504" w:type="pct"/>
            <w:vAlign w:val="center"/>
          </w:tcPr>
          <w:p w14:paraId="53BB9E9D" w14:textId="77777777" w:rsidR="00AF6948" w:rsidRPr="007A4E7E" w:rsidRDefault="00AF6948" w:rsidP="008E5316">
            <w:pPr>
              <w:keepNext/>
              <w:keepLines/>
              <w:spacing w:line="276" w:lineRule="auto"/>
              <w:jc w:val="center"/>
              <w:rPr>
                <w:rFonts w:ascii="Arial Narrow" w:hAnsi="Arial Narrow" w:cstheme="minorHAnsi"/>
                <w:color w:val="000000"/>
                <w:sz w:val="20"/>
                <w:szCs w:val="20"/>
              </w:rPr>
            </w:pPr>
            <w:r w:rsidRPr="007A4E7E">
              <w:rPr>
                <w:rFonts w:ascii="Arial Narrow" w:hAnsi="Arial Narrow" w:cs="Calibri"/>
                <w:sz w:val="20"/>
                <w:szCs w:val="20"/>
              </w:rPr>
              <w:t>69.0%</w:t>
            </w:r>
          </w:p>
        </w:tc>
        <w:tc>
          <w:tcPr>
            <w:tcW w:w="703" w:type="pct"/>
            <w:vAlign w:val="center"/>
          </w:tcPr>
          <w:p w14:paraId="5FC0DCAD" w14:textId="5DAC5321" w:rsidR="00AF6948" w:rsidRPr="007A4E7E" w:rsidRDefault="00AF6948" w:rsidP="008E5316">
            <w:pPr>
              <w:keepNext/>
              <w:keepLines/>
              <w:spacing w:line="276" w:lineRule="auto"/>
              <w:jc w:val="center"/>
              <w:rPr>
                <w:rFonts w:ascii="Arial Narrow" w:hAnsi="Arial Narrow" w:cstheme="minorHAnsi"/>
                <w:color w:val="000000"/>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214"/>
                <w:sz w:val="20"/>
                <w:szCs w:val="20"/>
                <w:shd w:val="solid" w:color="000000" w:fill="000000"/>
                <w:fitText w:val="300" w:id="-962329585"/>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300" w:id="-962329585"/>
                <w14:textFill>
                  <w14:solidFill>
                    <w14:srgbClr w14:val="000000">
                      <w14:alpha w14:val="100000"/>
                    </w14:srgbClr>
                  </w14:solidFill>
                </w14:textFill>
              </w:rPr>
              <w:t>|</w:t>
            </w:r>
            <w:r w:rsidR="000A60EA" w:rsidRPr="00162C9D">
              <w:rPr>
                <w:rFonts w:ascii="Arial Narrow" w:hAnsi="Arial Narrow" w:cstheme="minorHAnsi"/>
                <w:color w:val="000000"/>
                <w:sz w:val="20"/>
                <w:szCs w:val="20"/>
                <w:vertAlign w:val="superscript"/>
              </w:rPr>
              <w:t>1</w:t>
            </w:r>
            <w:r w:rsidRPr="007A4E7E">
              <w:rPr>
                <w:rFonts w:ascii="Arial Narrow" w:hAnsi="Arial Narrow" w:cs="Calibri"/>
                <w:sz w:val="20"/>
                <w:szCs w:val="20"/>
              </w:rPr>
              <w:t>/ORR</w:t>
            </w:r>
          </w:p>
        </w:tc>
      </w:tr>
      <w:tr w:rsidR="00AF6948" w:rsidRPr="007A4E7E" w14:paraId="2DED4CF7" w14:textId="77777777" w:rsidTr="00EA6DFD">
        <w:tc>
          <w:tcPr>
            <w:tcW w:w="1428" w:type="pct"/>
          </w:tcPr>
          <w:p w14:paraId="5196FDA7" w14:textId="77777777" w:rsidR="00043D39" w:rsidRDefault="00AF6948" w:rsidP="008E5316">
            <w:pPr>
              <w:keepNext/>
              <w:keepLines/>
              <w:spacing w:line="276" w:lineRule="auto"/>
              <w:rPr>
                <w:rFonts w:ascii="Arial Narrow" w:hAnsi="Arial Narrow" w:cstheme="minorHAnsi"/>
                <w:color w:val="000000"/>
                <w:sz w:val="20"/>
                <w:szCs w:val="20"/>
              </w:rPr>
            </w:pPr>
            <w:r w:rsidRPr="007A4E7E">
              <w:rPr>
                <w:rFonts w:ascii="Arial Narrow" w:hAnsi="Arial Narrow" w:cstheme="minorHAnsi"/>
                <w:color w:val="000000"/>
                <w:sz w:val="20"/>
                <w:szCs w:val="20"/>
              </w:rPr>
              <w:t xml:space="preserve">CR at 12 weeks </w:t>
            </w:r>
          </w:p>
          <w:p w14:paraId="722E70EE" w14:textId="5B65205A" w:rsidR="00AF6948" w:rsidRPr="007A4E7E" w:rsidRDefault="00AF6948" w:rsidP="008E5316">
            <w:pPr>
              <w:keepNext/>
              <w:keepLines/>
              <w:spacing w:line="276" w:lineRule="auto"/>
              <w:rPr>
                <w:rFonts w:ascii="Arial Narrow" w:hAnsi="Arial Narrow" w:cstheme="minorHAnsi"/>
                <w:color w:val="000000"/>
                <w:sz w:val="20"/>
                <w:szCs w:val="20"/>
              </w:rPr>
            </w:pPr>
            <w:r w:rsidRPr="007A4E7E">
              <w:rPr>
                <w:rFonts w:ascii="Arial Narrow" w:hAnsi="Arial Narrow" w:cstheme="minorHAnsi"/>
                <w:color w:val="000000"/>
                <w:sz w:val="20"/>
                <w:szCs w:val="20"/>
              </w:rPr>
              <w:t>(March 2023)</w:t>
            </w:r>
          </w:p>
        </w:tc>
        <w:tc>
          <w:tcPr>
            <w:tcW w:w="357" w:type="pct"/>
            <w:vAlign w:val="bottom"/>
          </w:tcPr>
          <w:p w14:paraId="7AAF48FA" w14:textId="37857E0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w:t>
            </w:r>
            <w:r w:rsidR="00DE6661" w:rsidRPr="00DE6661">
              <w:rPr>
                <w:rFonts w:ascii="Arial Narrow" w:hAnsi="Arial Narrow" w:cs="Calibri" w:hint="eastAsia"/>
                <w:color w:val="000000"/>
                <w:w w:val="25"/>
                <w:sz w:val="20"/>
                <w:szCs w:val="20"/>
                <w:shd w:val="solid" w:color="000000" w:fill="000000"/>
                <w:fitText w:val="112" w:id="-962329584"/>
                <w14:textFill>
                  <w14:solidFill>
                    <w14:srgbClr w14:val="000000">
                      <w14:alpha w14:val="100000"/>
                    </w14:srgbClr>
                  </w14:solidFill>
                </w14:textFill>
              </w:rPr>
              <w:t xml:space="preserve">　</w:t>
            </w:r>
            <w:r w:rsidR="00DE6661" w:rsidRPr="00DE6661">
              <w:rPr>
                <w:rFonts w:ascii="Arial Narrow" w:hAnsi="Arial Narrow" w:cs="Calibri"/>
                <w:color w:val="000000"/>
                <w:w w:val="25"/>
                <w:sz w:val="20"/>
                <w:szCs w:val="20"/>
                <w:shd w:val="solid" w:color="000000" w:fill="000000"/>
                <w:fitText w:val="112" w:id="-962329584"/>
                <w14:textFill>
                  <w14:solidFill>
                    <w14:srgbClr w14:val="000000">
                      <w14:alpha w14:val="100000"/>
                    </w14:srgbClr>
                  </w14:solidFill>
                </w14:textFill>
              </w:rPr>
              <w:t>|</w:t>
            </w:r>
            <w:r w:rsidR="00DE6661" w:rsidRPr="00DE6661">
              <w:rPr>
                <w:rFonts w:ascii="Arial Narrow" w:hAnsi="Arial Narrow" w:cs="Calibri" w:hint="eastAsia"/>
                <w:color w:val="000000"/>
                <w:spacing w:val="1"/>
                <w:w w:val="25"/>
                <w:sz w:val="20"/>
                <w:szCs w:val="20"/>
                <w:shd w:val="solid" w:color="000000" w:fill="000000"/>
                <w:fitText w:val="112" w:id="-962329584"/>
                <w14:textFill>
                  <w14:solidFill>
                    <w14:srgbClr w14:val="000000">
                      <w14:alpha w14:val="100000"/>
                    </w14:srgbClr>
                  </w14:solidFill>
                </w14:textFill>
              </w:rPr>
              <w:t xml:space="preserve">　</w:t>
            </w:r>
          </w:p>
        </w:tc>
        <w:tc>
          <w:tcPr>
            <w:tcW w:w="439" w:type="pct"/>
            <w:vAlign w:val="bottom"/>
          </w:tcPr>
          <w:p w14:paraId="318F9C07" w14:textId="7777777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$0</w:t>
            </w:r>
          </w:p>
        </w:tc>
        <w:tc>
          <w:tcPr>
            <w:tcW w:w="504" w:type="pct"/>
            <w:vAlign w:val="bottom"/>
          </w:tcPr>
          <w:p w14:paraId="6D618019" w14:textId="4CA67542"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213"/>
                <w:sz w:val="20"/>
                <w:szCs w:val="20"/>
                <w:shd w:val="solid" w:color="000000" w:fill="000000"/>
                <w:fitText w:val="299" w:id="-962329600"/>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99" w:id="-962329600"/>
                <w14:textFill>
                  <w14:solidFill>
                    <w14:srgbClr w14:val="000000">
                      <w14:alpha w14:val="100000"/>
                    </w14:srgbClr>
                  </w14:solidFill>
                </w14:textFill>
              </w:rPr>
              <w:t>|</w:t>
            </w:r>
          </w:p>
        </w:tc>
        <w:tc>
          <w:tcPr>
            <w:tcW w:w="626" w:type="pct"/>
            <w:vAlign w:val="bottom"/>
          </w:tcPr>
          <w:p w14:paraId="507C2AD4" w14:textId="7777777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77.1%</w:t>
            </w:r>
          </w:p>
        </w:tc>
        <w:tc>
          <w:tcPr>
            <w:tcW w:w="439" w:type="pct"/>
            <w:vAlign w:val="bottom"/>
          </w:tcPr>
          <w:p w14:paraId="4683E8A6" w14:textId="7777777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8.0%</w:t>
            </w:r>
          </w:p>
        </w:tc>
        <w:tc>
          <w:tcPr>
            <w:tcW w:w="504" w:type="pct"/>
            <w:vAlign w:val="bottom"/>
          </w:tcPr>
          <w:p w14:paraId="4D80F5C8" w14:textId="7777777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69.1%</w:t>
            </w:r>
          </w:p>
        </w:tc>
        <w:tc>
          <w:tcPr>
            <w:tcW w:w="703" w:type="pct"/>
            <w:vAlign w:val="bottom"/>
          </w:tcPr>
          <w:p w14:paraId="6761CC73" w14:textId="3A9E8FF3"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49"/>
                <w:sz w:val="20"/>
                <w:szCs w:val="20"/>
                <w:shd w:val="solid" w:color="000000" w:fill="000000"/>
                <w:fitText w:val="318" w:id="-962329599"/>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318" w:id="-962329599"/>
                <w14:textFill>
                  <w14:solidFill>
                    <w14:srgbClr w14:val="000000">
                      <w14:alpha w14:val="100000"/>
                    </w14:srgbClr>
                  </w14:solidFill>
                </w14:textFill>
              </w:rPr>
              <w:t>|</w:t>
            </w:r>
            <w:r w:rsidR="000A60EA">
              <w:rPr>
                <w:rFonts w:ascii="Arial Narrow" w:hAnsi="Arial Narrow" w:cstheme="minorHAnsi"/>
                <w:color w:val="000000"/>
                <w:sz w:val="20"/>
                <w:szCs w:val="20"/>
                <w:vertAlign w:val="superscript"/>
              </w:rPr>
              <w:t>2</w:t>
            </w:r>
            <w:r w:rsidRPr="007A4E7E">
              <w:rPr>
                <w:rFonts w:ascii="Arial Narrow" w:hAnsi="Arial Narrow" w:cs="Calibri"/>
                <w:sz w:val="20"/>
                <w:szCs w:val="20"/>
              </w:rPr>
              <w:t>/CR</w:t>
            </w:r>
          </w:p>
        </w:tc>
      </w:tr>
      <w:tr w:rsidR="00AF6948" w:rsidRPr="007A4E7E" w14:paraId="1711E85A" w14:textId="77777777" w:rsidTr="00EA6DFD">
        <w:tc>
          <w:tcPr>
            <w:tcW w:w="1428" w:type="pct"/>
          </w:tcPr>
          <w:p w14:paraId="0D0C8A2E" w14:textId="77777777" w:rsidR="00043D39" w:rsidRDefault="00AF6948" w:rsidP="008E5316">
            <w:pPr>
              <w:keepNext/>
              <w:keepLines/>
              <w:spacing w:line="276" w:lineRule="auto"/>
              <w:rPr>
                <w:rFonts w:ascii="Arial Narrow" w:hAnsi="Arial Narrow" w:cstheme="minorHAnsi"/>
                <w:color w:val="000000"/>
                <w:sz w:val="20"/>
                <w:szCs w:val="20"/>
              </w:rPr>
            </w:pPr>
            <w:r w:rsidRPr="007A4E7E">
              <w:rPr>
                <w:rFonts w:ascii="Arial Narrow" w:hAnsi="Arial Narrow" w:cstheme="minorHAnsi"/>
                <w:color w:val="000000"/>
                <w:sz w:val="20"/>
                <w:szCs w:val="20"/>
              </w:rPr>
              <w:t xml:space="preserve">CR at 12 weeks </w:t>
            </w:r>
          </w:p>
          <w:p w14:paraId="03AE7CDF" w14:textId="5F2AEE80" w:rsidR="00AF6948" w:rsidRPr="007A4E7E" w:rsidRDefault="00AF6948" w:rsidP="008E5316">
            <w:pPr>
              <w:keepNext/>
              <w:keepLines/>
              <w:spacing w:line="276" w:lineRule="auto"/>
              <w:rPr>
                <w:rFonts w:ascii="Arial Narrow" w:hAnsi="Arial Narrow" w:cstheme="minorHAnsi"/>
                <w:color w:val="000000"/>
                <w:sz w:val="20"/>
                <w:szCs w:val="20"/>
              </w:rPr>
            </w:pPr>
            <w:r w:rsidRPr="007A4E7E">
              <w:rPr>
                <w:rFonts w:ascii="Arial Narrow" w:hAnsi="Arial Narrow" w:cstheme="minorHAnsi"/>
                <w:color w:val="000000"/>
                <w:sz w:val="20"/>
                <w:szCs w:val="20"/>
              </w:rPr>
              <w:t>(March 2024)^</w:t>
            </w:r>
          </w:p>
        </w:tc>
        <w:tc>
          <w:tcPr>
            <w:tcW w:w="357" w:type="pct"/>
            <w:vAlign w:val="bottom"/>
          </w:tcPr>
          <w:p w14:paraId="57F92205" w14:textId="778DAC7B"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w:t>
            </w:r>
            <w:r w:rsidR="00DE6661" w:rsidRPr="00DE6661">
              <w:rPr>
                <w:rFonts w:ascii="Arial Narrow" w:hAnsi="Arial Narrow" w:cs="Calibri" w:hint="eastAsia"/>
                <w:color w:val="000000"/>
                <w:w w:val="25"/>
                <w:sz w:val="20"/>
                <w:szCs w:val="20"/>
                <w:shd w:val="solid" w:color="000000" w:fill="000000"/>
                <w:fitText w:val="112" w:id="-962329598"/>
                <w14:textFill>
                  <w14:solidFill>
                    <w14:srgbClr w14:val="000000">
                      <w14:alpha w14:val="100000"/>
                    </w14:srgbClr>
                  </w14:solidFill>
                </w14:textFill>
              </w:rPr>
              <w:t xml:space="preserve">　</w:t>
            </w:r>
            <w:r w:rsidR="00DE6661" w:rsidRPr="00DE6661">
              <w:rPr>
                <w:rFonts w:ascii="Arial Narrow" w:hAnsi="Arial Narrow" w:cs="Calibri"/>
                <w:color w:val="000000"/>
                <w:w w:val="25"/>
                <w:sz w:val="20"/>
                <w:szCs w:val="20"/>
                <w:shd w:val="solid" w:color="000000" w:fill="000000"/>
                <w:fitText w:val="112" w:id="-962329598"/>
                <w14:textFill>
                  <w14:solidFill>
                    <w14:srgbClr w14:val="000000">
                      <w14:alpha w14:val="100000"/>
                    </w14:srgbClr>
                  </w14:solidFill>
                </w14:textFill>
              </w:rPr>
              <w:t>|</w:t>
            </w:r>
            <w:r w:rsidR="00DE6661" w:rsidRPr="00DE6661">
              <w:rPr>
                <w:rFonts w:ascii="Arial Narrow" w:hAnsi="Arial Narrow" w:cs="Calibri" w:hint="eastAsia"/>
                <w:color w:val="000000"/>
                <w:spacing w:val="1"/>
                <w:w w:val="25"/>
                <w:sz w:val="20"/>
                <w:szCs w:val="20"/>
                <w:shd w:val="solid" w:color="000000" w:fill="000000"/>
                <w:fitText w:val="112" w:id="-962329598"/>
                <w14:textFill>
                  <w14:solidFill>
                    <w14:srgbClr w14:val="000000">
                      <w14:alpha w14:val="100000"/>
                    </w14:srgbClr>
                  </w14:solidFill>
                </w14:textFill>
              </w:rPr>
              <w:t xml:space="preserve">　</w:t>
            </w:r>
          </w:p>
        </w:tc>
        <w:tc>
          <w:tcPr>
            <w:tcW w:w="439" w:type="pct"/>
            <w:vAlign w:val="bottom"/>
          </w:tcPr>
          <w:p w14:paraId="0B9AFDB3" w14:textId="7777777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$0</w:t>
            </w:r>
          </w:p>
        </w:tc>
        <w:tc>
          <w:tcPr>
            <w:tcW w:w="504" w:type="pct"/>
            <w:vAlign w:val="bottom"/>
          </w:tcPr>
          <w:p w14:paraId="5403745F" w14:textId="43702603"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213"/>
                <w:sz w:val="20"/>
                <w:szCs w:val="20"/>
                <w:shd w:val="solid" w:color="000000" w:fill="000000"/>
                <w:fitText w:val="299" w:id="-962329597"/>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99" w:id="-962329597"/>
                <w14:textFill>
                  <w14:solidFill>
                    <w14:srgbClr w14:val="000000">
                      <w14:alpha w14:val="100000"/>
                    </w14:srgbClr>
                  </w14:solidFill>
                </w14:textFill>
              </w:rPr>
              <w:t>|</w:t>
            </w:r>
          </w:p>
        </w:tc>
        <w:tc>
          <w:tcPr>
            <w:tcW w:w="626" w:type="pct"/>
            <w:vAlign w:val="bottom"/>
          </w:tcPr>
          <w:p w14:paraId="23945122" w14:textId="7777777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77.1%</w:t>
            </w:r>
          </w:p>
        </w:tc>
        <w:tc>
          <w:tcPr>
            <w:tcW w:w="439" w:type="pct"/>
            <w:vAlign w:val="bottom"/>
          </w:tcPr>
          <w:p w14:paraId="0BF9390E" w14:textId="7777777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8.0%</w:t>
            </w:r>
          </w:p>
        </w:tc>
        <w:tc>
          <w:tcPr>
            <w:tcW w:w="504" w:type="pct"/>
            <w:vAlign w:val="bottom"/>
          </w:tcPr>
          <w:p w14:paraId="730E8E4C" w14:textId="77777777"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69.1%</w:t>
            </w:r>
          </w:p>
        </w:tc>
        <w:tc>
          <w:tcPr>
            <w:tcW w:w="703" w:type="pct"/>
            <w:vAlign w:val="bottom"/>
          </w:tcPr>
          <w:p w14:paraId="1075ED01" w14:textId="3624CFF2" w:rsidR="00AF6948" w:rsidRPr="007A4E7E" w:rsidRDefault="00AF6948" w:rsidP="008E5316">
            <w:pPr>
              <w:keepNext/>
              <w:keepLines/>
              <w:spacing w:line="276" w:lineRule="auto"/>
              <w:jc w:val="center"/>
              <w:rPr>
                <w:rFonts w:ascii="Arial Narrow" w:hAnsi="Arial Narrow" w:cs="Calibri"/>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49"/>
                <w:sz w:val="20"/>
                <w:szCs w:val="20"/>
                <w:shd w:val="solid" w:color="000000" w:fill="000000"/>
                <w:fitText w:val="318" w:id="-962329596"/>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318" w:id="-962329596"/>
                <w14:textFill>
                  <w14:solidFill>
                    <w14:srgbClr w14:val="000000">
                      <w14:alpha w14:val="100000"/>
                    </w14:srgbClr>
                  </w14:solidFill>
                </w14:textFill>
              </w:rPr>
              <w:t>|</w:t>
            </w:r>
            <w:r w:rsidR="000A60EA">
              <w:rPr>
                <w:rFonts w:ascii="Arial Narrow" w:hAnsi="Arial Narrow" w:cstheme="minorHAnsi"/>
                <w:color w:val="000000"/>
                <w:sz w:val="20"/>
                <w:szCs w:val="20"/>
                <w:vertAlign w:val="superscript"/>
              </w:rPr>
              <w:t>3</w:t>
            </w:r>
            <w:r w:rsidRPr="007A4E7E">
              <w:rPr>
                <w:rFonts w:ascii="Arial Narrow" w:hAnsi="Arial Narrow" w:cs="Calibri"/>
                <w:sz w:val="20"/>
                <w:szCs w:val="20"/>
              </w:rPr>
              <w:t>/CR</w:t>
            </w:r>
          </w:p>
        </w:tc>
      </w:tr>
    </w:tbl>
    <w:p w14:paraId="250B85E3" w14:textId="77777777" w:rsidR="00AF6948" w:rsidRPr="003936A5" w:rsidRDefault="00AF6948" w:rsidP="008E5316">
      <w:pPr>
        <w:pStyle w:val="Caption"/>
        <w:rPr>
          <w:b w:val="0"/>
          <w:sz w:val="18"/>
        </w:rPr>
      </w:pPr>
      <w:r w:rsidRPr="003936A5">
        <w:rPr>
          <w:b w:val="0"/>
          <w:sz w:val="18"/>
        </w:rPr>
        <w:t>Source: 7.01.ESC ADV.33 Table 11; Isturisa (osilodrostat) - CEA - March 2023 - pre PBAC.xlsx</w:t>
      </w:r>
    </w:p>
    <w:p w14:paraId="461C09FD" w14:textId="77777777" w:rsidR="00AF6948" w:rsidRPr="003936A5" w:rsidRDefault="00AF6948" w:rsidP="008E5316">
      <w:pPr>
        <w:pStyle w:val="Caption"/>
        <w:rPr>
          <w:b w:val="0"/>
          <w:sz w:val="18"/>
        </w:rPr>
      </w:pPr>
      <w:r w:rsidRPr="003936A5">
        <w:rPr>
          <w:b w:val="0"/>
          <w:sz w:val="18"/>
        </w:rPr>
        <w:t>Abbreviations: CR = complete response; ICER = incremental cost effectiveness ratio; Incr. = Incremental; LYG = life years gained; QALY = quality adjusted life year gained; ORR = overall responder (i.e., partial or complete response)</w:t>
      </w:r>
    </w:p>
    <w:p w14:paraId="3CB8156A" w14:textId="77777777" w:rsidR="00AF6948" w:rsidRPr="00914C1A" w:rsidRDefault="00AF6948" w:rsidP="008E5316">
      <w:pPr>
        <w:keepNext/>
        <w:keepLines/>
        <w:rPr>
          <w:rFonts w:ascii="Arial Narrow" w:hAnsi="Arial Narrow"/>
          <w:bCs/>
          <w:sz w:val="18"/>
          <w:szCs w:val="18"/>
        </w:rPr>
      </w:pPr>
      <w:r w:rsidRPr="00914C1A">
        <w:rPr>
          <w:rFonts w:ascii="Arial Narrow" w:hAnsi="Arial Narrow"/>
          <w:bCs/>
          <w:sz w:val="18"/>
          <w:szCs w:val="18"/>
        </w:rPr>
        <w:t xml:space="preserve">^The March 2023 submission analysis updated to consider the new proposed AEMP and excluding the 10 mg strength which is no longer proposed for listing on the PBS. All other variables from the March 2023 analysis were for the purposes of this response unchanged. </w:t>
      </w:r>
    </w:p>
    <w:p w14:paraId="5838BADE" w14:textId="77777777" w:rsidR="000A60EA" w:rsidRPr="00914C1A" w:rsidRDefault="000A60EA" w:rsidP="008E5316">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rPr>
        <w:t xml:space="preserve">The redacted values correspond to the following ranges: </w:t>
      </w:r>
    </w:p>
    <w:p w14:paraId="1365B0B7" w14:textId="42180615" w:rsidR="000A60EA" w:rsidRPr="00914C1A" w:rsidRDefault="000A60EA" w:rsidP="008E5316">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1</w:t>
      </w:r>
      <w:r w:rsidRPr="00914C1A">
        <w:rPr>
          <w:rFonts w:ascii="Arial Narrow" w:hAnsi="Arial Narrow" w:cstheme="minorHAnsi"/>
          <w:bCs/>
          <w:i/>
          <w:iCs/>
          <w:sz w:val="18"/>
          <w:szCs w:val="18"/>
        </w:rPr>
        <w:t xml:space="preserve"> $35,000 to &lt; $45,000</w:t>
      </w:r>
    </w:p>
    <w:p w14:paraId="3F391CB2" w14:textId="5F5E7EFA" w:rsidR="000A60EA" w:rsidRPr="00914C1A" w:rsidRDefault="000A60EA" w:rsidP="008E5316">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2</w:t>
      </w:r>
      <w:r w:rsidRPr="00914C1A">
        <w:rPr>
          <w:rFonts w:ascii="Arial Narrow" w:hAnsi="Arial Narrow" w:cstheme="minorHAnsi"/>
          <w:bCs/>
          <w:i/>
          <w:iCs/>
          <w:sz w:val="18"/>
          <w:szCs w:val="18"/>
        </w:rPr>
        <w:t xml:space="preserve"> $25,000 to &lt; $35,000</w:t>
      </w:r>
    </w:p>
    <w:p w14:paraId="7D1A4990" w14:textId="4465D8F2" w:rsidR="00AF6948" w:rsidRPr="007A4E7E" w:rsidRDefault="000A60EA" w:rsidP="00914C1A">
      <w:pPr>
        <w:spacing w:after="120"/>
        <w:jc w:val="left"/>
      </w:pPr>
      <w:r w:rsidRPr="00914C1A">
        <w:rPr>
          <w:rFonts w:ascii="Arial Narrow" w:hAnsi="Arial Narrow" w:cstheme="minorHAnsi"/>
          <w:bCs/>
          <w:i/>
          <w:iCs/>
          <w:sz w:val="18"/>
          <w:szCs w:val="18"/>
          <w:vertAlign w:val="superscript"/>
        </w:rPr>
        <w:t>3</w:t>
      </w:r>
      <w:r w:rsidR="00AA105F">
        <w:rPr>
          <w:rFonts w:ascii="Arial Narrow" w:hAnsi="Arial Narrow" w:cstheme="minorHAnsi"/>
          <w:bCs/>
          <w:i/>
          <w:iCs/>
          <w:sz w:val="18"/>
          <w:szCs w:val="18"/>
          <w:vertAlign w:val="superscript"/>
        </w:rPr>
        <w:t xml:space="preserve"> </w:t>
      </w:r>
      <w:r w:rsidRPr="00914C1A">
        <w:rPr>
          <w:rFonts w:ascii="Arial Narrow" w:hAnsi="Arial Narrow" w:cstheme="minorHAnsi"/>
          <w:bCs/>
          <w:i/>
          <w:iCs/>
          <w:sz w:val="18"/>
          <w:szCs w:val="18"/>
        </w:rPr>
        <w:t>$15,000 to &lt; $25,000</w:t>
      </w:r>
    </w:p>
    <w:p w14:paraId="24E7173F" w14:textId="31B485C2" w:rsidR="007D00BA" w:rsidRDefault="007D00BA" w:rsidP="007D00BA">
      <w:pPr>
        <w:pStyle w:val="ExecSumBodyText"/>
        <w:numPr>
          <w:ilvl w:val="1"/>
          <w:numId w:val="1"/>
        </w:numPr>
        <w:rPr>
          <w:iCs/>
        </w:rPr>
      </w:pPr>
      <w:bookmarkStart w:id="47" w:name="_Ref163381281"/>
      <w:r w:rsidRPr="007A4E7E">
        <w:rPr>
          <w:iCs/>
        </w:rPr>
        <w:t>The PBAC noted previous decisions it had made using an incremental cost per responder analysis</w:t>
      </w:r>
      <w:bookmarkEnd w:id="47"/>
      <w:r w:rsidR="00043D39">
        <w:rPr>
          <w:iCs/>
        </w:rPr>
        <w:t>.</w:t>
      </w:r>
    </w:p>
    <w:p w14:paraId="3A0CA4E4" w14:textId="1F90F941" w:rsidR="00043D39" w:rsidRPr="00043D39" w:rsidRDefault="00043D39" w:rsidP="003936A5">
      <w:pPr>
        <w:pStyle w:val="Caption"/>
      </w:pPr>
      <w:r w:rsidRPr="00043D39">
        <w:t xml:space="preserve">Table </w:t>
      </w:r>
      <w:r w:rsidR="00545EA1">
        <w:fldChar w:fldCharType="begin" w:fldLock="1"/>
      </w:r>
      <w:r w:rsidR="00545EA1">
        <w:instrText xml:space="preserve"> SEQ Table \* ARABIC </w:instrText>
      </w:r>
      <w:r w:rsidR="00545EA1">
        <w:fldChar w:fldCharType="separate"/>
      </w:r>
      <w:r>
        <w:rPr>
          <w:noProof/>
        </w:rPr>
        <w:t>10</w:t>
      </w:r>
      <w:r w:rsidR="00545EA1">
        <w:rPr>
          <w:noProof/>
        </w:rPr>
        <w:fldChar w:fldCharType="end"/>
      </w:r>
      <w:r w:rsidRPr="00043D39">
        <w:t xml:space="preserve">: </w:t>
      </w:r>
      <w:r>
        <w:t>I</w:t>
      </w:r>
      <w:r w:rsidRPr="007A4E7E">
        <w:rPr>
          <w:iCs/>
        </w:rPr>
        <w:t>ncremental cost per responder analys</w:t>
      </w:r>
      <w:r>
        <w:rPr>
          <w:iCs/>
        </w:rPr>
        <w:t>e</w:t>
      </w:r>
      <w:r w:rsidRPr="007A4E7E">
        <w:rPr>
          <w:iCs/>
        </w:rPr>
        <w:t>s</w:t>
      </w:r>
      <w:r>
        <w:rPr>
          <w:iCs/>
        </w:rPr>
        <w:t xml:space="preserve"> - precedents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0: Incremental cost per responder analyses - precedents"/>
      </w:tblPr>
      <w:tblGrid>
        <w:gridCol w:w="5126"/>
        <w:gridCol w:w="3881"/>
      </w:tblGrid>
      <w:tr w:rsidR="007D00BA" w:rsidRPr="007A4E7E" w14:paraId="0EC42DB4" w14:textId="77777777" w:rsidTr="00914C1A">
        <w:trPr>
          <w:trHeight w:val="113"/>
        </w:trPr>
        <w:tc>
          <w:tcPr>
            <w:tcW w:w="5126" w:type="dxa"/>
            <w:tcMar>
              <w:top w:w="28" w:type="dxa"/>
              <w:left w:w="28" w:type="dxa"/>
              <w:bottom w:w="28" w:type="dxa"/>
              <w:right w:w="28" w:type="dxa"/>
            </w:tcMar>
            <w:hideMark/>
          </w:tcPr>
          <w:p w14:paraId="50738E92" w14:textId="77777777" w:rsidR="007D00BA" w:rsidRPr="007A4E7E" w:rsidRDefault="007D00BA" w:rsidP="00914C1A">
            <w:pPr>
              <w:keepNext/>
              <w:keepLines/>
              <w:jc w:val="center"/>
              <w:rPr>
                <w:rFonts w:ascii="Arial Narrow" w:hAnsi="Arial Narrow" w:cs="Times New Roman"/>
                <w:sz w:val="20"/>
                <w:szCs w:val="20"/>
              </w:rPr>
            </w:pPr>
            <w:r w:rsidRPr="007A4E7E">
              <w:rPr>
                <w:rFonts w:ascii="Arial Narrow" w:hAnsi="Arial Narrow" w:cs="Times New Roman"/>
                <w:b/>
                <w:bCs/>
                <w:sz w:val="20"/>
                <w:szCs w:val="20"/>
              </w:rPr>
              <w:t>Drug &amp; condition (PBAC meeting)</w:t>
            </w:r>
          </w:p>
        </w:tc>
        <w:tc>
          <w:tcPr>
            <w:tcW w:w="3881" w:type="dxa"/>
            <w:tcMar>
              <w:top w:w="28" w:type="dxa"/>
              <w:left w:w="28" w:type="dxa"/>
              <w:bottom w:w="28" w:type="dxa"/>
              <w:right w:w="28" w:type="dxa"/>
            </w:tcMar>
            <w:hideMark/>
          </w:tcPr>
          <w:p w14:paraId="7C316A33" w14:textId="77777777" w:rsidR="007D00BA" w:rsidRPr="007A4E7E" w:rsidRDefault="007D00BA" w:rsidP="00914C1A">
            <w:pPr>
              <w:keepNext/>
              <w:keepLines/>
              <w:jc w:val="center"/>
              <w:rPr>
                <w:rFonts w:ascii="Arial Narrow" w:hAnsi="Arial Narrow" w:cs="Times New Roman"/>
                <w:sz w:val="20"/>
                <w:szCs w:val="20"/>
              </w:rPr>
            </w:pPr>
            <w:r w:rsidRPr="007A4E7E">
              <w:rPr>
                <w:rFonts w:ascii="Arial Narrow" w:hAnsi="Arial Narrow" w:cs="Times New Roman"/>
                <w:b/>
                <w:bCs/>
                <w:sz w:val="20"/>
                <w:szCs w:val="20"/>
              </w:rPr>
              <w:t>Cost per responder</w:t>
            </w:r>
          </w:p>
        </w:tc>
      </w:tr>
      <w:tr w:rsidR="007D00BA" w:rsidRPr="007A4E7E" w14:paraId="30A5726D" w14:textId="77777777" w:rsidTr="00914C1A">
        <w:trPr>
          <w:trHeight w:val="170"/>
        </w:trPr>
        <w:tc>
          <w:tcPr>
            <w:tcW w:w="5126" w:type="dxa"/>
            <w:tcMar>
              <w:top w:w="28" w:type="dxa"/>
              <w:left w:w="28" w:type="dxa"/>
              <w:bottom w:w="28" w:type="dxa"/>
              <w:right w:w="28" w:type="dxa"/>
            </w:tcMar>
            <w:hideMark/>
          </w:tcPr>
          <w:p w14:paraId="1719F995" w14:textId="77777777" w:rsidR="007D00BA" w:rsidRPr="003936A5" w:rsidRDefault="007D00BA" w:rsidP="00914C1A">
            <w:pPr>
              <w:keepNext/>
              <w:keepLines/>
              <w:jc w:val="left"/>
              <w:rPr>
                <w:rFonts w:ascii="Arial Narrow" w:hAnsi="Arial Narrow" w:cs="Times New Roman"/>
                <w:sz w:val="20"/>
                <w:szCs w:val="20"/>
              </w:rPr>
            </w:pPr>
            <w:r w:rsidRPr="003936A5">
              <w:rPr>
                <w:rFonts w:ascii="Arial Narrow" w:hAnsi="Arial Narrow" w:cs="Times New Roman"/>
                <w:sz w:val="20"/>
                <w:szCs w:val="20"/>
              </w:rPr>
              <w:t xml:space="preserve">Bevacizumab </w:t>
            </w:r>
          </w:p>
          <w:p w14:paraId="5A887C87" w14:textId="77777777" w:rsidR="007D00BA" w:rsidRPr="003936A5" w:rsidRDefault="007D00BA" w:rsidP="00914C1A">
            <w:pPr>
              <w:keepNext/>
              <w:keepLines/>
              <w:jc w:val="left"/>
              <w:rPr>
                <w:rFonts w:ascii="Arial Narrow" w:hAnsi="Arial Narrow" w:cs="Times New Roman"/>
                <w:sz w:val="20"/>
                <w:szCs w:val="20"/>
              </w:rPr>
            </w:pPr>
            <w:r w:rsidRPr="003936A5">
              <w:rPr>
                <w:rFonts w:ascii="Arial Narrow" w:hAnsi="Arial Narrow" w:cs="Times New Roman"/>
                <w:sz w:val="20"/>
                <w:szCs w:val="20"/>
              </w:rPr>
              <w:t xml:space="preserve">for relapsed or refractory glioblastoma </w:t>
            </w:r>
          </w:p>
          <w:p w14:paraId="411E381C" w14:textId="77777777" w:rsidR="007D00BA" w:rsidRPr="003936A5" w:rsidRDefault="007D00BA" w:rsidP="00914C1A">
            <w:pPr>
              <w:keepNext/>
              <w:keepLines/>
              <w:jc w:val="left"/>
              <w:rPr>
                <w:rFonts w:ascii="Arial Narrow" w:hAnsi="Arial Narrow" w:cs="Times New Roman"/>
                <w:sz w:val="20"/>
                <w:szCs w:val="20"/>
              </w:rPr>
            </w:pPr>
            <w:r w:rsidRPr="003936A5">
              <w:rPr>
                <w:rFonts w:ascii="Arial Narrow" w:hAnsi="Arial Narrow" w:cs="Times New Roman"/>
                <w:sz w:val="20"/>
                <w:szCs w:val="20"/>
              </w:rPr>
              <w:t>(May 2019)</w:t>
            </w:r>
          </w:p>
        </w:tc>
        <w:tc>
          <w:tcPr>
            <w:tcW w:w="3881" w:type="dxa"/>
            <w:tcMar>
              <w:top w:w="28" w:type="dxa"/>
              <w:left w:w="28" w:type="dxa"/>
              <w:bottom w:w="28" w:type="dxa"/>
              <w:right w:w="28" w:type="dxa"/>
            </w:tcMar>
            <w:hideMark/>
          </w:tcPr>
          <w:p w14:paraId="2D9E8E2A" w14:textId="763B40CB" w:rsidR="007D00BA" w:rsidRPr="003936A5" w:rsidRDefault="007D00BA" w:rsidP="00914C1A">
            <w:pPr>
              <w:keepNext/>
              <w:keepLines/>
              <w:jc w:val="left"/>
              <w:rPr>
                <w:rFonts w:ascii="Arial Narrow" w:hAnsi="Arial Narrow" w:cs="Times New Roman"/>
                <w:sz w:val="20"/>
                <w:szCs w:val="20"/>
              </w:rPr>
            </w:pPr>
            <w:r w:rsidRPr="003936A5">
              <w:rPr>
                <w:rFonts w:ascii="Arial Narrow" w:hAnsi="Arial Narrow" w:cs="Times New Roman"/>
                <w:sz w:val="20"/>
                <w:szCs w:val="20"/>
              </w:rPr>
              <w:t xml:space="preserve">The cost per responder (ORR) was between </w:t>
            </w:r>
            <w:r w:rsidR="00AF6948" w:rsidRPr="003936A5">
              <w:rPr>
                <w:rFonts w:ascii="Arial Narrow" w:hAnsi="Arial Narrow" w:cs="Times New Roman"/>
                <w:sz w:val="20"/>
                <w:szCs w:val="20"/>
              </w:rPr>
              <w:t>$</w:t>
            </w:r>
            <w:r w:rsidR="00DE6661" w:rsidRPr="00DE6661">
              <w:rPr>
                <w:rFonts w:ascii="Arial Narrow" w:hAnsi="Arial Narrow" w:cs="Times New Roman"/>
                <w:color w:val="000000"/>
                <w:spacing w:val="55"/>
                <w:sz w:val="20"/>
                <w:szCs w:val="20"/>
                <w:shd w:val="solid" w:color="000000" w:fill="000000"/>
                <w:fitText w:val="337" w:id="-962329595"/>
                <w14:textFill>
                  <w14:solidFill>
                    <w14:srgbClr w14:val="000000">
                      <w14:alpha w14:val="100000"/>
                    </w14:srgbClr>
                  </w14:solidFill>
                </w14:textFill>
              </w:rPr>
              <w:t>|||</w:t>
            </w:r>
            <w:r w:rsidR="00DE6661" w:rsidRPr="00DE6661">
              <w:rPr>
                <w:rFonts w:ascii="Arial Narrow" w:hAnsi="Arial Narrow" w:cs="Times New Roman"/>
                <w:color w:val="000000"/>
                <w:spacing w:val="2"/>
                <w:sz w:val="20"/>
                <w:szCs w:val="20"/>
                <w:shd w:val="solid" w:color="000000" w:fill="000000"/>
                <w:fitText w:val="337" w:id="-962329595"/>
                <w14:textFill>
                  <w14:solidFill>
                    <w14:srgbClr w14:val="000000">
                      <w14:alpha w14:val="100000"/>
                    </w14:srgbClr>
                  </w14:solidFill>
                </w14:textFill>
              </w:rPr>
              <w:t>|</w:t>
            </w:r>
            <w:r w:rsidR="00AF6948" w:rsidRPr="003936A5">
              <w:rPr>
                <w:rFonts w:ascii="Arial Narrow" w:hAnsi="Arial Narrow" w:cs="Times New Roman"/>
                <w:sz w:val="20"/>
                <w:szCs w:val="20"/>
              </w:rPr>
              <w:t xml:space="preserve"> and $</w:t>
            </w:r>
            <w:r w:rsidR="00DE6661" w:rsidRPr="00DE6661">
              <w:rPr>
                <w:rFonts w:ascii="Arial Narrow" w:hAnsi="Arial Narrow" w:cs="Times New Roman"/>
                <w:color w:val="000000"/>
                <w:spacing w:val="49"/>
                <w:sz w:val="20"/>
                <w:szCs w:val="20"/>
                <w:shd w:val="solid" w:color="000000" w:fill="000000"/>
                <w:fitText w:val="318" w:id="-962329594"/>
                <w14:textFill>
                  <w14:solidFill>
                    <w14:srgbClr w14:val="000000">
                      <w14:alpha w14:val="100000"/>
                    </w14:srgbClr>
                  </w14:solidFill>
                </w14:textFill>
              </w:rPr>
              <w:t>|||</w:t>
            </w:r>
            <w:r w:rsidR="00DE6661" w:rsidRPr="00DE6661">
              <w:rPr>
                <w:rFonts w:ascii="Arial Narrow" w:hAnsi="Arial Narrow" w:cs="Times New Roman"/>
                <w:color w:val="000000"/>
                <w:spacing w:val="1"/>
                <w:sz w:val="20"/>
                <w:szCs w:val="20"/>
                <w:shd w:val="solid" w:color="000000" w:fill="000000"/>
                <w:fitText w:val="318" w:id="-962329594"/>
                <w14:textFill>
                  <w14:solidFill>
                    <w14:srgbClr w14:val="000000">
                      <w14:alpha w14:val="100000"/>
                    </w14:srgbClr>
                  </w14:solidFill>
                </w14:textFill>
              </w:rPr>
              <w:t>|</w:t>
            </w:r>
            <w:r w:rsidRPr="003936A5">
              <w:rPr>
                <w:rFonts w:ascii="Arial Narrow" w:hAnsi="Arial Narrow" w:cs="Times New Roman"/>
                <w:sz w:val="20"/>
                <w:szCs w:val="20"/>
              </w:rPr>
              <w:t>.</w:t>
            </w:r>
          </w:p>
          <w:p w14:paraId="3F5B67AF" w14:textId="4B31E85C" w:rsidR="00043D39" w:rsidRPr="003936A5" w:rsidRDefault="00043D39" w:rsidP="00914C1A">
            <w:pPr>
              <w:keepNext/>
              <w:keepLines/>
              <w:jc w:val="left"/>
              <w:rPr>
                <w:rFonts w:ascii="Arial Narrow" w:hAnsi="Arial Narrow" w:cs="Times New Roman"/>
                <w:sz w:val="20"/>
                <w:szCs w:val="20"/>
              </w:rPr>
            </w:pPr>
            <w:r w:rsidRPr="003936A5">
              <w:rPr>
                <w:rFonts w:ascii="Arial Narrow" w:hAnsi="Arial Narrow" w:cs="Times New Roman"/>
                <w:sz w:val="20"/>
                <w:szCs w:val="20"/>
              </w:rPr>
              <w:t>(Redacted as per PSD)</w:t>
            </w:r>
          </w:p>
        </w:tc>
      </w:tr>
      <w:tr w:rsidR="007D00BA" w:rsidRPr="007A4E7E" w14:paraId="1ACC67E3" w14:textId="77777777" w:rsidTr="00914C1A">
        <w:trPr>
          <w:trHeight w:val="113"/>
        </w:trPr>
        <w:tc>
          <w:tcPr>
            <w:tcW w:w="5126" w:type="dxa"/>
            <w:tcMar>
              <w:top w:w="28" w:type="dxa"/>
              <w:left w:w="28" w:type="dxa"/>
              <w:bottom w:w="28" w:type="dxa"/>
              <w:right w:w="28" w:type="dxa"/>
            </w:tcMar>
            <w:hideMark/>
          </w:tcPr>
          <w:p w14:paraId="56238EDF"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 xml:space="preserve">Brentuximab vedotin </w:t>
            </w:r>
          </w:p>
          <w:p w14:paraId="2D2CE199"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 xml:space="preserve">for refractory or relapsed CD30 positive cutaneous T-cell lymphomas (CTCL). </w:t>
            </w:r>
          </w:p>
          <w:p w14:paraId="2DD7633B"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(Nov 2018)</w:t>
            </w:r>
          </w:p>
        </w:tc>
        <w:tc>
          <w:tcPr>
            <w:tcW w:w="3881" w:type="dxa"/>
            <w:tcMar>
              <w:top w:w="28" w:type="dxa"/>
              <w:left w:w="28" w:type="dxa"/>
              <w:bottom w:w="28" w:type="dxa"/>
              <w:right w:w="28" w:type="dxa"/>
            </w:tcMar>
            <w:hideMark/>
          </w:tcPr>
          <w:p w14:paraId="058A041C" w14:textId="04BEFCF8"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 xml:space="preserve">The cost per responder (ORR) </w:t>
            </w:r>
            <w:r w:rsidRPr="004B22AD">
              <w:rPr>
                <w:rFonts w:ascii="Arial Narrow" w:hAnsi="Arial Narrow" w:cs="Times New Roman"/>
                <w:sz w:val="20"/>
                <w:szCs w:val="20"/>
              </w:rPr>
              <w:t>was $45,000 - $75,000 and the cost per additional year without progression was</w:t>
            </w:r>
            <w:r w:rsidR="00BF0D56" w:rsidRPr="004B22AD">
              <w:rPr>
                <w:rFonts w:ascii="Arial Narrow" w:hAnsi="Arial Narrow" w:cs="Times New Roman"/>
                <w:sz w:val="20"/>
                <w:szCs w:val="20"/>
              </w:rPr>
              <w:t xml:space="preserve"> </w:t>
            </w:r>
            <w:r w:rsidRPr="004B22AD">
              <w:rPr>
                <w:rFonts w:ascii="Arial Narrow" w:hAnsi="Arial Narrow" w:cs="Times New Roman"/>
                <w:sz w:val="20"/>
                <w:szCs w:val="20"/>
              </w:rPr>
              <w:t>$15,000 - $45,000</w:t>
            </w:r>
          </w:p>
        </w:tc>
      </w:tr>
      <w:tr w:rsidR="007D00BA" w:rsidRPr="007A4E7E" w14:paraId="074346CF" w14:textId="77777777" w:rsidTr="00914C1A">
        <w:trPr>
          <w:trHeight w:val="113"/>
        </w:trPr>
        <w:tc>
          <w:tcPr>
            <w:tcW w:w="5126" w:type="dxa"/>
            <w:tcMar>
              <w:top w:w="28" w:type="dxa"/>
              <w:left w:w="28" w:type="dxa"/>
              <w:bottom w:w="28" w:type="dxa"/>
              <w:right w:w="28" w:type="dxa"/>
            </w:tcMar>
            <w:hideMark/>
          </w:tcPr>
          <w:p w14:paraId="2EBA2E68" w14:textId="77777777" w:rsidR="007D00BA" w:rsidRPr="007A4E7E" w:rsidRDefault="007D00BA" w:rsidP="00914C1A">
            <w:pPr>
              <w:keepNext/>
              <w:keepLines/>
              <w:jc w:val="left"/>
              <w:rPr>
                <w:rFonts w:ascii="Arial Narrow" w:hAnsi="Arial Narrow" w:cs="Times New Roman"/>
                <w:sz w:val="20"/>
                <w:szCs w:val="20"/>
              </w:rPr>
            </w:pPr>
            <w:proofErr w:type="spellStart"/>
            <w:r w:rsidRPr="007A4E7E">
              <w:rPr>
                <w:rFonts w:ascii="Arial Narrow" w:hAnsi="Arial Narrow" w:cs="Times New Roman"/>
                <w:sz w:val="20"/>
                <w:szCs w:val="20"/>
              </w:rPr>
              <w:t>Vorinostat</w:t>
            </w:r>
            <w:proofErr w:type="spellEnd"/>
            <w:r w:rsidRPr="007A4E7E">
              <w:rPr>
                <w:rFonts w:ascii="Arial Narrow" w:hAnsi="Arial Narrow" w:cs="Times New Roman"/>
                <w:sz w:val="20"/>
                <w:szCs w:val="20"/>
              </w:rPr>
              <w:t xml:space="preserve"> </w:t>
            </w:r>
          </w:p>
          <w:p w14:paraId="37931570"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for refractory or relapsed cutaneous T-cell lymphoma (CTCL)</w:t>
            </w:r>
          </w:p>
          <w:p w14:paraId="20AA325F"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March 2017</w:t>
            </w:r>
          </w:p>
        </w:tc>
        <w:tc>
          <w:tcPr>
            <w:tcW w:w="3881" w:type="dxa"/>
            <w:tcMar>
              <w:top w:w="28" w:type="dxa"/>
              <w:left w:w="28" w:type="dxa"/>
              <w:bottom w:w="28" w:type="dxa"/>
              <w:right w:w="28" w:type="dxa"/>
            </w:tcMar>
            <w:hideMark/>
          </w:tcPr>
          <w:p w14:paraId="3C5B2155" w14:textId="146281AA"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 xml:space="preserve">Cost per responder: </w:t>
            </w:r>
            <w:r w:rsidR="00AF6948" w:rsidRPr="007A4E7E">
              <w:rPr>
                <w:rFonts w:ascii="Arial Narrow" w:hAnsi="Arial Narrow" w:cs="Times New Roman"/>
                <w:sz w:val="20"/>
                <w:szCs w:val="20"/>
              </w:rPr>
              <w:t>$</w:t>
            </w:r>
            <w:r w:rsidR="00DE6661" w:rsidRPr="00DE6661">
              <w:rPr>
                <w:rFonts w:ascii="Arial Narrow" w:hAnsi="Arial Narrow" w:cs="Times New Roman"/>
                <w:color w:val="000000"/>
                <w:spacing w:val="49"/>
                <w:sz w:val="20"/>
                <w:szCs w:val="20"/>
                <w:shd w:val="solid" w:color="000000" w:fill="000000"/>
                <w:fitText w:val="318" w:id="-962329593"/>
                <w14:textFill>
                  <w14:solidFill>
                    <w14:srgbClr w14:val="000000">
                      <w14:alpha w14:val="100000"/>
                    </w14:srgbClr>
                  </w14:solidFill>
                </w14:textFill>
              </w:rPr>
              <w:t>|||</w:t>
            </w:r>
            <w:r w:rsidR="00DE6661" w:rsidRPr="00DE6661">
              <w:rPr>
                <w:rFonts w:ascii="Arial Narrow" w:hAnsi="Arial Narrow" w:cs="Times New Roman"/>
                <w:color w:val="000000"/>
                <w:spacing w:val="1"/>
                <w:sz w:val="20"/>
                <w:szCs w:val="20"/>
                <w:shd w:val="solid" w:color="000000" w:fill="000000"/>
                <w:fitText w:val="318" w:id="-962329593"/>
                <w14:textFill>
                  <w14:solidFill>
                    <w14:srgbClr w14:val="000000">
                      <w14:alpha w14:val="100000"/>
                    </w14:srgbClr>
                  </w14:solidFill>
                </w14:textFill>
              </w:rPr>
              <w:t>|</w:t>
            </w:r>
            <w:r w:rsidR="00AF6948" w:rsidRPr="007A4E7E">
              <w:rPr>
                <w:rFonts w:ascii="Arial Narrow" w:hAnsi="Arial Narrow" w:cs="Times New Roman"/>
                <w:sz w:val="20"/>
                <w:szCs w:val="20"/>
              </w:rPr>
              <w:t xml:space="preserve"> </w:t>
            </w:r>
            <w:r w:rsidRPr="007A4E7E">
              <w:rPr>
                <w:rFonts w:ascii="Arial Narrow" w:hAnsi="Arial Narrow" w:cs="Times New Roman"/>
                <w:sz w:val="20"/>
                <w:szCs w:val="20"/>
              </w:rPr>
              <w:t xml:space="preserve"> </w:t>
            </w:r>
            <w:r w:rsidRPr="007A4E7E">
              <w:rPr>
                <w:rFonts w:ascii="Arial Narrow" w:hAnsi="Arial Narrow" w:cs="Times New Roman"/>
                <w:sz w:val="20"/>
                <w:szCs w:val="20"/>
                <w:vertAlign w:val="superscript"/>
              </w:rPr>
              <w:t xml:space="preserve"> </w:t>
            </w:r>
          </w:p>
          <w:p w14:paraId="0F1A83E9" w14:textId="4763135E"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 </w:t>
            </w:r>
            <w:r w:rsidR="00043D39">
              <w:rPr>
                <w:rFonts w:ascii="Arial Narrow" w:hAnsi="Arial Narrow" w:cs="Times New Roman"/>
                <w:sz w:val="20"/>
                <w:szCs w:val="20"/>
              </w:rPr>
              <w:t>(Redacted as per PSD)</w:t>
            </w:r>
          </w:p>
        </w:tc>
      </w:tr>
      <w:tr w:rsidR="007D00BA" w:rsidRPr="007A4E7E" w14:paraId="29EE94A0" w14:textId="77777777" w:rsidTr="00914C1A">
        <w:trPr>
          <w:trHeight w:val="113"/>
        </w:trPr>
        <w:tc>
          <w:tcPr>
            <w:tcW w:w="5126" w:type="dxa"/>
            <w:tcMar>
              <w:top w:w="28" w:type="dxa"/>
              <w:left w:w="28" w:type="dxa"/>
              <w:bottom w:w="28" w:type="dxa"/>
              <w:right w:w="28" w:type="dxa"/>
            </w:tcMar>
            <w:hideMark/>
          </w:tcPr>
          <w:p w14:paraId="3B00196A"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Clostridium botulinum type A toxin-haemagglutinin complex (Dysport®)</w:t>
            </w:r>
          </w:p>
          <w:p w14:paraId="0DDBC36A"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for focal spasticity of the upper limb following a stroke, to also include spasticity following acute events other than stroke (March 2019)</w:t>
            </w:r>
          </w:p>
        </w:tc>
        <w:tc>
          <w:tcPr>
            <w:tcW w:w="3881" w:type="dxa"/>
            <w:tcMar>
              <w:top w:w="28" w:type="dxa"/>
              <w:left w:w="28" w:type="dxa"/>
              <w:bottom w:w="28" w:type="dxa"/>
              <w:right w:w="28" w:type="dxa"/>
            </w:tcMar>
            <w:hideMark/>
          </w:tcPr>
          <w:p w14:paraId="5038B117" w14:textId="6107369C" w:rsidR="007D00BA" w:rsidRPr="004B22AD" w:rsidRDefault="007D00BA" w:rsidP="00914C1A">
            <w:pPr>
              <w:keepNext/>
              <w:keepLines/>
              <w:jc w:val="left"/>
              <w:rPr>
                <w:rFonts w:ascii="Arial Narrow" w:hAnsi="Arial Narrow" w:cs="Times New Roman"/>
                <w:sz w:val="20"/>
                <w:szCs w:val="20"/>
              </w:rPr>
            </w:pPr>
            <w:r w:rsidRPr="004B22AD">
              <w:rPr>
                <w:rFonts w:ascii="Arial Narrow" w:hAnsi="Arial Narrow" w:cs="Times New Roman"/>
                <w:sz w:val="20"/>
                <w:szCs w:val="20"/>
              </w:rPr>
              <w:t>Cost per responder: less than $15,000</w:t>
            </w:r>
          </w:p>
        </w:tc>
      </w:tr>
      <w:tr w:rsidR="007D00BA" w:rsidRPr="007A4E7E" w14:paraId="795E8EFF" w14:textId="77777777" w:rsidTr="00914C1A">
        <w:trPr>
          <w:trHeight w:val="113"/>
        </w:trPr>
        <w:tc>
          <w:tcPr>
            <w:tcW w:w="5126" w:type="dxa"/>
            <w:tcMar>
              <w:top w:w="28" w:type="dxa"/>
              <w:left w:w="28" w:type="dxa"/>
              <w:bottom w:w="28" w:type="dxa"/>
              <w:right w:w="28" w:type="dxa"/>
            </w:tcMar>
            <w:hideMark/>
          </w:tcPr>
          <w:p w14:paraId="40C88CBA"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Denosumab</w:t>
            </w:r>
          </w:p>
          <w:p w14:paraId="68CB83CD"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giant cell tumour of bone</w:t>
            </w:r>
          </w:p>
          <w:p w14:paraId="628C2D35"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(November 2013)</w:t>
            </w:r>
          </w:p>
        </w:tc>
        <w:tc>
          <w:tcPr>
            <w:tcW w:w="3881" w:type="dxa"/>
            <w:tcMar>
              <w:top w:w="28" w:type="dxa"/>
              <w:left w:w="28" w:type="dxa"/>
              <w:bottom w:w="28" w:type="dxa"/>
              <w:right w:w="28" w:type="dxa"/>
            </w:tcMar>
            <w:hideMark/>
          </w:tcPr>
          <w:p w14:paraId="36AF2D03" w14:textId="77777777" w:rsidR="007D00BA" w:rsidRPr="004B22AD" w:rsidRDefault="007D00BA" w:rsidP="00914C1A">
            <w:pPr>
              <w:keepNext/>
              <w:keepLines/>
              <w:jc w:val="left"/>
              <w:rPr>
                <w:rFonts w:ascii="Arial Narrow" w:hAnsi="Arial Narrow" w:cs="Times New Roman"/>
                <w:sz w:val="20"/>
                <w:szCs w:val="20"/>
              </w:rPr>
            </w:pPr>
            <w:r w:rsidRPr="004B22AD">
              <w:rPr>
                <w:rFonts w:ascii="Arial Narrow" w:hAnsi="Arial Narrow" w:cs="Times New Roman"/>
                <w:sz w:val="20"/>
                <w:szCs w:val="20"/>
              </w:rPr>
              <w:t xml:space="preserve">Incremental cost per responder: less than $15,000 </w:t>
            </w:r>
          </w:p>
        </w:tc>
      </w:tr>
      <w:tr w:rsidR="007D00BA" w:rsidRPr="007A4E7E" w14:paraId="675E60F8" w14:textId="77777777" w:rsidTr="00914C1A">
        <w:trPr>
          <w:trHeight w:val="113"/>
        </w:trPr>
        <w:tc>
          <w:tcPr>
            <w:tcW w:w="5126" w:type="dxa"/>
            <w:tcMar>
              <w:top w:w="28" w:type="dxa"/>
              <w:left w:w="28" w:type="dxa"/>
              <w:bottom w:w="28" w:type="dxa"/>
              <w:right w:w="28" w:type="dxa"/>
            </w:tcMar>
            <w:hideMark/>
          </w:tcPr>
          <w:p w14:paraId="3BA0D4B5"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Etanercept</w:t>
            </w:r>
          </w:p>
          <w:p w14:paraId="240CF833" w14:textId="77777777" w:rsidR="007D00BA" w:rsidRPr="007A4E7E" w:rsidRDefault="007D00BA" w:rsidP="00914C1A">
            <w:pPr>
              <w:keepNext/>
              <w:keepLines/>
              <w:jc w:val="left"/>
              <w:rPr>
                <w:rFonts w:ascii="Arial Narrow" w:hAnsi="Arial Narrow" w:cs="Open Sans"/>
                <w:color w:val="222222"/>
                <w:sz w:val="20"/>
                <w:szCs w:val="20"/>
              </w:rPr>
            </w:pPr>
            <w:r w:rsidRPr="007A4E7E">
              <w:rPr>
                <w:rFonts w:ascii="Arial Narrow" w:hAnsi="Arial Narrow" w:cs="Open Sans"/>
                <w:color w:val="222222"/>
                <w:sz w:val="20"/>
                <w:szCs w:val="20"/>
                <w:shd w:val="clear" w:color="auto" w:fill="FFFFFF"/>
              </w:rPr>
              <w:t>severe chronic plaque psoriasis in patients under the age of 18 years</w:t>
            </w:r>
          </w:p>
          <w:p w14:paraId="209A8B34" w14:textId="77777777" w:rsidR="007D00BA" w:rsidRPr="007A4E7E" w:rsidRDefault="007D00BA" w:rsidP="00914C1A">
            <w:pPr>
              <w:keepNext/>
              <w:keepLines/>
              <w:jc w:val="left"/>
              <w:rPr>
                <w:rFonts w:ascii="Arial Narrow" w:hAnsi="Arial Narrow" w:cs="Calibri"/>
                <w:color w:val="222222"/>
                <w:sz w:val="20"/>
                <w:szCs w:val="20"/>
              </w:rPr>
            </w:pPr>
            <w:r w:rsidRPr="007A4E7E">
              <w:rPr>
                <w:rFonts w:ascii="Arial Narrow" w:hAnsi="Arial Narrow" w:cs="Calibri"/>
                <w:color w:val="222222"/>
                <w:sz w:val="20"/>
                <w:szCs w:val="20"/>
                <w:shd w:val="clear" w:color="auto" w:fill="FFFFFF"/>
              </w:rPr>
              <w:t>(March 2012)</w:t>
            </w:r>
          </w:p>
        </w:tc>
        <w:tc>
          <w:tcPr>
            <w:tcW w:w="3881" w:type="dxa"/>
            <w:tcMar>
              <w:top w:w="28" w:type="dxa"/>
              <w:left w:w="28" w:type="dxa"/>
              <w:bottom w:w="28" w:type="dxa"/>
              <w:right w:w="28" w:type="dxa"/>
            </w:tcMar>
            <w:hideMark/>
          </w:tcPr>
          <w:p w14:paraId="63DB1917" w14:textId="77777777" w:rsidR="007D00BA" w:rsidRPr="004B22AD" w:rsidRDefault="007D00BA" w:rsidP="00914C1A">
            <w:pPr>
              <w:keepNext/>
              <w:keepLines/>
              <w:jc w:val="left"/>
              <w:rPr>
                <w:rFonts w:ascii="Arial Narrow" w:hAnsi="Arial Narrow" w:cs="Open Sans"/>
                <w:color w:val="222222"/>
                <w:sz w:val="20"/>
                <w:szCs w:val="20"/>
              </w:rPr>
            </w:pPr>
            <w:r w:rsidRPr="004B22AD">
              <w:rPr>
                <w:rFonts w:ascii="Arial Narrow" w:hAnsi="Arial Narrow" w:cs="Open Sans"/>
                <w:color w:val="222222"/>
                <w:sz w:val="20"/>
                <w:szCs w:val="20"/>
                <w:shd w:val="clear" w:color="auto" w:fill="FFFFFF"/>
              </w:rPr>
              <w:t>incremental cost per PASI 75 response: less than $15,000</w:t>
            </w:r>
          </w:p>
        </w:tc>
      </w:tr>
      <w:tr w:rsidR="007D00BA" w:rsidRPr="007A4E7E" w14:paraId="58BEF121" w14:textId="77777777" w:rsidTr="00914C1A">
        <w:trPr>
          <w:trHeight w:val="113"/>
        </w:trPr>
        <w:tc>
          <w:tcPr>
            <w:tcW w:w="5126" w:type="dxa"/>
            <w:tcMar>
              <w:top w:w="28" w:type="dxa"/>
              <w:left w:w="28" w:type="dxa"/>
              <w:bottom w:w="28" w:type="dxa"/>
              <w:right w:w="28" w:type="dxa"/>
            </w:tcMar>
            <w:hideMark/>
          </w:tcPr>
          <w:p w14:paraId="2ABAED3A" w14:textId="77777777"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Times New Roman"/>
                <w:sz w:val="20"/>
                <w:szCs w:val="20"/>
              </w:rPr>
              <w:t>Tiotropium</w:t>
            </w:r>
          </w:p>
          <w:p w14:paraId="602B8975" w14:textId="77777777" w:rsidR="007D00BA" w:rsidRPr="007A4E7E" w:rsidRDefault="007D00BA" w:rsidP="00914C1A">
            <w:pPr>
              <w:keepNext/>
              <w:keepLines/>
              <w:jc w:val="left"/>
              <w:rPr>
                <w:rFonts w:ascii="Arial Narrow" w:hAnsi="Arial Narrow" w:cs="Calibri"/>
                <w:sz w:val="20"/>
                <w:szCs w:val="20"/>
              </w:rPr>
            </w:pPr>
            <w:r w:rsidRPr="007A4E7E">
              <w:rPr>
                <w:rFonts w:ascii="Arial Narrow" w:hAnsi="Arial Narrow" w:cs="Calibri"/>
                <w:sz w:val="20"/>
                <w:szCs w:val="20"/>
              </w:rPr>
              <w:t>severe asthma in children and adolescents aged 6-17 years who have not achieved adequate asthma control.</w:t>
            </w:r>
          </w:p>
          <w:p w14:paraId="58DA4069" w14:textId="24A91D0A" w:rsidR="007D00BA" w:rsidRPr="007A4E7E" w:rsidRDefault="007D00BA" w:rsidP="00914C1A">
            <w:pPr>
              <w:keepNext/>
              <w:keepLines/>
              <w:jc w:val="left"/>
              <w:rPr>
                <w:rFonts w:ascii="Arial Narrow" w:hAnsi="Arial Narrow" w:cs="Times New Roman"/>
                <w:sz w:val="20"/>
                <w:szCs w:val="20"/>
              </w:rPr>
            </w:pPr>
            <w:r w:rsidRPr="007A4E7E">
              <w:rPr>
                <w:rFonts w:ascii="Arial Narrow" w:hAnsi="Arial Narrow" w:cs="Calibri"/>
                <w:sz w:val="20"/>
                <w:szCs w:val="20"/>
              </w:rPr>
              <w:t>(November 2018)</w:t>
            </w:r>
          </w:p>
        </w:tc>
        <w:tc>
          <w:tcPr>
            <w:tcW w:w="3881" w:type="dxa"/>
            <w:tcMar>
              <w:top w:w="28" w:type="dxa"/>
              <w:left w:w="28" w:type="dxa"/>
              <w:bottom w:w="28" w:type="dxa"/>
              <w:right w:w="28" w:type="dxa"/>
            </w:tcMar>
            <w:hideMark/>
          </w:tcPr>
          <w:p w14:paraId="47E5DF93" w14:textId="77777777" w:rsidR="007D00BA" w:rsidRPr="004B22AD" w:rsidRDefault="007D00BA" w:rsidP="00914C1A">
            <w:pPr>
              <w:keepNext/>
              <w:keepLines/>
              <w:jc w:val="left"/>
              <w:rPr>
                <w:rFonts w:ascii="Arial Narrow" w:hAnsi="Arial Narrow" w:cs="Calibri"/>
                <w:sz w:val="20"/>
                <w:szCs w:val="20"/>
              </w:rPr>
            </w:pPr>
            <w:r w:rsidRPr="004B22AD">
              <w:rPr>
                <w:rFonts w:ascii="Arial Narrow" w:hAnsi="Arial Narrow" w:cs="Calibri"/>
                <w:sz w:val="20"/>
                <w:szCs w:val="20"/>
              </w:rPr>
              <w:t>Incremental cost per symptomatic exacerbation avoided: less than $15,000</w:t>
            </w:r>
          </w:p>
        </w:tc>
      </w:tr>
    </w:tbl>
    <w:p w14:paraId="303559F4" w14:textId="4AC04889" w:rsidR="007D00BA" w:rsidRPr="00043D39" w:rsidRDefault="00043D39" w:rsidP="00914C1A">
      <w:pPr>
        <w:pStyle w:val="Caption"/>
        <w:keepNext w:val="0"/>
        <w:keepLines w:val="0"/>
        <w:rPr>
          <w:b w:val="0"/>
          <w:sz w:val="18"/>
        </w:rPr>
      </w:pPr>
      <w:r w:rsidRPr="00043D39">
        <w:rPr>
          <w:b w:val="0"/>
          <w:sz w:val="18"/>
        </w:rPr>
        <w:t>Source: constructed from PSDs</w:t>
      </w:r>
    </w:p>
    <w:p w14:paraId="09C8ACC0" w14:textId="77777777" w:rsidR="007D00BA" w:rsidRPr="007A4E7E" w:rsidRDefault="007D00BA" w:rsidP="00043D39">
      <w:pPr>
        <w:pStyle w:val="ExecSumBodyText"/>
        <w:numPr>
          <w:ilvl w:val="1"/>
          <w:numId w:val="1"/>
        </w:numPr>
        <w:spacing w:before="120"/>
      </w:pPr>
      <w:r w:rsidRPr="007A4E7E">
        <w:t xml:space="preserve">The economic evaluation in the resubmission was primarily informed by the </w:t>
      </w:r>
      <w:r w:rsidRPr="007A4E7E">
        <w:rPr>
          <w:iCs/>
        </w:rPr>
        <w:t>post-hoc</w:t>
      </w:r>
      <w:r w:rsidRPr="007A4E7E">
        <w:t xml:space="preserve"> analysis of LINC 4</w:t>
      </w:r>
      <w:r w:rsidRPr="007A4E7E">
        <w:rPr>
          <w:iCs/>
        </w:rPr>
        <w:t xml:space="preserve"> </w:t>
      </w:r>
      <w:r w:rsidRPr="007A4E7E">
        <w:t>which was based on the subgroup of patients who met the proposed PBS restriction criteria for:</w:t>
      </w:r>
    </w:p>
    <w:p w14:paraId="729803AF" w14:textId="77777777" w:rsidR="007D00BA" w:rsidRPr="007A4E7E" w:rsidRDefault="007D00BA" w:rsidP="007D00BA">
      <w:pPr>
        <w:pStyle w:val="Bulletpoints"/>
        <w:ind w:left="1134" w:hanging="425"/>
        <w:contextualSpacing w:val="0"/>
      </w:pPr>
      <w:r w:rsidRPr="007A4E7E">
        <w:lastRenderedPageBreak/>
        <w:t>Initiating treatment i.e., patients with baseline mUFC&gt;1.3xULN based on two UFC values (60/73 [82%] patients met the initial treatment criteria. Data from this cohort was used to inform the response at week 26); and</w:t>
      </w:r>
    </w:p>
    <w:p w14:paraId="4CD24AC8" w14:textId="7B477C02" w:rsidR="007D00BA" w:rsidRPr="007A4E7E" w:rsidRDefault="007D00BA" w:rsidP="007D00BA">
      <w:pPr>
        <w:pStyle w:val="Bulletpoints"/>
        <w:ind w:left="1134" w:hanging="425"/>
        <w:contextualSpacing w:val="0"/>
      </w:pPr>
      <w:r w:rsidRPr="007A4E7E">
        <w:t xml:space="preserve">Continuing treatment i.e., patients who achieve an overall response (mUFC≤ULN or ≥50% improvement in mUFC from baseline) at 26 weeks and every 26 weeks thereafter (52/60 [87%] patients who met the initial treatment criteria achieved an overall response at Week 26. Data from this cohort was used to inform the DoR curves). </w:t>
      </w:r>
      <w:r w:rsidRPr="007A4E7E">
        <w:rPr>
          <w:iCs/>
        </w:rPr>
        <w:t xml:space="preserve">Results for this </w:t>
      </w:r>
      <w:r w:rsidRPr="007A4E7E">
        <w:t>post-hoc</w:t>
      </w:r>
      <w:r w:rsidRPr="007A4E7E">
        <w:rPr>
          <w:iCs/>
        </w:rPr>
        <w:t xml:space="preserve"> analysis were described in </w:t>
      </w:r>
      <w:r w:rsidRPr="007A4E7E">
        <w:rPr>
          <w:iCs/>
        </w:rPr>
        <w:fldChar w:fldCharType="begin" w:fldLock="1"/>
      </w:r>
      <w:r w:rsidRPr="007A4E7E">
        <w:rPr>
          <w:iCs/>
        </w:rPr>
        <w:instrText xml:space="preserve"> REF _Ref152851778 \h  \* MERGEFORMAT </w:instrText>
      </w:r>
      <w:r w:rsidRPr="007A4E7E">
        <w:rPr>
          <w:iCs/>
        </w:rPr>
      </w:r>
      <w:r w:rsidRPr="007A4E7E">
        <w:rPr>
          <w:iCs/>
        </w:rPr>
        <w:fldChar w:fldCharType="separate"/>
      </w:r>
      <w:r w:rsidR="00043D39" w:rsidRPr="00043D39">
        <w:rPr>
          <w:iCs/>
        </w:rPr>
        <w:t>Table 6</w:t>
      </w:r>
      <w:r w:rsidRPr="007A4E7E">
        <w:rPr>
          <w:iCs/>
        </w:rPr>
        <w:fldChar w:fldCharType="end"/>
      </w:r>
      <w:r w:rsidRPr="007A4E7E">
        <w:rPr>
          <w:iCs/>
        </w:rPr>
        <w:t>.</w:t>
      </w:r>
    </w:p>
    <w:p w14:paraId="3A8BBE63" w14:textId="48DAB2BE" w:rsidR="007D00BA" w:rsidRPr="00DE6661" w:rsidRDefault="007D00BA" w:rsidP="00D46CC2">
      <w:pPr>
        <w:pStyle w:val="ExecSumBodyText"/>
        <w:keepNext/>
        <w:keepLines/>
        <w:numPr>
          <w:ilvl w:val="1"/>
          <w:numId w:val="1"/>
        </w:numPr>
        <w:rPr>
          <w:b/>
          <w:bCs/>
        </w:rPr>
      </w:pPr>
      <w:r w:rsidRPr="007A4E7E">
        <w:t xml:space="preserve">The key components of the economic model are presented in </w:t>
      </w:r>
      <w:r w:rsidRPr="007A4E7E">
        <w:fldChar w:fldCharType="begin" w:fldLock="1"/>
      </w:r>
      <w:r w:rsidRPr="007A4E7E">
        <w:instrText xml:space="preserve"> REF _Ref153008268 \h  \* MERGEFORMAT </w:instrText>
      </w:r>
      <w:r w:rsidRPr="007A4E7E">
        <w:fldChar w:fldCharType="separate"/>
      </w:r>
      <w:r w:rsidR="00043D39" w:rsidRPr="007A4E7E">
        <w:t xml:space="preserve">Table </w:t>
      </w:r>
      <w:r w:rsidR="00043D39">
        <w:t>11</w:t>
      </w:r>
      <w:r w:rsidRPr="007A4E7E">
        <w:fldChar w:fldCharType="end"/>
      </w:r>
      <w:r w:rsidRPr="007A4E7E">
        <w:t>. This economic evaluation has not been previously considered by the PBAC.</w:t>
      </w:r>
    </w:p>
    <w:p w14:paraId="1E13ACBD" w14:textId="2C2B5083" w:rsidR="007D00BA" w:rsidRPr="007A4E7E" w:rsidRDefault="007D00BA" w:rsidP="00D46CC2">
      <w:pPr>
        <w:pStyle w:val="Caption"/>
        <w:jc w:val="left"/>
        <w:rPr>
          <w:rStyle w:val="CommentReference"/>
          <w:b/>
          <w:szCs w:val="24"/>
        </w:rPr>
      </w:pPr>
      <w:bookmarkStart w:id="48" w:name="_Ref153008268"/>
      <w:r w:rsidRPr="007A4E7E">
        <w:t xml:space="preserve">Table </w:t>
      </w:r>
      <w:r w:rsidR="00545EA1">
        <w:fldChar w:fldCharType="begin" w:fldLock="1"/>
      </w:r>
      <w:r w:rsidR="00545EA1">
        <w:instrText xml:space="preserve"> SEQ Table \* ARABIC </w:instrText>
      </w:r>
      <w:r w:rsidR="00545EA1">
        <w:fldChar w:fldCharType="separate"/>
      </w:r>
      <w:r w:rsidR="00043D39">
        <w:rPr>
          <w:noProof/>
        </w:rPr>
        <w:t>11</w:t>
      </w:r>
      <w:r w:rsidR="00545EA1">
        <w:rPr>
          <w:noProof/>
        </w:rPr>
        <w:fldChar w:fldCharType="end"/>
      </w:r>
      <w:bookmarkEnd w:id="48"/>
      <w:r w:rsidRPr="007A4E7E">
        <w:t>:</w:t>
      </w:r>
      <w:r w:rsidRPr="007A4E7E">
        <w:rPr>
          <w:rStyle w:val="CommentReference"/>
          <w:szCs w:val="24"/>
        </w:rPr>
        <w:t xml:space="preserve"> </w:t>
      </w:r>
      <w:r w:rsidRPr="007A4E7E">
        <w:rPr>
          <w:rStyle w:val="CommentReference"/>
          <w:b/>
          <w:bCs w:val="0"/>
          <w:szCs w:val="24"/>
        </w:rPr>
        <w:t>Summary of model structure, key inputs, and rationale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Summary of model structure, key inputs, and rationale"/>
      </w:tblPr>
      <w:tblGrid>
        <w:gridCol w:w="1154"/>
        <w:gridCol w:w="7863"/>
      </w:tblGrid>
      <w:tr w:rsidR="007D00BA" w:rsidRPr="007A4E7E" w14:paraId="4450D017" w14:textId="77777777" w:rsidTr="00EA6DFD">
        <w:trPr>
          <w:tblHeader/>
        </w:trPr>
        <w:tc>
          <w:tcPr>
            <w:tcW w:w="640" w:type="pct"/>
            <w:shd w:val="clear" w:color="auto" w:fill="auto"/>
            <w:vAlign w:val="center"/>
          </w:tcPr>
          <w:p w14:paraId="73D6A127" w14:textId="77777777" w:rsidR="007D00BA" w:rsidRPr="007A4E7E" w:rsidRDefault="007D00BA" w:rsidP="00D46CC2">
            <w:pPr>
              <w:pStyle w:val="In-tableHeading"/>
              <w:keepLines/>
              <w:rPr>
                <w:lang w:val="en-AU"/>
              </w:rPr>
            </w:pPr>
            <w:r w:rsidRPr="007A4E7E">
              <w:rPr>
                <w:lang w:val="en-AU"/>
              </w:rPr>
              <w:t>Component</w:t>
            </w:r>
          </w:p>
        </w:tc>
        <w:tc>
          <w:tcPr>
            <w:tcW w:w="4360" w:type="pct"/>
            <w:shd w:val="clear" w:color="auto" w:fill="auto"/>
            <w:vAlign w:val="center"/>
          </w:tcPr>
          <w:p w14:paraId="0BF154D9" w14:textId="77777777" w:rsidR="007D00BA" w:rsidRPr="007A4E7E" w:rsidRDefault="007D00BA" w:rsidP="00D46CC2">
            <w:pPr>
              <w:pStyle w:val="In-tableHeading"/>
              <w:keepLines/>
              <w:rPr>
                <w:lang w:val="en-AU"/>
              </w:rPr>
            </w:pPr>
            <w:r w:rsidRPr="007A4E7E">
              <w:rPr>
                <w:lang w:val="en-AU"/>
              </w:rPr>
              <w:t>Summary</w:t>
            </w:r>
          </w:p>
        </w:tc>
      </w:tr>
      <w:tr w:rsidR="007D00BA" w:rsidRPr="007A4E7E" w14:paraId="0EAE56C0" w14:textId="77777777" w:rsidTr="00EA6DFD">
        <w:tc>
          <w:tcPr>
            <w:tcW w:w="640" w:type="pct"/>
            <w:shd w:val="clear" w:color="auto" w:fill="auto"/>
            <w:vAlign w:val="center"/>
          </w:tcPr>
          <w:p w14:paraId="6B4BD23A" w14:textId="77777777" w:rsidR="007D00BA" w:rsidRPr="007A4E7E" w:rsidRDefault="007D00BA" w:rsidP="00D46CC2">
            <w:pPr>
              <w:pStyle w:val="TableText0"/>
              <w:keepLines/>
            </w:pPr>
            <w:r w:rsidRPr="007A4E7E">
              <w:t>Treatments</w:t>
            </w:r>
          </w:p>
        </w:tc>
        <w:tc>
          <w:tcPr>
            <w:tcW w:w="4360" w:type="pct"/>
            <w:shd w:val="clear" w:color="auto" w:fill="auto"/>
            <w:vAlign w:val="center"/>
          </w:tcPr>
          <w:p w14:paraId="56CCED09" w14:textId="77777777" w:rsidR="007D00BA" w:rsidRPr="007A4E7E" w:rsidRDefault="007D00BA" w:rsidP="00D46CC2">
            <w:pPr>
              <w:pStyle w:val="TableText0"/>
              <w:keepLines/>
            </w:pPr>
            <w:r w:rsidRPr="007A4E7E">
              <w:t>Osilodrostat vs placebo. A sensitivity analysis that included metyrapone and ketoconazole as subsequent therapies for patients who do not respond was included.</w:t>
            </w:r>
          </w:p>
        </w:tc>
      </w:tr>
      <w:tr w:rsidR="007D00BA" w:rsidRPr="007A4E7E" w14:paraId="2A7314F1" w14:textId="77777777" w:rsidTr="00EA6DFD">
        <w:tc>
          <w:tcPr>
            <w:tcW w:w="640" w:type="pct"/>
            <w:shd w:val="clear" w:color="auto" w:fill="auto"/>
            <w:vAlign w:val="center"/>
          </w:tcPr>
          <w:p w14:paraId="5142CD7B" w14:textId="77777777" w:rsidR="007D00BA" w:rsidRPr="007A4E7E" w:rsidRDefault="007D00BA" w:rsidP="00D46CC2">
            <w:pPr>
              <w:pStyle w:val="TableText0"/>
              <w:keepLines/>
            </w:pPr>
            <w:r w:rsidRPr="007A4E7E">
              <w:t>Time horizon</w:t>
            </w:r>
          </w:p>
        </w:tc>
        <w:tc>
          <w:tcPr>
            <w:tcW w:w="4360" w:type="pct"/>
            <w:shd w:val="clear" w:color="auto" w:fill="auto"/>
            <w:vAlign w:val="center"/>
          </w:tcPr>
          <w:p w14:paraId="0AD1B756" w14:textId="06CBC2B5" w:rsidR="007D00BA" w:rsidRPr="007A4E7E" w:rsidRDefault="007D00BA" w:rsidP="00D46CC2">
            <w:pPr>
              <w:pStyle w:val="TableText0"/>
              <w:keepLines/>
            </w:pPr>
            <w:r w:rsidRPr="007A4E7E">
              <w:t>50 years in the model base case vs 15 months in the trial (ORR at 26 weeks followed by DoR up to 15</w:t>
            </w:r>
            <w:r w:rsidR="00565077">
              <w:t> </w:t>
            </w:r>
            <w:r w:rsidRPr="007A4E7E">
              <w:t xml:space="preserve">months) </w:t>
            </w:r>
          </w:p>
        </w:tc>
      </w:tr>
      <w:tr w:rsidR="007D00BA" w:rsidRPr="007A4E7E" w14:paraId="58BDCCE9" w14:textId="77777777" w:rsidTr="00EA6DFD">
        <w:tc>
          <w:tcPr>
            <w:tcW w:w="640" w:type="pct"/>
            <w:shd w:val="clear" w:color="auto" w:fill="auto"/>
            <w:vAlign w:val="center"/>
          </w:tcPr>
          <w:p w14:paraId="1BF72BF5" w14:textId="77777777" w:rsidR="007D00BA" w:rsidRPr="007A4E7E" w:rsidRDefault="007D00BA" w:rsidP="00D46CC2">
            <w:pPr>
              <w:pStyle w:val="TableText0"/>
              <w:keepLines/>
            </w:pPr>
            <w:r w:rsidRPr="007A4E7E">
              <w:t>Outcomes</w:t>
            </w:r>
          </w:p>
        </w:tc>
        <w:tc>
          <w:tcPr>
            <w:tcW w:w="4360" w:type="pct"/>
            <w:shd w:val="clear" w:color="auto" w:fill="auto"/>
            <w:vAlign w:val="center"/>
          </w:tcPr>
          <w:p w14:paraId="745E17A3" w14:textId="77777777" w:rsidR="007D00BA" w:rsidRPr="007A4E7E" w:rsidRDefault="007D00BA" w:rsidP="00D46CC2">
            <w:pPr>
              <w:pStyle w:val="TableText0"/>
              <w:keepLines/>
            </w:pPr>
            <w:r w:rsidRPr="007A4E7E">
              <w:t>ORR at 26 weeks, LYG, and QALYs gained</w:t>
            </w:r>
          </w:p>
        </w:tc>
      </w:tr>
      <w:tr w:rsidR="007D00BA" w:rsidRPr="007A4E7E" w14:paraId="3ECFF3BF" w14:textId="77777777" w:rsidTr="00EA6DFD">
        <w:tc>
          <w:tcPr>
            <w:tcW w:w="640" w:type="pct"/>
            <w:shd w:val="clear" w:color="auto" w:fill="auto"/>
            <w:vAlign w:val="center"/>
          </w:tcPr>
          <w:p w14:paraId="046AFADD" w14:textId="77777777" w:rsidR="007D00BA" w:rsidRPr="007A4E7E" w:rsidRDefault="007D00BA" w:rsidP="00D46CC2">
            <w:pPr>
              <w:pStyle w:val="TableText0"/>
              <w:keepLines/>
            </w:pPr>
            <w:r w:rsidRPr="007A4E7E">
              <w:t>Methods used to generate results</w:t>
            </w:r>
          </w:p>
        </w:tc>
        <w:tc>
          <w:tcPr>
            <w:tcW w:w="4360" w:type="pct"/>
            <w:shd w:val="clear" w:color="auto" w:fill="auto"/>
            <w:vAlign w:val="center"/>
          </w:tcPr>
          <w:p w14:paraId="17269933" w14:textId="77777777" w:rsidR="007D00BA" w:rsidRPr="007A4E7E" w:rsidRDefault="007D00BA" w:rsidP="00D46CC2">
            <w:pPr>
              <w:pStyle w:val="TableText0"/>
              <w:keepLines/>
            </w:pPr>
            <w:r w:rsidRPr="007A4E7E">
              <w:t xml:space="preserve">Microsimulation of 5,000 iterations </w:t>
            </w:r>
          </w:p>
        </w:tc>
      </w:tr>
      <w:tr w:rsidR="007D00BA" w:rsidRPr="007A4E7E" w14:paraId="0E0CD6DF" w14:textId="77777777" w:rsidTr="00EA6DFD">
        <w:tc>
          <w:tcPr>
            <w:tcW w:w="640" w:type="pct"/>
            <w:shd w:val="clear" w:color="auto" w:fill="auto"/>
            <w:vAlign w:val="center"/>
          </w:tcPr>
          <w:p w14:paraId="4AC6C565" w14:textId="77777777" w:rsidR="007D00BA" w:rsidRPr="007A4E7E" w:rsidRDefault="007D00BA" w:rsidP="00D46CC2">
            <w:pPr>
              <w:pStyle w:val="TableText0"/>
              <w:keepLines/>
            </w:pPr>
            <w:r w:rsidRPr="007A4E7E">
              <w:t>Health states</w:t>
            </w:r>
          </w:p>
        </w:tc>
        <w:tc>
          <w:tcPr>
            <w:tcW w:w="4360" w:type="pct"/>
            <w:shd w:val="clear" w:color="auto" w:fill="auto"/>
            <w:vAlign w:val="center"/>
          </w:tcPr>
          <w:p w14:paraId="468F99D2" w14:textId="77777777" w:rsidR="007D00BA" w:rsidRPr="007A4E7E" w:rsidRDefault="007D00BA" w:rsidP="00D46CC2">
            <w:pPr>
              <w:pStyle w:val="TableText0"/>
              <w:keepLines/>
            </w:pPr>
            <w:r w:rsidRPr="007A4E7E">
              <w:t>Responders (mUFC≤ULN or ≥50% improvement in mUFC from baseline), non-responder, and dead</w:t>
            </w:r>
          </w:p>
        </w:tc>
      </w:tr>
      <w:tr w:rsidR="007D00BA" w:rsidRPr="007A4E7E" w14:paraId="71828B3E" w14:textId="77777777" w:rsidTr="00EA6DFD">
        <w:tc>
          <w:tcPr>
            <w:tcW w:w="640" w:type="pct"/>
            <w:shd w:val="clear" w:color="auto" w:fill="auto"/>
            <w:vAlign w:val="center"/>
          </w:tcPr>
          <w:p w14:paraId="1D9BEABA" w14:textId="77777777" w:rsidR="007D00BA" w:rsidRPr="007A4E7E" w:rsidRDefault="007D00BA" w:rsidP="00D46CC2">
            <w:pPr>
              <w:pStyle w:val="TableText0"/>
              <w:keepLines/>
            </w:pPr>
            <w:r w:rsidRPr="007A4E7E">
              <w:t>Cycle length</w:t>
            </w:r>
          </w:p>
        </w:tc>
        <w:tc>
          <w:tcPr>
            <w:tcW w:w="4360" w:type="pct"/>
            <w:shd w:val="clear" w:color="auto" w:fill="auto"/>
            <w:vAlign w:val="center"/>
          </w:tcPr>
          <w:p w14:paraId="0188A084" w14:textId="77777777" w:rsidR="007D00BA" w:rsidRPr="007A4E7E" w:rsidRDefault="007D00BA" w:rsidP="00D46CC2">
            <w:pPr>
              <w:pStyle w:val="TableText0"/>
              <w:keepLines/>
            </w:pPr>
            <w:r w:rsidRPr="007A4E7E">
              <w:t>3 months</w:t>
            </w:r>
          </w:p>
        </w:tc>
      </w:tr>
      <w:tr w:rsidR="007D00BA" w:rsidRPr="007A4E7E" w14:paraId="230F52C8" w14:textId="77777777" w:rsidTr="00EA6DFD">
        <w:tc>
          <w:tcPr>
            <w:tcW w:w="640" w:type="pct"/>
            <w:shd w:val="clear" w:color="auto" w:fill="auto"/>
            <w:vAlign w:val="center"/>
          </w:tcPr>
          <w:p w14:paraId="3824B892" w14:textId="77777777" w:rsidR="007D00BA" w:rsidRPr="007A4E7E" w:rsidRDefault="007D00BA" w:rsidP="00D46CC2">
            <w:pPr>
              <w:pStyle w:val="TableText0"/>
              <w:keepLines/>
            </w:pPr>
            <w:r w:rsidRPr="007A4E7E">
              <w:t>Transition probabilities</w:t>
            </w:r>
          </w:p>
        </w:tc>
        <w:tc>
          <w:tcPr>
            <w:tcW w:w="4360" w:type="pct"/>
            <w:shd w:val="clear" w:color="auto" w:fill="auto"/>
            <w:vAlign w:val="center"/>
          </w:tcPr>
          <w:p w14:paraId="73C97F65" w14:textId="77777777" w:rsidR="007D00BA" w:rsidRPr="007A4E7E" w:rsidRDefault="007D00BA" w:rsidP="00D46CC2">
            <w:pPr>
              <w:pStyle w:val="TableText0"/>
              <w:keepLines/>
            </w:pPr>
            <w:r w:rsidRPr="007A4E7E">
              <w:t xml:space="preserve">ORR at 26 weeks based on week 26 results from LINC 4 </w:t>
            </w:r>
            <w:r w:rsidRPr="007A4E7E">
              <w:rPr>
                <w:iCs/>
              </w:rPr>
              <w:t xml:space="preserve">post hoc </w:t>
            </w:r>
            <w:r w:rsidRPr="007A4E7E">
              <w:t>analysis</w:t>
            </w:r>
          </w:p>
          <w:p w14:paraId="1429350A" w14:textId="77777777" w:rsidR="007D00BA" w:rsidRPr="007A4E7E" w:rsidRDefault="007D00BA" w:rsidP="00D46CC2">
            <w:pPr>
              <w:pStyle w:val="ListBullet"/>
              <w:keepNext/>
              <w:keepLines/>
              <w:rPr>
                <w:rFonts w:ascii="Arial Narrow" w:hAnsi="Arial Narrow"/>
                <w:sz w:val="20"/>
                <w:szCs w:val="20"/>
              </w:rPr>
            </w:pPr>
            <w:r w:rsidRPr="007A4E7E">
              <w:rPr>
                <w:rFonts w:ascii="Arial Narrow" w:hAnsi="Arial Narrow"/>
                <w:sz w:val="20"/>
                <w:szCs w:val="20"/>
              </w:rPr>
              <w:t xml:space="preserve">86.67% for osilodrostat </w:t>
            </w:r>
          </w:p>
          <w:p w14:paraId="0BE4711D" w14:textId="77777777" w:rsidR="007D00BA" w:rsidRPr="007A4E7E" w:rsidRDefault="007D00BA" w:rsidP="00D46CC2">
            <w:pPr>
              <w:pStyle w:val="ListBullet"/>
              <w:keepNext/>
              <w:keepLines/>
              <w:rPr>
                <w:rFonts w:ascii="Arial Narrow" w:hAnsi="Arial Narrow"/>
                <w:sz w:val="20"/>
                <w:szCs w:val="20"/>
              </w:rPr>
            </w:pPr>
            <w:r w:rsidRPr="007A4E7E">
              <w:rPr>
                <w:rFonts w:ascii="Arial Narrow" w:hAnsi="Arial Narrow"/>
                <w:sz w:val="20"/>
                <w:szCs w:val="20"/>
              </w:rPr>
              <w:t>17.65% for placebo.</w:t>
            </w:r>
          </w:p>
          <w:p w14:paraId="55D42D04" w14:textId="77777777" w:rsidR="007D00BA" w:rsidRPr="007A4E7E" w:rsidRDefault="007D00BA" w:rsidP="00D46CC2">
            <w:pPr>
              <w:pStyle w:val="ListBullet"/>
              <w:keepNext/>
              <w:keepLines/>
              <w:numPr>
                <w:ilvl w:val="0"/>
                <w:numId w:val="0"/>
              </w:numPr>
              <w:jc w:val="left"/>
              <w:rPr>
                <w:rFonts w:ascii="Arial Narrow" w:hAnsi="Arial Narrow"/>
                <w:sz w:val="20"/>
                <w:szCs w:val="20"/>
              </w:rPr>
            </w:pPr>
          </w:p>
          <w:p w14:paraId="47CFD73B" w14:textId="77777777" w:rsidR="007D00BA" w:rsidRPr="007A4E7E" w:rsidRDefault="007D00BA" w:rsidP="00D46CC2">
            <w:pPr>
              <w:pStyle w:val="ListBullet"/>
              <w:keepNext/>
              <w:keepLines/>
              <w:numPr>
                <w:ilvl w:val="0"/>
                <w:numId w:val="0"/>
              </w:numPr>
              <w:jc w:val="left"/>
              <w:rPr>
                <w:rFonts w:ascii="Arial Narrow" w:hAnsi="Arial Narrow"/>
                <w:sz w:val="20"/>
                <w:szCs w:val="20"/>
              </w:rPr>
            </w:pPr>
            <w:r w:rsidRPr="007A4E7E">
              <w:rPr>
                <w:rFonts w:ascii="Arial Narrow" w:hAnsi="Arial Narrow"/>
                <w:sz w:val="20"/>
                <w:szCs w:val="20"/>
              </w:rPr>
              <w:t xml:space="preserve">DoR (time to escape data from LINC 4 post-hoc analysis) informed by KM estimates up to 15 months then a log normal distribution was fitted to 50-years. </w:t>
            </w:r>
          </w:p>
          <w:p w14:paraId="0B80D80A" w14:textId="77777777" w:rsidR="007D00BA" w:rsidRPr="007A4E7E" w:rsidRDefault="007D00BA" w:rsidP="00D46CC2">
            <w:pPr>
              <w:pStyle w:val="ListBullet"/>
              <w:keepNext/>
              <w:keepLines/>
              <w:numPr>
                <w:ilvl w:val="0"/>
                <w:numId w:val="0"/>
              </w:numPr>
              <w:jc w:val="left"/>
              <w:rPr>
                <w:rFonts w:ascii="Arial Narrow" w:hAnsi="Arial Narrow"/>
                <w:sz w:val="20"/>
                <w:szCs w:val="20"/>
              </w:rPr>
            </w:pPr>
          </w:p>
          <w:p w14:paraId="68ECB6CC" w14:textId="77777777" w:rsidR="007D00BA" w:rsidRPr="007A4E7E" w:rsidRDefault="007D00BA" w:rsidP="00D46CC2">
            <w:pPr>
              <w:pStyle w:val="ListBullet"/>
              <w:keepNext/>
              <w:keepLines/>
              <w:numPr>
                <w:ilvl w:val="0"/>
                <w:numId w:val="0"/>
              </w:numPr>
              <w:jc w:val="left"/>
              <w:rPr>
                <w:rFonts w:ascii="Arial Narrow" w:hAnsi="Arial Narrow"/>
                <w:sz w:val="20"/>
                <w:szCs w:val="20"/>
              </w:rPr>
            </w:pPr>
            <w:r w:rsidRPr="007A4E7E">
              <w:rPr>
                <w:rFonts w:ascii="Arial Narrow" w:hAnsi="Arial Narrow"/>
                <w:sz w:val="20"/>
                <w:szCs w:val="20"/>
              </w:rPr>
              <w:t xml:space="preserve">OS was informed by Ragnarsson 2019. A SMR of 1.9 for responders and 6.9 for non-responders was applied to the general population mortality in Australia. </w:t>
            </w:r>
          </w:p>
          <w:p w14:paraId="5C2D8EAB" w14:textId="77777777" w:rsidR="007D00BA" w:rsidRPr="007A4E7E" w:rsidRDefault="007D00BA" w:rsidP="00D46CC2">
            <w:pPr>
              <w:pStyle w:val="ListBullet"/>
              <w:keepNext/>
              <w:keepLines/>
              <w:numPr>
                <w:ilvl w:val="0"/>
                <w:numId w:val="0"/>
              </w:numPr>
              <w:jc w:val="left"/>
              <w:rPr>
                <w:rFonts w:ascii="Arial Narrow" w:hAnsi="Arial Narrow"/>
                <w:sz w:val="20"/>
                <w:szCs w:val="20"/>
              </w:rPr>
            </w:pPr>
          </w:p>
          <w:p w14:paraId="5AC718CD" w14:textId="77777777" w:rsidR="007D00BA" w:rsidRPr="007A4E7E" w:rsidRDefault="007D00BA" w:rsidP="00D46CC2">
            <w:pPr>
              <w:pStyle w:val="TableText0"/>
              <w:keepLines/>
            </w:pPr>
            <w:r w:rsidRPr="007A4E7E">
              <w:rPr>
                <w:szCs w:val="20"/>
              </w:rPr>
              <w:t>Grade≥3 AE incidences in the initial titration period of 12 weeks in LINC 4 were used to inform AEs. (</w:t>
            </w:r>
            <w:r w:rsidRPr="007A4E7E">
              <w:t>events per patient in cycle 1: osilodrostat = 0.23 (10/43) and placebo= 0.24 (4/17)</w:t>
            </w:r>
            <w:r w:rsidRPr="007A4E7E">
              <w:rPr>
                <w:szCs w:val="20"/>
              </w:rPr>
              <w:t xml:space="preserve"> and incidence of AEs in subsequent cycles (cycle probability=</w:t>
            </w:r>
            <w:r w:rsidRPr="007A4E7E">
              <w:t>0.0399)</w:t>
            </w:r>
            <w:r w:rsidRPr="007A4E7E">
              <w:rPr>
                <w:szCs w:val="20"/>
              </w:rPr>
              <w:t xml:space="preserve"> </w:t>
            </w:r>
          </w:p>
        </w:tc>
      </w:tr>
      <w:tr w:rsidR="007D00BA" w:rsidRPr="007A4E7E" w14:paraId="346B1B83" w14:textId="77777777" w:rsidTr="00EA6DFD">
        <w:tc>
          <w:tcPr>
            <w:tcW w:w="640" w:type="pct"/>
            <w:shd w:val="clear" w:color="auto" w:fill="auto"/>
            <w:vAlign w:val="center"/>
          </w:tcPr>
          <w:p w14:paraId="1DE7821F" w14:textId="77777777" w:rsidR="007D00BA" w:rsidRPr="007A4E7E" w:rsidRDefault="007D00BA" w:rsidP="00D46CC2">
            <w:pPr>
              <w:pStyle w:val="TableText0"/>
              <w:keepLines/>
            </w:pPr>
            <w:r w:rsidRPr="007A4E7E">
              <w:t>Extrapolation method</w:t>
            </w:r>
          </w:p>
        </w:tc>
        <w:tc>
          <w:tcPr>
            <w:tcW w:w="4360" w:type="pct"/>
            <w:shd w:val="clear" w:color="auto" w:fill="auto"/>
            <w:vAlign w:val="center"/>
          </w:tcPr>
          <w:p w14:paraId="5577B355" w14:textId="77777777" w:rsidR="007D00BA" w:rsidRPr="007A4E7E" w:rsidRDefault="007D00BA" w:rsidP="00D46CC2">
            <w:pPr>
              <w:pStyle w:val="TableText0"/>
              <w:keepLines/>
            </w:pPr>
            <w:r w:rsidRPr="007A4E7E">
              <w:t xml:space="preserve">Parametric models (exponential, Weibull, Gompertz, log normal, and log logistic) were fitted to the DoR data in the osilodrostat arm and the log normal was selected in the base case. This selection was primarily based on external validation against the DoR curves from LINC 3. The DoR extrapolation for placebo was assumed the same. </w:t>
            </w:r>
          </w:p>
          <w:p w14:paraId="6C279613" w14:textId="77777777" w:rsidR="007D00BA" w:rsidRPr="007A4E7E" w:rsidRDefault="007D00BA" w:rsidP="00D46CC2">
            <w:pPr>
              <w:pStyle w:val="TableText0"/>
              <w:keepLines/>
            </w:pPr>
          </w:p>
          <w:p w14:paraId="45B53AB5" w14:textId="77777777" w:rsidR="007D00BA" w:rsidRPr="007A4E7E" w:rsidRDefault="007D00BA" w:rsidP="00D46CC2">
            <w:pPr>
              <w:pStyle w:val="TableText0"/>
              <w:keepLines/>
            </w:pPr>
            <w:r w:rsidRPr="007A4E7E">
              <w:t>Osilodrostat arm, 91% of total QALYs (93% and 98% of responder and non</w:t>
            </w:r>
            <w:r w:rsidRPr="007A4E7E">
              <w:noBreakHyphen/>
              <w:t>responder QALYs) and 74% of total costs occurred in the extrapolated period.</w:t>
            </w:r>
          </w:p>
          <w:p w14:paraId="549A097E" w14:textId="77777777" w:rsidR="007D00BA" w:rsidRPr="007A4E7E" w:rsidRDefault="007D00BA" w:rsidP="00D46CC2">
            <w:pPr>
              <w:pStyle w:val="TableText0"/>
              <w:keepLines/>
            </w:pPr>
            <w:r w:rsidRPr="007A4E7E">
              <w:t>Placebo arm, 90% of total QALYs (70% and 93% of responder and non-responder QALYs) and 90% of total costs occurred in the extrapolated period.</w:t>
            </w:r>
          </w:p>
        </w:tc>
      </w:tr>
      <w:tr w:rsidR="007D00BA" w:rsidRPr="007A4E7E" w14:paraId="1021E941" w14:textId="77777777" w:rsidTr="00EA6DFD">
        <w:tc>
          <w:tcPr>
            <w:tcW w:w="640" w:type="pct"/>
            <w:shd w:val="clear" w:color="auto" w:fill="auto"/>
            <w:vAlign w:val="center"/>
          </w:tcPr>
          <w:p w14:paraId="0C0B4A48" w14:textId="77777777" w:rsidR="007D00BA" w:rsidRPr="007A4E7E" w:rsidRDefault="007D00BA" w:rsidP="00D46CC2">
            <w:pPr>
              <w:pStyle w:val="TableText0"/>
              <w:keepLines/>
            </w:pPr>
            <w:r w:rsidRPr="007A4E7E">
              <w:t>Health related quality of life</w:t>
            </w:r>
          </w:p>
        </w:tc>
        <w:tc>
          <w:tcPr>
            <w:tcW w:w="4360" w:type="pct"/>
            <w:shd w:val="clear" w:color="auto" w:fill="auto"/>
            <w:vAlign w:val="center"/>
          </w:tcPr>
          <w:p w14:paraId="282D6FE5" w14:textId="77777777" w:rsidR="007D00BA" w:rsidRPr="007A4E7E" w:rsidRDefault="007D00BA" w:rsidP="00D46CC2">
            <w:pPr>
              <w:pStyle w:val="TableText0"/>
              <w:keepLines/>
            </w:pPr>
            <w:r w:rsidRPr="007A4E7E">
              <w:t xml:space="preserve">Informed by the EQ-5D-5L utility values from the LINC 4 </w:t>
            </w:r>
            <w:r w:rsidRPr="007A4E7E">
              <w:rPr>
                <w:iCs/>
              </w:rPr>
              <w:t>post-hoc</w:t>
            </w:r>
            <w:r w:rsidRPr="007A4E7E">
              <w:t xml:space="preserve"> analysis. </w:t>
            </w:r>
          </w:p>
          <w:p w14:paraId="722A5F75" w14:textId="77777777" w:rsidR="007D00BA" w:rsidRPr="007A4E7E" w:rsidRDefault="007D00BA" w:rsidP="00D46CC2">
            <w:pPr>
              <w:pStyle w:val="TableText0"/>
              <w:keepLines/>
              <w:rPr>
                <w:u w:val="single"/>
              </w:rPr>
            </w:pPr>
            <w:r w:rsidRPr="007A4E7E">
              <w:rPr>
                <w:u w:val="single"/>
              </w:rPr>
              <w:t>Responders:</w:t>
            </w:r>
          </w:p>
          <w:p w14:paraId="5E9CFF57" w14:textId="77777777" w:rsidR="007D00BA" w:rsidRPr="007A4E7E" w:rsidRDefault="007D00BA" w:rsidP="00D46CC2">
            <w:pPr>
              <w:pStyle w:val="TableText0"/>
              <w:keepLines/>
            </w:pPr>
            <w:r w:rsidRPr="007A4E7E">
              <w:t>Baseline responders = 0.713</w:t>
            </w:r>
          </w:p>
          <w:p w14:paraId="47FCA5EA" w14:textId="77777777" w:rsidR="007D00BA" w:rsidRPr="007A4E7E" w:rsidRDefault="007D00BA" w:rsidP="00D46CC2">
            <w:pPr>
              <w:pStyle w:val="TableText0"/>
              <w:keepLines/>
            </w:pPr>
            <w:r w:rsidRPr="007A4E7E">
              <w:t>Change from baseline in initial 12 weeks = +0.012</w:t>
            </w:r>
          </w:p>
          <w:p w14:paraId="4275DEC5" w14:textId="77777777" w:rsidR="007D00BA" w:rsidRPr="007A4E7E" w:rsidRDefault="007D00BA" w:rsidP="00D46CC2">
            <w:pPr>
              <w:pStyle w:val="TableText0"/>
              <w:keepLines/>
            </w:pPr>
            <w:r w:rsidRPr="007A4E7E">
              <w:t>Change from baseline in after 12 weeks = +0.086</w:t>
            </w:r>
          </w:p>
          <w:p w14:paraId="3EF00076" w14:textId="77777777" w:rsidR="007D00BA" w:rsidRPr="007A4E7E" w:rsidRDefault="007D00BA" w:rsidP="00D46CC2">
            <w:pPr>
              <w:pStyle w:val="TableText0"/>
              <w:keepLines/>
              <w:rPr>
                <w:u w:val="single"/>
              </w:rPr>
            </w:pPr>
            <w:r w:rsidRPr="007A4E7E">
              <w:rPr>
                <w:u w:val="single"/>
              </w:rPr>
              <w:t>Non-responders:</w:t>
            </w:r>
          </w:p>
          <w:p w14:paraId="184E80FE" w14:textId="77777777" w:rsidR="007D00BA" w:rsidRPr="007A4E7E" w:rsidRDefault="007D00BA" w:rsidP="00D46CC2">
            <w:pPr>
              <w:pStyle w:val="TableText0"/>
              <w:keepLines/>
            </w:pPr>
            <w:r w:rsidRPr="007A4E7E">
              <w:lastRenderedPageBreak/>
              <w:t>Baseline non-responders = 0.658</w:t>
            </w:r>
          </w:p>
          <w:p w14:paraId="16B746C0" w14:textId="77777777" w:rsidR="007D00BA" w:rsidRPr="007A4E7E" w:rsidRDefault="007D00BA" w:rsidP="00D46CC2">
            <w:pPr>
              <w:pStyle w:val="TableText0"/>
              <w:keepLines/>
            </w:pPr>
            <w:r w:rsidRPr="007A4E7E">
              <w:t xml:space="preserve">Change from baseline in initial 12 weeks = </w:t>
            </w:r>
            <w:r w:rsidRPr="007A4E7E">
              <w:noBreakHyphen/>
              <w:t>0.065</w:t>
            </w:r>
          </w:p>
        </w:tc>
      </w:tr>
      <w:tr w:rsidR="007D00BA" w:rsidRPr="007A4E7E" w14:paraId="56718357" w14:textId="77777777" w:rsidTr="00EA6DFD">
        <w:tc>
          <w:tcPr>
            <w:tcW w:w="640" w:type="pct"/>
            <w:shd w:val="clear" w:color="auto" w:fill="auto"/>
            <w:vAlign w:val="center"/>
          </w:tcPr>
          <w:p w14:paraId="7FFE0A3F" w14:textId="77777777" w:rsidR="007D00BA" w:rsidRPr="007A4E7E" w:rsidRDefault="007D00BA" w:rsidP="00D46CC2">
            <w:pPr>
              <w:pStyle w:val="TableText0"/>
              <w:keepLines/>
            </w:pPr>
            <w:r w:rsidRPr="007A4E7E">
              <w:lastRenderedPageBreak/>
              <w:t>Healthcare resource use and costs</w:t>
            </w:r>
          </w:p>
        </w:tc>
        <w:tc>
          <w:tcPr>
            <w:tcW w:w="4360" w:type="pct"/>
            <w:shd w:val="clear" w:color="auto" w:fill="auto"/>
            <w:vAlign w:val="center"/>
          </w:tcPr>
          <w:p w14:paraId="4FDC1676" w14:textId="77777777" w:rsidR="007D00BA" w:rsidRPr="007A4E7E" w:rsidRDefault="007D00BA" w:rsidP="00D46CC2">
            <w:pPr>
              <w:pStyle w:val="TableText0"/>
              <w:keepLines/>
              <w:rPr>
                <w:u w:val="single"/>
              </w:rPr>
            </w:pPr>
            <w:r w:rsidRPr="007A4E7E">
              <w:rPr>
                <w:u w:val="single"/>
              </w:rPr>
              <w:t>Drug costs</w:t>
            </w:r>
          </w:p>
          <w:p w14:paraId="49568535" w14:textId="044E8D4E" w:rsidR="007D00BA" w:rsidRPr="007A4E7E" w:rsidRDefault="007D00BA" w:rsidP="00D46CC2">
            <w:pPr>
              <w:pStyle w:val="TableText0"/>
              <w:keepLines/>
            </w:pPr>
            <w:r w:rsidRPr="007A4E7E">
              <w:t>Osilodrostat: 1 mg = eff. $</w:t>
            </w:r>
            <w:r w:rsidR="00DE6661" w:rsidRPr="00DE6661">
              <w:rPr>
                <w:color w:val="000000"/>
                <w:spacing w:val="49"/>
                <w:shd w:val="solid" w:color="000000" w:fill="000000"/>
                <w:fitText w:val="318" w:id="-962329592"/>
                <w14:textFill>
                  <w14:solidFill>
                    <w14:srgbClr w14:val="000000">
                      <w14:alpha w14:val="100000"/>
                    </w14:srgbClr>
                  </w14:solidFill>
                </w14:textFill>
              </w:rPr>
              <w:t>|||</w:t>
            </w:r>
            <w:r w:rsidR="00DE6661" w:rsidRPr="00DE6661">
              <w:rPr>
                <w:color w:val="000000"/>
                <w:spacing w:val="1"/>
                <w:shd w:val="solid" w:color="000000" w:fill="000000"/>
                <w:fitText w:val="318" w:id="-962329592"/>
                <w14:textFill>
                  <w14:solidFill>
                    <w14:srgbClr w14:val="000000">
                      <w14:alpha w14:val="100000"/>
                    </w14:srgbClr>
                  </w14:solidFill>
                </w14:textFill>
              </w:rPr>
              <w:t>|</w:t>
            </w:r>
            <w:r w:rsidRPr="007A4E7E">
              <w:t xml:space="preserve"> and 5 mg = eff. $</w:t>
            </w:r>
            <w:r w:rsidR="00DE6661" w:rsidRPr="00DE6661">
              <w:rPr>
                <w:color w:val="000000"/>
                <w:spacing w:val="55"/>
                <w:shd w:val="solid" w:color="000000" w:fill="000000"/>
                <w:fitText w:val="336" w:id="-962329591"/>
                <w14:textFill>
                  <w14:solidFill>
                    <w14:srgbClr w14:val="000000">
                      <w14:alpha w14:val="100000"/>
                    </w14:srgbClr>
                  </w14:solidFill>
                </w14:textFill>
              </w:rPr>
              <w:t>|||</w:t>
            </w:r>
            <w:r w:rsidR="00DE6661" w:rsidRPr="00DE6661">
              <w:rPr>
                <w:color w:val="000000"/>
                <w:spacing w:val="1"/>
                <w:shd w:val="solid" w:color="000000" w:fill="000000"/>
                <w:fitText w:val="336" w:id="-962329591"/>
                <w14:textFill>
                  <w14:solidFill>
                    <w14:srgbClr w14:val="000000">
                      <w14:alpha w14:val="100000"/>
                    </w14:srgbClr>
                  </w14:solidFill>
                </w14:textFill>
              </w:rPr>
              <w:t>|</w:t>
            </w:r>
          </w:p>
          <w:p w14:paraId="17412204" w14:textId="77777777" w:rsidR="007D00BA" w:rsidRPr="007A4E7E" w:rsidRDefault="007D00BA" w:rsidP="00D46CC2">
            <w:pPr>
              <w:pStyle w:val="TableText0"/>
              <w:keepLines/>
            </w:pPr>
            <w:r w:rsidRPr="007A4E7E">
              <w:t>Placebo: nil cost</w:t>
            </w:r>
          </w:p>
          <w:p w14:paraId="38C2AC2D" w14:textId="77777777" w:rsidR="007D00BA" w:rsidRPr="007A4E7E" w:rsidRDefault="007D00BA" w:rsidP="00D46CC2">
            <w:pPr>
              <w:pStyle w:val="TableText0"/>
              <w:keepLines/>
            </w:pPr>
            <w:r w:rsidRPr="007A4E7E">
              <w:t xml:space="preserve">Average doses in the initial (responders and non-responders) and continuing treatment periods were based on patients in the LINC 4 </w:t>
            </w:r>
            <w:r w:rsidRPr="007A4E7E">
              <w:rPr>
                <w:iCs/>
              </w:rPr>
              <w:t>post-hoc</w:t>
            </w:r>
            <w:r w:rsidRPr="007A4E7E">
              <w:t xml:space="preserve"> analysis.</w:t>
            </w:r>
          </w:p>
          <w:p w14:paraId="1F540115" w14:textId="77777777" w:rsidR="007D00BA" w:rsidRPr="007A4E7E" w:rsidRDefault="007D00BA" w:rsidP="00D46CC2">
            <w:pPr>
              <w:pStyle w:val="TableText0"/>
              <w:keepLines/>
              <w:rPr>
                <w:u w:val="single"/>
              </w:rPr>
            </w:pPr>
            <w:r w:rsidRPr="007A4E7E">
              <w:rPr>
                <w:u w:val="single"/>
              </w:rPr>
              <w:t>Routine disease monitoring (ongoing on treatment)</w:t>
            </w:r>
          </w:p>
          <w:p w14:paraId="74BA4816" w14:textId="77777777" w:rsidR="007D00BA" w:rsidRPr="007A4E7E" w:rsidRDefault="007D00BA" w:rsidP="00D46CC2">
            <w:pPr>
              <w:pStyle w:val="TableText0"/>
              <w:keepLines/>
            </w:pPr>
            <w:r w:rsidRPr="007A4E7E">
              <w:t>HCP: responders = $62.58 per cycle; non-responders = $219.40 per cycle</w:t>
            </w:r>
          </w:p>
          <w:p w14:paraId="296C5C72" w14:textId="77777777" w:rsidR="007D00BA" w:rsidRPr="007A4E7E" w:rsidRDefault="007D00BA" w:rsidP="00D46CC2">
            <w:pPr>
              <w:pStyle w:val="TableText0"/>
              <w:keepLines/>
            </w:pPr>
            <w:r w:rsidRPr="007A4E7E">
              <w:t>Investigation–scans: responders = $131.10 per cycle; non-responders=$262.20 per cycle</w:t>
            </w:r>
          </w:p>
          <w:p w14:paraId="3D233CFC" w14:textId="77777777" w:rsidR="007D00BA" w:rsidRPr="007A4E7E" w:rsidRDefault="007D00BA" w:rsidP="00D46CC2">
            <w:pPr>
              <w:pStyle w:val="TableText0"/>
              <w:keepLines/>
            </w:pPr>
            <w:r w:rsidRPr="007A4E7E">
              <w:t>Investigation–tests: responders = $118.08 per cycle; non-responders = $305.60 per cycle</w:t>
            </w:r>
          </w:p>
          <w:p w14:paraId="0BE75289" w14:textId="77777777" w:rsidR="007D00BA" w:rsidRPr="007A4E7E" w:rsidRDefault="007D00BA" w:rsidP="00D46CC2">
            <w:pPr>
              <w:pStyle w:val="TableText0"/>
              <w:keepLines/>
              <w:rPr>
                <w:u w:val="single"/>
              </w:rPr>
            </w:pPr>
            <w:r w:rsidRPr="007A4E7E">
              <w:rPr>
                <w:u w:val="single"/>
              </w:rPr>
              <w:t>Routine disease monitoring – osilodrostat dose titration (only incurred in the first cycle)</w:t>
            </w:r>
          </w:p>
          <w:p w14:paraId="44561415" w14:textId="77777777" w:rsidR="007D00BA" w:rsidRPr="007A4E7E" w:rsidRDefault="007D00BA" w:rsidP="00D46CC2">
            <w:pPr>
              <w:pStyle w:val="TableText0"/>
              <w:keepLines/>
            </w:pPr>
            <w:r w:rsidRPr="007A4E7E">
              <w:t>Endocrinologist visits = $545.68 per cycle</w:t>
            </w:r>
          </w:p>
          <w:p w14:paraId="354D39F4" w14:textId="77777777" w:rsidR="007D00BA" w:rsidRPr="007A4E7E" w:rsidRDefault="007D00BA" w:rsidP="00D46CC2">
            <w:pPr>
              <w:pStyle w:val="TableText0"/>
              <w:keepLines/>
            </w:pPr>
            <w:r w:rsidRPr="007A4E7E">
              <w:t>Investigational tests (ACTH, 24hr UFC, serum cortisol, testosterone, estrogen IGF-1) = $1,083.55 per cycle</w:t>
            </w:r>
          </w:p>
          <w:p w14:paraId="6EB514B0" w14:textId="77777777" w:rsidR="007D00BA" w:rsidRPr="007A4E7E" w:rsidRDefault="007D00BA" w:rsidP="00D46CC2">
            <w:pPr>
              <w:pStyle w:val="TableText0"/>
              <w:keepLines/>
              <w:rPr>
                <w:u w:val="single"/>
              </w:rPr>
            </w:pPr>
            <w:r w:rsidRPr="007A4E7E">
              <w:rPr>
                <w:u w:val="single"/>
              </w:rPr>
              <w:t>AE management costs</w:t>
            </w:r>
          </w:p>
          <w:p w14:paraId="33E795FB" w14:textId="77777777" w:rsidR="007D00BA" w:rsidRPr="007A4E7E" w:rsidRDefault="007D00BA" w:rsidP="00D46CC2">
            <w:pPr>
              <w:pStyle w:val="TableText0"/>
              <w:keepLines/>
            </w:pPr>
            <w:r w:rsidRPr="007A4E7E">
              <w:t>Weighted average cost for various AEs according to number of separations and the DRG costs</w:t>
            </w:r>
          </w:p>
        </w:tc>
      </w:tr>
    </w:tbl>
    <w:p w14:paraId="5BC8938B" w14:textId="62C4513C" w:rsidR="007D00BA" w:rsidRPr="007A4E7E" w:rsidRDefault="007D00BA" w:rsidP="00D46CC2">
      <w:pPr>
        <w:pStyle w:val="FooterTableFigure"/>
        <w:keepNext/>
        <w:keepLines/>
      </w:pPr>
      <w:r w:rsidRPr="007A4E7E">
        <w:t>Source: Table 3.1-2 of the resubmission</w:t>
      </w:r>
    </w:p>
    <w:p w14:paraId="38D12DC3" w14:textId="77777777" w:rsidR="007D00BA" w:rsidRPr="007A4E7E" w:rsidRDefault="007D00BA" w:rsidP="00D46CC2">
      <w:pPr>
        <w:pStyle w:val="FooterTableFigure"/>
        <w:keepNext/>
        <w:keepLines/>
      </w:pPr>
      <w:r w:rsidRPr="007A4E7E">
        <w:rPr>
          <w:szCs w:val="18"/>
        </w:rPr>
        <w:t>AE = adverse events; ACTH = adrenocorticotropic hormone; DoR = duration of response; DRG = diagnosis-related group; HCP = healthcare practitioners; ICER = incremental cost-effectiveness ratio; IGF-1 = insulin growth factor-1; KM = Kaplan-Meier; mUFC = mean urinary free cortisol; ORR = overall response rate; OS = overall survival; QALYs = quality adjusted life years; SMR = standardised mortality ratio; ULN = upper limit of normal</w:t>
      </w:r>
    </w:p>
    <w:p w14:paraId="4BD56BC1" w14:textId="77777777" w:rsidR="007D00BA" w:rsidRPr="007A4E7E" w:rsidRDefault="007D00BA" w:rsidP="007D00BA">
      <w:pPr>
        <w:pStyle w:val="ExecSumBodyText"/>
        <w:numPr>
          <w:ilvl w:val="1"/>
          <w:numId w:val="1"/>
        </w:numPr>
      </w:pPr>
      <w:r w:rsidRPr="007A4E7E">
        <w:t xml:space="preserve">Patients entered the model as either a responder or non-responder to osilodrostat or placebo based on ORR at week 26 in the LINC 4 </w:t>
      </w:r>
      <w:r w:rsidRPr="007A4E7E">
        <w:rPr>
          <w:iCs/>
        </w:rPr>
        <w:t>post-hoc</w:t>
      </w:r>
      <w:r w:rsidRPr="007A4E7E">
        <w:t xml:space="preserve"> analysis. After week 26 (cycle 2), the likelihood of a responder becoming a non-responder was informed by the DoR curves from the LINC 4 </w:t>
      </w:r>
      <w:r w:rsidRPr="007A4E7E">
        <w:rPr>
          <w:iCs/>
        </w:rPr>
        <w:t>post hoc</w:t>
      </w:r>
      <w:r w:rsidRPr="007A4E7E">
        <w:t xml:space="preserve"> analysis, extrapolated over the full 50-year time horizon. Survival was based on the Australian life tables (adjusted for age and gender) with a SMR for responders and non-responders applied as adjustments. According to these transitions, responders will either remain a responder, transition to a non-responder, or die. Non</w:t>
      </w:r>
      <w:r w:rsidRPr="007A4E7E">
        <w:noBreakHyphen/>
        <w:t>responders either remain a non-responder or die. Medical treatment costs are incurred every cycle for responders (reflects ongoing treatment) and for only two cycles in non-responders who survive (reflects the continuing treatment criteria).</w:t>
      </w:r>
    </w:p>
    <w:p w14:paraId="5593A3C1" w14:textId="77777777" w:rsidR="007D00BA" w:rsidRPr="007A4E7E" w:rsidRDefault="007D00BA" w:rsidP="007D00BA">
      <w:pPr>
        <w:pStyle w:val="ExecSumBodyText"/>
        <w:numPr>
          <w:ilvl w:val="1"/>
          <w:numId w:val="1"/>
        </w:numPr>
        <w:rPr>
          <w:iCs/>
        </w:rPr>
      </w:pPr>
      <w:r w:rsidRPr="007A4E7E">
        <w:t xml:space="preserve">The resubmission adopted a microsimulation approach with 5,000 simulations. The resubmission acknowledged the use of a Markov model for the base case analysis but stated that a microsimulation model would better handle the sensitivity analysis that included patients who receive ketoconazole or metyrapone as subsequent therapies after failing osilodrostat or placebo. </w:t>
      </w:r>
      <w:r w:rsidRPr="007A4E7E">
        <w:rPr>
          <w:iCs/>
        </w:rPr>
        <w:t>However, it was unclear if there were sufficient patients who would receive either ketoconazole or metyrapone in Australia to justify the microsimulation approach. In addition, there were limitations in the LINC 4 trial (e.g., small sample sizes and lack of data to inform time-varying covariates) which may have limited its value in informing a microsimulation model. This was acknowledged by the resubmission noting that data to inform the time</w:t>
      </w:r>
      <w:r w:rsidRPr="007A4E7E">
        <w:rPr>
          <w:iCs/>
        </w:rPr>
        <w:noBreakHyphen/>
        <w:t xml:space="preserve">varying covariates (e.g., demographics, disease characteristics, prior treatments etc.) was not available to inform the risk of events occurring. Therefore, a complex modelling method such as a microsimulation model may not be appropriate, and a Markov model may be more reasonable. The PSCR argued that a microsimulation model was chosen as it was </w:t>
      </w:r>
      <w:r w:rsidRPr="007A4E7E">
        <w:rPr>
          <w:iCs/>
        </w:rPr>
        <w:lastRenderedPageBreak/>
        <w:t xml:space="preserve">better suited for tracking the number of subsequent treatments, as in the case of sensitivity analyses where patients were modelled to receive subsequent treatments with metyrapone and ketoconazole. The PSCR further argued that </w:t>
      </w:r>
      <w:r w:rsidRPr="007A4E7E">
        <w:rPr>
          <w:iCs/>
          <w:szCs w:val="22"/>
        </w:rPr>
        <w:t xml:space="preserve">although the microsimulation was developed to better capture the long-term impact of improved cortisol levels on QoL and survival, it was done using assumptions that did not favour osilodrostat, resulting in an overestimated base case ICER. The ESC acknowledged that the microsimulation model </w:t>
      </w:r>
      <w:r w:rsidRPr="007A4E7E">
        <w:rPr>
          <w:iCs/>
        </w:rPr>
        <w:t>could accommodate subsequent treatments better, however, the small sample size of the input data and the rarity of the condition rendered it less suitable compared to the Markov model.</w:t>
      </w:r>
    </w:p>
    <w:p w14:paraId="1BFDF862" w14:textId="77777777" w:rsidR="007D00BA" w:rsidRPr="007A4E7E" w:rsidRDefault="007D00BA" w:rsidP="007D00BA">
      <w:pPr>
        <w:pStyle w:val="ExecSumBodyText"/>
        <w:numPr>
          <w:ilvl w:val="1"/>
          <w:numId w:val="1"/>
        </w:numPr>
      </w:pPr>
      <w:r w:rsidRPr="007A4E7E">
        <w:t xml:space="preserve">The ORR for osilodrostat at week 26 (86.67%) reflected the ORR of all patients after they received 26 weeks of osilodrostat (i.e., included the placebo patients who switched to osilodrostat OL at Week 12, with their response at week 38 being reported as week 26 results). Comparatively, the resubmission assumed the Week 26 ORR for placebo was equal to the week 12 ORR (17.65%) since this was the placebo-controlled period (and all patients crossed over to osilodrostat after week 12). </w:t>
      </w:r>
    </w:p>
    <w:p w14:paraId="792E9633" w14:textId="4E876AB2" w:rsidR="007D00BA" w:rsidRPr="007A4E7E" w:rsidRDefault="007D00BA" w:rsidP="007D00BA">
      <w:pPr>
        <w:pStyle w:val="ExecSumBodyText"/>
        <w:numPr>
          <w:ilvl w:val="1"/>
          <w:numId w:val="1"/>
        </w:numPr>
      </w:pPr>
      <w:r w:rsidRPr="007A4E7E">
        <w:rPr>
          <w:iCs/>
        </w:rPr>
        <w:t xml:space="preserve">Using the osilodrostat ORR estimate that included patients who switched from placebo while assuming the placebo arm stayed the same as the ORR in week 12 favoured osilodrostat. The ORR at week 12 for patients who had a baseline mUFC&gt;1.3xULN and were randomised to osilodrostat was 78.57% (33/42) and 17.65% (3/17) in those randomised to placebo. Using the week 12 placebo-controlled period of LINC 4 ORR results led to a </w:t>
      </w:r>
      <w:r w:rsidR="00DE6661" w:rsidRPr="00063CEB">
        <w:rPr>
          <w:color w:val="000000"/>
          <w:w w:val="15"/>
          <w:shd w:val="solid" w:color="000000" w:fill="000000"/>
          <w:fitText w:val="-20" w:id="-962329590"/>
          <w14:textFill>
            <w14:solidFill>
              <w14:srgbClr w14:val="000000">
                <w14:alpha w14:val="100000"/>
              </w14:srgbClr>
            </w14:solidFill>
          </w14:textFill>
        </w:rPr>
        <w:t xml:space="preserve">|  </w:t>
      </w:r>
      <w:r w:rsidR="00DE6661" w:rsidRPr="00063CEB">
        <w:rPr>
          <w:color w:val="000000"/>
          <w:spacing w:val="-69"/>
          <w:w w:val="15"/>
          <w:shd w:val="solid" w:color="000000" w:fill="000000"/>
          <w:fitText w:val="-20" w:id="-962329590"/>
          <w14:textFill>
            <w14:solidFill>
              <w14:srgbClr w14:val="000000">
                <w14:alpha w14:val="100000"/>
              </w14:srgbClr>
            </w14:solidFill>
          </w14:textFill>
        </w:rPr>
        <w:t>|</w:t>
      </w:r>
      <w:r w:rsidR="007131DC" w:rsidRPr="00914C1A">
        <w:t>%</w:t>
      </w:r>
      <w:r w:rsidRPr="007A4E7E">
        <w:rPr>
          <w:iCs/>
        </w:rPr>
        <w:t xml:space="preserve"> increase in the incremental cost-effectiveness ratio (ICER).</w:t>
      </w:r>
    </w:p>
    <w:p w14:paraId="0B451120" w14:textId="09023682" w:rsidR="007D00BA" w:rsidRPr="007A4E7E" w:rsidRDefault="007D00BA" w:rsidP="007D00BA">
      <w:pPr>
        <w:pStyle w:val="ExecSumBodyText"/>
        <w:numPr>
          <w:ilvl w:val="1"/>
          <w:numId w:val="1"/>
        </w:numPr>
      </w:pPr>
      <w:r w:rsidRPr="007A4E7E">
        <w:t>The resubmission additionally conducted a sensitivity analysis using results from LINC</w:t>
      </w:r>
      <w:r w:rsidR="00565077">
        <w:t> </w:t>
      </w:r>
      <w:r w:rsidRPr="007A4E7E">
        <w:t xml:space="preserve">3 to inform the response rate of osilodrostat. This increased the ICER by </w:t>
      </w:r>
      <w:r w:rsidR="00DE6661" w:rsidRPr="00063CEB">
        <w:rPr>
          <w:color w:val="000000"/>
          <w:w w:val="15"/>
          <w:shd w:val="solid" w:color="000000" w:fill="000000"/>
          <w:fitText w:val="-20" w:id="-962329589"/>
          <w14:textFill>
            <w14:solidFill>
              <w14:srgbClr w14:val="000000">
                <w14:alpha w14:val="100000"/>
              </w14:srgbClr>
            </w14:solidFill>
          </w14:textFill>
        </w:rPr>
        <w:t xml:space="preserve">|  </w:t>
      </w:r>
      <w:r w:rsidR="00DE6661" w:rsidRPr="00063CEB">
        <w:rPr>
          <w:color w:val="000000"/>
          <w:spacing w:val="-69"/>
          <w:w w:val="15"/>
          <w:shd w:val="solid" w:color="000000" w:fill="000000"/>
          <w:fitText w:val="-20" w:id="-962329589"/>
          <w14:textFill>
            <w14:solidFill>
              <w14:srgbClr w14:val="000000">
                <w14:alpha w14:val="100000"/>
              </w14:srgbClr>
            </w14:solidFill>
          </w14:textFill>
        </w:rPr>
        <w:t>|</w:t>
      </w:r>
      <w:r w:rsidRPr="007A4E7E">
        <w:t xml:space="preserve">%, indicating that the model was sensitive to changes around the response rate as well as highlighting the uncertainty regarding the source of data. </w:t>
      </w:r>
    </w:p>
    <w:p w14:paraId="73AEAFFF" w14:textId="4ACC125F" w:rsidR="007D00BA" w:rsidRPr="007A4E7E" w:rsidRDefault="007D00BA" w:rsidP="007D00BA">
      <w:pPr>
        <w:pStyle w:val="ExecSumBodyText"/>
        <w:numPr>
          <w:ilvl w:val="1"/>
          <w:numId w:val="1"/>
        </w:numPr>
      </w:pPr>
      <w:r w:rsidRPr="007A4E7E">
        <w:t>The resubmission used the DoR Kaplan Meier (KM) data for Week 26 responders up to 15 months (1.25 years; ~20% of patients were at risk) and then fitted the log normal parametric model to extrapolate DoR to 50 years (</w:t>
      </w:r>
      <w:r w:rsidRPr="007A4E7E">
        <w:fldChar w:fldCharType="begin" w:fldLock="1"/>
      </w:r>
      <w:r w:rsidRPr="007A4E7E">
        <w:instrText xml:space="preserve"> REF _Ref153010953 \h </w:instrText>
      </w:r>
      <w:r w:rsidRPr="007A4E7E">
        <w:fldChar w:fldCharType="separate"/>
      </w:r>
      <w:r w:rsidR="00043D39" w:rsidRPr="007A4E7E">
        <w:t xml:space="preserve">Figure </w:t>
      </w:r>
      <w:r w:rsidR="00043D39">
        <w:rPr>
          <w:noProof/>
        </w:rPr>
        <w:t>3</w:t>
      </w:r>
      <w:r w:rsidRPr="007A4E7E">
        <w:fldChar w:fldCharType="end"/>
      </w:r>
      <w:r w:rsidRPr="007A4E7E">
        <w:t xml:space="preserve">). The DoR for placebo was </w:t>
      </w:r>
      <w:r w:rsidRPr="007A4E7E">
        <w:rPr>
          <w:iCs/>
        </w:rPr>
        <w:t xml:space="preserve">reasonably </w:t>
      </w:r>
      <w:r w:rsidRPr="007A4E7E">
        <w:t>assumed to be the same as osilodrostat.</w:t>
      </w:r>
      <w:r w:rsidRPr="007A4E7E">
        <w:rPr>
          <w:iCs/>
        </w:rPr>
        <w:t xml:space="preserve"> It was unclear why the gamma or generalised gamma functions were not tested in the extrapolation.</w:t>
      </w:r>
    </w:p>
    <w:p w14:paraId="0FA2AC65" w14:textId="0B6A5B46" w:rsidR="007D00BA" w:rsidRPr="007A4E7E" w:rsidRDefault="007D00BA" w:rsidP="00565077">
      <w:pPr>
        <w:pStyle w:val="TableFigureHeading"/>
      </w:pPr>
      <w:bookmarkStart w:id="49" w:name="_Ref153010953"/>
      <w:r w:rsidRPr="007A4E7E">
        <w:lastRenderedPageBreak/>
        <w:t xml:space="preserve">Figure </w:t>
      </w:r>
      <w:r w:rsidR="00545EA1">
        <w:fldChar w:fldCharType="begin" w:fldLock="1"/>
      </w:r>
      <w:r w:rsidR="00545EA1">
        <w:instrText xml:space="preserve"> SEQ Figure \* ARABIC </w:instrText>
      </w:r>
      <w:r w:rsidR="00545EA1">
        <w:fldChar w:fldCharType="separate"/>
      </w:r>
      <w:r w:rsidR="00043D39">
        <w:rPr>
          <w:noProof/>
        </w:rPr>
        <w:t>3</w:t>
      </w:r>
      <w:r w:rsidR="00545EA1">
        <w:rPr>
          <w:noProof/>
        </w:rPr>
        <w:fldChar w:fldCharType="end"/>
      </w:r>
      <w:bookmarkEnd w:id="49"/>
      <w:r w:rsidRPr="007A4E7E">
        <w:t xml:space="preserve">: Extrapolations of DoR for osilodrostat </w:t>
      </w:r>
    </w:p>
    <w:p w14:paraId="6EBC61C0" w14:textId="77777777" w:rsidR="007D00BA" w:rsidRPr="007A4E7E" w:rsidRDefault="007D00BA" w:rsidP="00914C1A">
      <w:pPr>
        <w:pStyle w:val="3-BodyText"/>
        <w:keepNext/>
        <w:numPr>
          <w:ilvl w:val="0"/>
          <w:numId w:val="0"/>
        </w:numPr>
        <w:spacing w:after="0"/>
        <w:jc w:val="center"/>
        <w:rPr>
          <w:color w:val="0066FF"/>
        </w:rPr>
      </w:pPr>
      <w:r w:rsidRPr="00043D39">
        <w:rPr>
          <w:noProof/>
        </w:rPr>
        <w:drawing>
          <wp:inline distT="0" distB="0" distL="0" distR="0" wp14:anchorId="35124585" wp14:editId="1EBFA487">
            <wp:extent cx="4472412" cy="2417581"/>
            <wp:effectExtent l="0" t="0" r="0" b="0"/>
            <wp:docPr id="271988007" name="Picture 271988007" descr="Figure 3: Extrapolations of DoR for osilodrost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88007" name="Picture 271988007" descr="Figure 3: Extrapolations of DoR for osilodrosta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2996" cy="2423302"/>
                    </a:xfrm>
                    <a:prstGeom prst="rect">
                      <a:avLst/>
                    </a:prstGeom>
                    <a:noFill/>
                  </pic:spPr>
                </pic:pic>
              </a:graphicData>
            </a:graphic>
          </wp:inline>
        </w:drawing>
      </w:r>
    </w:p>
    <w:p w14:paraId="4BFEF265" w14:textId="383D3493" w:rsidR="007D00BA" w:rsidRPr="007A4E7E" w:rsidRDefault="007D00BA" w:rsidP="00914C1A">
      <w:pPr>
        <w:pStyle w:val="FooterTableFigure"/>
        <w:keepNext/>
      </w:pPr>
      <w:r w:rsidRPr="007A4E7E">
        <w:t>Source: Figure 3.4-2 of the resubmission</w:t>
      </w:r>
    </w:p>
    <w:p w14:paraId="0EA5D90C" w14:textId="77777777" w:rsidR="007D00BA" w:rsidRPr="007A4E7E" w:rsidRDefault="007D00BA" w:rsidP="007D00BA">
      <w:pPr>
        <w:pStyle w:val="FooterTableFigure"/>
      </w:pPr>
      <w:r w:rsidRPr="007A4E7E">
        <w:t>DoR = duration of response</w:t>
      </w:r>
    </w:p>
    <w:p w14:paraId="0B84585C" w14:textId="77777777" w:rsidR="007D00BA" w:rsidRPr="007A4E7E" w:rsidRDefault="007D00BA" w:rsidP="007D00BA">
      <w:pPr>
        <w:pStyle w:val="ExecSumBodyText"/>
        <w:numPr>
          <w:ilvl w:val="1"/>
          <w:numId w:val="1"/>
        </w:numPr>
      </w:pPr>
      <w:r w:rsidRPr="007A4E7E">
        <w:t>According to the Akaike information criterion (AIC) and Bayesian information criterion (BIC) values, the Gompertz distribution was regarded the best fitting distribution followed by the Weibull function. These distributions indicated that the DoR would reach zero (i.e., all patients are no longer responding to treatment) after approximately 2.5 years for the Gompertz and five years for the Weibull.</w:t>
      </w:r>
    </w:p>
    <w:p w14:paraId="6F3E8155" w14:textId="0D5C8139" w:rsidR="007D00BA" w:rsidRPr="007A4E7E" w:rsidRDefault="007D00BA" w:rsidP="007D00BA">
      <w:pPr>
        <w:pStyle w:val="ExecSumBodyText"/>
        <w:numPr>
          <w:ilvl w:val="1"/>
          <w:numId w:val="1"/>
        </w:numPr>
        <w:rPr>
          <w:i/>
        </w:rPr>
      </w:pPr>
      <w:r w:rsidRPr="007A4E7E">
        <w:t xml:space="preserve">However, the resubmission selected the log normal function in the base case as it was the best fitting curve against the DoR in LINC 3 </w:t>
      </w:r>
      <w:r w:rsidRPr="007A4E7E">
        <w:rPr>
          <w:iCs/>
        </w:rPr>
        <w:t>post-hoc</w:t>
      </w:r>
      <w:r w:rsidRPr="007A4E7E">
        <w:t xml:space="preserve"> analysis with the exponential and log logistic being other plausible distributions. The evaluation considered that</w:t>
      </w:r>
      <w:r w:rsidRPr="007A4E7E">
        <w:rPr>
          <w:iCs/>
        </w:rPr>
        <w:t xml:space="preserve"> resubmissions’ approach may not be reasonable. If LINC 3 was to be the basis for the DoR, then </w:t>
      </w:r>
      <w:r w:rsidR="007A4E7E">
        <w:rPr>
          <w:iCs/>
        </w:rPr>
        <w:t xml:space="preserve">the </w:t>
      </w:r>
      <w:r w:rsidR="007A4E7E" w:rsidRPr="007A4E7E">
        <w:rPr>
          <w:iCs/>
        </w:rPr>
        <w:t>LINC 3 data should have informed the extrapolation</w:t>
      </w:r>
      <w:r w:rsidRPr="007A4E7E">
        <w:rPr>
          <w:iCs/>
        </w:rPr>
        <w:t>. Comparisons of the parametric distributions of the LINC 4 extrapolations against LINC 3 were not presented for further assessment. Notably, the log normal distribution was the most optimistic function despite it being the lowest ranking according to AIC and BIC values among the tested functions. The PSCR argued that the log normal function together with the loglogistic and exponential distributions provided the most clinically plausible long-term duration of response, as some patients may receive treatment with osilodrostat for a prolonged period (modelled mean DoR: 4.35 years; duration of treatment: 4.62 years) as previously noted by the PBAC. The ESC noted the justification on the selection of log normal function but considered it was not appropriate to ignore the visually better fitting function, with the lowest AIC and BIC values. However, the ESC noted that the ICER was not overly sensitive to the use of the log logistic and exponential distributions (</w:t>
      </w:r>
      <w:r w:rsidRPr="00AB32B9">
        <w:rPr>
          <w:iCs/>
        </w:rPr>
        <w:t>&lt;</w:t>
      </w:r>
      <w:r w:rsidR="00DE6661" w:rsidRPr="00063CEB">
        <w:rPr>
          <w:iCs/>
          <w:color w:val="000000"/>
          <w:w w:val="15"/>
          <w:shd w:val="solid" w:color="000000" w:fill="000000"/>
          <w:fitText w:val="-20" w:id="-962329588"/>
          <w14:textFill>
            <w14:solidFill>
              <w14:srgbClr w14:val="000000">
                <w14:alpha w14:val="100000"/>
              </w14:srgbClr>
            </w14:solidFill>
          </w14:textFill>
        </w:rPr>
        <w:t xml:space="preserve">|  </w:t>
      </w:r>
      <w:r w:rsidR="00DE6661" w:rsidRPr="00063CEB">
        <w:rPr>
          <w:iCs/>
          <w:color w:val="000000"/>
          <w:spacing w:val="-69"/>
          <w:w w:val="15"/>
          <w:shd w:val="solid" w:color="000000" w:fill="000000"/>
          <w:fitText w:val="-20" w:id="-962329588"/>
          <w14:textFill>
            <w14:solidFill>
              <w14:srgbClr w14:val="000000">
                <w14:alpha w14:val="100000"/>
              </w14:srgbClr>
            </w14:solidFill>
          </w14:textFill>
        </w:rPr>
        <w:t>|</w:t>
      </w:r>
      <w:r w:rsidRPr="007A4E7E">
        <w:rPr>
          <w:iCs/>
        </w:rPr>
        <w:t xml:space="preserve">% </w:t>
      </w:r>
      <w:r w:rsidR="00747BA3" w:rsidRPr="00914C1A">
        <w:t>i</w:t>
      </w:r>
      <w:r w:rsidR="00747BA3" w:rsidRPr="00747BA3">
        <w:rPr>
          <w:iCs/>
        </w:rPr>
        <w:t>ncr</w:t>
      </w:r>
      <w:r w:rsidR="00747BA3" w:rsidRPr="007A4E7E">
        <w:rPr>
          <w:iCs/>
        </w:rPr>
        <w:t xml:space="preserve">ease </w:t>
      </w:r>
      <w:r w:rsidRPr="007A4E7E">
        <w:rPr>
          <w:iCs/>
        </w:rPr>
        <w:t>in the ICER), and that the extrapolation function had a relatively minor impact on the economic analysis.</w:t>
      </w:r>
    </w:p>
    <w:p w14:paraId="4BF497C2" w14:textId="310C182F" w:rsidR="007D00BA" w:rsidRPr="007A4E7E" w:rsidRDefault="007D00BA" w:rsidP="007D00BA">
      <w:pPr>
        <w:pStyle w:val="ExecSumBodyText"/>
        <w:numPr>
          <w:ilvl w:val="1"/>
          <w:numId w:val="1"/>
        </w:numPr>
        <w:rPr>
          <w:iCs/>
        </w:rPr>
      </w:pPr>
      <w:r w:rsidRPr="007A4E7E">
        <w:rPr>
          <w:iCs/>
        </w:rPr>
        <w:t>The log normal extrapolation, which was the most optimistic of all the extrapolations, generated a mean treatment duration 4.62 years over a 50-year time horizon. As noted by the resubmission, most of the modelled cohort were in the non-responder health state after around 10 years and given the occupancy of responder vs non-</w:t>
      </w:r>
      <w:r w:rsidRPr="007A4E7E">
        <w:rPr>
          <w:iCs/>
        </w:rPr>
        <w:lastRenderedPageBreak/>
        <w:t xml:space="preserve">responder health states drove the incremental difference between treatment, this would suggest that any incremental benefit between osilodrostat and placebo were accrued within the initial 10 years after which there would be minimal to no incremental difference (i.e., both osilodrostat and placebo patients occupied the non-responder health state for the remaining ~40 years). </w:t>
      </w:r>
    </w:p>
    <w:p w14:paraId="016ECD50" w14:textId="38089EDD" w:rsidR="007D00BA" w:rsidRPr="007A4E7E" w:rsidRDefault="007D00BA" w:rsidP="007D00BA">
      <w:pPr>
        <w:pStyle w:val="ExecSumBodyText"/>
        <w:numPr>
          <w:ilvl w:val="1"/>
          <w:numId w:val="1"/>
        </w:numPr>
        <w:rPr>
          <w:iCs/>
        </w:rPr>
      </w:pPr>
      <w:r w:rsidRPr="007A4E7E">
        <w:rPr>
          <w:iCs/>
        </w:rPr>
        <w:t>The PBAC had considered that it was highly likely that responding patients would continue treatment beyond three years (paragraph 7.11, osilodrostat, PSD, March</w:t>
      </w:r>
      <w:r w:rsidR="00565077">
        <w:rPr>
          <w:iCs/>
        </w:rPr>
        <w:t> </w:t>
      </w:r>
      <w:r w:rsidRPr="007A4E7E">
        <w:rPr>
          <w:iCs/>
        </w:rPr>
        <w:t>2023 PBAC meeting) and it would be appropriate to expect lifelong treatment (paragraph 7.12, osilodrostat, PSD, March 2023 PBAC meeting). Therefore, the model did not adequately capture the full extent of the cost and benefit of osilodrostat. It was suspected that DoR was a key driver of the model, however reflecting what would reasonably occur in clinical practice was constrained by the limited available long-term evidence. Alternatively informing DoR using LINC 3 (to which the resubmission considered to be a valid dataset to inform DoR) may be more informative given its longer follow, however this was not possible based on the evidence provided in the resubmission.</w:t>
      </w:r>
    </w:p>
    <w:p w14:paraId="12C735C1" w14:textId="1B2E8E86" w:rsidR="007D00BA" w:rsidRPr="007A4E7E" w:rsidRDefault="007D00BA" w:rsidP="007D00BA">
      <w:pPr>
        <w:pStyle w:val="ExecSumBodyText"/>
        <w:numPr>
          <w:ilvl w:val="1"/>
          <w:numId w:val="1"/>
        </w:numPr>
      </w:pPr>
      <w:r w:rsidRPr="007A4E7E">
        <w:rPr>
          <w:iCs/>
        </w:rPr>
        <w:t xml:space="preserve">Instead, a ‘best case’ scenario analysis was performed during the evaluation that assumed a 100% response rate in the osilodrostat arm that was maintained over the entire model time horizon (i.e., 100% DoR) while maintaining the base case placebo assumptions. This scenario reported an increased incremental benefit by seven-fold (0.54 in the base case to 3.90 incremental QALYs gained) and led to a </w:t>
      </w:r>
      <w:r w:rsidR="00DE6661" w:rsidRPr="00063CEB">
        <w:rPr>
          <w:iCs/>
          <w:color w:val="000000"/>
          <w:w w:val="15"/>
          <w:shd w:val="solid" w:color="000000" w:fill="000000"/>
          <w:fitText w:val="-20" w:id="-962329587"/>
          <w14:textFill>
            <w14:solidFill>
              <w14:srgbClr w14:val="000000">
                <w14:alpha w14:val="100000"/>
              </w14:srgbClr>
            </w14:solidFill>
          </w14:textFill>
        </w:rPr>
        <w:t xml:space="preserve">|  </w:t>
      </w:r>
      <w:r w:rsidR="00DE6661" w:rsidRPr="00063CEB">
        <w:rPr>
          <w:iCs/>
          <w:color w:val="000000"/>
          <w:spacing w:val="-69"/>
          <w:w w:val="15"/>
          <w:shd w:val="solid" w:color="000000" w:fill="000000"/>
          <w:fitText w:val="-20" w:id="-962329587"/>
          <w14:textFill>
            <w14:solidFill>
              <w14:srgbClr w14:val="000000">
                <w14:alpha w14:val="100000"/>
              </w14:srgbClr>
            </w14:solidFill>
          </w14:textFill>
        </w:rPr>
        <w:t>|</w:t>
      </w:r>
      <w:r w:rsidRPr="007A4E7E">
        <w:rPr>
          <w:iCs/>
        </w:rPr>
        <w:t xml:space="preserve">% </w:t>
      </w:r>
      <w:r w:rsidR="00747BA3" w:rsidRPr="00914C1A">
        <w:t>d</w:t>
      </w:r>
      <w:r w:rsidR="00747BA3" w:rsidRPr="00747BA3">
        <w:rPr>
          <w:iCs/>
        </w:rPr>
        <w:t>ecrease</w:t>
      </w:r>
      <w:r w:rsidR="00747BA3" w:rsidRPr="007A4E7E">
        <w:rPr>
          <w:iCs/>
        </w:rPr>
        <w:t xml:space="preserve"> </w:t>
      </w:r>
      <w:r w:rsidRPr="007A4E7E">
        <w:rPr>
          <w:iCs/>
        </w:rPr>
        <w:t>in the base case ICER (</w:t>
      </w:r>
      <w:r w:rsidR="00C1622F" w:rsidRPr="00C1622F">
        <w:rPr>
          <w:iCs/>
        </w:rPr>
        <w:t>$155,000 to &lt; $255,000</w:t>
      </w:r>
      <w:r w:rsidR="00C1622F">
        <w:rPr>
          <w:iCs/>
        </w:rPr>
        <w:t xml:space="preserve"> </w:t>
      </w:r>
      <w:r w:rsidRPr="007A4E7E">
        <w:rPr>
          <w:iCs/>
        </w:rPr>
        <w:t>per QALY gained). However, the ICER still remained substantially high.</w:t>
      </w:r>
    </w:p>
    <w:p w14:paraId="7F65EFB9" w14:textId="77777777" w:rsidR="007D00BA" w:rsidRPr="007A4E7E" w:rsidRDefault="007D00BA" w:rsidP="007D00BA">
      <w:pPr>
        <w:pStyle w:val="ExecSumBodyText"/>
        <w:numPr>
          <w:ilvl w:val="1"/>
          <w:numId w:val="1"/>
        </w:numPr>
      </w:pPr>
      <w:r w:rsidRPr="007A4E7E">
        <w:rPr>
          <w:iCs/>
        </w:rPr>
        <w:t xml:space="preserve">Though there was no mortality benefit for osilodrostat demonstrated in LINC 3 and LINC 4, the submission assumed that there was a difference in mortality based on response which implied that there was a survival benefit associated with osilodrostat. </w:t>
      </w:r>
    </w:p>
    <w:p w14:paraId="04AA83E9" w14:textId="77777777" w:rsidR="007D00BA" w:rsidRPr="007A4E7E" w:rsidRDefault="007D00BA" w:rsidP="007D00BA">
      <w:pPr>
        <w:pStyle w:val="ExecSumBodyText"/>
        <w:numPr>
          <w:ilvl w:val="1"/>
          <w:numId w:val="1"/>
        </w:numPr>
      </w:pPr>
      <w:r w:rsidRPr="007A4E7E">
        <w:t xml:space="preserve">The resubmission estimated OS by applying SMR for responders and non-responders to the gender- and age-specific mortality rate of the Australian general population. The base case SMR was informed by Ragnarsson 2019 (responders = 1.9, 95% CI 1.5, 2.3; non-responders = 6.9, 95% CI 4.3, 10.4) and a sensitivity analysis was informed by Graversen 2012 (responders = 1.2, 95% CI 0.5, 3; non-responders = 3.7, 95% CI 2.3, 6). Ragnarsson 2019 included 502 patients (77% females), of whom 419 (83%) were confirmed to be in remission after receiving treatment with pituitary surgery, pituitary radiotherapy, bilateral adrenalectomy, or medical therapy. The mean age at diagnosis was 43 years, </w:t>
      </w:r>
      <w:r w:rsidRPr="007A4E7E">
        <w:rPr>
          <w:iCs/>
        </w:rPr>
        <w:t>which was similar to LINC 4 (mean age 41.2 years).</w:t>
      </w:r>
      <w:r w:rsidRPr="007A4E7E">
        <w:t xml:space="preserve"> An alternative study, Graversen 2012, was proposed by the resubmission. Graversen 2012 was a meta-analysis of seven mortality studies in patients with CD or CS secondary to benign adrenal adenoma after patients received treatment with surgery or irradiation. </w:t>
      </w:r>
    </w:p>
    <w:p w14:paraId="1C932889" w14:textId="598351C5" w:rsidR="007D00BA" w:rsidRPr="007A4E7E" w:rsidRDefault="007D00BA" w:rsidP="007D00BA">
      <w:pPr>
        <w:pStyle w:val="ExecSumBodyText"/>
        <w:numPr>
          <w:ilvl w:val="1"/>
          <w:numId w:val="1"/>
        </w:numPr>
      </w:pPr>
      <w:r w:rsidRPr="007A4E7E">
        <w:t>The resubmission considered Ragnarsson 2019 was a more applicable study given it was not limited to remission from only surgery or irradiation.</w:t>
      </w:r>
      <w:r w:rsidRPr="007A4E7E">
        <w:rPr>
          <w:iCs/>
        </w:rPr>
        <w:t xml:space="preserve"> This may not be reasonable unless it was expected that different treatments that led to remission </w:t>
      </w:r>
      <w:r w:rsidRPr="007A4E7E">
        <w:rPr>
          <w:iCs/>
        </w:rPr>
        <w:lastRenderedPageBreak/>
        <w:t xml:space="preserve">would lead to different mortality, for example this would imply a patient who achieved remission via surgery would have different mortality compared to a patient who achieved remission via medical therapy. This was not justified in the resubmission nor was it evident in Ragnarsson 2019. The ICER was moderately sensitive to changes in the non-responder SMR, where applying the SMR lower (4.3) and upper (10.4) 95% CI from Ragnarsson 2019 led to a </w:t>
      </w:r>
      <w:r w:rsidR="00DE6661" w:rsidRPr="00063CEB">
        <w:rPr>
          <w:iCs/>
          <w:color w:val="000000"/>
          <w:w w:val="15"/>
          <w:shd w:val="solid" w:color="000000" w:fill="000000"/>
          <w:fitText w:val="-20" w:id="-962329586"/>
          <w14:textFill>
            <w14:solidFill>
              <w14:srgbClr w14:val="000000">
                <w14:alpha w14:val="100000"/>
              </w14:srgbClr>
            </w14:solidFill>
          </w14:textFill>
        </w:rPr>
        <w:t xml:space="preserve">|  </w:t>
      </w:r>
      <w:r w:rsidR="00DE6661" w:rsidRPr="00063CEB">
        <w:rPr>
          <w:iCs/>
          <w:color w:val="000000"/>
          <w:spacing w:val="-69"/>
          <w:w w:val="15"/>
          <w:shd w:val="solid" w:color="000000" w:fill="000000"/>
          <w:fitText w:val="-20" w:id="-962329586"/>
          <w14:textFill>
            <w14:solidFill>
              <w14:srgbClr w14:val="000000">
                <w14:alpha w14:val="100000"/>
              </w14:srgbClr>
            </w14:solidFill>
          </w14:textFill>
        </w:rPr>
        <w:t>|</w:t>
      </w:r>
      <w:r w:rsidRPr="007A4E7E">
        <w:rPr>
          <w:iCs/>
        </w:rPr>
        <w:t xml:space="preserve">% increase and </w:t>
      </w:r>
      <w:r w:rsidR="00DE6661" w:rsidRPr="00063CEB">
        <w:rPr>
          <w:color w:val="000000"/>
          <w:w w:val="15"/>
          <w:shd w:val="solid" w:color="000000" w:fill="000000"/>
          <w:fitText w:val="-20" w:id="-962329585"/>
          <w14:textFill>
            <w14:solidFill>
              <w14:srgbClr w14:val="000000">
                <w14:alpha w14:val="100000"/>
              </w14:srgbClr>
            </w14:solidFill>
          </w14:textFill>
        </w:rPr>
        <w:t xml:space="preserve">|  </w:t>
      </w:r>
      <w:r w:rsidR="00DE6661" w:rsidRPr="00063CEB">
        <w:rPr>
          <w:color w:val="000000"/>
          <w:spacing w:val="-69"/>
          <w:w w:val="15"/>
          <w:shd w:val="solid" w:color="000000" w:fill="000000"/>
          <w:fitText w:val="-20" w:id="-962329585"/>
          <w14:textFill>
            <w14:solidFill>
              <w14:srgbClr w14:val="000000">
                <w14:alpha w14:val="100000"/>
              </w14:srgbClr>
            </w14:solidFill>
          </w14:textFill>
        </w:rPr>
        <w:t>|</w:t>
      </w:r>
      <w:r w:rsidRPr="007A4E7E">
        <w:rPr>
          <w:iCs/>
        </w:rPr>
        <w:t xml:space="preserve">% decrease in the ICER, respectively. Given the majority of time spent in the model was in the non-responder health state, changes to survival in this health state were expectedly more pronounced compared to the responder health state. Widening the survival difference between responders and non-responders made the ICER more favourable to osilodrostat, which was reasonable given more patients in the placebo arm occupied the non-responder health state. The ESC noted the evidence from </w:t>
      </w:r>
      <w:r w:rsidRPr="007A4E7E">
        <w:rPr>
          <w:rFonts w:ascii="Calibri" w:hAnsi="Calibri"/>
          <w:iCs/>
          <w:snapToGrid/>
        </w:rPr>
        <w:t>Mondin (2023) showed patients in biochemical remission had lower standardised mortality ratios (SMR) (SMR=1.66, 95% CI 0.34, 4.85) compared to patients with active disease (SMR=4.99, 95% CI 2.15, 9.83).</w:t>
      </w:r>
    </w:p>
    <w:p w14:paraId="5486CDA9" w14:textId="77777777" w:rsidR="007D00BA" w:rsidRPr="007A4E7E" w:rsidRDefault="007D00BA" w:rsidP="007D00BA">
      <w:pPr>
        <w:pStyle w:val="ExecSumBodyText"/>
        <w:numPr>
          <w:ilvl w:val="1"/>
          <w:numId w:val="1"/>
        </w:numPr>
      </w:pPr>
      <w:r w:rsidRPr="007A4E7E">
        <w:t xml:space="preserve">The resubmission assumed a fixed number of AEs Grade ≥3 in the first cycle based on treatment with osilodrostat at week 12, then estimated a cycle probability of experiencing an AE based on the incidence of AEs in the overall study period of LINC 4 </w:t>
      </w:r>
      <w:r w:rsidRPr="007A4E7E">
        <w:rPr>
          <w:iCs/>
        </w:rPr>
        <w:t>post-hoc</w:t>
      </w:r>
      <w:r w:rsidRPr="007A4E7E">
        <w:t xml:space="preserve"> analysis. </w:t>
      </w:r>
      <w:r w:rsidRPr="007A4E7E">
        <w:rPr>
          <w:iCs/>
        </w:rPr>
        <w:t>Given the small sample size and relatively short duration of follow up in LINC 4 (compared to the 50-year time horizon) the rates for AE used in the model should be considered uncertain</w:t>
      </w:r>
      <w:r w:rsidRPr="007A4E7E">
        <w:t xml:space="preserve">. </w:t>
      </w:r>
    </w:p>
    <w:p w14:paraId="528CA795" w14:textId="5078A0B0" w:rsidR="007D00BA" w:rsidRPr="007A4E7E" w:rsidRDefault="007D00BA" w:rsidP="007D00BA">
      <w:pPr>
        <w:pStyle w:val="ExecSumBodyText"/>
        <w:numPr>
          <w:ilvl w:val="1"/>
          <w:numId w:val="1"/>
        </w:numPr>
      </w:pPr>
      <w:r w:rsidRPr="007A4E7E">
        <w:t xml:space="preserve">The utility values applied in the model were based on the EQ-5D-5L data from patients randomised to osilodrostat (n=42) who had a baseline mUFC&gt;1.3 ULN from the LINC 4 </w:t>
      </w:r>
      <w:r w:rsidRPr="007A4E7E">
        <w:rPr>
          <w:iCs/>
        </w:rPr>
        <w:t xml:space="preserve">post-hoc </w:t>
      </w:r>
      <w:r w:rsidRPr="007A4E7E">
        <w:t xml:space="preserve">analysis (see </w:t>
      </w:r>
      <w:r w:rsidRPr="007A4E7E">
        <w:fldChar w:fldCharType="begin" w:fldLock="1"/>
      </w:r>
      <w:r w:rsidRPr="007A4E7E">
        <w:instrText xml:space="preserve"> REF _Ref152851778 \h </w:instrText>
      </w:r>
      <w:r w:rsidRPr="007A4E7E">
        <w:fldChar w:fldCharType="separate"/>
      </w:r>
      <w:r w:rsidR="00043D39" w:rsidRPr="007A4E7E">
        <w:t xml:space="preserve">Table </w:t>
      </w:r>
      <w:r w:rsidR="00043D39">
        <w:rPr>
          <w:noProof/>
        </w:rPr>
        <w:t>6</w:t>
      </w:r>
      <w:r w:rsidRPr="007A4E7E">
        <w:fldChar w:fldCharType="end"/>
      </w:r>
      <w:r w:rsidRPr="007A4E7E">
        <w:t>). The same utilities were applied regardless of treatment received. The resubmission stated that week 12 was selected for the change from baseline analysis because this represented the end of the dose titration period in LINC 4 and thus captures the impact of any AEs that may have occurred in that time.</w:t>
      </w:r>
    </w:p>
    <w:p w14:paraId="7905DB23" w14:textId="6FE37F57" w:rsidR="007D00BA" w:rsidRPr="007A4E7E" w:rsidRDefault="007D00BA" w:rsidP="007D00BA">
      <w:pPr>
        <w:pStyle w:val="ExecSumBodyText"/>
        <w:numPr>
          <w:ilvl w:val="1"/>
          <w:numId w:val="1"/>
        </w:numPr>
      </w:pPr>
      <w:bookmarkStart w:id="50" w:name="_Ref153200410"/>
      <w:r w:rsidRPr="007A4E7E">
        <w:rPr>
          <w:iCs/>
        </w:rPr>
        <w:t xml:space="preserve">As discussed in paragraphs </w:t>
      </w:r>
      <w:r w:rsidRPr="007A4E7E">
        <w:rPr>
          <w:iCs/>
        </w:rPr>
        <w:fldChar w:fldCharType="begin" w:fldLock="1"/>
      </w:r>
      <w:r w:rsidRPr="007A4E7E">
        <w:rPr>
          <w:iCs/>
        </w:rPr>
        <w:instrText xml:space="preserve"> REF _Ref153184667 \r \h </w:instrText>
      </w:r>
      <w:r w:rsidRPr="007A4E7E">
        <w:rPr>
          <w:iCs/>
        </w:rPr>
      </w:r>
      <w:r w:rsidRPr="007A4E7E">
        <w:rPr>
          <w:iCs/>
        </w:rPr>
        <w:fldChar w:fldCharType="separate"/>
      </w:r>
      <w:r w:rsidR="00043D39">
        <w:rPr>
          <w:iCs/>
        </w:rPr>
        <w:t>6.17</w:t>
      </w:r>
      <w:r w:rsidRPr="007A4E7E">
        <w:rPr>
          <w:iCs/>
        </w:rPr>
        <w:fldChar w:fldCharType="end"/>
      </w:r>
      <w:r w:rsidRPr="007A4E7E">
        <w:rPr>
          <w:iCs/>
        </w:rPr>
        <w:t xml:space="preserve"> to </w:t>
      </w:r>
      <w:r w:rsidRPr="007A4E7E">
        <w:rPr>
          <w:iCs/>
        </w:rPr>
        <w:fldChar w:fldCharType="begin" w:fldLock="1"/>
      </w:r>
      <w:r w:rsidRPr="007A4E7E">
        <w:rPr>
          <w:iCs/>
        </w:rPr>
        <w:instrText xml:space="preserve"> REF _Ref153184684 \r \h </w:instrText>
      </w:r>
      <w:r w:rsidRPr="007A4E7E">
        <w:rPr>
          <w:iCs/>
        </w:rPr>
      </w:r>
      <w:r w:rsidRPr="007A4E7E">
        <w:rPr>
          <w:iCs/>
        </w:rPr>
        <w:fldChar w:fldCharType="separate"/>
      </w:r>
      <w:r w:rsidR="00043D39">
        <w:rPr>
          <w:iCs/>
        </w:rPr>
        <w:t>6.20</w:t>
      </w:r>
      <w:r w:rsidRPr="007A4E7E">
        <w:rPr>
          <w:iCs/>
        </w:rPr>
        <w:fldChar w:fldCharType="end"/>
      </w:r>
      <w:r w:rsidRPr="007A4E7E">
        <w:rPr>
          <w:iCs/>
        </w:rPr>
        <w:t xml:space="preserve">, the </w:t>
      </w:r>
      <w:r w:rsidRPr="007A4E7E">
        <w:t>post-hoc</w:t>
      </w:r>
      <w:r w:rsidRPr="007A4E7E">
        <w:rPr>
          <w:iCs/>
        </w:rPr>
        <w:t xml:space="preserve"> analysis of the EQ-5D-5L utility scores of responders and non-responders should be interpreted with caution. The resubmission suggested that the baseline health related QoL of responders was better than non-responders according to differences in EQ-5D-5L utility scores at baseline. However, the application of a differential baseline utility was not justified, and the difference may have been due to the small sample size in the </w:t>
      </w:r>
      <w:r w:rsidRPr="007A4E7E">
        <w:t>post hoc</w:t>
      </w:r>
      <w:r w:rsidRPr="007A4E7E">
        <w:rPr>
          <w:iCs/>
        </w:rPr>
        <w:t xml:space="preserve"> subgroup analysis. The PSCR asserted the difference in the baseline utility was attributed to responders’ more optimistic outlook on life, higher compliance, enhanced well-being, and increased motivation, justifying the use in the economic model. The ESC did accept this argument and considered that differential baseline values was inappropriate. It was noted the ICER was sensitive to the difference at baseline, that it was confounded by the small study sample, and therefore it was not appropriate to have applied these values to the economic model. </w:t>
      </w:r>
      <w:bookmarkEnd w:id="50"/>
    </w:p>
    <w:p w14:paraId="70B4D003" w14:textId="77777777" w:rsidR="007D00BA" w:rsidRPr="007A4E7E" w:rsidRDefault="007D00BA" w:rsidP="007D00BA">
      <w:pPr>
        <w:pStyle w:val="ExecSumBodyText"/>
        <w:numPr>
          <w:ilvl w:val="1"/>
          <w:numId w:val="1"/>
        </w:numPr>
      </w:pPr>
      <w:r w:rsidRPr="007A4E7E">
        <w:rPr>
          <w:iCs/>
        </w:rPr>
        <w:t xml:space="preserve">It would be more appropriate that patients begin with the same baseline utility. As such, informing the utility scores of all patients at baseline using a weighted value by </w:t>
      </w:r>
      <w:r w:rsidRPr="007A4E7E">
        <w:rPr>
          <w:iCs/>
        </w:rPr>
        <w:lastRenderedPageBreak/>
        <w:t xml:space="preserve">number of responders and non-responders may be a more reasonable approach. Alternatively, the baseline utility from the FAS in LINC 4 could be used. </w:t>
      </w:r>
    </w:p>
    <w:p w14:paraId="639CFE7F" w14:textId="0AAE6843" w:rsidR="007D00BA" w:rsidRPr="007A4E7E" w:rsidRDefault="007D00BA" w:rsidP="007D00BA">
      <w:pPr>
        <w:pStyle w:val="ExecSumBodyText"/>
        <w:numPr>
          <w:ilvl w:val="1"/>
          <w:numId w:val="1"/>
        </w:numPr>
      </w:pPr>
      <w:bookmarkStart w:id="51" w:name="_Ref153200439"/>
      <w:r w:rsidRPr="007A4E7E">
        <w:rPr>
          <w:iCs/>
        </w:rPr>
        <w:t>The ICER was sensitive to the assumption that baseline utilities were equal between responders and non-responders, and the subsequent changes to the baseline utility value (leaving the change from baseline unchanged for responder and non-</w:t>
      </w:r>
      <w:r w:rsidR="00705684" w:rsidRPr="00705684">
        <w:rPr>
          <w:iCs/>
        </w:rPr>
        <w:t xml:space="preserve"> </w:t>
      </w:r>
      <w:r w:rsidR="00705684" w:rsidRPr="007A4E7E">
        <w:rPr>
          <w:iCs/>
        </w:rPr>
        <w:t>responder</w:t>
      </w:r>
      <w:r w:rsidRPr="007A4E7E">
        <w:rPr>
          <w:iCs/>
        </w:rPr>
        <w:t xml:space="preserve">). From the LINC 4 FAS population, a baseline utility of 0.851 led to a </w:t>
      </w:r>
      <w:r w:rsidR="00DE6661" w:rsidRPr="00063CEB">
        <w:rPr>
          <w:iCs/>
          <w:color w:val="000000"/>
          <w:w w:val="15"/>
          <w:shd w:val="solid" w:color="000000" w:fill="000000"/>
          <w:fitText w:val="-20" w:id="-962329584"/>
          <w14:textFill>
            <w14:solidFill>
              <w14:srgbClr w14:val="000000">
                <w14:alpha w14:val="100000"/>
              </w14:srgbClr>
            </w14:solidFill>
          </w14:textFill>
        </w:rPr>
        <w:t xml:space="preserve">|  </w:t>
      </w:r>
      <w:r w:rsidR="00DE6661" w:rsidRPr="00063CEB">
        <w:rPr>
          <w:iCs/>
          <w:color w:val="000000"/>
          <w:spacing w:val="-69"/>
          <w:w w:val="15"/>
          <w:shd w:val="solid" w:color="000000" w:fill="000000"/>
          <w:fitText w:val="-20" w:id="-962329584"/>
          <w14:textFill>
            <w14:solidFill>
              <w14:srgbClr w14:val="000000">
                <w14:alpha w14:val="100000"/>
              </w14:srgbClr>
            </w14:solidFill>
          </w14:textFill>
        </w:rPr>
        <w:t>|</w:t>
      </w:r>
      <w:r w:rsidRPr="007A4E7E">
        <w:rPr>
          <w:iCs/>
        </w:rPr>
        <w:t xml:space="preserve">% increase in the ICER. Alternatively, the weighted average baseline utility of responders and non-responders from the LINC 4 </w:t>
      </w:r>
      <w:r w:rsidRPr="007A4E7E">
        <w:t>post-hoc</w:t>
      </w:r>
      <w:r w:rsidRPr="007A4E7E">
        <w:rPr>
          <w:iCs/>
        </w:rPr>
        <w:t xml:space="preserve"> analysis, resulted in a baseline value of 0.708</w:t>
      </w:r>
      <w:r w:rsidRPr="007A4E7E">
        <w:rPr>
          <w:rStyle w:val="FootnoteReference"/>
          <w:iCs/>
        </w:rPr>
        <w:footnoteReference w:id="7"/>
      </w:r>
      <w:r w:rsidRPr="007A4E7E">
        <w:rPr>
          <w:iCs/>
        </w:rPr>
        <w:t xml:space="preserve"> and increased the ICER by </w:t>
      </w:r>
      <w:r w:rsidR="00DE6661" w:rsidRPr="00063CEB">
        <w:rPr>
          <w:iCs/>
          <w:color w:val="000000"/>
          <w:w w:val="15"/>
          <w:shd w:val="solid" w:color="000000" w:fill="000000"/>
          <w:fitText w:val="-20" w:id="-962329600"/>
          <w14:textFill>
            <w14:solidFill>
              <w14:srgbClr w14:val="000000">
                <w14:alpha w14:val="100000"/>
              </w14:srgbClr>
            </w14:solidFill>
          </w14:textFill>
        </w:rPr>
        <w:t xml:space="preserve">|  </w:t>
      </w:r>
      <w:r w:rsidR="00DE6661" w:rsidRPr="00063CEB">
        <w:rPr>
          <w:iCs/>
          <w:color w:val="000000"/>
          <w:spacing w:val="-69"/>
          <w:w w:val="15"/>
          <w:shd w:val="solid" w:color="000000" w:fill="000000"/>
          <w:fitText w:val="-20" w:id="-962329600"/>
          <w14:textFill>
            <w14:solidFill>
              <w14:srgbClr w14:val="000000">
                <w14:alpha w14:val="100000"/>
              </w14:srgbClr>
            </w14:solidFill>
          </w14:textFill>
        </w:rPr>
        <w:t>|</w:t>
      </w:r>
      <w:r w:rsidRPr="007A4E7E">
        <w:rPr>
          <w:iCs/>
        </w:rPr>
        <w:t xml:space="preserve">%. </w:t>
      </w:r>
    </w:p>
    <w:p w14:paraId="18DC2E46" w14:textId="3E36A996" w:rsidR="007D00BA" w:rsidRPr="007A4E7E" w:rsidRDefault="007D00BA" w:rsidP="007D00BA">
      <w:pPr>
        <w:pStyle w:val="ExecSumBodyText"/>
        <w:numPr>
          <w:ilvl w:val="1"/>
          <w:numId w:val="1"/>
        </w:numPr>
      </w:pPr>
      <w:r w:rsidRPr="007A4E7E">
        <w:rPr>
          <w:iCs/>
        </w:rPr>
        <w:t xml:space="preserve">The ICER was also sensitive to varying the ‘Change after Week 12’ utility value in responders. Applying the upper (0.146) and lower (0.026) 95% CIs led to a </w:t>
      </w:r>
      <w:r w:rsidR="00DE6661" w:rsidRPr="00063CEB">
        <w:rPr>
          <w:iCs/>
          <w:color w:val="000000"/>
          <w:w w:val="15"/>
          <w:shd w:val="solid" w:color="000000" w:fill="000000"/>
          <w:fitText w:val="-20" w:id="-962329599"/>
          <w14:textFill>
            <w14:solidFill>
              <w14:srgbClr w14:val="000000">
                <w14:alpha w14:val="100000"/>
              </w14:srgbClr>
            </w14:solidFill>
          </w14:textFill>
        </w:rPr>
        <w:t xml:space="preserve">|  </w:t>
      </w:r>
      <w:r w:rsidR="00DE6661" w:rsidRPr="00063CEB">
        <w:rPr>
          <w:iCs/>
          <w:color w:val="000000"/>
          <w:spacing w:val="-69"/>
          <w:w w:val="15"/>
          <w:shd w:val="solid" w:color="000000" w:fill="000000"/>
          <w:fitText w:val="-20" w:id="-962329599"/>
          <w14:textFill>
            <w14:solidFill>
              <w14:srgbClr w14:val="000000">
                <w14:alpha w14:val="100000"/>
              </w14:srgbClr>
            </w14:solidFill>
          </w14:textFill>
        </w:rPr>
        <w:t>|</w:t>
      </w:r>
      <w:r w:rsidRPr="007A4E7E">
        <w:rPr>
          <w:iCs/>
        </w:rPr>
        <w:t xml:space="preserve">% decrease to </w:t>
      </w:r>
      <w:r w:rsidR="00DE6661" w:rsidRPr="00063CEB">
        <w:rPr>
          <w:color w:val="000000"/>
          <w:w w:val="15"/>
          <w:shd w:val="solid" w:color="000000" w:fill="000000"/>
          <w:fitText w:val="-20" w:id="-962329598"/>
          <w14:textFill>
            <w14:solidFill>
              <w14:srgbClr w14:val="000000">
                <w14:alpha w14:val="100000"/>
              </w14:srgbClr>
            </w14:solidFill>
          </w14:textFill>
        </w:rPr>
        <w:t xml:space="preserve">|  </w:t>
      </w:r>
      <w:r w:rsidR="00DE6661" w:rsidRPr="00063CEB">
        <w:rPr>
          <w:color w:val="000000"/>
          <w:spacing w:val="-69"/>
          <w:w w:val="15"/>
          <w:shd w:val="solid" w:color="000000" w:fill="000000"/>
          <w:fitText w:val="-20" w:id="-962329598"/>
          <w14:textFill>
            <w14:solidFill>
              <w14:srgbClr w14:val="000000">
                <w14:alpha w14:val="100000"/>
              </w14:srgbClr>
            </w14:solidFill>
          </w14:textFill>
        </w:rPr>
        <w:t>|</w:t>
      </w:r>
      <w:r w:rsidRPr="007A4E7E">
        <w:rPr>
          <w:iCs/>
        </w:rPr>
        <w:t>% increase in the ICER, respectively. The ICER was not sensitive to varying the ‘Changes in the initial 12 week’ utility values given this was applied only for a short time period.</w:t>
      </w:r>
      <w:bookmarkEnd w:id="51"/>
    </w:p>
    <w:p w14:paraId="51E7E8A1" w14:textId="77777777" w:rsidR="007D00BA" w:rsidRPr="007A4E7E" w:rsidRDefault="007D00BA" w:rsidP="007D00BA">
      <w:pPr>
        <w:pStyle w:val="ExecSumBodyText"/>
        <w:numPr>
          <w:ilvl w:val="1"/>
          <w:numId w:val="1"/>
        </w:numPr>
      </w:pPr>
      <w:r w:rsidRPr="007A4E7E">
        <w:t xml:space="preserve">The model assumed the mean doses of osilodrostat from the </w:t>
      </w:r>
      <w:r w:rsidRPr="007A4E7E">
        <w:rPr>
          <w:iCs/>
        </w:rPr>
        <w:t xml:space="preserve">post hoc </w:t>
      </w:r>
      <w:r w:rsidRPr="007A4E7E">
        <w:t xml:space="preserve">LINC 4 analysis would apply in the model. A mean dose of 7.53mg and 7.99 mg per day was applied in the initiating period for responders and non-responders, respectively. Continuing responders were assumed to use a mean dose of 9.65mg per day. </w:t>
      </w:r>
      <w:r w:rsidRPr="007A4E7E">
        <w:rPr>
          <w:szCs w:val="20"/>
        </w:rPr>
        <w:t>In Appendix 18 to the resubmission, the daily average doses (for days exposed to osilodrostat) for 26</w:t>
      </w:r>
      <w:r w:rsidRPr="007A4E7E">
        <w:rPr>
          <w:szCs w:val="20"/>
        </w:rPr>
        <w:noBreakHyphen/>
        <w:t>week responders and non-responders were 7.71 mg/day and 8.09 mg/day, respectively.</w:t>
      </w:r>
    </w:p>
    <w:p w14:paraId="48D440FA" w14:textId="77777777" w:rsidR="007D00BA" w:rsidRPr="007A4E7E" w:rsidRDefault="007D00BA" w:rsidP="007D00BA">
      <w:pPr>
        <w:pStyle w:val="ExecSumBodyText"/>
        <w:numPr>
          <w:ilvl w:val="1"/>
          <w:numId w:val="1"/>
        </w:numPr>
      </w:pPr>
      <w:r w:rsidRPr="007A4E7E">
        <w:t xml:space="preserve">The resubmission acknowledged that not all possible distributions of drug doses were considered but did not expect this to have a significant impact on the overall results. </w:t>
      </w:r>
      <w:r w:rsidRPr="007A4E7E">
        <w:rPr>
          <w:iCs/>
        </w:rPr>
        <w:t>This was not reasonable, as the choice of a microsimulation model would have allowed different dosages to have been tested. The usage of a static mean dose for osilodrostat, which requires titration, in a microsimulation model was underutilising the advantages of the modelling method.</w:t>
      </w:r>
    </w:p>
    <w:p w14:paraId="11CDA485" w14:textId="77777777" w:rsidR="007D00BA" w:rsidRPr="007A4E7E" w:rsidRDefault="007D00BA" w:rsidP="007D00BA">
      <w:pPr>
        <w:pStyle w:val="ExecSumBodyText"/>
        <w:numPr>
          <w:ilvl w:val="1"/>
          <w:numId w:val="1"/>
        </w:numPr>
      </w:pPr>
      <w:bookmarkStart w:id="52" w:name="_Ref153246570"/>
      <w:r w:rsidRPr="007A4E7E">
        <w:rPr>
          <w:iCs/>
        </w:rPr>
        <w:t>Further, the increase from a 12</w:t>
      </w:r>
      <w:r w:rsidRPr="007A4E7E">
        <w:rPr>
          <w:iCs/>
        </w:rPr>
        <w:noBreakHyphen/>
        <w:t>week initiation (in LINC 4) to a six-month initiation period (in the model) would likely result in a higher dose of osilodrostat use in the non-responders, given that patients will have more time to increase their dose, which they will be incentivised to do as they are not achieving response. Using the 12-week dose titration period from LINC 4 to inform a 26-week titration period likely underestimated the dose of osilodrostat received by non-responders, which favours osilodrostat.</w:t>
      </w:r>
      <w:bookmarkEnd w:id="52"/>
      <w:r w:rsidRPr="007A4E7E">
        <w:rPr>
          <w:iCs/>
        </w:rPr>
        <w:t xml:space="preserve"> </w:t>
      </w:r>
    </w:p>
    <w:p w14:paraId="192D32CC" w14:textId="77777777" w:rsidR="007D00BA" w:rsidRPr="007A4E7E" w:rsidRDefault="007D00BA" w:rsidP="007D00BA">
      <w:pPr>
        <w:pStyle w:val="ExecSumBodyText"/>
        <w:numPr>
          <w:ilvl w:val="1"/>
          <w:numId w:val="1"/>
        </w:numPr>
      </w:pPr>
      <w:r w:rsidRPr="007A4E7E">
        <w:t xml:space="preserve">The resubmission assumed patients required regular follow-up visits with endocrinologists and general practitioners and various tests and investigations. The resubmission assumed the non-responders incurred a higher frequency of these visits and tests compared to responder patients and were not assumed to differ between treatment arms (based on clinician advice). The resubmission stated that osilodrostat </w:t>
      </w:r>
      <w:r w:rsidRPr="007A4E7E">
        <w:lastRenderedPageBreak/>
        <w:t>dose titration costs were applied once off in the first cycle and to avoid double counting, the cost per cycle of endocrinologist visits and mUFC assessments as part of routine monitoring were removed. The net cost of healthcare professional visits and investigational tests in the first cycle were $503.70 and $1,000.20, respectively</w:t>
      </w:r>
      <w:r w:rsidRPr="007A4E7E">
        <w:rPr>
          <w:iCs/>
        </w:rPr>
        <w:t>.</w:t>
      </w:r>
    </w:p>
    <w:p w14:paraId="76028397" w14:textId="77777777" w:rsidR="007D00BA" w:rsidRPr="007A4E7E" w:rsidRDefault="007D00BA" w:rsidP="007D00BA">
      <w:pPr>
        <w:pStyle w:val="ExecSumBodyText"/>
        <w:numPr>
          <w:ilvl w:val="1"/>
          <w:numId w:val="1"/>
        </w:numPr>
      </w:pPr>
      <w:r w:rsidRPr="007A4E7E">
        <w:t xml:space="preserve">The resubmission stated that the average cost of all AEs in the initial 12 weeks was applied in the first cycle to each treatment arm and in subsequent cycles were applied only when the AE occurred. </w:t>
      </w:r>
      <w:r w:rsidRPr="007A4E7E">
        <w:rPr>
          <w:iCs/>
        </w:rPr>
        <w:t>However, the model only applied AE management costs in the first cycle, and not in subsequent cycles. This is likely underestimated AE costs, though the AE management costs had a negligible contribution to overall incremental costs.</w:t>
      </w:r>
      <w:r w:rsidRPr="007A4E7E">
        <w:t xml:space="preserve"> </w:t>
      </w:r>
    </w:p>
    <w:p w14:paraId="597F1CA2" w14:textId="003A4E80" w:rsidR="007D00BA" w:rsidRPr="007A4E7E" w:rsidRDefault="007D00BA" w:rsidP="007D00BA">
      <w:pPr>
        <w:pStyle w:val="ExecSumBodyText"/>
        <w:numPr>
          <w:ilvl w:val="1"/>
          <w:numId w:val="1"/>
        </w:numPr>
      </w:pPr>
      <w:r w:rsidRPr="007A4E7E">
        <w:t xml:space="preserve">The key drivers of the economic model are summarised in </w:t>
      </w:r>
      <w:r w:rsidRPr="007A4E7E">
        <w:fldChar w:fldCharType="begin" w:fldLock="1"/>
      </w:r>
      <w:r w:rsidRPr="007A4E7E">
        <w:instrText xml:space="preserve"> REF _Ref153243446 \h </w:instrText>
      </w:r>
      <w:r w:rsidRPr="007A4E7E">
        <w:fldChar w:fldCharType="separate"/>
      </w:r>
      <w:r w:rsidR="00043D39" w:rsidRPr="007A4E7E">
        <w:t xml:space="preserve">Table </w:t>
      </w:r>
      <w:r w:rsidR="00043D39">
        <w:rPr>
          <w:noProof/>
        </w:rPr>
        <w:t>12</w:t>
      </w:r>
      <w:r w:rsidRPr="007A4E7E">
        <w:fldChar w:fldCharType="end"/>
      </w:r>
      <w:r w:rsidRPr="007A4E7E">
        <w:t xml:space="preserve">. </w:t>
      </w:r>
    </w:p>
    <w:p w14:paraId="7C7A5887" w14:textId="0F8ED42A" w:rsidR="007D00BA" w:rsidRPr="0037577B" w:rsidRDefault="007D00BA" w:rsidP="00914C1A">
      <w:pPr>
        <w:pStyle w:val="TableFigureHeading"/>
        <w:keepLines/>
        <w:rPr>
          <w:rStyle w:val="CommentReference"/>
          <w:b/>
          <w:bCs w:val="0"/>
          <w:snapToGrid w:val="0"/>
          <w:szCs w:val="24"/>
        </w:rPr>
      </w:pPr>
      <w:bookmarkStart w:id="53" w:name="_Ref153243446"/>
      <w:r w:rsidRPr="0037577B">
        <w:t xml:space="preserve">Table </w:t>
      </w:r>
      <w:r w:rsidR="00397E6D" w:rsidRPr="00914C1A">
        <w:fldChar w:fldCharType="begin" w:fldLock="1"/>
      </w:r>
      <w:r w:rsidR="00397E6D" w:rsidRPr="0037577B">
        <w:instrText xml:space="preserve"> SEQ Table \* ARABIC </w:instrText>
      </w:r>
      <w:r w:rsidR="00397E6D" w:rsidRPr="00914C1A">
        <w:fldChar w:fldCharType="separate"/>
      </w:r>
      <w:r w:rsidR="00043D39" w:rsidRPr="00914C1A">
        <w:t>12</w:t>
      </w:r>
      <w:r w:rsidR="00397E6D" w:rsidRPr="00914C1A">
        <w:fldChar w:fldCharType="end"/>
      </w:r>
      <w:bookmarkEnd w:id="53"/>
      <w:r w:rsidRPr="0037577B">
        <w:t>:</w:t>
      </w:r>
      <w:r w:rsidRPr="0037577B">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Key drivers of the model"/>
      </w:tblPr>
      <w:tblGrid>
        <w:gridCol w:w="1129"/>
        <w:gridCol w:w="4678"/>
        <w:gridCol w:w="3210"/>
      </w:tblGrid>
      <w:tr w:rsidR="007D00BA" w:rsidRPr="007A4E7E" w14:paraId="1998A5FB" w14:textId="77777777" w:rsidTr="00914C1A">
        <w:trPr>
          <w:trHeight w:val="20"/>
          <w:tblHeader/>
        </w:trPr>
        <w:tc>
          <w:tcPr>
            <w:tcW w:w="626" w:type="pct"/>
            <w:shd w:val="clear" w:color="auto" w:fill="auto"/>
            <w:vAlign w:val="center"/>
          </w:tcPr>
          <w:p w14:paraId="7CA31F89" w14:textId="77777777" w:rsidR="007D00BA" w:rsidRPr="007A4E7E" w:rsidRDefault="007D00BA" w:rsidP="0037577B">
            <w:pPr>
              <w:pStyle w:val="In-tableHeading"/>
              <w:keepLines/>
              <w:jc w:val="center"/>
              <w:rPr>
                <w:lang w:val="en-AU"/>
              </w:rPr>
            </w:pPr>
            <w:r w:rsidRPr="007A4E7E">
              <w:rPr>
                <w:lang w:val="en-AU"/>
              </w:rPr>
              <w:t>Description</w:t>
            </w:r>
          </w:p>
        </w:tc>
        <w:tc>
          <w:tcPr>
            <w:tcW w:w="2594" w:type="pct"/>
            <w:shd w:val="clear" w:color="auto" w:fill="auto"/>
            <w:vAlign w:val="center"/>
          </w:tcPr>
          <w:p w14:paraId="18FDCB93" w14:textId="77777777" w:rsidR="007D00BA" w:rsidRPr="007A4E7E" w:rsidRDefault="007D00BA" w:rsidP="0037577B">
            <w:pPr>
              <w:pStyle w:val="In-tableHeading"/>
              <w:keepLines/>
              <w:jc w:val="center"/>
              <w:rPr>
                <w:lang w:val="en-AU"/>
              </w:rPr>
            </w:pPr>
            <w:r w:rsidRPr="007A4E7E">
              <w:rPr>
                <w:lang w:val="en-AU"/>
              </w:rPr>
              <w:t>Method/Value</w:t>
            </w:r>
          </w:p>
        </w:tc>
        <w:tc>
          <w:tcPr>
            <w:tcW w:w="1780" w:type="pct"/>
            <w:shd w:val="clear" w:color="auto" w:fill="auto"/>
            <w:vAlign w:val="center"/>
          </w:tcPr>
          <w:p w14:paraId="5B77832B" w14:textId="77777777" w:rsidR="007D00BA" w:rsidRPr="007A4E7E" w:rsidRDefault="007D00BA" w:rsidP="0037577B">
            <w:pPr>
              <w:pStyle w:val="In-tableHeading"/>
              <w:keepLines/>
              <w:jc w:val="center"/>
              <w:rPr>
                <w:lang w:val="en-AU"/>
              </w:rPr>
            </w:pPr>
            <w:r w:rsidRPr="007A4E7E">
              <w:rPr>
                <w:lang w:val="en-AU"/>
              </w:rPr>
              <w:t>Impact</w:t>
            </w:r>
          </w:p>
          <w:p w14:paraId="12EFEE60" w14:textId="0C7D8BF8" w:rsidR="007D00BA" w:rsidRPr="007A4E7E" w:rsidRDefault="007D00BA" w:rsidP="0037577B">
            <w:pPr>
              <w:pStyle w:val="In-tableHeading"/>
              <w:keepLines/>
              <w:jc w:val="center"/>
              <w:rPr>
                <w:i/>
                <w:iCs/>
                <w:lang w:val="en-AU"/>
              </w:rPr>
            </w:pPr>
            <w:r w:rsidRPr="007A4E7E">
              <w:rPr>
                <w:b w:val="0"/>
                <w:iCs/>
                <w:lang w:val="en-AU"/>
              </w:rPr>
              <w:t>Base case $</w:t>
            </w:r>
            <w:r w:rsidR="00DE6661" w:rsidRPr="00DE6661">
              <w:rPr>
                <w:b w:val="0"/>
                <w:iCs/>
                <w:color w:val="000000"/>
                <w:shd w:val="solid" w:color="000000" w:fill="000000"/>
                <w:lang w:val="en-AU"/>
                <w14:textFill>
                  <w14:solidFill>
                    <w14:srgbClr w14:val="000000">
                      <w14:alpha w14:val="100000"/>
                    </w14:srgbClr>
                  </w14:solidFill>
                </w14:textFill>
              </w:rPr>
              <w:t>|</w:t>
            </w:r>
            <w:r w:rsidR="00C1622F" w:rsidRPr="00914C1A">
              <w:rPr>
                <w:b w:val="0"/>
                <w:iCs/>
                <w:vertAlign w:val="superscript"/>
                <w:lang w:val="en-AU"/>
              </w:rPr>
              <w:t>1</w:t>
            </w:r>
            <w:r w:rsidRPr="007A4E7E">
              <w:rPr>
                <w:b w:val="0"/>
                <w:iCs/>
                <w:lang w:val="en-AU"/>
              </w:rPr>
              <w:t>/QALY gained</w:t>
            </w:r>
          </w:p>
        </w:tc>
      </w:tr>
      <w:tr w:rsidR="007D00BA" w:rsidRPr="007A4E7E" w14:paraId="0E715E55" w14:textId="77777777" w:rsidTr="00914C1A">
        <w:trPr>
          <w:trHeight w:val="20"/>
        </w:trPr>
        <w:tc>
          <w:tcPr>
            <w:tcW w:w="626" w:type="pct"/>
            <w:shd w:val="clear" w:color="auto" w:fill="auto"/>
            <w:vAlign w:val="center"/>
          </w:tcPr>
          <w:p w14:paraId="10243E24" w14:textId="77777777" w:rsidR="007D00BA" w:rsidRPr="007A4E7E" w:rsidRDefault="007D00BA" w:rsidP="0037577B">
            <w:pPr>
              <w:pStyle w:val="TableText0"/>
              <w:keepLines/>
            </w:pPr>
            <w:r w:rsidRPr="007A4E7E">
              <w:t xml:space="preserve">Trial source data </w:t>
            </w:r>
          </w:p>
        </w:tc>
        <w:tc>
          <w:tcPr>
            <w:tcW w:w="2594" w:type="pct"/>
            <w:shd w:val="clear" w:color="auto" w:fill="auto"/>
            <w:vAlign w:val="center"/>
          </w:tcPr>
          <w:p w14:paraId="5970A825" w14:textId="77777777" w:rsidR="007D00BA" w:rsidRPr="007A4E7E" w:rsidRDefault="007D00BA" w:rsidP="0037577B">
            <w:pPr>
              <w:pStyle w:val="TableText0"/>
              <w:keepLines/>
            </w:pPr>
            <w:r w:rsidRPr="007A4E7E">
              <w:t xml:space="preserve">The resubmission included a sensitivity analysis that informed the trial data using LINC 3. </w:t>
            </w:r>
            <w:r w:rsidRPr="007A4E7E">
              <w:rPr>
                <w:iCs/>
              </w:rPr>
              <w:t>However, it was unclear what parameters were changed exactly, though it appeared that the inputs pertaining to the eligible patient criteria (baseline mUFC≥1.3xULN, response definition (ORR), and timepoint (Week 26)) were changed to reflect LINC 3. This could not be independently verified.</w:t>
            </w:r>
            <w:r w:rsidRPr="007A4E7E">
              <w:t xml:space="preserve"> </w:t>
            </w:r>
          </w:p>
        </w:tc>
        <w:tc>
          <w:tcPr>
            <w:tcW w:w="1780" w:type="pct"/>
            <w:shd w:val="clear" w:color="auto" w:fill="auto"/>
            <w:vAlign w:val="center"/>
          </w:tcPr>
          <w:p w14:paraId="51EF6EB4" w14:textId="77777777" w:rsidR="007D00BA" w:rsidRPr="007A4E7E" w:rsidRDefault="007D00BA" w:rsidP="0037577B">
            <w:pPr>
              <w:pStyle w:val="TableText0"/>
              <w:keepLines/>
              <w:rPr>
                <w:iCs/>
              </w:rPr>
            </w:pPr>
            <w:r w:rsidRPr="007A4E7E">
              <w:rPr>
                <w:iCs/>
              </w:rPr>
              <w:t xml:space="preserve">High. Using LINC 4 data favoured osilodrostat. Using LINC 3 data </w:t>
            </w:r>
          </w:p>
          <w:p w14:paraId="6976D25E" w14:textId="14F0F6A0" w:rsidR="007D00BA" w:rsidRPr="007A4E7E" w:rsidRDefault="007D00BA" w:rsidP="0037577B">
            <w:pPr>
              <w:pStyle w:val="TableText0"/>
              <w:keepLines/>
              <w:rPr>
                <w:i/>
                <w:iCs/>
              </w:rPr>
            </w:pPr>
            <w:r w:rsidRPr="007A4E7E">
              <w:rPr>
                <w:iCs/>
              </w:rPr>
              <w:t xml:space="preserve">Increased the ICER by </w:t>
            </w:r>
            <w:r w:rsidR="00DE6661" w:rsidRPr="00DE6661">
              <w:rPr>
                <w:iCs/>
                <w:color w:val="000000"/>
                <w:spacing w:val="49"/>
                <w:shd w:val="solid" w:color="000000" w:fill="000000"/>
                <w:fitText w:val="318" w:id="-962329597"/>
                <w14:textFill>
                  <w14:solidFill>
                    <w14:srgbClr w14:val="000000">
                      <w14:alpha w14:val="100000"/>
                    </w14:srgbClr>
                  </w14:solidFill>
                </w14:textFill>
              </w:rPr>
              <w:t>|||</w:t>
            </w:r>
            <w:r w:rsidR="00DE6661" w:rsidRPr="00DE6661">
              <w:rPr>
                <w:iCs/>
                <w:color w:val="000000"/>
                <w:spacing w:val="1"/>
                <w:shd w:val="solid" w:color="000000" w:fill="000000"/>
                <w:fitText w:val="318" w:id="-962329597"/>
                <w14:textFill>
                  <w14:solidFill>
                    <w14:srgbClr w14:val="000000">
                      <w14:alpha w14:val="100000"/>
                    </w14:srgbClr>
                  </w14:solidFill>
                </w14:textFill>
              </w:rPr>
              <w:t>|</w:t>
            </w:r>
            <w:r w:rsidRPr="007A4E7E">
              <w:rPr>
                <w:iCs/>
              </w:rPr>
              <w:t xml:space="preserve">% </w:t>
            </w:r>
          </w:p>
        </w:tc>
      </w:tr>
      <w:tr w:rsidR="007D00BA" w:rsidRPr="007A4E7E" w14:paraId="7DF17735" w14:textId="77777777" w:rsidTr="00914C1A">
        <w:trPr>
          <w:trHeight w:val="20"/>
        </w:trPr>
        <w:tc>
          <w:tcPr>
            <w:tcW w:w="626" w:type="pct"/>
            <w:shd w:val="clear" w:color="auto" w:fill="auto"/>
            <w:vAlign w:val="center"/>
          </w:tcPr>
          <w:p w14:paraId="2E3C91DC" w14:textId="77777777" w:rsidR="007D00BA" w:rsidRPr="007A4E7E" w:rsidRDefault="007D00BA" w:rsidP="0037577B">
            <w:pPr>
              <w:pStyle w:val="TableText0"/>
              <w:keepLines/>
            </w:pPr>
            <w:r w:rsidRPr="007A4E7E">
              <w:t>Baseline utilities</w:t>
            </w:r>
          </w:p>
        </w:tc>
        <w:tc>
          <w:tcPr>
            <w:tcW w:w="2594" w:type="pct"/>
            <w:shd w:val="clear" w:color="auto" w:fill="auto"/>
            <w:vAlign w:val="center"/>
          </w:tcPr>
          <w:p w14:paraId="64B47A7D" w14:textId="77777777" w:rsidR="007D00BA" w:rsidRPr="007A4E7E" w:rsidRDefault="007D00BA" w:rsidP="0037577B">
            <w:pPr>
              <w:pStyle w:val="TableText0"/>
              <w:keepLines/>
            </w:pPr>
            <w:r w:rsidRPr="007A4E7E">
              <w:t xml:space="preserve">The base case assumed differential baseline utilities for responders (0.713) and non-responders (0.658). </w:t>
            </w:r>
          </w:p>
        </w:tc>
        <w:tc>
          <w:tcPr>
            <w:tcW w:w="1780" w:type="pct"/>
            <w:shd w:val="clear" w:color="auto" w:fill="auto"/>
            <w:vAlign w:val="center"/>
          </w:tcPr>
          <w:p w14:paraId="7ACBF7E1" w14:textId="2D945537" w:rsidR="007D00BA" w:rsidRPr="007A4E7E" w:rsidRDefault="007D00BA" w:rsidP="0037577B">
            <w:pPr>
              <w:pStyle w:val="TableText0"/>
              <w:keepLines/>
              <w:rPr>
                <w:iCs/>
              </w:rPr>
            </w:pPr>
            <w:r w:rsidRPr="007A4E7E">
              <w:rPr>
                <w:iCs/>
              </w:rPr>
              <w:t xml:space="preserve">High. Assuming differential responder and non-responder baseline utilities favoured osilodrostat. Using the same baseline values for responders and non-responders based on a weighted average (0.708) increased the ICER by </w:t>
            </w:r>
            <w:r w:rsidR="00DE6661" w:rsidRPr="00DE6661">
              <w:rPr>
                <w:iCs/>
                <w:color w:val="000000"/>
                <w:spacing w:val="55"/>
                <w:shd w:val="solid" w:color="000000" w:fill="000000"/>
                <w:fitText w:val="337" w:id="-962329596"/>
                <w14:textFill>
                  <w14:solidFill>
                    <w14:srgbClr w14:val="000000">
                      <w14:alpha w14:val="100000"/>
                    </w14:srgbClr>
                  </w14:solidFill>
                </w14:textFill>
              </w:rPr>
              <w:t>|||</w:t>
            </w:r>
            <w:r w:rsidR="00DE6661" w:rsidRPr="00DE6661">
              <w:rPr>
                <w:iCs/>
                <w:color w:val="000000"/>
                <w:spacing w:val="2"/>
                <w:shd w:val="solid" w:color="000000" w:fill="000000"/>
                <w:fitText w:val="337" w:id="-962329596"/>
                <w14:textFill>
                  <w14:solidFill>
                    <w14:srgbClr w14:val="000000">
                      <w14:alpha w14:val="100000"/>
                    </w14:srgbClr>
                  </w14:solidFill>
                </w14:textFill>
              </w:rPr>
              <w:t>|</w:t>
            </w:r>
            <w:r w:rsidRPr="007A4E7E">
              <w:rPr>
                <w:iCs/>
              </w:rPr>
              <w:t xml:space="preserve">%, while using the FAS LINC 4 baseline value (0.851) increased the ICER by </w:t>
            </w:r>
            <w:r w:rsidR="00DE6661" w:rsidRPr="00DE6661">
              <w:rPr>
                <w:iCs/>
                <w:color w:val="000000"/>
                <w:spacing w:val="55"/>
                <w:shd w:val="solid" w:color="000000" w:fill="000000"/>
                <w:fitText w:val="337" w:id="-962329595"/>
                <w14:textFill>
                  <w14:solidFill>
                    <w14:srgbClr w14:val="000000">
                      <w14:alpha w14:val="100000"/>
                    </w14:srgbClr>
                  </w14:solidFill>
                </w14:textFill>
              </w:rPr>
              <w:t>|||</w:t>
            </w:r>
            <w:r w:rsidR="00DE6661" w:rsidRPr="00DE6661">
              <w:rPr>
                <w:iCs/>
                <w:color w:val="000000"/>
                <w:spacing w:val="2"/>
                <w:shd w:val="solid" w:color="000000" w:fill="000000"/>
                <w:fitText w:val="337" w:id="-962329595"/>
                <w14:textFill>
                  <w14:solidFill>
                    <w14:srgbClr w14:val="000000">
                      <w14:alpha w14:val="100000"/>
                    </w14:srgbClr>
                  </w14:solidFill>
                </w14:textFill>
              </w:rPr>
              <w:t>|</w:t>
            </w:r>
            <w:r w:rsidRPr="007A4E7E">
              <w:rPr>
                <w:iCs/>
              </w:rPr>
              <w:t>%.</w:t>
            </w:r>
          </w:p>
        </w:tc>
      </w:tr>
      <w:tr w:rsidR="007D00BA" w:rsidRPr="007A4E7E" w14:paraId="6E687A86" w14:textId="77777777" w:rsidTr="00914C1A">
        <w:trPr>
          <w:trHeight w:val="20"/>
        </w:trPr>
        <w:tc>
          <w:tcPr>
            <w:tcW w:w="626" w:type="pct"/>
            <w:shd w:val="clear" w:color="auto" w:fill="auto"/>
            <w:vAlign w:val="center"/>
          </w:tcPr>
          <w:p w14:paraId="337731DA" w14:textId="77777777" w:rsidR="007D00BA" w:rsidRPr="007A4E7E" w:rsidRDefault="007D00BA" w:rsidP="0037577B">
            <w:pPr>
              <w:pStyle w:val="TableText0"/>
              <w:keepLines/>
            </w:pPr>
            <w:r w:rsidRPr="007A4E7E">
              <w:t>Utility values</w:t>
            </w:r>
          </w:p>
        </w:tc>
        <w:tc>
          <w:tcPr>
            <w:tcW w:w="2594" w:type="pct"/>
            <w:shd w:val="clear" w:color="auto" w:fill="auto"/>
            <w:vAlign w:val="center"/>
          </w:tcPr>
          <w:p w14:paraId="7EC04CF0" w14:textId="77777777" w:rsidR="007D00BA" w:rsidRPr="007A4E7E" w:rsidRDefault="007D00BA" w:rsidP="0037577B">
            <w:pPr>
              <w:pStyle w:val="TableText0"/>
              <w:keepLines/>
            </w:pPr>
            <w:r w:rsidRPr="007A4E7E">
              <w:t xml:space="preserve">Point estimate from ‘Change from baseline after week 12’ utility value based on </w:t>
            </w:r>
            <w:r w:rsidRPr="007A4E7E">
              <w:rPr>
                <w:iCs/>
              </w:rPr>
              <w:t>post−hoc</w:t>
            </w:r>
            <w:r w:rsidRPr="007A4E7E">
              <w:t xml:space="preserve"> LINC 4 analysis used in base case (0.086, 95% CI 0.026, 0.146). </w:t>
            </w:r>
          </w:p>
        </w:tc>
        <w:tc>
          <w:tcPr>
            <w:tcW w:w="1780" w:type="pct"/>
            <w:shd w:val="clear" w:color="auto" w:fill="auto"/>
            <w:vAlign w:val="center"/>
          </w:tcPr>
          <w:p w14:paraId="32547DBD" w14:textId="648C8CB7" w:rsidR="007D00BA" w:rsidRPr="007A4E7E" w:rsidRDefault="007D00BA" w:rsidP="0037577B">
            <w:pPr>
              <w:pStyle w:val="TableText0"/>
              <w:keepLines/>
              <w:rPr>
                <w:iCs/>
              </w:rPr>
            </w:pPr>
            <w:r w:rsidRPr="007A4E7E">
              <w:rPr>
                <w:iCs/>
              </w:rPr>
              <w:t xml:space="preserve">High. Using the lower and upper 95% CI of the ‘change from baseline after week 12’ utility changed the ICER by </w:t>
            </w:r>
            <w:r w:rsidR="00DE6661" w:rsidRPr="00DE6661">
              <w:rPr>
                <w:iCs/>
                <w:color w:val="000000"/>
                <w:spacing w:val="55"/>
                <w:shd w:val="solid" w:color="000000" w:fill="000000"/>
                <w:fitText w:val="336" w:id="-962329594"/>
                <w14:textFill>
                  <w14:solidFill>
                    <w14:srgbClr w14:val="000000">
                      <w14:alpha w14:val="100000"/>
                    </w14:srgbClr>
                  </w14:solidFill>
                </w14:textFill>
              </w:rPr>
              <w:t>|||</w:t>
            </w:r>
            <w:r w:rsidR="00DE6661" w:rsidRPr="00DE6661">
              <w:rPr>
                <w:iCs/>
                <w:color w:val="000000"/>
                <w:spacing w:val="1"/>
                <w:shd w:val="solid" w:color="000000" w:fill="000000"/>
                <w:fitText w:val="336" w:id="-962329594"/>
                <w14:textFill>
                  <w14:solidFill>
                    <w14:srgbClr w14:val="000000">
                      <w14:alpha w14:val="100000"/>
                    </w14:srgbClr>
                  </w14:solidFill>
                </w14:textFill>
              </w:rPr>
              <w:t>|</w:t>
            </w:r>
            <w:r w:rsidRPr="007A4E7E">
              <w:rPr>
                <w:iCs/>
              </w:rPr>
              <w:t>% and -</w:t>
            </w:r>
            <w:r w:rsidR="00DE6661" w:rsidRPr="00DE6661">
              <w:rPr>
                <w:iCs/>
                <w:color w:val="000000"/>
                <w:spacing w:val="49"/>
                <w:shd w:val="solid" w:color="000000" w:fill="000000"/>
                <w:fitText w:val="318" w:id="-962329593"/>
                <w14:textFill>
                  <w14:solidFill>
                    <w14:srgbClr w14:val="000000">
                      <w14:alpha w14:val="100000"/>
                    </w14:srgbClr>
                  </w14:solidFill>
                </w14:textFill>
              </w:rPr>
              <w:t>|||</w:t>
            </w:r>
            <w:r w:rsidR="00DE6661" w:rsidRPr="00DE6661">
              <w:rPr>
                <w:iCs/>
                <w:color w:val="000000"/>
                <w:spacing w:val="1"/>
                <w:shd w:val="solid" w:color="000000" w:fill="000000"/>
                <w:fitText w:val="318" w:id="-962329593"/>
                <w14:textFill>
                  <w14:solidFill>
                    <w14:srgbClr w14:val="000000">
                      <w14:alpha w14:val="100000"/>
                    </w14:srgbClr>
                  </w14:solidFill>
                </w14:textFill>
              </w:rPr>
              <w:t>|</w:t>
            </w:r>
            <w:r w:rsidRPr="007A4E7E">
              <w:rPr>
                <w:iCs/>
              </w:rPr>
              <w:t>%, respectively.</w:t>
            </w:r>
          </w:p>
        </w:tc>
      </w:tr>
      <w:tr w:rsidR="007D00BA" w:rsidRPr="007A4E7E" w14:paraId="523AD324" w14:textId="77777777" w:rsidTr="00914C1A">
        <w:trPr>
          <w:trHeight w:val="20"/>
        </w:trPr>
        <w:tc>
          <w:tcPr>
            <w:tcW w:w="626" w:type="pct"/>
            <w:shd w:val="clear" w:color="auto" w:fill="auto"/>
            <w:vAlign w:val="center"/>
          </w:tcPr>
          <w:p w14:paraId="39314FBB" w14:textId="77777777" w:rsidR="007D00BA" w:rsidRPr="007A4E7E" w:rsidRDefault="007D00BA" w:rsidP="0037577B">
            <w:pPr>
              <w:pStyle w:val="TableText0"/>
              <w:keepLines/>
            </w:pPr>
            <w:r w:rsidRPr="007A4E7E">
              <w:t>Mortality in non-responder</w:t>
            </w:r>
          </w:p>
        </w:tc>
        <w:tc>
          <w:tcPr>
            <w:tcW w:w="2594" w:type="pct"/>
            <w:shd w:val="clear" w:color="auto" w:fill="auto"/>
            <w:vAlign w:val="center"/>
          </w:tcPr>
          <w:p w14:paraId="33CC85E3" w14:textId="77777777" w:rsidR="007D00BA" w:rsidRPr="007A4E7E" w:rsidRDefault="007D00BA" w:rsidP="0037577B">
            <w:pPr>
              <w:pStyle w:val="TableText0"/>
              <w:keepLines/>
            </w:pPr>
            <w:r w:rsidRPr="007A4E7E">
              <w:t>Ragnarsson 2019 reported the SMR in patients who were not in remission was 6.9 (95% CI 4.3, 10.4)</w:t>
            </w:r>
          </w:p>
        </w:tc>
        <w:tc>
          <w:tcPr>
            <w:tcW w:w="1780" w:type="pct"/>
            <w:shd w:val="clear" w:color="auto" w:fill="auto"/>
            <w:vAlign w:val="center"/>
          </w:tcPr>
          <w:p w14:paraId="48391DD8" w14:textId="665B7CD1" w:rsidR="007D00BA" w:rsidRPr="007A4E7E" w:rsidRDefault="007D00BA" w:rsidP="0037577B">
            <w:pPr>
              <w:pStyle w:val="TableText0"/>
              <w:keepLines/>
              <w:rPr>
                <w:iCs/>
              </w:rPr>
            </w:pPr>
            <w:r w:rsidRPr="007A4E7E">
              <w:rPr>
                <w:iCs/>
              </w:rPr>
              <w:t>Moderately high. Using the lower and upper 95% CI changed the ICER by -</w:t>
            </w:r>
            <w:r w:rsidR="00DE6661" w:rsidRPr="00DE6661">
              <w:rPr>
                <w:iCs/>
                <w:color w:val="000000"/>
                <w:spacing w:val="49"/>
                <w:shd w:val="solid" w:color="000000" w:fill="000000"/>
                <w:fitText w:val="318" w:id="-962329592"/>
                <w14:textFill>
                  <w14:solidFill>
                    <w14:srgbClr w14:val="000000">
                      <w14:alpha w14:val="100000"/>
                    </w14:srgbClr>
                  </w14:solidFill>
                </w14:textFill>
              </w:rPr>
              <w:t>|||</w:t>
            </w:r>
            <w:r w:rsidR="00DE6661" w:rsidRPr="00DE6661">
              <w:rPr>
                <w:iCs/>
                <w:color w:val="000000"/>
                <w:spacing w:val="1"/>
                <w:shd w:val="solid" w:color="000000" w:fill="000000"/>
                <w:fitText w:val="318" w:id="-962329592"/>
                <w14:textFill>
                  <w14:solidFill>
                    <w14:srgbClr w14:val="000000">
                      <w14:alpha w14:val="100000"/>
                    </w14:srgbClr>
                  </w14:solidFill>
                </w14:textFill>
              </w:rPr>
              <w:t>|</w:t>
            </w:r>
            <w:r w:rsidRPr="007A4E7E">
              <w:rPr>
                <w:iCs/>
              </w:rPr>
              <w:t xml:space="preserve">% and </w:t>
            </w:r>
            <w:r w:rsidR="00DE6661" w:rsidRPr="00DE6661">
              <w:rPr>
                <w:iCs/>
                <w:color w:val="000000"/>
                <w:spacing w:val="55"/>
                <w:shd w:val="solid" w:color="000000" w:fill="000000"/>
                <w:fitText w:val="336" w:id="-962329591"/>
                <w14:textFill>
                  <w14:solidFill>
                    <w14:srgbClr w14:val="000000">
                      <w14:alpha w14:val="100000"/>
                    </w14:srgbClr>
                  </w14:solidFill>
                </w14:textFill>
              </w:rPr>
              <w:t>|||</w:t>
            </w:r>
            <w:r w:rsidR="00DE6661" w:rsidRPr="00DE6661">
              <w:rPr>
                <w:iCs/>
                <w:color w:val="000000"/>
                <w:spacing w:val="1"/>
                <w:shd w:val="solid" w:color="000000" w:fill="000000"/>
                <w:fitText w:val="336" w:id="-962329591"/>
                <w14:textFill>
                  <w14:solidFill>
                    <w14:srgbClr w14:val="000000">
                      <w14:alpha w14:val="100000"/>
                    </w14:srgbClr>
                  </w14:solidFill>
                </w14:textFill>
              </w:rPr>
              <w:t>|</w:t>
            </w:r>
            <w:r w:rsidRPr="007A4E7E">
              <w:rPr>
                <w:iCs/>
              </w:rPr>
              <w:t xml:space="preserve">%, respectively. </w:t>
            </w:r>
          </w:p>
        </w:tc>
      </w:tr>
    </w:tbl>
    <w:p w14:paraId="35C2E698" w14:textId="163F00BC" w:rsidR="007D00BA" w:rsidRPr="007A4E7E" w:rsidRDefault="007D00BA" w:rsidP="00914C1A">
      <w:pPr>
        <w:pStyle w:val="FooterTableFigure"/>
        <w:keepNext/>
        <w:keepLines/>
      </w:pPr>
      <w:r w:rsidRPr="007A4E7E">
        <w:t>Source: Table 3.10-1 of the resubmission; tested during the evaluation using the economic model</w:t>
      </w:r>
    </w:p>
    <w:p w14:paraId="111518E2" w14:textId="77777777" w:rsidR="007D00BA" w:rsidRDefault="007D00BA" w:rsidP="00914C1A">
      <w:pPr>
        <w:pStyle w:val="FooterTableFigure"/>
        <w:keepNext/>
        <w:keepLines/>
        <w:spacing w:after="0"/>
      </w:pPr>
      <w:r w:rsidRPr="007A4E7E">
        <w:t>CI = confidence interval; DoR = duration of response; FAS = full analysis set; mUFC = mean urinary free cortisol; ICER = incremental cost-effectiveness ratio; ORR = overall response rate; ULN = upper limit of normal; QALY = quality adjusted life years; SMR = standardised mortality ratio</w:t>
      </w:r>
    </w:p>
    <w:p w14:paraId="5ED8124F" w14:textId="77777777" w:rsidR="00C1622F" w:rsidRPr="00914C1A" w:rsidRDefault="00C1622F"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rPr>
        <w:t xml:space="preserve">The redacted values correspond to the following ranges: </w:t>
      </w:r>
    </w:p>
    <w:p w14:paraId="44F1DB5D" w14:textId="0A0BD8F5" w:rsidR="00C1622F" w:rsidRPr="007A4E7E" w:rsidRDefault="00C1622F" w:rsidP="00914C1A">
      <w:pPr>
        <w:spacing w:after="120"/>
        <w:jc w:val="left"/>
      </w:pPr>
      <w:r w:rsidRPr="00A441CE">
        <w:rPr>
          <w:rFonts w:ascii="Arial Narrow" w:hAnsi="Arial Narrow" w:cstheme="minorHAnsi"/>
          <w:bCs/>
          <w:i/>
          <w:iCs/>
          <w:sz w:val="18"/>
          <w:szCs w:val="18"/>
          <w:vertAlign w:val="superscript"/>
        </w:rPr>
        <w:t>1</w:t>
      </w:r>
      <w:r w:rsidRPr="00A441CE">
        <w:rPr>
          <w:rFonts w:ascii="Arial Narrow" w:hAnsi="Arial Narrow" w:cstheme="minorHAnsi"/>
          <w:bCs/>
          <w:i/>
          <w:iCs/>
          <w:sz w:val="18"/>
          <w:szCs w:val="18"/>
        </w:rPr>
        <w:t xml:space="preserve"> $355,000 to &lt; $455,000</w:t>
      </w:r>
    </w:p>
    <w:p w14:paraId="71684A66" w14:textId="28829381" w:rsidR="007D00BA" w:rsidRPr="007A4E7E" w:rsidRDefault="007D00BA" w:rsidP="007D00BA">
      <w:pPr>
        <w:pStyle w:val="ExecSumBodyText"/>
        <w:numPr>
          <w:ilvl w:val="1"/>
          <w:numId w:val="1"/>
        </w:numPr>
      </w:pPr>
      <w:r w:rsidRPr="007A4E7E">
        <w:t xml:space="preserve">The stepped results of the economic evaluation are presented in </w:t>
      </w:r>
      <w:r w:rsidRPr="007A4E7E">
        <w:fldChar w:fldCharType="begin" w:fldLock="1"/>
      </w:r>
      <w:r w:rsidRPr="007A4E7E">
        <w:instrText xml:space="preserve"> REF _Ref153190223 \h </w:instrText>
      </w:r>
      <w:r w:rsidRPr="007A4E7E">
        <w:fldChar w:fldCharType="separate"/>
      </w:r>
      <w:r w:rsidR="00043D39" w:rsidRPr="007A4E7E">
        <w:t xml:space="preserve">Table </w:t>
      </w:r>
      <w:r w:rsidR="00043D39">
        <w:rPr>
          <w:noProof/>
        </w:rPr>
        <w:t>13</w:t>
      </w:r>
      <w:r w:rsidRPr="007A4E7E">
        <w:fldChar w:fldCharType="end"/>
      </w:r>
      <w:r w:rsidRPr="007A4E7E">
        <w:t>.</w:t>
      </w:r>
    </w:p>
    <w:p w14:paraId="48FB2304" w14:textId="341A1582" w:rsidR="007D00BA" w:rsidRPr="0037577B" w:rsidRDefault="007D00BA" w:rsidP="00914C1A">
      <w:pPr>
        <w:pStyle w:val="TableFigureHeading"/>
        <w:keepLines/>
      </w:pPr>
      <w:bookmarkStart w:id="54" w:name="_Ref153190223"/>
      <w:r w:rsidRPr="0037577B">
        <w:lastRenderedPageBreak/>
        <w:t xml:space="preserve">Table </w:t>
      </w:r>
      <w:r w:rsidR="00397E6D" w:rsidRPr="00914C1A">
        <w:fldChar w:fldCharType="begin" w:fldLock="1"/>
      </w:r>
      <w:r w:rsidR="00397E6D" w:rsidRPr="0037577B">
        <w:instrText xml:space="preserve"> SEQ Table \* ARABIC </w:instrText>
      </w:r>
      <w:r w:rsidR="00397E6D" w:rsidRPr="00914C1A">
        <w:fldChar w:fldCharType="separate"/>
      </w:r>
      <w:r w:rsidR="00043D39" w:rsidRPr="00914C1A">
        <w:t>13</w:t>
      </w:r>
      <w:r w:rsidR="00397E6D" w:rsidRPr="00914C1A">
        <w:fldChar w:fldCharType="end"/>
      </w:r>
      <w:bookmarkEnd w:id="54"/>
      <w:r w:rsidRPr="0037577B">
        <w:t>:</w:t>
      </w:r>
      <w:r w:rsidRPr="0037577B">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Results of the stepped economic evaluation"/>
      </w:tblPr>
      <w:tblGrid>
        <w:gridCol w:w="2744"/>
        <w:gridCol w:w="13"/>
        <w:gridCol w:w="2426"/>
        <w:gridCol w:w="2269"/>
        <w:gridCol w:w="16"/>
        <w:gridCol w:w="1549"/>
      </w:tblGrid>
      <w:tr w:rsidR="007D00BA" w:rsidRPr="00397E6D" w14:paraId="753390C4" w14:textId="77777777" w:rsidTr="00EA6DFD">
        <w:trPr>
          <w:tblHeader/>
        </w:trPr>
        <w:tc>
          <w:tcPr>
            <w:tcW w:w="1522" w:type="pct"/>
            <w:vAlign w:val="center"/>
          </w:tcPr>
          <w:p w14:paraId="657B22F2" w14:textId="77777777" w:rsidR="007D00BA" w:rsidRPr="0037577B" w:rsidRDefault="007D00BA" w:rsidP="00914C1A">
            <w:pPr>
              <w:pStyle w:val="In-tableHeading"/>
              <w:keepLines/>
              <w:rPr>
                <w:szCs w:val="20"/>
                <w:lang w:val="en-AU"/>
              </w:rPr>
            </w:pPr>
            <w:r w:rsidRPr="0037577B">
              <w:rPr>
                <w:szCs w:val="20"/>
                <w:lang w:val="en-AU"/>
              </w:rPr>
              <w:t>Step and component</w:t>
            </w:r>
          </w:p>
        </w:tc>
        <w:tc>
          <w:tcPr>
            <w:tcW w:w="1352" w:type="pct"/>
            <w:gridSpan w:val="2"/>
            <w:vAlign w:val="center"/>
          </w:tcPr>
          <w:p w14:paraId="3FF89D98" w14:textId="77777777" w:rsidR="007D00BA" w:rsidRPr="0037577B" w:rsidRDefault="007D00BA" w:rsidP="00914C1A">
            <w:pPr>
              <w:pStyle w:val="In-tableHeading"/>
              <w:keepLines/>
              <w:jc w:val="center"/>
              <w:rPr>
                <w:szCs w:val="20"/>
                <w:lang w:val="en-AU"/>
              </w:rPr>
            </w:pPr>
            <w:r w:rsidRPr="0037577B">
              <w:rPr>
                <w:szCs w:val="20"/>
                <w:lang w:val="en-AU"/>
              </w:rPr>
              <w:t>Proposed medicine</w:t>
            </w:r>
          </w:p>
        </w:tc>
        <w:tc>
          <w:tcPr>
            <w:tcW w:w="1267" w:type="pct"/>
            <w:gridSpan w:val="2"/>
            <w:vAlign w:val="center"/>
          </w:tcPr>
          <w:p w14:paraId="3FC2977A" w14:textId="77777777" w:rsidR="007D00BA" w:rsidRPr="0037577B" w:rsidRDefault="007D00BA" w:rsidP="00914C1A">
            <w:pPr>
              <w:pStyle w:val="In-tableHeading"/>
              <w:keepLines/>
              <w:jc w:val="center"/>
              <w:rPr>
                <w:szCs w:val="20"/>
                <w:lang w:val="en-AU"/>
              </w:rPr>
            </w:pPr>
            <w:r w:rsidRPr="0037577B">
              <w:rPr>
                <w:szCs w:val="20"/>
                <w:lang w:val="en-AU"/>
              </w:rPr>
              <w:t>Comparator</w:t>
            </w:r>
          </w:p>
        </w:tc>
        <w:tc>
          <w:tcPr>
            <w:tcW w:w="860" w:type="pct"/>
            <w:vAlign w:val="center"/>
          </w:tcPr>
          <w:p w14:paraId="2739F332" w14:textId="77777777" w:rsidR="007D00BA" w:rsidRPr="0037577B" w:rsidRDefault="007D00BA" w:rsidP="00914C1A">
            <w:pPr>
              <w:pStyle w:val="In-tableHeading"/>
              <w:keepLines/>
              <w:jc w:val="center"/>
              <w:rPr>
                <w:szCs w:val="20"/>
                <w:lang w:val="en-AU"/>
              </w:rPr>
            </w:pPr>
            <w:r w:rsidRPr="0037577B">
              <w:rPr>
                <w:szCs w:val="20"/>
                <w:lang w:val="en-AU"/>
              </w:rPr>
              <w:t>Increment</w:t>
            </w:r>
          </w:p>
        </w:tc>
      </w:tr>
      <w:tr w:rsidR="007D00BA" w:rsidRPr="00397E6D" w14:paraId="463C8A6F" w14:textId="77777777" w:rsidTr="00EA6DFD">
        <w:tc>
          <w:tcPr>
            <w:tcW w:w="5000" w:type="pct"/>
            <w:gridSpan w:val="6"/>
            <w:vAlign w:val="center"/>
          </w:tcPr>
          <w:p w14:paraId="5645939B" w14:textId="77777777" w:rsidR="007D00BA" w:rsidRPr="0037577B" w:rsidRDefault="007D00BA" w:rsidP="00914C1A">
            <w:pPr>
              <w:pStyle w:val="TableText0"/>
              <w:keepLines/>
              <w:rPr>
                <w:b/>
                <w:bCs w:val="0"/>
                <w:szCs w:val="20"/>
              </w:rPr>
            </w:pPr>
            <w:r w:rsidRPr="0037577B">
              <w:rPr>
                <w:b/>
                <w:bCs w:val="0"/>
                <w:szCs w:val="20"/>
              </w:rPr>
              <w:t>Step 1: trial-based analysis (ORR at 26 weeks)</w:t>
            </w:r>
          </w:p>
        </w:tc>
      </w:tr>
      <w:tr w:rsidR="007D00BA" w:rsidRPr="00397E6D" w14:paraId="591B3019" w14:textId="77777777" w:rsidTr="00EA6DFD">
        <w:tc>
          <w:tcPr>
            <w:tcW w:w="1522" w:type="pct"/>
            <w:vAlign w:val="center"/>
          </w:tcPr>
          <w:p w14:paraId="1B979819" w14:textId="77777777" w:rsidR="007D00BA" w:rsidRPr="00914C1A" w:rsidRDefault="007D00BA" w:rsidP="00914C1A">
            <w:pPr>
              <w:pStyle w:val="TableText0"/>
              <w:keepLines/>
              <w:rPr>
                <w:szCs w:val="20"/>
              </w:rPr>
            </w:pPr>
            <w:r w:rsidRPr="0037577B">
              <w:rPr>
                <w:szCs w:val="20"/>
              </w:rPr>
              <w:t>Costs</w:t>
            </w:r>
          </w:p>
        </w:tc>
        <w:tc>
          <w:tcPr>
            <w:tcW w:w="1352" w:type="pct"/>
            <w:gridSpan w:val="2"/>
          </w:tcPr>
          <w:p w14:paraId="21B2AD68" w14:textId="04CC85CA" w:rsidR="007D00BA" w:rsidRPr="00914C1A" w:rsidRDefault="007D00BA" w:rsidP="00914C1A">
            <w:pPr>
              <w:pStyle w:val="TableText0"/>
              <w:keepLines/>
              <w:jc w:val="center"/>
              <w:rPr>
                <w:szCs w:val="20"/>
              </w:rPr>
            </w:pPr>
            <w:r w:rsidRPr="0037577B">
              <w:rPr>
                <w:szCs w:val="20"/>
              </w:rPr>
              <w:t>$</w:t>
            </w:r>
            <w:r w:rsidR="00DE6661" w:rsidRPr="00DE6661">
              <w:rPr>
                <w:color w:val="000000"/>
                <w:szCs w:val="20"/>
                <w:shd w:val="solid" w:color="000000" w:fill="000000"/>
                <w14:textFill>
                  <w14:solidFill>
                    <w14:srgbClr w14:val="000000">
                      <w14:alpha w14:val="100000"/>
                    </w14:srgbClr>
                  </w14:solidFill>
                </w14:textFill>
              </w:rPr>
              <w:t>|</w:t>
            </w:r>
          </w:p>
        </w:tc>
        <w:tc>
          <w:tcPr>
            <w:tcW w:w="1267" w:type="pct"/>
            <w:gridSpan w:val="2"/>
          </w:tcPr>
          <w:p w14:paraId="5EB33CB5" w14:textId="77777777" w:rsidR="007D00BA" w:rsidRPr="00914C1A" w:rsidRDefault="007D00BA" w:rsidP="00914C1A">
            <w:pPr>
              <w:pStyle w:val="TableText0"/>
              <w:keepLines/>
              <w:jc w:val="center"/>
              <w:rPr>
                <w:szCs w:val="20"/>
              </w:rPr>
            </w:pPr>
            <w:r w:rsidRPr="0037577B">
              <w:rPr>
                <w:szCs w:val="20"/>
              </w:rPr>
              <w:t>$0</w:t>
            </w:r>
          </w:p>
        </w:tc>
        <w:tc>
          <w:tcPr>
            <w:tcW w:w="860" w:type="pct"/>
          </w:tcPr>
          <w:p w14:paraId="1D2CC200" w14:textId="3C5E74BC" w:rsidR="007D00BA" w:rsidRPr="00914C1A" w:rsidRDefault="007D00BA" w:rsidP="00914C1A">
            <w:pPr>
              <w:pStyle w:val="TableText0"/>
              <w:keepLines/>
              <w:jc w:val="center"/>
              <w:rPr>
                <w:szCs w:val="20"/>
                <w:vertAlign w:val="superscript"/>
              </w:rPr>
            </w:pPr>
            <w:r w:rsidRPr="0037577B">
              <w:rPr>
                <w:szCs w:val="20"/>
              </w:rPr>
              <w:t>$</w:t>
            </w:r>
            <w:r w:rsidR="00DE6661" w:rsidRPr="00DE6661">
              <w:rPr>
                <w:color w:val="000000"/>
                <w:szCs w:val="20"/>
                <w:shd w:val="solid" w:color="000000" w:fill="000000"/>
                <w14:textFill>
                  <w14:solidFill>
                    <w14:srgbClr w14:val="000000">
                      <w14:alpha w14:val="100000"/>
                    </w14:srgbClr>
                  </w14:solidFill>
                </w14:textFill>
              </w:rPr>
              <w:t>|</w:t>
            </w:r>
            <w:r w:rsidRPr="0037577B">
              <w:rPr>
                <w:szCs w:val="20"/>
              </w:rPr>
              <w:t xml:space="preserve"> </w:t>
            </w:r>
          </w:p>
        </w:tc>
      </w:tr>
      <w:tr w:rsidR="007D00BA" w:rsidRPr="00397E6D" w14:paraId="1D44450D" w14:textId="77777777" w:rsidTr="00EA6DFD">
        <w:tc>
          <w:tcPr>
            <w:tcW w:w="1522" w:type="pct"/>
            <w:vAlign w:val="center"/>
          </w:tcPr>
          <w:p w14:paraId="03110E78" w14:textId="77777777" w:rsidR="007D00BA" w:rsidRPr="00914C1A" w:rsidRDefault="007D00BA" w:rsidP="00914C1A">
            <w:pPr>
              <w:pStyle w:val="TableText0"/>
              <w:keepLines/>
              <w:rPr>
                <w:szCs w:val="20"/>
              </w:rPr>
            </w:pPr>
            <w:r w:rsidRPr="0037577B">
              <w:rPr>
                <w:szCs w:val="20"/>
              </w:rPr>
              <w:t>ORR</w:t>
            </w:r>
          </w:p>
        </w:tc>
        <w:tc>
          <w:tcPr>
            <w:tcW w:w="1352" w:type="pct"/>
            <w:gridSpan w:val="2"/>
          </w:tcPr>
          <w:p w14:paraId="4064CDD6" w14:textId="77777777" w:rsidR="007D00BA" w:rsidRPr="00914C1A" w:rsidRDefault="007D00BA" w:rsidP="00914C1A">
            <w:pPr>
              <w:pStyle w:val="TableText0"/>
              <w:keepLines/>
              <w:jc w:val="center"/>
              <w:rPr>
                <w:szCs w:val="20"/>
              </w:rPr>
            </w:pPr>
            <w:r w:rsidRPr="0037577B">
              <w:rPr>
                <w:szCs w:val="20"/>
              </w:rPr>
              <w:t>86.66%</w:t>
            </w:r>
          </w:p>
        </w:tc>
        <w:tc>
          <w:tcPr>
            <w:tcW w:w="1267" w:type="pct"/>
            <w:gridSpan w:val="2"/>
          </w:tcPr>
          <w:p w14:paraId="76396614" w14:textId="77777777" w:rsidR="007D00BA" w:rsidRPr="00914C1A" w:rsidRDefault="007D00BA" w:rsidP="00914C1A">
            <w:pPr>
              <w:pStyle w:val="TableText0"/>
              <w:keepLines/>
              <w:jc w:val="center"/>
              <w:rPr>
                <w:szCs w:val="20"/>
              </w:rPr>
            </w:pPr>
            <w:r w:rsidRPr="0037577B">
              <w:rPr>
                <w:szCs w:val="20"/>
              </w:rPr>
              <w:t>17.66%</w:t>
            </w:r>
          </w:p>
        </w:tc>
        <w:tc>
          <w:tcPr>
            <w:tcW w:w="860" w:type="pct"/>
          </w:tcPr>
          <w:p w14:paraId="130E0E38" w14:textId="77777777" w:rsidR="007D00BA" w:rsidRPr="0037577B" w:rsidRDefault="007D00BA" w:rsidP="00914C1A">
            <w:pPr>
              <w:pStyle w:val="TableText0"/>
              <w:keepLines/>
              <w:jc w:val="center"/>
              <w:rPr>
                <w:szCs w:val="20"/>
              </w:rPr>
            </w:pPr>
            <w:r w:rsidRPr="0037577B">
              <w:rPr>
                <w:szCs w:val="20"/>
              </w:rPr>
              <w:t>69.00%</w:t>
            </w:r>
          </w:p>
        </w:tc>
      </w:tr>
      <w:tr w:rsidR="007D00BA" w:rsidRPr="00397E6D" w14:paraId="46CD4F8F" w14:textId="77777777" w:rsidTr="00EA6DFD">
        <w:tc>
          <w:tcPr>
            <w:tcW w:w="4140" w:type="pct"/>
            <w:gridSpan w:val="5"/>
            <w:vAlign w:val="center"/>
          </w:tcPr>
          <w:p w14:paraId="5F19BADE" w14:textId="77777777" w:rsidR="007D00BA" w:rsidRPr="00914C1A" w:rsidRDefault="007D00BA" w:rsidP="00914C1A">
            <w:pPr>
              <w:pStyle w:val="TableText0"/>
              <w:keepLines/>
              <w:rPr>
                <w:szCs w:val="20"/>
              </w:rPr>
            </w:pPr>
            <w:r w:rsidRPr="0037577B">
              <w:rPr>
                <w:szCs w:val="20"/>
              </w:rPr>
              <w:t xml:space="preserve">Incremental cost/additional overall response gained </w:t>
            </w:r>
          </w:p>
        </w:tc>
        <w:tc>
          <w:tcPr>
            <w:tcW w:w="860" w:type="pct"/>
            <w:vAlign w:val="center"/>
          </w:tcPr>
          <w:p w14:paraId="7922CADC" w14:textId="4FF985EA" w:rsidR="007D00BA" w:rsidRPr="00914C1A" w:rsidRDefault="007D00BA" w:rsidP="00914C1A">
            <w:pPr>
              <w:pStyle w:val="TableText0"/>
              <w:keepLines/>
              <w:jc w:val="center"/>
              <w:rPr>
                <w:szCs w:val="20"/>
              </w:rPr>
            </w:pPr>
            <w:r w:rsidRPr="0037577B">
              <w:rPr>
                <w:szCs w:val="20"/>
              </w:rPr>
              <w:t>$</w:t>
            </w:r>
            <w:r w:rsidR="00DE6661" w:rsidRPr="00DE6661">
              <w:rPr>
                <w:color w:val="000000"/>
                <w:spacing w:val="213"/>
                <w:szCs w:val="20"/>
                <w:shd w:val="solid" w:color="000000" w:fill="000000"/>
                <w:fitText w:val="299" w:id="-962329590"/>
                <w14:textFill>
                  <w14:solidFill>
                    <w14:srgbClr w14:val="000000">
                      <w14:alpha w14:val="100000"/>
                    </w14:srgbClr>
                  </w14:solidFill>
                </w14:textFill>
              </w:rPr>
              <w:t>|</w:t>
            </w:r>
            <w:r w:rsidR="00DE6661" w:rsidRPr="00DE6661">
              <w:rPr>
                <w:color w:val="000000"/>
                <w:spacing w:val="1"/>
                <w:szCs w:val="20"/>
                <w:shd w:val="solid" w:color="000000" w:fill="000000"/>
                <w:fitText w:val="299" w:id="-962329590"/>
                <w14:textFill>
                  <w14:solidFill>
                    <w14:srgbClr w14:val="000000">
                      <w14:alpha w14:val="100000"/>
                    </w14:srgbClr>
                  </w14:solidFill>
                </w14:textFill>
              </w:rPr>
              <w:t>|</w:t>
            </w:r>
            <w:r w:rsidR="005E4042" w:rsidRPr="0037577B">
              <w:rPr>
                <w:szCs w:val="20"/>
                <w:vertAlign w:val="superscript"/>
              </w:rPr>
              <w:t>1</w:t>
            </w:r>
            <w:r w:rsidRPr="0037577B">
              <w:rPr>
                <w:szCs w:val="20"/>
              </w:rPr>
              <w:t>/Responder</w:t>
            </w:r>
          </w:p>
        </w:tc>
      </w:tr>
      <w:tr w:rsidR="007D00BA" w:rsidRPr="00397E6D" w14:paraId="29B75D29" w14:textId="77777777" w:rsidTr="00EA6DFD">
        <w:tc>
          <w:tcPr>
            <w:tcW w:w="5000" w:type="pct"/>
            <w:gridSpan w:val="6"/>
            <w:vAlign w:val="center"/>
          </w:tcPr>
          <w:p w14:paraId="4D7201AE" w14:textId="77777777" w:rsidR="007D00BA" w:rsidRPr="0037577B" w:rsidRDefault="007D00BA" w:rsidP="00914C1A">
            <w:pPr>
              <w:pStyle w:val="In-tableHeading"/>
              <w:keepLines/>
              <w:rPr>
                <w:szCs w:val="20"/>
                <w:lang w:val="en-AU"/>
              </w:rPr>
            </w:pPr>
            <w:r w:rsidRPr="0037577B">
              <w:rPr>
                <w:szCs w:val="20"/>
                <w:lang w:val="en-AU"/>
              </w:rPr>
              <w:t xml:space="preserve">Step 2: Step 1 + transformed to LY and extrapolated time horizon to 50 years </w:t>
            </w:r>
          </w:p>
        </w:tc>
      </w:tr>
      <w:tr w:rsidR="007D00BA" w:rsidRPr="00397E6D" w14:paraId="561FB42E" w14:textId="77777777" w:rsidTr="00EA6DFD">
        <w:tc>
          <w:tcPr>
            <w:tcW w:w="1522" w:type="pct"/>
            <w:vAlign w:val="center"/>
          </w:tcPr>
          <w:p w14:paraId="7A7DA56A" w14:textId="77777777" w:rsidR="007D00BA" w:rsidRPr="00914C1A" w:rsidRDefault="007D00BA" w:rsidP="00914C1A">
            <w:pPr>
              <w:pStyle w:val="TableText0"/>
              <w:keepLines/>
              <w:rPr>
                <w:szCs w:val="20"/>
              </w:rPr>
            </w:pPr>
            <w:r w:rsidRPr="0037577B">
              <w:rPr>
                <w:szCs w:val="20"/>
              </w:rPr>
              <w:t>Costs</w:t>
            </w:r>
          </w:p>
        </w:tc>
        <w:tc>
          <w:tcPr>
            <w:tcW w:w="1352" w:type="pct"/>
            <w:gridSpan w:val="2"/>
          </w:tcPr>
          <w:p w14:paraId="413FC433" w14:textId="52758162" w:rsidR="007D00BA" w:rsidRPr="00914C1A" w:rsidRDefault="007D00BA" w:rsidP="00914C1A">
            <w:pPr>
              <w:pStyle w:val="TableText0"/>
              <w:keepLines/>
              <w:jc w:val="center"/>
              <w:rPr>
                <w:szCs w:val="20"/>
              </w:rPr>
            </w:pPr>
            <w:r w:rsidRPr="0037577B">
              <w:rPr>
                <w:szCs w:val="20"/>
              </w:rPr>
              <w:t>$</w:t>
            </w:r>
            <w:r w:rsidR="00DE6661" w:rsidRPr="00DE6661">
              <w:rPr>
                <w:color w:val="000000"/>
                <w:szCs w:val="20"/>
                <w:shd w:val="solid" w:color="000000" w:fill="000000"/>
                <w14:textFill>
                  <w14:solidFill>
                    <w14:srgbClr w14:val="000000">
                      <w14:alpha w14:val="100000"/>
                    </w14:srgbClr>
                  </w14:solidFill>
                </w14:textFill>
              </w:rPr>
              <w:t>|</w:t>
            </w:r>
          </w:p>
        </w:tc>
        <w:tc>
          <w:tcPr>
            <w:tcW w:w="1267" w:type="pct"/>
            <w:gridSpan w:val="2"/>
          </w:tcPr>
          <w:p w14:paraId="4656B98F" w14:textId="77777777" w:rsidR="007D00BA" w:rsidRPr="00914C1A" w:rsidRDefault="007D00BA" w:rsidP="00914C1A">
            <w:pPr>
              <w:pStyle w:val="TableText0"/>
              <w:keepLines/>
              <w:jc w:val="center"/>
              <w:rPr>
                <w:szCs w:val="20"/>
              </w:rPr>
            </w:pPr>
            <w:r w:rsidRPr="0037577B">
              <w:rPr>
                <w:szCs w:val="20"/>
              </w:rPr>
              <w:t>$0</w:t>
            </w:r>
          </w:p>
        </w:tc>
        <w:tc>
          <w:tcPr>
            <w:tcW w:w="860" w:type="pct"/>
          </w:tcPr>
          <w:p w14:paraId="08198569" w14:textId="062FF5DC" w:rsidR="007D00BA" w:rsidRPr="00914C1A" w:rsidRDefault="007D00BA" w:rsidP="00914C1A">
            <w:pPr>
              <w:pStyle w:val="TableText0"/>
              <w:keepLines/>
              <w:jc w:val="center"/>
              <w:rPr>
                <w:szCs w:val="20"/>
              </w:rPr>
            </w:pPr>
            <w:r w:rsidRPr="0037577B">
              <w:rPr>
                <w:szCs w:val="20"/>
              </w:rPr>
              <w:t>$</w:t>
            </w:r>
            <w:r w:rsidR="00DE6661" w:rsidRPr="00DE6661">
              <w:rPr>
                <w:color w:val="000000"/>
                <w:szCs w:val="20"/>
                <w:shd w:val="solid" w:color="000000" w:fill="000000"/>
                <w14:textFill>
                  <w14:solidFill>
                    <w14:srgbClr w14:val="000000">
                      <w14:alpha w14:val="100000"/>
                    </w14:srgbClr>
                  </w14:solidFill>
                </w14:textFill>
              </w:rPr>
              <w:t>|</w:t>
            </w:r>
          </w:p>
        </w:tc>
      </w:tr>
      <w:tr w:rsidR="007D00BA" w:rsidRPr="00397E6D" w14:paraId="42F8A9BC" w14:textId="77777777" w:rsidTr="00EA6DFD">
        <w:tc>
          <w:tcPr>
            <w:tcW w:w="1522" w:type="pct"/>
            <w:vAlign w:val="center"/>
          </w:tcPr>
          <w:p w14:paraId="19503AE8" w14:textId="77777777" w:rsidR="007D00BA" w:rsidRPr="00914C1A" w:rsidRDefault="007D00BA" w:rsidP="00914C1A">
            <w:pPr>
              <w:pStyle w:val="TableText0"/>
              <w:keepLines/>
              <w:rPr>
                <w:szCs w:val="20"/>
              </w:rPr>
            </w:pPr>
            <w:r w:rsidRPr="0037577B">
              <w:rPr>
                <w:szCs w:val="20"/>
              </w:rPr>
              <w:t>LYG</w:t>
            </w:r>
          </w:p>
        </w:tc>
        <w:tc>
          <w:tcPr>
            <w:tcW w:w="1352" w:type="pct"/>
            <w:gridSpan w:val="2"/>
          </w:tcPr>
          <w:p w14:paraId="35F082DD" w14:textId="77777777" w:rsidR="007D00BA" w:rsidRPr="00914C1A" w:rsidRDefault="007D00BA" w:rsidP="00914C1A">
            <w:pPr>
              <w:pStyle w:val="TableText0"/>
              <w:keepLines/>
              <w:jc w:val="center"/>
              <w:rPr>
                <w:szCs w:val="20"/>
              </w:rPr>
            </w:pPr>
            <w:r w:rsidRPr="0037577B">
              <w:rPr>
                <w:szCs w:val="20"/>
              </w:rPr>
              <w:t>14.46</w:t>
            </w:r>
          </w:p>
        </w:tc>
        <w:tc>
          <w:tcPr>
            <w:tcW w:w="1267" w:type="pct"/>
            <w:gridSpan w:val="2"/>
          </w:tcPr>
          <w:p w14:paraId="66D9350B" w14:textId="77777777" w:rsidR="007D00BA" w:rsidRPr="00914C1A" w:rsidRDefault="007D00BA" w:rsidP="00914C1A">
            <w:pPr>
              <w:pStyle w:val="TableText0"/>
              <w:keepLines/>
              <w:jc w:val="center"/>
              <w:rPr>
                <w:szCs w:val="20"/>
              </w:rPr>
            </w:pPr>
            <w:r w:rsidRPr="0037577B">
              <w:rPr>
                <w:szCs w:val="20"/>
              </w:rPr>
              <w:t>14.21</w:t>
            </w:r>
          </w:p>
        </w:tc>
        <w:tc>
          <w:tcPr>
            <w:tcW w:w="860" w:type="pct"/>
          </w:tcPr>
          <w:p w14:paraId="35D4E241" w14:textId="77777777" w:rsidR="007D00BA" w:rsidRPr="0037577B" w:rsidRDefault="007D00BA" w:rsidP="00914C1A">
            <w:pPr>
              <w:pStyle w:val="TableText0"/>
              <w:keepLines/>
              <w:jc w:val="center"/>
              <w:rPr>
                <w:szCs w:val="20"/>
              </w:rPr>
            </w:pPr>
            <w:r w:rsidRPr="0037577B">
              <w:rPr>
                <w:szCs w:val="20"/>
              </w:rPr>
              <w:t>0.24</w:t>
            </w:r>
          </w:p>
        </w:tc>
      </w:tr>
      <w:tr w:rsidR="007D00BA" w:rsidRPr="00397E6D" w14:paraId="4E930DFB" w14:textId="77777777" w:rsidTr="00EA6DFD">
        <w:tc>
          <w:tcPr>
            <w:tcW w:w="4140" w:type="pct"/>
            <w:gridSpan w:val="5"/>
            <w:vAlign w:val="center"/>
          </w:tcPr>
          <w:p w14:paraId="58946E22" w14:textId="77777777" w:rsidR="007D00BA" w:rsidRPr="00914C1A" w:rsidRDefault="007D00BA" w:rsidP="00914C1A">
            <w:pPr>
              <w:pStyle w:val="TableText0"/>
              <w:keepLines/>
              <w:rPr>
                <w:szCs w:val="20"/>
              </w:rPr>
            </w:pPr>
            <w:r w:rsidRPr="0037577B">
              <w:rPr>
                <w:szCs w:val="20"/>
              </w:rPr>
              <w:t>Incremental cost/extra LYG gained</w:t>
            </w:r>
          </w:p>
        </w:tc>
        <w:tc>
          <w:tcPr>
            <w:tcW w:w="860" w:type="pct"/>
            <w:vAlign w:val="center"/>
          </w:tcPr>
          <w:p w14:paraId="5151EA37" w14:textId="1546E7BF" w:rsidR="007D00BA" w:rsidRPr="00914C1A" w:rsidRDefault="007D00BA" w:rsidP="00914C1A">
            <w:pPr>
              <w:pStyle w:val="TableText0"/>
              <w:keepLines/>
              <w:jc w:val="center"/>
              <w:rPr>
                <w:szCs w:val="20"/>
              </w:rPr>
            </w:pPr>
            <w:r w:rsidRPr="0037577B">
              <w:rPr>
                <w:szCs w:val="20"/>
              </w:rPr>
              <w:t>$</w:t>
            </w:r>
            <w:r w:rsidR="00DE6661" w:rsidRPr="00DE6661">
              <w:rPr>
                <w:rFonts w:hint="eastAsia"/>
                <w:color w:val="000000"/>
                <w:w w:val="15"/>
                <w:szCs w:val="20"/>
                <w:shd w:val="solid" w:color="000000" w:fill="000000"/>
                <w:fitText w:val="56" w:id="-962329589"/>
                <w14:textFill>
                  <w14:solidFill>
                    <w14:srgbClr w14:val="000000">
                      <w14:alpha w14:val="100000"/>
                    </w14:srgbClr>
                  </w14:solidFill>
                </w14:textFill>
              </w:rPr>
              <w:t xml:space="preserve">　</w:t>
            </w:r>
            <w:r w:rsidR="00DE6661" w:rsidRPr="00DE6661">
              <w:rPr>
                <w:color w:val="000000"/>
                <w:w w:val="15"/>
                <w:szCs w:val="20"/>
                <w:shd w:val="solid" w:color="000000" w:fill="000000"/>
                <w:fitText w:val="56" w:id="-962329589"/>
                <w14:textFill>
                  <w14:solidFill>
                    <w14:srgbClr w14:val="000000">
                      <w14:alpha w14:val="100000"/>
                    </w14:srgbClr>
                  </w14:solidFill>
                </w14:textFill>
              </w:rPr>
              <w:t>|</w:t>
            </w:r>
            <w:r w:rsidR="00DE6661" w:rsidRPr="00DE6661">
              <w:rPr>
                <w:rFonts w:hint="eastAsia"/>
                <w:color w:val="000000"/>
                <w:spacing w:val="-9"/>
                <w:w w:val="15"/>
                <w:szCs w:val="20"/>
                <w:shd w:val="solid" w:color="000000" w:fill="000000"/>
                <w:fitText w:val="56" w:id="-962329589"/>
                <w14:textFill>
                  <w14:solidFill>
                    <w14:srgbClr w14:val="000000">
                      <w14:alpha w14:val="100000"/>
                    </w14:srgbClr>
                  </w14:solidFill>
                </w14:textFill>
              </w:rPr>
              <w:t xml:space="preserve">　</w:t>
            </w:r>
            <w:r w:rsidR="005E4042" w:rsidRPr="0037577B">
              <w:rPr>
                <w:szCs w:val="20"/>
                <w:vertAlign w:val="superscript"/>
              </w:rPr>
              <w:t>2</w:t>
            </w:r>
            <w:r w:rsidRPr="0037577B">
              <w:rPr>
                <w:szCs w:val="20"/>
              </w:rPr>
              <w:t>/LYG</w:t>
            </w:r>
          </w:p>
        </w:tc>
      </w:tr>
      <w:tr w:rsidR="007D00BA" w:rsidRPr="00397E6D" w14:paraId="6F9C8207" w14:textId="77777777" w:rsidTr="00EA6DFD">
        <w:tc>
          <w:tcPr>
            <w:tcW w:w="5000" w:type="pct"/>
            <w:gridSpan w:val="6"/>
            <w:vAlign w:val="center"/>
          </w:tcPr>
          <w:p w14:paraId="7A8C3364" w14:textId="77777777" w:rsidR="007D00BA" w:rsidRPr="0037577B" w:rsidRDefault="007D00BA" w:rsidP="00914C1A">
            <w:pPr>
              <w:pStyle w:val="In-tableHeading"/>
              <w:keepLines/>
              <w:rPr>
                <w:szCs w:val="20"/>
                <w:lang w:val="en-AU"/>
              </w:rPr>
            </w:pPr>
            <w:r w:rsidRPr="0037577B">
              <w:rPr>
                <w:szCs w:val="20"/>
                <w:lang w:val="en-AU"/>
              </w:rPr>
              <w:t>Step 3: Step 2 + including all resource use</w:t>
            </w:r>
          </w:p>
        </w:tc>
      </w:tr>
      <w:tr w:rsidR="007D00BA" w:rsidRPr="00397E6D" w14:paraId="7239875A" w14:textId="77777777" w:rsidTr="00EA6DFD">
        <w:tc>
          <w:tcPr>
            <w:tcW w:w="1522" w:type="pct"/>
            <w:vAlign w:val="center"/>
          </w:tcPr>
          <w:p w14:paraId="62354CBD" w14:textId="77777777" w:rsidR="007D00BA" w:rsidRPr="00914C1A" w:rsidRDefault="007D00BA" w:rsidP="00914C1A">
            <w:pPr>
              <w:pStyle w:val="TableText0"/>
              <w:keepLines/>
              <w:rPr>
                <w:szCs w:val="20"/>
              </w:rPr>
            </w:pPr>
            <w:r w:rsidRPr="0037577B">
              <w:rPr>
                <w:szCs w:val="20"/>
              </w:rPr>
              <w:t>Costs</w:t>
            </w:r>
          </w:p>
        </w:tc>
        <w:tc>
          <w:tcPr>
            <w:tcW w:w="1352" w:type="pct"/>
            <w:gridSpan w:val="2"/>
          </w:tcPr>
          <w:p w14:paraId="31CDD4CA" w14:textId="65ED746C" w:rsidR="007D00BA" w:rsidRPr="00914C1A" w:rsidRDefault="007D00BA" w:rsidP="00914C1A">
            <w:pPr>
              <w:pStyle w:val="TableText0"/>
              <w:keepLines/>
              <w:jc w:val="center"/>
              <w:rPr>
                <w:szCs w:val="20"/>
              </w:rPr>
            </w:pPr>
            <w:r w:rsidRPr="0037577B">
              <w:rPr>
                <w:szCs w:val="20"/>
              </w:rPr>
              <w:t>$</w:t>
            </w:r>
            <w:r w:rsidR="00DE6661" w:rsidRPr="00DE6661">
              <w:rPr>
                <w:color w:val="000000"/>
                <w:szCs w:val="20"/>
                <w:shd w:val="solid" w:color="000000" w:fill="000000"/>
                <w14:textFill>
                  <w14:solidFill>
                    <w14:srgbClr w14:val="000000">
                      <w14:alpha w14:val="100000"/>
                    </w14:srgbClr>
                  </w14:solidFill>
                </w14:textFill>
              </w:rPr>
              <w:t>|</w:t>
            </w:r>
          </w:p>
        </w:tc>
        <w:tc>
          <w:tcPr>
            <w:tcW w:w="1267" w:type="pct"/>
            <w:gridSpan w:val="2"/>
          </w:tcPr>
          <w:p w14:paraId="406912F6" w14:textId="77777777" w:rsidR="007D00BA" w:rsidRPr="00914C1A" w:rsidRDefault="007D00BA" w:rsidP="00914C1A">
            <w:pPr>
              <w:pStyle w:val="TableText0"/>
              <w:keepLines/>
              <w:jc w:val="center"/>
              <w:rPr>
                <w:szCs w:val="20"/>
              </w:rPr>
            </w:pPr>
            <w:r w:rsidRPr="0037577B">
              <w:rPr>
                <w:szCs w:val="20"/>
              </w:rPr>
              <w:t>$44,458</w:t>
            </w:r>
          </w:p>
        </w:tc>
        <w:tc>
          <w:tcPr>
            <w:tcW w:w="860" w:type="pct"/>
          </w:tcPr>
          <w:p w14:paraId="1A094F72" w14:textId="0D068944" w:rsidR="007D00BA" w:rsidRPr="00914C1A" w:rsidRDefault="007D00BA" w:rsidP="00914C1A">
            <w:pPr>
              <w:pStyle w:val="TableText0"/>
              <w:keepLines/>
              <w:jc w:val="center"/>
              <w:rPr>
                <w:szCs w:val="20"/>
              </w:rPr>
            </w:pPr>
            <w:r w:rsidRPr="0037577B">
              <w:rPr>
                <w:szCs w:val="20"/>
              </w:rPr>
              <w:t>$</w:t>
            </w:r>
            <w:r w:rsidR="00DE6661" w:rsidRPr="00DE6661">
              <w:rPr>
                <w:color w:val="000000"/>
                <w:szCs w:val="20"/>
                <w:shd w:val="solid" w:color="000000" w:fill="000000"/>
                <w14:textFill>
                  <w14:solidFill>
                    <w14:srgbClr w14:val="000000">
                      <w14:alpha w14:val="100000"/>
                    </w14:srgbClr>
                  </w14:solidFill>
                </w14:textFill>
              </w:rPr>
              <w:t>|</w:t>
            </w:r>
          </w:p>
        </w:tc>
      </w:tr>
      <w:tr w:rsidR="007D00BA" w:rsidRPr="00397E6D" w14:paraId="34F163F9" w14:textId="77777777" w:rsidTr="00EA6DFD">
        <w:tc>
          <w:tcPr>
            <w:tcW w:w="1522" w:type="pct"/>
            <w:vAlign w:val="center"/>
          </w:tcPr>
          <w:p w14:paraId="240A77B7" w14:textId="77777777" w:rsidR="007D00BA" w:rsidRPr="00914C1A" w:rsidRDefault="007D00BA" w:rsidP="00914C1A">
            <w:pPr>
              <w:pStyle w:val="TableText0"/>
              <w:keepLines/>
              <w:rPr>
                <w:szCs w:val="20"/>
              </w:rPr>
            </w:pPr>
            <w:r w:rsidRPr="0037577B">
              <w:rPr>
                <w:szCs w:val="20"/>
              </w:rPr>
              <w:t>LYG</w:t>
            </w:r>
          </w:p>
        </w:tc>
        <w:tc>
          <w:tcPr>
            <w:tcW w:w="1352" w:type="pct"/>
            <w:gridSpan w:val="2"/>
          </w:tcPr>
          <w:p w14:paraId="409F703C" w14:textId="77777777" w:rsidR="007D00BA" w:rsidRPr="00914C1A" w:rsidRDefault="007D00BA" w:rsidP="00914C1A">
            <w:pPr>
              <w:pStyle w:val="TableText0"/>
              <w:keepLines/>
              <w:jc w:val="center"/>
              <w:rPr>
                <w:szCs w:val="20"/>
              </w:rPr>
            </w:pPr>
            <w:r w:rsidRPr="0037577B">
              <w:rPr>
                <w:szCs w:val="20"/>
              </w:rPr>
              <w:t>14.46</w:t>
            </w:r>
          </w:p>
        </w:tc>
        <w:tc>
          <w:tcPr>
            <w:tcW w:w="1267" w:type="pct"/>
            <w:gridSpan w:val="2"/>
          </w:tcPr>
          <w:p w14:paraId="3FA195F3" w14:textId="77777777" w:rsidR="007D00BA" w:rsidRPr="00914C1A" w:rsidRDefault="007D00BA" w:rsidP="00914C1A">
            <w:pPr>
              <w:pStyle w:val="TableText0"/>
              <w:keepLines/>
              <w:jc w:val="center"/>
              <w:rPr>
                <w:szCs w:val="20"/>
              </w:rPr>
            </w:pPr>
            <w:r w:rsidRPr="0037577B">
              <w:rPr>
                <w:szCs w:val="20"/>
              </w:rPr>
              <w:t>14.21</w:t>
            </w:r>
          </w:p>
        </w:tc>
        <w:tc>
          <w:tcPr>
            <w:tcW w:w="860" w:type="pct"/>
          </w:tcPr>
          <w:p w14:paraId="35025130" w14:textId="77777777" w:rsidR="007D00BA" w:rsidRPr="0037577B" w:rsidRDefault="007D00BA" w:rsidP="00914C1A">
            <w:pPr>
              <w:pStyle w:val="TableText0"/>
              <w:keepLines/>
              <w:jc w:val="center"/>
              <w:rPr>
                <w:szCs w:val="20"/>
              </w:rPr>
            </w:pPr>
            <w:r w:rsidRPr="0037577B">
              <w:rPr>
                <w:szCs w:val="20"/>
              </w:rPr>
              <w:t>0.24</w:t>
            </w:r>
          </w:p>
        </w:tc>
      </w:tr>
      <w:tr w:rsidR="007D00BA" w:rsidRPr="00397E6D" w14:paraId="7D982609" w14:textId="77777777" w:rsidTr="00EA6DFD">
        <w:tc>
          <w:tcPr>
            <w:tcW w:w="4140" w:type="pct"/>
            <w:gridSpan w:val="5"/>
            <w:vAlign w:val="center"/>
          </w:tcPr>
          <w:p w14:paraId="2B951084" w14:textId="77777777" w:rsidR="007D00BA" w:rsidRPr="00914C1A" w:rsidRDefault="007D00BA" w:rsidP="00914C1A">
            <w:pPr>
              <w:pStyle w:val="TableText0"/>
              <w:keepLines/>
              <w:rPr>
                <w:szCs w:val="20"/>
              </w:rPr>
            </w:pPr>
            <w:r w:rsidRPr="0037577B">
              <w:rPr>
                <w:szCs w:val="20"/>
              </w:rPr>
              <w:t>Incremental cost/extra LYG gained</w:t>
            </w:r>
          </w:p>
        </w:tc>
        <w:tc>
          <w:tcPr>
            <w:tcW w:w="860" w:type="pct"/>
            <w:vAlign w:val="center"/>
          </w:tcPr>
          <w:p w14:paraId="10A74F41" w14:textId="3CFA3127" w:rsidR="007D00BA" w:rsidRPr="00914C1A" w:rsidRDefault="007D00BA" w:rsidP="00914C1A">
            <w:pPr>
              <w:pStyle w:val="TableText0"/>
              <w:keepLines/>
              <w:jc w:val="center"/>
              <w:rPr>
                <w:szCs w:val="20"/>
              </w:rPr>
            </w:pPr>
            <w:r w:rsidRPr="0037577B">
              <w:rPr>
                <w:szCs w:val="20"/>
              </w:rPr>
              <w:t>$</w:t>
            </w:r>
            <w:r w:rsidR="00DE6661" w:rsidRPr="00DE6661">
              <w:rPr>
                <w:rFonts w:hint="eastAsia"/>
                <w:color w:val="000000"/>
                <w:w w:val="15"/>
                <w:szCs w:val="20"/>
                <w:shd w:val="solid" w:color="000000" w:fill="000000"/>
                <w:fitText w:val="56" w:id="-962329588"/>
                <w14:textFill>
                  <w14:solidFill>
                    <w14:srgbClr w14:val="000000">
                      <w14:alpha w14:val="100000"/>
                    </w14:srgbClr>
                  </w14:solidFill>
                </w14:textFill>
              </w:rPr>
              <w:t xml:space="preserve">　</w:t>
            </w:r>
            <w:r w:rsidR="00DE6661" w:rsidRPr="00DE6661">
              <w:rPr>
                <w:color w:val="000000"/>
                <w:w w:val="15"/>
                <w:szCs w:val="20"/>
                <w:shd w:val="solid" w:color="000000" w:fill="000000"/>
                <w:fitText w:val="56" w:id="-962329588"/>
                <w14:textFill>
                  <w14:solidFill>
                    <w14:srgbClr w14:val="000000">
                      <w14:alpha w14:val="100000"/>
                    </w14:srgbClr>
                  </w14:solidFill>
                </w14:textFill>
              </w:rPr>
              <w:t>|</w:t>
            </w:r>
            <w:r w:rsidR="00DE6661" w:rsidRPr="00DE6661">
              <w:rPr>
                <w:rFonts w:hint="eastAsia"/>
                <w:color w:val="000000"/>
                <w:spacing w:val="-9"/>
                <w:w w:val="15"/>
                <w:szCs w:val="20"/>
                <w:shd w:val="solid" w:color="000000" w:fill="000000"/>
                <w:fitText w:val="56" w:id="-962329588"/>
                <w14:textFill>
                  <w14:solidFill>
                    <w14:srgbClr w14:val="000000">
                      <w14:alpha w14:val="100000"/>
                    </w14:srgbClr>
                  </w14:solidFill>
                </w14:textFill>
              </w:rPr>
              <w:t xml:space="preserve">　</w:t>
            </w:r>
            <w:r w:rsidR="005E4042" w:rsidRPr="0037577B">
              <w:rPr>
                <w:szCs w:val="20"/>
                <w:vertAlign w:val="superscript"/>
              </w:rPr>
              <w:t>3</w:t>
            </w:r>
            <w:r w:rsidRPr="0037577B">
              <w:rPr>
                <w:szCs w:val="20"/>
              </w:rPr>
              <w:t>/LYG</w:t>
            </w:r>
          </w:p>
        </w:tc>
      </w:tr>
      <w:tr w:rsidR="007D00BA" w:rsidRPr="00397E6D" w14:paraId="583D9F17" w14:textId="77777777" w:rsidTr="00EA6DFD">
        <w:tc>
          <w:tcPr>
            <w:tcW w:w="5000" w:type="pct"/>
            <w:gridSpan w:val="6"/>
            <w:vAlign w:val="center"/>
          </w:tcPr>
          <w:p w14:paraId="50F814AA" w14:textId="77777777" w:rsidR="007D00BA" w:rsidRPr="0037577B" w:rsidRDefault="007D00BA" w:rsidP="00914C1A">
            <w:pPr>
              <w:pStyle w:val="In-tableHeading"/>
              <w:keepLines/>
              <w:rPr>
                <w:szCs w:val="20"/>
                <w:lang w:val="en-AU"/>
              </w:rPr>
            </w:pPr>
            <w:r w:rsidRPr="0037577B">
              <w:rPr>
                <w:szCs w:val="20"/>
                <w:lang w:val="en-AU"/>
              </w:rPr>
              <w:t xml:space="preserve">Step 4: Step 3 + transformed to QALYs </w:t>
            </w:r>
          </w:p>
        </w:tc>
      </w:tr>
      <w:tr w:rsidR="007D00BA" w:rsidRPr="00397E6D" w14:paraId="74A5CC4A" w14:textId="77777777" w:rsidTr="00EA6DFD">
        <w:tc>
          <w:tcPr>
            <w:tcW w:w="1522" w:type="pct"/>
            <w:vAlign w:val="center"/>
          </w:tcPr>
          <w:p w14:paraId="4F0D0D52" w14:textId="77777777" w:rsidR="007D00BA" w:rsidRPr="00914C1A" w:rsidRDefault="007D00BA" w:rsidP="00914C1A">
            <w:pPr>
              <w:pStyle w:val="TableText0"/>
              <w:keepLines/>
              <w:rPr>
                <w:szCs w:val="20"/>
              </w:rPr>
            </w:pPr>
            <w:r w:rsidRPr="0037577B">
              <w:rPr>
                <w:szCs w:val="20"/>
              </w:rPr>
              <w:t>Costs</w:t>
            </w:r>
          </w:p>
        </w:tc>
        <w:tc>
          <w:tcPr>
            <w:tcW w:w="1352" w:type="pct"/>
            <w:gridSpan w:val="2"/>
          </w:tcPr>
          <w:p w14:paraId="42C4E612" w14:textId="532DB72A" w:rsidR="007D00BA" w:rsidRPr="00914C1A" w:rsidRDefault="007D00BA" w:rsidP="00914C1A">
            <w:pPr>
              <w:pStyle w:val="TableText0"/>
              <w:keepLines/>
              <w:jc w:val="center"/>
              <w:rPr>
                <w:szCs w:val="20"/>
              </w:rPr>
            </w:pPr>
            <w:r w:rsidRPr="0037577B">
              <w:rPr>
                <w:szCs w:val="20"/>
              </w:rPr>
              <w:t>$</w:t>
            </w:r>
            <w:r w:rsidR="00DE6661" w:rsidRPr="00DE6661">
              <w:rPr>
                <w:color w:val="000000"/>
                <w:szCs w:val="20"/>
                <w:shd w:val="solid" w:color="000000" w:fill="000000"/>
                <w14:textFill>
                  <w14:solidFill>
                    <w14:srgbClr w14:val="000000">
                      <w14:alpha w14:val="100000"/>
                    </w14:srgbClr>
                  </w14:solidFill>
                </w14:textFill>
              </w:rPr>
              <w:t>|</w:t>
            </w:r>
          </w:p>
        </w:tc>
        <w:tc>
          <w:tcPr>
            <w:tcW w:w="1267" w:type="pct"/>
            <w:gridSpan w:val="2"/>
          </w:tcPr>
          <w:p w14:paraId="16BB0DDE" w14:textId="77777777" w:rsidR="007D00BA" w:rsidRPr="00914C1A" w:rsidRDefault="007D00BA" w:rsidP="00914C1A">
            <w:pPr>
              <w:pStyle w:val="TableText0"/>
              <w:keepLines/>
              <w:jc w:val="center"/>
              <w:rPr>
                <w:szCs w:val="20"/>
              </w:rPr>
            </w:pPr>
            <w:r w:rsidRPr="0037577B">
              <w:rPr>
                <w:szCs w:val="20"/>
              </w:rPr>
              <w:t>$44,458</w:t>
            </w:r>
          </w:p>
        </w:tc>
        <w:tc>
          <w:tcPr>
            <w:tcW w:w="860" w:type="pct"/>
          </w:tcPr>
          <w:p w14:paraId="210FC282" w14:textId="378EE4C4" w:rsidR="007D00BA" w:rsidRPr="00914C1A" w:rsidRDefault="007D00BA" w:rsidP="00914C1A">
            <w:pPr>
              <w:pStyle w:val="TableText0"/>
              <w:keepLines/>
              <w:jc w:val="center"/>
              <w:rPr>
                <w:szCs w:val="20"/>
              </w:rPr>
            </w:pPr>
            <w:r w:rsidRPr="0037577B">
              <w:rPr>
                <w:szCs w:val="20"/>
              </w:rPr>
              <w:t>$</w:t>
            </w:r>
            <w:r w:rsidR="00DE6661" w:rsidRPr="00DE6661">
              <w:rPr>
                <w:color w:val="000000"/>
                <w:szCs w:val="20"/>
                <w:shd w:val="solid" w:color="000000" w:fill="000000"/>
                <w14:textFill>
                  <w14:solidFill>
                    <w14:srgbClr w14:val="000000">
                      <w14:alpha w14:val="100000"/>
                    </w14:srgbClr>
                  </w14:solidFill>
                </w14:textFill>
              </w:rPr>
              <w:t>|</w:t>
            </w:r>
          </w:p>
        </w:tc>
      </w:tr>
      <w:tr w:rsidR="007D00BA" w:rsidRPr="00397E6D" w14:paraId="39FFC868" w14:textId="77777777" w:rsidTr="00EA6DFD">
        <w:tc>
          <w:tcPr>
            <w:tcW w:w="1522" w:type="pct"/>
            <w:vAlign w:val="center"/>
          </w:tcPr>
          <w:p w14:paraId="179B35A3" w14:textId="77777777" w:rsidR="007D00BA" w:rsidRPr="00914C1A" w:rsidRDefault="007D00BA" w:rsidP="00914C1A">
            <w:pPr>
              <w:pStyle w:val="TableText0"/>
              <w:keepLines/>
              <w:rPr>
                <w:szCs w:val="20"/>
              </w:rPr>
            </w:pPr>
            <w:r w:rsidRPr="0037577B">
              <w:rPr>
                <w:szCs w:val="20"/>
              </w:rPr>
              <w:t>LYG</w:t>
            </w:r>
          </w:p>
        </w:tc>
        <w:tc>
          <w:tcPr>
            <w:tcW w:w="1352" w:type="pct"/>
            <w:gridSpan w:val="2"/>
          </w:tcPr>
          <w:p w14:paraId="38656058" w14:textId="77777777" w:rsidR="007D00BA" w:rsidRPr="00914C1A" w:rsidRDefault="007D00BA" w:rsidP="00914C1A">
            <w:pPr>
              <w:pStyle w:val="TableText0"/>
              <w:keepLines/>
              <w:jc w:val="center"/>
              <w:rPr>
                <w:szCs w:val="20"/>
              </w:rPr>
            </w:pPr>
            <w:r w:rsidRPr="0037577B">
              <w:rPr>
                <w:szCs w:val="20"/>
              </w:rPr>
              <w:t>9.97</w:t>
            </w:r>
          </w:p>
        </w:tc>
        <w:tc>
          <w:tcPr>
            <w:tcW w:w="1267" w:type="pct"/>
            <w:gridSpan w:val="2"/>
          </w:tcPr>
          <w:p w14:paraId="242DD74D" w14:textId="77777777" w:rsidR="007D00BA" w:rsidRPr="00914C1A" w:rsidRDefault="007D00BA" w:rsidP="00914C1A">
            <w:pPr>
              <w:pStyle w:val="TableText0"/>
              <w:keepLines/>
              <w:jc w:val="center"/>
              <w:rPr>
                <w:szCs w:val="20"/>
              </w:rPr>
            </w:pPr>
            <w:r w:rsidRPr="0037577B">
              <w:rPr>
                <w:szCs w:val="20"/>
              </w:rPr>
              <w:t>9.43</w:t>
            </w:r>
          </w:p>
        </w:tc>
        <w:tc>
          <w:tcPr>
            <w:tcW w:w="860" w:type="pct"/>
          </w:tcPr>
          <w:p w14:paraId="0DA97BD1" w14:textId="77777777" w:rsidR="007D00BA" w:rsidRPr="0037577B" w:rsidRDefault="007D00BA" w:rsidP="00914C1A">
            <w:pPr>
              <w:pStyle w:val="TableText0"/>
              <w:keepLines/>
              <w:jc w:val="center"/>
              <w:rPr>
                <w:szCs w:val="20"/>
              </w:rPr>
            </w:pPr>
            <w:r w:rsidRPr="0037577B">
              <w:rPr>
                <w:szCs w:val="20"/>
              </w:rPr>
              <w:t>0.54</w:t>
            </w:r>
          </w:p>
        </w:tc>
      </w:tr>
      <w:tr w:rsidR="007D00BA" w:rsidRPr="00397E6D" w14:paraId="3298DFC0" w14:textId="77777777" w:rsidTr="00EA6DFD">
        <w:tc>
          <w:tcPr>
            <w:tcW w:w="4140" w:type="pct"/>
            <w:gridSpan w:val="5"/>
            <w:vAlign w:val="center"/>
          </w:tcPr>
          <w:p w14:paraId="24B82290" w14:textId="77777777" w:rsidR="007D00BA" w:rsidRPr="00914C1A" w:rsidRDefault="007D00BA" w:rsidP="00914C1A">
            <w:pPr>
              <w:pStyle w:val="TableText0"/>
              <w:keepLines/>
              <w:rPr>
                <w:b/>
                <w:bCs w:val="0"/>
                <w:szCs w:val="20"/>
              </w:rPr>
            </w:pPr>
            <w:r w:rsidRPr="0037577B">
              <w:rPr>
                <w:b/>
                <w:bCs w:val="0"/>
                <w:szCs w:val="20"/>
              </w:rPr>
              <w:t>Incremental cost/extra QALY gained (base case)</w:t>
            </w:r>
          </w:p>
        </w:tc>
        <w:tc>
          <w:tcPr>
            <w:tcW w:w="860" w:type="pct"/>
            <w:vAlign w:val="center"/>
          </w:tcPr>
          <w:p w14:paraId="4712AD8D" w14:textId="37B9CE34" w:rsidR="007D00BA" w:rsidRPr="00914C1A" w:rsidRDefault="007D00BA" w:rsidP="00914C1A">
            <w:pPr>
              <w:pStyle w:val="TableText0"/>
              <w:keepLines/>
              <w:jc w:val="center"/>
              <w:rPr>
                <w:b/>
                <w:bCs w:val="0"/>
                <w:szCs w:val="20"/>
              </w:rPr>
            </w:pPr>
            <w:r w:rsidRPr="0037577B">
              <w:rPr>
                <w:b/>
                <w:bCs w:val="0"/>
                <w:szCs w:val="20"/>
              </w:rPr>
              <w:t>$</w:t>
            </w:r>
            <w:r w:rsidR="00DE6661" w:rsidRPr="00DE6661">
              <w:rPr>
                <w:b/>
                <w:bCs w:val="0"/>
                <w:color w:val="000000"/>
                <w:spacing w:val="76"/>
                <w:szCs w:val="20"/>
                <w:shd w:val="solid" w:color="000000" w:fill="000000"/>
                <w:fitText w:val="168" w:id="-962329587"/>
                <w14:textFill>
                  <w14:solidFill>
                    <w14:srgbClr w14:val="000000">
                      <w14:alpha w14:val="100000"/>
                    </w14:srgbClr>
                  </w14:solidFill>
                </w14:textFill>
              </w:rPr>
              <w:t>|</w:t>
            </w:r>
            <w:r w:rsidR="00DE6661" w:rsidRPr="00DE6661">
              <w:rPr>
                <w:b/>
                <w:bCs w:val="0"/>
                <w:color w:val="000000"/>
                <w:spacing w:val="1"/>
                <w:szCs w:val="20"/>
                <w:shd w:val="solid" w:color="000000" w:fill="000000"/>
                <w:fitText w:val="168" w:id="-962329587"/>
                <w14:textFill>
                  <w14:solidFill>
                    <w14:srgbClr w14:val="000000">
                      <w14:alpha w14:val="100000"/>
                    </w14:srgbClr>
                  </w14:solidFill>
                </w14:textFill>
              </w:rPr>
              <w:t>|</w:t>
            </w:r>
            <w:r w:rsidR="005E4042" w:rsidRPr="0037577B">
              <w:rPr>
                <w:szCs w:val="20"/>
                <w:vertAlign w:val="superscript"/>
              </w:rPr>
              <w:t>4</w:t>
            </w:r>
            <w:r w:rsidRPr="0037577B">
              <w:rPr>
                <w:b/>
                <w:bCs w:val="0"/>
                <w:szCs w:val="20"/>
              </w:rPr>
              <w:t>/QALY</w:t>
            </w:r>
          </w:p>
        </w:tc>
      </w:tr>
      <w:tr w:rsidR="007D00BA" w:rsidRPr="00397E6D" w14:paraId="1F3B6462" w14:textId="77777777" w:rsidTr="00EA6DFD">
        <w:tc>
          <w:tcPr>
            <w:tcW w:w="5000" w:type="pct"/>
            <w:gridSpan w:val="6"/>
            <w:shd w:val="clear" w:color="auto" w:fill="D9E2F3" w:themeFill="accent1" w:themeFillTint="33"/>
            <w:vAlign w:val="center"/>
          </w:tcPr>
          <w:p w14:paraId="2DCCA750" w14:textId="77777777" w:rsidR="007D00BA" w:rsidRPr="0037577B" w:rsidRDefault="007D00BA" w:rsidP="00914C1A">
            <w:pPr>
              <w:pStyle w:val="TableText0"/>
              <w:keepLines/>
              <w:rPr>
                <w:b/>
                <w:i/>
                <w:iCs/>
                <w:szCs w:val="20"/>
              </w:rPr>
            </w:pPr>
            <w:r w:rsidRPr="0037577B">
              <w:rPr>
                <w:b/>
                <w:i/>
                <w:iCs/>
                <w:szCs w:val="20"/>
              </w:rPr>
              <w:t>Previous consideration (March 2023) based on week 12 trial-based evaluation</w:t>
            </w:r>
          </w:p>
        </w:tc>
      </w:tr>
      <w:tr w:rsidR="007D00BA" w:rsidRPr="00397E6D" w14:paraId="7F77EE2F" w14:textId="77777777" w:rsidTr="00EA6DFD">
        <w:tc>
          <w:tcPr>
            <w:tcW w:w="1529" w:type="pct"/>
            <w:gridSpan w:val="2"/>
            <w:shd w:val="clear" w:color="auto" w:fill="D9E2F3" w:themeFill="accent1" w:themeFillTint="33"/>
            <w:vAlign w:val="center"/>
          </w:tcPr>
          <w:p w14:paraId="4486BF8B" w14:textId="77777777" w:rsidR="007D00BA" w:rsidRPr="00914C1A" w:rsidRDefault="007D00BA" w:rsidP="00914C1A">
            <w:pPr>
              <w:pStyle w:val="TableText0"/>
              <w:keepLines/>
              <w:rPr>
                <w:iCs/>
                <w:szCs w:val="20"/>
              </w:rPr>
            </w:pPr>
            <w:r w:rsidRPr="0037577B">
              <w:rPr>
                <w:iCs/>
                <w:szCs w:val="20"/>
              </w:rPr>
              <w:t>Costs</w:t>
            </w:r>
          </w:p>
        </w:tc>
        <w:tc>
          <w:tcPr>
            <w:tcW w:w="1345" w:type="pct"/>
            <w:shd w:val="clear" w:color="auto" w:fill="D9E2F3" w:themeFill="accent1" w:themeFillTint="33"/>
            <w:vAlign w:val="center"/>
          </w:tcPr>
          <w:p w14:paraId="006F1D54" w14:textId="10B9C6C4" w:rsidR="007D00BA" w:rsidRPr="0037577B" w:rsidRDefault="007D00BA" w:rsidP="00914C1A">
            <w:pPr>
              <w:pStyle w:val="TableText0"/>
              <w:keepLines/>
              <w:jc w:val="center"/>
              <w:rPr>
                <w:bCs w:val="0"/>
                <w:iCs/>
                <w:szCs w:val="20"/>
              </w:rPr>
            </w:pPr>
            <w:r w:rsidRPr="0037577B">
              <w:rPr>
                <w:bCs w:val="0"/>
                <w:iCs/>
                <w:szCs w:val="20"/>
              </w:rPr>
              <w:t>$</w:t>
            </w:r>
            <w:r w:rsidR="00DE6661" w:rsidRPr="00DE6661">
              <w:rPr>
                <w:bCs w:val="0"/>
                <w:iCs/>
                <w:color w:val="000000"/>
                <w:szCs w:val="20"/>
                <w:shd w:val="solid" w:color="000000" w:fill="000000"/>
                <w14:textFill>
                  <w14:solidFill>
                    <w14:srgbClr w14:val="000000">
                      <w14:alpha w14:val="100000"/>
                    </w14:srgbClr>
                  </w14:solidFill>
                </w14:textFill>
              </w:rPr>
              <w:t>|</w:t>
            </w:r>
          </w:p>
        </w:tc>
        <w:tc>
          <w:tcPr>
            <w:tcW w:w="1258" w:type="pct"/>
            <w:shd w:val="clear" w:color="auto" w:fill="D9E2F3" w:themeFill="accent1" w:themeFillTint="33"/>
            <w:vAlign w:val="center"/>
          </w:tcPr>
          <w:p w14:paraId="41C4CD39" w14:textId="77777777" w:rsidR="007D00BA" w:rsidRPr="0037577B" w:rsidRDefault="007D00BA" w:rsidP="00914C1A">
            <w:pPr>
              <w:pStyle w:val="TableText0"/>
              <w:keepLines/>
              <w:jc w:val="center"/>
              <w:rPr>
                <w:bCs w:val="0"/>
                <w:iCs/>
                <w:szCs w:val="20"/>
              </w:rPr>
            </w:pPr>
            <w:r w:rsidRPr="0037577B">
              <w:rPr>
                <w:bCs w:val="0"/>
                <w:iCs/>
                <w:szCs w:val="20"/>
              </w:rPr>
              <w:t>$0</w:t>
            </w:r>
          </w:p>
        </w:tc>
        <w:tc>
          <w:tcPr>
            <w:tcW w:w="869" w:type="pct"/>
            <w:gridSpan w:val="2"/>
            <w:shd w:val="clear" w:color="auto" w:fill="D9E2F3" w:themeFill="accent1" w:themeFillTint="33"/>
            <w:vAlign w:val="center"/>
          </w:tcPr>
          <w:p w14:paraId="3601D5E8" w14:textId="1D317B68" w:rsidR="007D00BA" w:rsidRPr="0037577B" w:rsidRDefault="007D00BA" w:rsidP="00914C1A">
            <w:pPr>
              <w:pStyle w:val="TableText0"/>
              <w:keepLines/>
              <w:jc w:val="center"/>
              <w:rPr>
                <w:bCs w:val="0"/>
                <w:iCs/>
                <w:szCs w:val="20"/>
              </w:rPr>
            </w:pPr>
            <w:r w:rsidRPr="0037577B">
              <w:rPr>
                <w:bCs w:val="0"/>
                <w:iCs/>
                <w:szCs w:val="20"/>
              </w:rPr>
              <w:t>$</w:t>
            </w:r>
            <w:r w:rsidR="00DE6661" w:rsidRPr="00DE6661">
              <w:rPr>
                <w:bCs w:val="0"/>
                <w:iCs/>
                <w:color w:val="000000"/>
                <w:szCs w:val="20"/>
                <w:shd w:val="solid" w:color="000000" w:fill="000000"/>
                <w14:textFill>
                  <w14:solidFill>
                    <w14:srgbClr w14:val="000000">
                      <w14:alpha w14:val="100000"/>
                    </w14:srgbClr>
                  </w14:solidFill>
                </w14:textFill>
              </w:rPr>
              <w:t>|</w:t>
            </w:r>
          </w:p>
        </w:tc>
      </w:tr>
      <w:tr w:rsidR="007D00BA" w:rsidRPr="00397E6D" w14:paraId="5A98D7D9" w14:textId="77777777" w:rsidTr="00EA6DFD">
        <w:tc>
          <w:tcPr>
            <w:tcW w:w="1529" w:type="pct"/>
            <w:gridSpan w:val="2"/>
            <w:shd w:val="clear" w:color="auto" w:fill="D9E2F3" w:themeFill="accent1" w:themeFillTint="33"/>
            <w:vAlign w:val="center"/>
          </w:tcPr>
          <w:p w14:paraId="36F97729" w14:textId="77777777" w:rsidR="007D00BA" w:rsidRPr="00914C1A" w:rsidRDefault="007D00BA" w:rsidP="00914C1A">
            <w:pPr>
              <w:pStyle w:val="TableText0"/>
              <w:keepLines/>
              <w:rPr>
                <w:iCs/>
                <w:szCs w:val="20"/>
              </w:rPr>
            </w:pPr>
            <w:r w:rsidRPr="0037577B">
              <w:rPr>
                <w:iCs/>
                <w:szCs w:val="20"/>
              </w:rPr>
              <w:t>Complete response</w:t>
            </w:r>
          </w:p>
        </w:tc>
        <w:tc>
          <w:tcPr>
            <w:tcW w:w="1345" w:type="pct"/>
            <w:shd w:val="clear" w:color="auto" w:fill="D9E2F3" w:themeFill="accent1" w:themeFillTint="33"/>
            <w:vAlign w:val="center"/>
          </w:tcPr>
          <w:p w14:paraId="1B5D43ED" w14:textId="77777777" w:rsidR="007D00BA" w:rsidRPr="0037577B" w:rsidRDefault="007D00BA" w:rsidP="00914C1A">
            <w:pPr>
              <w:pStyle w:val="TableText0"/>
              <w:keepLines/>
              <w:jc w:val="center"/>
              <w:rPr>
                <w:bCs w:val="0"/>
                <w:iCs/>
                <w:szCs w:val="20"/>
              </w:rPr>
            </w:pPr>
            <w:r w:rsidRPr="0037577B">
              <w:rPr>
                <w:bCs w:val="0"/>
                <w:iCs/>
                <w:szCs w:val="20"/>
              </w:rPr>
              <w:t>77.1%</w:t>
            </w:r>
          </w:p>
        </w:tc>
        <w:tc>
          <w:tcPr>
            <w:tcW w:w="1258" w:type="pct"/>
            <w:shd w:val="clear" w:color="auto" w:fill="D9E2F3" w:themeFill="accent1" w:themeFillTint="33"/>
            <w:vAlign w:val="center"/>
          </w:tcPr>
          <w:p w14:paraId="6403A161" w14:textId="77777777" w:rsidR="007D00BA" w:rsidRPr="0037577B" w:rsidRDefault="007D00BA" w:rsidP="00914C1A">
            <w:pPr>
              <w:pStyle w:val="TableText0"/>
              <w:keepLines/>
              <w:jc w:val="center"/>
              <w:rPr>
                <w:bCs w:val="0"/>
                <w:iCs/>
                <w:szCs w:val="20"/>
              </w:rPr>
            </w:pPr>
            <w:r w:rsidRPr="0037577B">
              <w:rPr>
                <w:bCs w:val="0"/>
                <w:iCs/>
                <w:szCs w:val="20"/>
              </w:rPr>
              <w:t>8.0%</w:t>
            </w:r>
          </w:p>
        </w:tc>
        <w:tc>
          <w:tcPr>
            <w:tcW w:w="869" w:type="pct"/>
            <w:gridSpan w:val="2"/>
            <w:shd w:val="clear" w:color="auto" w:fill="D9E2F3" w:themeFill="accent1" w:themeFillTint="33"/>
            <w:vAlign w:val="center"/>
          </w:tcPr>
          <w:p w14:paraId="7A52EE9C" w14:textId="77777777" w:rsidR="007D00BA" w:rsidRPr="0037577B" w:rsidRDefault="007D00BA" w:rsidP="00914C1A">
            <w:pPr>
              <w:pStyle w:val="TableText0"/>
              <w:keepLines/>
              <w:jc w:val="center"/>
              <w:rPr>
                <w:bCs w:val="0"/>
                <w:iCs/>
                <w:szCs w:val="20"/>
              </w:rPr>
            </w:pPr>
            <w:r w:rsidRPr="0037577B">
              <w:rPr>
                <w:bCs w:val="0"/>
                <w:iCs/>
                <w:szCs w:val="20"/>
              </w:rPr>
              <w:t>69.1%</w:t>
            </w:r>
          </w:p>
        </w:tc>
      </w:tr>
      <w:tr w:rsidR="007D00BA" w:rsidRPr="00397E6D" w14:paraId="4888809C" w14:textId="77777777" w:rsidTr="00EA6DFD">
        <w:tc>
          <w:tcPr>
            <w:tcW w:w="4131" w:type="pct"/>
            <w:gridSpan w:val="4"/>
            <w:tcBorders>
              <w:bottom w:val="single" w:sz="4" w:space="0" w:color="auto"/>
            </w:tcBorders>
            <w:shd w:val="clear" w:color="auto" w:fill="D9E2F3" w:themeFill="accent1" w:themeFillTint="33"/>
            <w:vAlign w:val="center"/>
          </w:tcPr>
          <w:p w14:paraId="349D7F5E" w14:textId="77777777" w:rsidR="007D00BA" w:rsidRPr="0037577B" w:rsidRDefault="007D00BA" w:rsidP="00914C1A">
            <w:pPr>
              <w:pStyle w:val="TableText0"/>
              <w:keepLines/>
              <w:rPr>
                <w:iCs/>
                <w:szCs w:val="20"/>
              </w:rPr>
            </w:pPr>
            <w:r w:rsidRPr="0037577B">
              <w:rPr>
                <w:iCs/>
                <w:szCs w:val="20"/>
              </w:rPr>
              <w:t xml:space="preserve">Incremental cost/additional complete responder </w:t>
            </w:r>
          </w:p>
        </w:tc>
        <w:tc>
          <w:tcPr>
            <w:tcW w:w="869" w:type="pct"/>
            <w:gridSpan w:val="2"/>
            <w:tcBorders>
              <w:bottom w:val="single" w:sz="4" w:space="0" w:color="auto"/>
            </w:tcBorders>
            <w:shd w:val="clear" w:color="auto" w:fill="D9E2F3" w:themeFill="accent1" w:themeFillTint="33"/>
            <w:vAlign w:val="center"/>
          </w:tcPr>
          <w:p w14:paraId="192C0355" w14:textId="0508E3F9" w:rsidR="007D00BA" w:rsidRPr="0037577B" w:rsidRDefault="007D00BA" w:rsidP="00914C1A">
            <w:pPr>
              <w:pStyle w:val="TableText0"/>
              <w:keepLines/>
              <w:jc w:val="center"/>
              <w:rPr>
                <w:bCs w:val="0"/>
                <w:iCs/>
                <w:szCs w:val="20"/>
              </w:rPr>
            </w:pPr>
            <w:r w:rsidRPr="0037577B">
              <w:rPr>
                <w:iCs/>
                <w:szCs w:val="20"/>
              </w:rPr>
              <w:t>$</w:t>
            </w:r>
            <w:r w:rsidR="00DE6661" w:rsidRPr="00DE6661">
              <w:rPr>
                <w:iCs/>
                <w:color w:val="000000"/>
                <w:spacing w:val="157"/>
                <w:szCs w:val="20"/>
                <w:shd w:val="solid" w:color="000000" w:fill="000000"/>
                <w:fitText w:val="243" w:id="-962329586"/>
                <w14:textFill>
                  <w14:solidFill>
                    <w14:srgbClr w14:val="000000">
                      <w14:alpha w14:val="100000"/>
                    </w14:srgbClr>
                  </w14:solidFill>
                </w14:textFill>
              </w:rPr>
              <w:t>|</w:t>
            </w:r>
            <w:r w:rsidR="00DE6661" w:rsidRPr="00DE6661">
              <w:rPr>
                <w:iCs/>
                <w:color w:val="000000"/>
                <w:spacing w:val="1"/>
                <w:szCs w:val="20"/>
                <w:shd w:val="solid" w:color="000000" w:fill="000000"/>
                <w:fitText w:val="243" w:id="-962329586"/>
                <w14:textFill>
                  <w14:solidFill>
                    <w14:srgbClr w14:val="000000">
                      <w14:alpha w14:val="100000"/>
                    </w14:srgbClr>
                  </w14:solidFill>
                </w14:textFill>
              </w:rPr>
              <w:t>|</w:t>
            </w:r>
            <w:r w:rsidR="005E4042" w:rsidRPr="0037577B">
              <w:rPr>
                <w:szCs w:val="20"/>
                <w:vertAlign w:val="superscript"/>
              </w:rPr>
              <w:t>5</w:t>
            </w:r>
            <w:r w:rsidR="00BF0D56" w:rsidRPr="0037577B">
              <w:rPr>
                <w:iCs/>
                <w:szCs w:val="20"/>
              </w:rPr>
              <w:t>/Complete responder</w:t>
            </w:r>
          </w:p>
        </w:tc>
      </w:tr>
    </w:tbl>
    <w:p w14:paraId="37BACB5F" w14:textId="1D0EC949" w:rsidR="007D00BA" w:rsidRPr="0037577B" w:rsidRDefault="007D00BA" w:rsidP="00914C1A">
      <w:pPr>
        <w:pStyle w:val="FooterTableFigure"/>
        <w:keepNext/>
        <w:keepLines/>
      </w:pPr>
      <w:r w:rsidRPr="0037577B">
        <w:t>Source: Table 3.8-1 of the resubmission; Table 16, osilodrostat, PSD, March 2023 PBAC meeting</w:t>
      </w:r>
    </w:p>
    <w:p w14:paraId="1418C82B" w14:textId="77777777" w:rsidR="007D00BA" w:rsidRPr="0037577B" w:rsidRDefault="007D00BA" w:rsidP="00914C1A">
      <w:pPr>
        <w:pStyle w:val="FooterTableFigure"/>
        <w:keepNext/>
        <w:keepLines/>
        <w:spacing w:after="0"/>
      </w:pPr>
      <w:r w:rsidRPr="0037577B">
        <w:t>ICER = incremental cost effectiveness ratio; Resp = responder; LYG = life years gained; ORR = overall response rate; QALY = quality adjusted life year gained</w:t>
      </w:r>
    </w:p>
    <w:p w14:paraId="48899E48" w14:textId="77777777" w:rsidR="005E4042" w:rsidRPr="00A441CE" w:rsidRDefault="005E4042" w:rsidP="00914C1A">
      <w:pPr>
        <w:keepNext/>
        <w:keepLines/>
        <w:jc w:val="left"/>
        <w:rPr>
          <w:rFonts w:ascii="Arial Narrow" w:hAnsi="Arial Narrow" w:cstheme="minorHAnsi"/>
          <w:bCs/>
          <w:i/>
          <w:iCs/>
          <w:sz w:val="18"/>
          <w:szCs w:val="18"/>
        </w:rPr>
      </w:pPr>
      <w:r w:rsidRPr="00A441CE">
        <w:rPr>
          <w:rFonts w:ascii="Arial Narrow" w:hAnsi="Arial Narrow" w:cstheme="minorHAnsi"/>
          <w:bCs/>
          <w:i/>
          <w:iCs/>
          <w:sz w:val="18"/>
          <w:szCs w:val="18"/>
        </w:rPr>
        <w:t xml:space="preserve">The redacted values correspond to the following ranges: </w:t>
      </w:r>
    </w:p>
    <w:p w14:paraId="6289FAB5" w14:textId="267F0900" w:rsidR="005E4042" w:rsidRPr="00A441CE" w:rsidRDefault="005E4042" w:rsidP="00914C1A">
      <w:pPr>
        <w:keepNext/>
        <w:keepLines/>
        <w:jc w:val="left"/>
        <w:rPr>
          <w:rFonts w:ascii="Arial Narrow" w:hAnsi="Arial Narrow" w:cstheme="minorHAnsi"/>
          <w:bCs/>
          <w:i/>
          <w:iCs/>
          <w:sz w:val="18"/>
          <w:szCs w:val="18"/>
        </w:rPr>
      </w:pPr>
      <w:r w:rsidRPr="00A441CE">
        <w:rPr>
          <w:rFonts w:ascii="Arial Narrow" w:hAnsi="Arial Narrow" w:cstheme="minorHAnsi"/>
          <w:bCs/>
          <w:i/>
          <w:iCs/>
          <w:sz w:val="18"/>
          <w:szCs w:val="18"/>
          <w:vertAlign w:val="superscript"/>
        </w:rPr>
        <w:t>1</w:t>
      </w:r>
      <w:r w:rsidRPr="00A441CE">
        <w:rPr>
          <w:rFonts w:ascii="Arial Narrow" w:hAnsi="Arial Narrow" w:cstheme="minorHAnsi"/>
          <w:bCs/>
          <w:i/>
          <w:iCs/>
          <w:sz w:val="18"/>
          <w:szCs w:val="18"/>
        </w:rPr>
        <w:t xml:space="preserve"> $35,000 to &lt; $45,000</w:t>
      </w:r>
    </w:p>
    <w:p w14:paraId="6263E7B0" w14:textId="214FBA98" w:rsidR="005E4042" w:rsidRPr="00A441CE" w:rsidRDefault="005E4042" w:rsidP="00914C1A">
      <w:pPr>
        <w:keepNext/>
        <w:keepLines/>
        <w:jc w:val="left"/>
        <w:rPr>
          <w:rFonts w:ascii="Arial Narrow" w:hAnsi="Arial Narrow" w:cstheme="minorHAnsi"/>
          <w:bCs/>
          <w:i/>
          <w:iCs/>
          <w:sz w:val="18"/>
          <w:szCs w:val="18"/>
        </w:rPr>
      </w:pPr>
      <w:r w:rsidRPr="00A441CE">
        <w:rPr>
          <w:rFonts w:ascii="Arial Narrow" w:hAnsi="Arial Narrow" w:cstheme="minorHAnsi"/>
          <w:bCs/>
          <w:i/>
          <w:iCs/>
          <w:sz w:val="18"/>
          <w:szCs w:val="18"/>
          <w:vertAlign w:val="superscript"/>
        </w:rPr>
        <w:t>2</w:t>
      </w:r>
      <w:r w:rsidRPr="00A441CE">
        <w:rPr>
          <w:rFonts w:ascii="Arial Narrow" w:hAnsi="Arial Narrow" w:cstheme="minorHAnsi"/>
          <w:bCs/>
          <w:i/>
          <w:iCs/>
          <w:sz w:val="18"/>
          <w:szCs w:val="18"/>
        </w:rPr>
        <w:t xml:space="preserve"> $855,000 to &lt; $955,000</w:t>
      </w:r>
    </w:p>
    <w:p w14:paraId="2DBC4765" w14:textId="661E9742" w:rsidR="005E4042" w:rsidRPr="00A441CE" w:rsidRDefault="005E4042" w:rsidP="00914C1A">
      <w:pPr>
        <w:keepNext/>
        <w:keepLines/>
        <w:jc w:val="left"/>
        <w:rPr>
          <w:rFonts w:ascii="Arial Narrow" w:hAnsi="Arial Narrow" w:cstheme="minorHAnsi"/>
          <w:bCs/>
          <w:i/>
          <w:iCs/>
          <w:sz w:val="18"/>
          <w:szCs w:val="18"/>
        </w:rPr>
      </w:pPr>
      <w:r w:rsidRPr="00A441CE">
        <w:rPr>
          <w:rFonts w:ascii="Arial Narrow" w:hAnsi="Arial Narrow" w:cstheme="minorHAnsi"/>
          <w:bCs/>
          <w:i/>
          <w:iCs/>
          <w:sz w:val="18"/>
          <w:szCs w:val="18"/>
          <w:vertAlign w:val="superscript"/>
        </w:rPr>
        <w:t>3</w:t>
      </w:r>
      <w:r w:rsidRPr="00A441CE">
        <w:rPr>
          <w:rFonts w:ascii="Arial Narrow" w:hAnsi="Arial Narrow" w:cstheme="minorHAnsi"/>
          <w:bCs/>
          <w:i/>
          <w:iCs/>
          <w:sz w:val="18"/>
          <w:szCs w:val="18"/>
        </w:rPr>
        <w:t xml:space="preserve"> $755,000 to &lt; $855,000</w:t>
      </w:r>
    </w:p>
    <w:p w14:paraId="2B0BBC38" w14:textId="0437E335" w:rsidR="005E4042" w:rsidRPr="00A441CE" w:rsidRDefault="005E4042" w:rsidP="00914C1A">
      <w:pPr>
        <w:keepNext/>
        <w:keepLines/>
        <w:jc w:val="left"/>
        <w:rPr>
          <w:rFonts w:ascii="Arial Narrow" w:hAnsi="Arial Narrow" w:cstheme="minorHAnsi"/>
          <w:bCs/>
          <w:i/>
          <w:iCs/>
          <w:sz w:val="18"/>
          <w:szCs w:val="18"/>
        </w:rPr>
      </w:pPr>
      <w:r w:rsidRPr="00A441CE">
        <w:rPr>
          <w:rFonts w:ascii="Arial Narrow" w:hAnsi="Arial Narrow" w:cstheme="minorHAnsi"/>
          <w:bCs/>
          <w:i/>
          <w:iCs/>
          <w:sz w:val="18"/>
          <w:szCs w:val="18"/>
          <w:vertAlign w:val="superscript"/>
        </w:rPr>
        <w:t>4</w:t>
      </w:r>
      <w:r w:rsidRPr="00A441CE">
        <w:rPr>
          <w:rFonts w:ascii="Arial Narrow" w:hAnsi="Arial Narrow" w:cstheme="minorHAnsi"/>
          <w:bCs/>
          <w:i/>
          <w:iCs/>
          <w:sz w:val="18"/>
          <w:szCs w:val="18"/>
        </w:rPr>
        <w:t xml:space="preserve"> $355,000 to &lt; $455,000</w:t>
      </w:r>
    </w:p>
    <w:p w14:paraId="4BEAE470" w14:textId="5B4CC804" w:rsidR="005E4042" w:rsidRPr="007A4E7E" w:rsidRDefault="005E4042" w:rsidP="00914C1A">
      <w:pPr>
        <w:spacing w:after="120"/>
        <w:jc w:val="left"/>
      </w:pPr>
      <w:r w:rsidRPr="00A441CE">
        <w:rPr>
          <w:rFonts w:ascii="Arial Narrow" w:hAnsi="Arial Narrow" w:cstheme="minorHAnsi"/>
          <w:bCs/>
          <w:i/>
          <w:iCs/>
          <w:sz w:val="18"/>
          <w:szCs w:val="18"/>
          <w:vertAlign w:val="superscript"/>
        </w:rPr>
        <w:t>5</w:t>
      </w:r>
      <w:r w:rsidRPr="00A441CE">
        <w:rPr>
          <w:rFonts w:ascii="Arial Narrow" w:hAnsi="Arial Narrow" w:cstheme="minorHAnsi"/>
          <w:bCs/>
          <w:i/>
          <w:iCs/>
          <w:sz w:val="18"/>
          <w:szCs w:val="18"/>
        </w:rPr>
        <w:t xml:space="preserve"> </w:t>
      </w:r>
      <w:r w:rsidR="0028581E" w:rsidRPr="00A441CE">
        <w:rPr>
          <w:rFonts w:ascii="Arial Narrow" w:hAnsi="Arial Narrow" w:cstheme="minorHAnsi"/>
          <w:bCs/>
          <w:i/>
          <w:iCs/>
          <w:sz w:val="18"/>
          <w:szCs w:val="18"/>
        </w:rPr>
        <w:t>$25,000 to &lt; $35,000</w:t>
      </w:r>
    </w:p>
    <w:p w14:paraId="15C3C622" w14:textId="5F848A7C" w:rsidR="007D00BA" w:rsidRPr="007A4E7E" w:rsidRDefault="007D00BA" w:rsidP="007D00BA">
      <w:pPr>
        <w:pStyle w:val="ExecSumBodyText"/>
        <w:numPr>
          <w:ilvl w:val="1"/>
          <w:numId w:val="1"/>
        </w:numPr>
      </w:pPr>
      <w:r w:rsidRPr="007A4E7E">
        <w:t xml:space="preserve">The disaggregated costs and outcomes are presented in </w:t>
      </w:r>
      <w:r w:rsidRPr="007A4E7E">
        <w:fldChar w:fldCharType="begin" w:fldLock="1"/>
      </w:r>
      <w:r w:rsidRPr="007A4E7E">
        <w:instrText xml:space="preserve"> REF _Ref153205997 \h </w:instrText>
      </w:r>
      <w:r w:rsidRPr="007A4E7E">
        <w:fldChar w:fldCharType="separate"/>
      </w:r>
      <w:r w:rsidR="00043D39" w:rsidRPr="007A4E7E">
        <w:t xml:space="preserve">Table </w:t>
      </w:r>
      <w:r w:rsidR="00043D39">
        <w:rPr>
          <w:noProof/>
        </w:rPr>
        <w:t>14</w:t>
      </w:r>
      <w:r w:rsidRPr="007A4E7E">
        <w:fldChar w:fldCharType="end"/>
      </w:r>
      <w:r w:rsidRPr="007A4E7E">
        <w:t>.</w:t>
      </w:r>
    </w:p>
    <w:p w14:paraId="1294B5C9" w14:textId="5AF82394" w:rsidR="007D00BA" w:rsidRPr="007A4E7E" w:rsidRDefault="007D00BA" w:rsidP="007D00BA">
      <w:pPr>
        <w:pStyle w:val="Caption"/>
      </w:pPr>
      <w:bookmarkStart w:id="55" w:name="_Ref153205997"/>
      <w:r w:rsidRPr="007A4E7E">
        <w:lastRenderedPageBreak/>
        <w:t xml:space="preserve">Table </w:t>
      </w:r>
      <w:r w:rsidR="00545EA1">
        <w:fldChar w:fldCharType="begin" w:fldLock="1"/>
      </w:r>
      <w:r w:rsidR="00545EA1">
        <w:instrText xml:space="preserve"> SEQ Table \* ARABIC </w:instrText>
      </w:r>
      <w:r w:rsidR="00545EA1">
        <w:fldChar w:fldCharType="separate"/>
      </w:r>
      <w:r w:rsidR="00043D39">
        <w:rPr>
          <w:noProof/>
        </w:rPr>
        <w:t>14</w:t>
      </w:r>
      <w:r w:rsidR="00545EA1">
        <w:rPr>
          <w:noProof/>
        </w:rPr>
        <w:fldChar w:fldCharType="end"/>
      </w:r>
      <w:bookmarkEnd w:id="55"/>
      <w:r w:rsidRPr="007A4E7E">
        <w:t>: Disaggregated costs and outcomes (discounted and half-cycle corrected)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812"/>
        <w:gridCol w:w="1663"/>
        <w:gridCol w:w="1675"/>
        <w:gridCol w:w="1675"/>
      </w:tblGrid>
      <w:tr w:rsidR="007D00BA" w:rsidRPr="007A4E7E" w14:paraId="5B6535CF" w14:textId="77777777" w:rsidTr="00EA6DFD">
        <w:trPr>
          <w:tblHeader/>
        </w:trPr>
        <w:tc>
          <w:tcPr>
            <w:tcW w:w="1215" w:type="pct"/>
            <w:tcBorders>
              <w:bottom w:val="single" w:sz="4" w:space="0" w:color="auto"/>
            </w:tcBorders>
            <w:vAlign w:val="center"/>
          </w:tcPr>
          <w:p w14:paraId="6E0E92AB" w14:textId="77777777" w:rsidR="007D00BA" w:rsidRPr="007A4E7E" w:rsidRDefault="007D00BA" w:rsidP="00EA6DFD">
            <w:pPr>
              <w:pStyle w:val="In-tableHeading"/>
              <w:rPr>
                <w:lang w:val="en-AU"/>
              </w:rPr>
            </w:pPr>
          </w:p>
        </w:tc>
        <w:tc>
          <w:tcPr>
            <w:tcW w:w="1005" w:type="pct"/>
            <w:tcBorders>
              <w:bottom w:val="single" w:sz="4" w:space="0" w:color="auto"/>
            </w:tcBorders>
            <w:vAlign w:val="center"/>
          </w:tcPr>
          <w:p w14:paraId="401DA23B" w14:textId="77777777" w:rsidR="007D00BA" w:rsidRPr="007A4E7E" w:rsidRDefault="007D00BA" w:rsidP="00EA6DFD">
            <w:pPr>
              <w:pStyle w:val="In-tableHeading"/>
              <w:jc w:val="center"/>
              <w:rPr>
                <w:lang w:val="en-AU"/>
              </w:rPr>
            </w:pPr>
            <w:r w:rsidRPr="007A4E7E">
              <w:rPr>
                <w:lang w:val="en-AU"/>
              </w:rPr>
              <w:t xml:space="preserve">Osilodrostat </w:t>
            </w:r>
          </w:p>
        </w:tc>
        <w:tc>
          <w:tcPr>
            <w:tcW w:w="922" w:type="pct"/>
            <w:tcBorders>
              <w:bottom w:val="single" w:sz="4" w:space="0" w:color="auto"/>
            </w:tcBorders>
            <w:vAlign w:val="center"/>
          </w:tcPr>
          <w:p w14:paraId="4BE591DE" w14:textId="77777777" w:rsidR="007D00BA" w:rsidRPr="007A4E7E" w:rsidRDefault="007D00BA" w:rsidP="00EA6DFD">
            <w:pPr>
              <w:pStyle w:val="In-tableHeading"/>
              <w:jc w:val="center"/>
              <w:rPr>
                <w:lang w:val="en-AU"/>
              </w:rPr>
            </w:pPr>
            <w:r w:rsidRPr="007A4E7E">
              <w:rPr>
                <w:lang w:val="en-AU"/>
              </w:rPr>
              <w:t>Placebo</w:t>
            </w:r>
          </w:p>
        </w:tc>
        <w:tc>
          <w:tcPr>
            <w:tcW w:w="929" w:type="pct"/>
            <w:tcBorders>
              <w:bottom w:val="single" w:sz="4" w:space="0" w:color="auto"/>
            </w:tcBorders>
            <w:vAlign w:val="center"/>
          </w:tcPr>
          <w:p w14:paraId="4119C2B9" w14:textId="77777777" w:rsidR="007D00BA" w:rsidRPr="007A4E7E" w:rsidRDefault="007D00BA" w:rsidP="00EA6DFD">
            <w:pPr>
              <w:pStyle w:val="In-tableHeading"/>
              <w:jc w:val="center"/>
              <w:rPr>
                <w:lang w:val="en-AU"/>
              </w:rPr>
            </w:pPr>
            <w:r w:rsidRPr="007A4E7E">
              <w:rPr>
                <w:lang w:val="en-AU"/>
              </w:rPr>
              <w:t>Increment</w:t>
            </w:r>
          </w:p>
        </w:tc>
        <w:tc>
          <w:tcPr>
            <w:tcW w:w="929" w:type="pct"/>
            <w:tcBorders>
              <w:bottom w:val="single" w:sz="4" w:space="0" w:color="auto"/>
            </w:tcBorders>
            <w:vAlign w:val="center"/>
          </w:tcPr>
          <w:p w14:paraId="144FFB37" w14:textId="77777777" w:rsidR="007D00BA" w:rsidRPr="007A4E7E" w:rsidRDefault="007D00BA" w:rsidP="00EA6DFD">
            <w:pPr>
              <w:pStyle w:val="In-tableHeading"/>
              <w:jc w:val="center"/>
              <w:rPr>
                <w:lang w:val="en-AU"/>
              </w:rPr>
            </w:pPr>
            <w:r w:rsidRPr="007A4E7E">
              <w:rPr>
                <w:lang w:val="en-AU"/>
              </w:rPr>
              <w:t>% of total incremental</w:t>
            </w:r>
          </w:p>
        </w:tc>
      </w:tr>
      <w:tr w:rsidR="007D00BA" w:rsidRPr="007A4E7E" w14:paraId="61F52FB1" w14:textId="77777777" w:rsidTr="00DE6661">
        <w:trPr>
          <w:tblHeader/>
        </w:trPr>
        <w:tc>
          <w:tcPr>
            <w:tcW w:w="1215" w:type="pct"/>
            <w:tcBorders>
              <w:top w:val="single" w:sz="4" w:space="0" w:color="auto"/>
              <w:left w:val="single" w:sz="4" w:space="0" w:color="auto"/>
              <w:bottom w:val="single" w:sz="4" w:space="0" w:color="auto"/>
              <w:right w:val="nil"/>
            </w:tcBorders>
            <w:vAlign w:val="center"/>
          </w:tcPr>
          <w:p w14:paraId="54CE3551" w14:textId="77777777" w:rsidR="007D00BA" w:rsidRPr="007A4E7E" w:rsidRDefault="007D00BA" w:rsidP="00EA6DFD">
            <w:pPr>
              <w:pStyle w:val="In-tableHeading"/>
              <w:rPr>
                <w:lang w:val="en-AU"/>
              </w:rPr>
            </w:pPr>
            <w:r w:rsidRPr="007A4E7E">
              <w:rPr>
                <w:lang w:val="en-AU"/>
              </w:rPr>
              <w:t xml:space="preserve">Cost </w:t>
            </w:r>
          </w:p>
        </w:tc>
        <w:tc>
          <w:tcPr>
            <w:tcW w:w="1005" w:type="pct"/>
            <w:tcBorders>
              <w:top w:val="single" w:sz="4" w:space="0" w:color="auto"/>
              <w:left w:val="nil"/>
              <w:bottom w:val="single" w:sz="4" w:space="0" w:color="auto"/>
              <w:right w:val="nil"/>
            </w:tcBorders>
            <w:vAlign w:val="center"/>
          </w:tcPr>
          <w:p w14:paraId="05E04C94" w14:textId="77777777" w:rsidR="007D00BA" w:rsidRPr="007A4E7E" w:rsidRDefault="007D00BA" w:rsidP="00EA6DFD">
            <w:pPr>
              <w:pStyle w:val="In-tableHeading"/>
              <w:jc w:val="center"/>
              <w:rPr>
                <w:lang w:val="en-AU"/>
              </w:rPr>
            </w:pPr>
          </w:p>
        </w:tc>
        <w:tc>
          <w:tcPr>
            <w:tcW w:w="922" w:type="pct"/>
            <w:tcBorders>
              <w:top w:val="single" w:sz="4" w:space="0" w:color="auto"/>
              <w:left w:val="nil"/>
              <w:bottom w:val="single" w:sz="4" w:space="0" w:color="auto"/>
              <w:right w:val="nil"/>
            </w:tcBorders>
            <w:vAlign w:val="center"/>
          </w:tcPr>
          <w:p w14:paraId="08E68FAD" w14:textId="77777777" w:rsidR="007D00BA" w:rsidRPr="007A4E7E" w:rsidRDefault="007D00BA" w:rsidP="00EA6DFD">
            <w:pPr>
              <w:pStyle w:val="In-tableHeading"/>
              <w:jc w:val="center"/>
              <w:rPr>
                <w:lang w:val="en-AU"/>
              </w:rPr>
            </w:pPr>
          </w:p>
        </w:tc>
        <w:tc>
          <w:tcPr>
            <w:tcW w:w="929" w:type="pct"/>
            <w:tcBorders>
              <w:top w:val="single" w:sz="4" w:space="0" w:color="auto"/>
              <w:left w:val="nil"/>
              <w:bottom w:val="single" w:sz="4" w:space="0" w:color="auto"/>
              <w:right w:val="nil"/>
            </w:tcBorders>
            <w:vAlign w:val="center"/>
          </w:tcPr>
          <w:p w14:paraId="1022A562" w14:textId="77777777" w:rsidR="007D00BA" w:rsidRPr="007A4E7E" w:rsidRDefault="007D00BA" w:rsidP="00EA6DFD">
            <w:pPr>
              <w:pStyle w:val="In-tableHeading"/>
              <w:jc w:val="center"/>
              <w:rPr>
                <w:lang w:val="en-AU"/>
              </w:rPr>
            </w:pPr>
          </w:p>
        </w:tc>
        <w:tc>
          <w:tcPr>
            <w:tcW w:w="929" w:type="pct"/>
            <w:tcBorders>
              <w:top w:val="single" w:sz="4" w:space="0" w:color="auto"/>
              <w:left w:val="nil"/>
              <w:bottom w:val="single" w:sz="4" w:space="0" w:color="auto"/>
              <w:right w:val="single" w:sz="4" w:space="0" w:color="auto"/>
            </w:tcBorders>
            <w:vAlign w:val="center"/>
          </w:tcPr>
          <w:p w14:paraId="1C2F69A9" w14:textId="77777777" w:rsidR="007D00BA" w:rsidRPr="007A4E7E" w:rsidRDefault="007D00BA" w:rsidP="00EA6DFD">
            <w:pPr>
              <w:pStyle w:val="In-tableHeading"/>
              <w:jc w:val="center"/>
              <w:rPr>
                <w:lang w:val="en-AU"/>
              </w:rPr>
            </w:pPr>
          </w:p>
        </w:tc>
      </w:tr>
      <w:tr w:rsidR="007D00BA" w:rsidRPr="007A4E7E" w14:paraId="7466C8E6" w14:textId="77777777" w:rsidTr="00DE6661">
        <w:tc>
          <w:tcPr>
            <w:tcW w:w="1215" w:type="pct"/>
            <w:tcBorders>
              <w:top w:val="single" w:sz="4" w:space="0" w:color="auto"/>
            </w:tcBorders>
            <w:vAlign w:val="center"/>
          </w:tcPr>
          <w:p w14:paraId="16337517" w14:textId="77777777" w:rsidR="007D00BA" w:rsidRPr="007A4E7E" w:rsidRDefault="007D00BA" w:rsidP="00EA6DFD">
            <w:pPr>
              <w:pStyle w:val="TableText0"/>
            </w:pPr>
            <w:r w:rsidRPr="007A4E7E">
              <w:t>Drug cost</w:t>
            </w:r>
          </w:p>
        </w:tc>
        <w:tc>
          <w:tcPr>
            <w:tcW w:w="1005" w:type="pct"/>
            <w:tcBorders>
              <w:top w:val="single" w:sz="4" w:space="0" w:color="auto"/>
            </w:tcBorders>
          </w:tcPr>
          <w:p w14:paraId="4F1FBA63" w14:textId="3408FD48" w:rsidR="007D00BA" w:rsidRPr="007A4E7E" w:rsidRDefault="007D00BA" w:rsidP="00EA6DFD">
            <w:pPr>
              <w:pStyle w:val="TableText0"/>
              <w:jc w:val="center"/>
            </w:pPr>
            <w:r w:rsidRPr="007A4E7E">
              <w:t>$</w:t>
            </w:r>
            <w:r w:rsidR="00DE6661" w:rsidRPr="00DE6661">
              <w:rPr>
                <w:color w:val="000000"/>
                <w:shd w:val="solid" w:color="000000" w:fill="000000"/>
                <w14:textFill>
                  <w14:solidFill>
                    <w14:srgbClr w14:val="000000">
                      <w14:alpha w14:val="100000"/>
                    </w14:srgbClr>
                  </w14:solidFill>
                </w14:textFill>
              </w:rPr>
              <w:t>|</w:t>
            </w:r>
          </w:p>
        </w:tc>
        <w:tc>
          <w:tcPr>
            <w:tcW w:w="922" w:type="pct"/>
            <w:tcBorders>
              <w:top w:val="single" w:sz="4" w:space="0" w:color="auto"/>
            </w:tcBorders>
          </w:tcPr>
          <w:p w14:paraId="0F3E494D" w14:textId="77777777" w:rsidR="007D00BA" w:rsidRPr="007A4E7E" w:rsidRDefault="007D00BA" w:rsidP="00EA6DFD">
            <w:pPr>
              <w:pStyle w:val="TableText0"/>
              <w:jc w:val="center"/>
            </w:pPr>
            <w:r w:rsidRPr="007A4E7E">
              <w:t>$0</w:t>
            </w:r>
          </w:p>
        </w:tc>
        <w:tc>
          <w:tcPr>
            <w:tcW w:w="929" w:type="pct"/>
            <w:tcBorders>
              <w:top w:val="single" w:sz="4" w:space="0" w:color="auto"/>
            </w:tcBorders>
          </w:tcPr>
          <w:p w14:paraId="638EC093" w14:textId="3B97C0D9" w:rsidR="007D00BA" w:rsidRPr="007A4E7E" w:rsidRDefault="007D00BA" w:rsidP="00EA6DFD">
            <w:pPr>
              <w:pStyle w:val="TableText0"/>
              <w:jc w:val="center"/>
            </w:pPr>
            <w:r w:rsidRPr="007A4E7E">
              <w:t>$</w:t>
            </w:r>
            <w:r w:rsidR="00DE6661" w:rsidRPr="00DE6661">
              <w:rPr>
                <w:color w:val="000000"/>
                <w:shd w:val="solid" w:color="000000" w:fill="000000"/>
                <w14:textFill>
                  <w14:solidFill>
                    <w14:srgbClr w14:val="000000">
                      <w14:alpha w14:val="100000"/>
                    </w14:srgbClr>
                  </w14:solidFill>
                </w14:textFill>
              </w:rPr>
              <w:t>|</w:t>
            </w:r>
          </w:p>
        </w:tc>
        <w:tc>
          <w:tcPr>
            <w:tcW w:w="929" w:type="pct"/>
            <w:tcBorders>
              <w:top w:val="single" w:sz="4" w:space="0" w:color="auto"/>
              <w:bottom w:val="single" w:sz="4" w:space="0" w:color="auto"/>
            </w:tcBorders>
            <w:shd w:val="solid" w:color="000000" w:fill="000000"/>
          </w:tcPr>
          <w:p w14:paraId="767EAAAE" w14:textId="005B2521" w:rsidR="007D00BA" w:rsidRPr="00914C1A" w:rsidRDefault="00DE6661" w:rsidP="00EA6DFD">
            <w:pPr>
              <w:pStyle w:val="TableText0"/>
              <w:jc w:val="center"/>
              <w:rPr>
                <w:highlight w:val="lightGray"/>
              </w:rPr>
            </w:pPr>
            <w:r w:rsidRPr="00DE6661">
              <w:rPr>
                <w:color w:val="000000"/>
                <w14:textFill>
                  <w14:solidFill>
                    <w14:srgbClr w14:val="000000">
                      <w14:alpha w14:val="100000"/>
                    </w14:srgbClr>
                  </w14:solidFill>
                </w14:textFill>
              </w:rPr>
              <w:t>|</w:t>
            </w:r>
          </w:p>
        </w:tc>
      </w:tr>
      <w:tr w:rsidR="007D00BA" w:rsidRPr="007A4E7E" w14:paraId="2EDFF58C" w14:textId="77777777" w:rsidTr="00DE6661">
        <w:tc>
          <w:tcPr>
            <w:tcW w:w="1215" w:type="pct"/>
          </w:tcPr>
          <w:p w14:paraId="26360AC7" w14:textId="77777777" w:rsidR="007D00BA" w:rsidRPr="007A4E7E" w:rsidRDefault="007D00BA" w:rsidP="00EA6DFD">
            <w:pPr>
              <w:pStyle w:val="TableText0"/>
            </w:pPr>
            <w:r w:rsidRPr="007A4E7E">
              <w:t>HCP visits</w:t>
            </w:r>
          </w:p>
        </w:tc>
        <w:tc>
          <w:tcPr>
            <w:tcW w:w="1005" w:type="pct"/>
          </w:tcPr>
          <w:p w14:paraId="02484B70" w14:textId="77777777" w:rsidR="007D00BA" w:rsidRPr="007A4E7E" w:rsidRDefault="007D00BA" w:rsidP="00EA6DFD">
            <w:pPr>
              <w:pStyle w:val="TableText0"/>
              <w:jc w:val="center"/>
            </w:pPr>
            <w:r w:rsidRPr="007A4E7E">
              <w:t>$10,877</w:t>
            </w:r>
          </w:p>
        </w:tc>
        <w:tc>
          <w:tcPr>
            <w:tcW w:w="922" w:type="pct"/>
          </w:tcPr>
          <w:p w14:paraId="2A82C4AE" w14:textId="77777777" w:rsidR="007D00BA" w:rsidRPr="007A4E7E" w:rsidRDefault="007D00BA" w:rsidP="00EA6DFD">
            <w:pPr>
              <w:pStyle w:val="TableText0"/>
              <w:jc w:val="center"/>
            </w:pPr>
            <w:r w:rsidRPr="007A4E7E">
              <w:t>$12,060</w:t>
            </w:r>
          </w:p>
        </w:tc>
        <w:tc>
          <w:tcPr>
            <w:tcW w:w="929" w:type="pct"/>
          </w:tcPr>
          <w:p w14:paraId="75C01B81" w14:textId="77777777" w:rsidR="007D00BA" w:rsidRPr="007A4E7E" w:rsidRDefault="007D00BA" w:rsidP="00EA6DFD">
            <w:pPr>
              <w:pStyle w:val="TableText0"/>
              <w:jc w:val="center"/>
            </w:pPr>
            <w:r w:rsidRPr="007A4E7E">
              <w:t>-$1,184</w:t>
            </w:r>
          </w:p>
        </w:tc>
        <w:tc>
          <w:tcPr>
            <w:tcW w:w="929" w:type="pct"/>
            <w:tcBorders>
              <w:bottom w:val="single" w:sz="4" w:space="0" w:color="auto"/>
            </w:tcBorders>
            <w:shd w:val="solid" w:color="000000" w:fill="000000"/>
          </w:tcPr>
          <w:p w14:paraId="65EC21F7" w14:textId="213C6ED3" w:rsidR="007D00BA" w:rsidRPr="00914C1A" w:rsidRDefault="00DE6661" w:rsidP="00EA6DFD">
            <w:pPr>
              <w:pStyle w:val="TableText0"/>
              <w:jc w:val="center"/>
              <w:rPr>
                <w:highlight w:val="lightGray"/>
              </w:rPr>
            </w:pPr>
            <w:r w:rsidRPr="00DE6661">
              <w:rPr>
                <w:color w:val="000000"/>
                <w14:textFill>
                  <w14:solidFill>
                    <w14:srgbClr w14:val="000000">
                      <w14:alpha w14:val="100000"/>
                    </w14:srgbClr>
                  </w14:solidFill>
                </w14:textFill>
              </w:rPr>
              <w:t>|</w:t>
            </w:r>
          </w:p>
        </w:tc>
      </w:tr>
      <w:tr w:rsidR="007D00BA" w:rsidRPr="007A4E7E" w14:paraId="1C4E381C" w14:textId="77777777" w:rsidTr="00DE6661">
        <w:tc>
          <w:tcPr>
            <w:tcW w:w="1215" w:type="pct"/>
          </w:tcPr>
          <w:p w14:paraId="60DBB627" w14:textId="77777777" w:rsidR="007D00BA" w:rsidRPr="007A4E7E" w:rsidRDefault="007D00BA" w:rsidP="00EA6DFD">
            <w:pPr>
              <w:pStyle w:val="TableText0"/>
            </w:pPr>
            <w:r w:rsidRPr="007A4E7E">
              <w:t>Investigations – Scans</w:t>
            </w:r>
          </w:p>
        </w:tc>
        <w:tc>
          <w:tcPr>
            <w:tcW w:w="1005" w:type="pct"/>
          </w:tcPr>
          <w:p w14:paraId="67E7DC25" w14:textId="77777777" w:rsidR="007D00BA" w:rsidRPr="007A4E7E" w:rsidRDefault="007D00BA" w:rsidP="00EA6DFD">
            <w:pPr>
              <w:pStyle w:val="TableText0"/>
              <w:jc w:val="center"/>
            </w:pPr>
            <w:r w:rsidRPr="007A4E7E">
              <w:t>$13,446</w:t>
            </w:r>
          </w:p>
        </w:tc>
        <w:tc>
          <w:tcPr>
            <w:tcW w:w="922" w:type="pct"/>
          </w:tcPr>
          <w:p w14:paraId="44F55973" w14:textId="77777777" w:rsidR="007D00BA" w:rsidRPr="007A4E7E" w:rsidRDefault="007D00BA" w:rsidP="00EA6DFD">
            <w:pPr>
              <w:pStyle w:val="TableText0"/>
              <w:jc w:val="center"/>
            </w:pPr>
            <w:r w:rsidRPr="007A4E7E">
              <w:t>$14,562</w:t>
            </w:r>
          </w:p>
        </w:tc>
        <w:tc>
          <w:tcPr>
            <w:tcW w:w="929" w:type="pct"/>
          </w:tcPr>
          <w:p w14:paraId="13755ABC" w14:textId="77777777" w:rsidR="007D00BA" w:rsidRPr="007A4E7E" w:rsidRDefault="007D00BA" w:rsidP="00EA6DFD">
            <w:pPr>
              <w:pStyle w:val="TableText0"/>
              <w:jc w:val="center"/>
            </w:pPr>
            <w:r w:rsidRPr="007A4E7E">
              <w:t>-$1,116</w:t>
            </w:r>
          </w:p>
        </w:tc>
        <w:tc>
          <w:tcPr>
            <w:tcW w:w="929" w:type="pct"/>
            <w:tcBorders>
              <w:bottom w:val="single" w:sz="4" w:space="0" w:color="auto"/>
            </w:tcBorders>
            <w:shd w:val="solid" w:color="000000" w:fill="000000"/>
          </w:tcPr>
          <w:p w14:paraId="18269C7D" w14:textId="7AD656B5" w:rsidR="007D00BA" w:rsidRPr="00914C1A" w:rsidRDefault="00DE6661" w:rsidP="00EA6DFD">
            <w:pPr>
              <w:pStyle w:val="TableText0"/>
              <w:jc w:val="center"/>
              <w:rPr>
                <w:highlight w:val="lightGray"/>
              </w:rPr>
            </w:pPr>
            <w:r w:rsidRPr="00DE6661">
              <w:rPr>
                <w:color w:val="000000"/>
                <w14:textFill>
                  <w14:solidFill>
                    <w14:srgbClr w14:val="000000">
                      <w14:alpha w14:val="100000"/>
                    </w14:srgbClr>
                  </w14:solidFill>
                </w14:textFill>
              </w:rPr>
              <w:t>|</w:t>
            </w:r>
          </w:p>
        </w:tc>
      </w:tr>
      <w:tr w:rsidR="007D00BA" w:rsidRPr="007A4E7E" w14:paraId="462424DB" w14:textId="77777777" w:rsidTr="00DE6661">
        <w:tc>
          <w:tcPr>
            <w:tcW w:w="1215" w:type="pct"/>
          </w:tcPr>
          <w:p w14:paraId="7FCB55B2" w14:textId="77777777" w:rsidR="007D00BA" w:rsidRPr="007A4E7E" w:rsidRDefault="007D00BA" w:rsidP="00EA6DFD">
            <w:pPr>
              <w:pStyle w:val="TableText0"/>
            </w:pPr>
            <w:r w:rsidRPr="007A4E7E">
              <w:t>Investigations – Tests</w:t>
            </w:r>
          </w:p>
        </w:tc>
        <w:tc>
          <w:tcPr>
            <w:tcW w:w="1005" w:type="pct"/>
          </w:tcPr>
          <w:p w14:paraId="36A39177" w14:textId="77777777" w:rsidR="007D00BA" w:rsidRPr="007A4E7E" w:rsidRDefault="007D00BA" w:rsidP="00EA6DFD">
            <w:pPr>
              <w:pStyle w:val="TableText0"/>
              <w:jc w:val="center"/>
            </w:pPr>
            <w:r w:rsidRPr="007A4E7E">
              <w:t>$15,711</w:t>
            </w:r>
          </w:p>
        </w:tc>
        <w:tc>
          <w:tcPr>
            <w:tcW w:w="922" w:type="pct"/>
          </w:tcPr>
          <w:p w14:paraId="3C104930" w14:textId="77777777" w:rsidR="007D00BA" w:rsidRPr="007A4E7E" w:rsidRDefault="007D00BA" w:rsidP="00EA6DFD">
            <w:pPr>
              <w:pStyle w:val="TableText0"/>
              <w:jc w:val="center"/>
            </w:pPr>
            <w:r w:rsidRPr="007A4E7E">
              <w:t>$16,880</w:t>
            </w:r>
          </w:p>
        </w:tc>
        <w:tc>
          <w:tcPr>
            <w:tcW w:w="929" w:type="pct"/>
          </w:tcPr>
          <w:p w14:paraId="57D490CD" w14:textId="77777777" w:rsidR="007D00BA" w:rsidRPr="007A4E7E" w:rsidRDefault="007D00BA" w:rsidP="00EA6DFD">
            <w:pPr>
              <w:pStyle w:val="TableText0"/>
              <w:jc w:val="center"/>
            </w:pPr>
            <w:r w:rsidRPr="007A4E7E">
              <w:t>-$1,170</w:t>
            </w:r>
          </w:p>
        </w:tc>
        <w:tc>
          <w:tcPr>
            <w:tcW w:w="929" w:type="pct"/>
            <w:tcBorders>
              <w:bottom w:val="single" w:sz="4" w:space="0" w:color="auto"/>
            </w:tcBorders>
            <w:shd w:val="solid" w:color="000000" w:fill="000000"/>
          </w:tcPr>
          <w:p w14:paraId="10C3E490" w14:textId="702BB754" w:rsidR="007D00BA" w:rsidRPr="00914C1A" w:rsidRDefault="00DE6661" w:rsidP="00EA6DFD">
            <w:pPr>
              <w:pStyle w:val="TableText0"/>
              <w:jc w:val="center"/>
              <w:rPr>
                <w:highlight w:val="lightGray"/>
              </w:rPr>
            </w:pPr>
            <w:r w:rsidRPr="00DE6661">
              <w:rPr>
                <w:color w:val="000000"/>
                <w14:textFill>
                  <w14:solidFill>
                    <w14:srgbClr w14:val="000000">
                      <w14:alpha w14:val="100000"/>
                    </w14:srgbClr>
                  </w14:solidFill>
                </w14:textFill>
              </w:rPr>
              <w:t>|</w:t>
            </w:r>
          </w:p>
        </w:tc>
      </w:tr>
      <w:tr w:rsidR="007D00BA" w:rsidRPr="007A4E7E" w14:paraId="77475210" w14:textId="77777777" w:rsidTr="00DE6661">
        <w:tc>
          <w:tcPr>
            <w:tcW w:w="1215" w:type="pct"/>
          </w:tcPr>
          <w:p w14:paraId="73A6B667" w14:textId="77777777" w:rsidR="007D00BA" w:rsidRPr="007A4E7E" w:rsidRDefault="007D00BA" w:rsidP="00EA6DFD">
            <w:pPr>
              <w:pStyle w:val="TableText0"/>
            </w:pPr>
            <w:r w:rsidRPr="007A4E7E">
              <w:t>Adverse events</w:t>
            </w:r>
          </w:p>
        </w:tc>
        <w:tc>
          <w:tcPr>
            <w:tcW w:w="1005" w:type="pct"/>
          </w:tcPr>
          <w:p w14:paraId="5DB08D3F" w14:textId="77777777" w:rsidR="007D00BA" w:rsidRPr="007A4E7E" w:rsidRDefault="007D00BA" w:rsidP="00EA6DFD">
            <w:pPr>
              <w:pStyle w:val="TableText0"/>
              <w:jc w:val="center"/>
            </w:pPr>
            <w:r w:rsidRPr="007A4E7E">
              <w:t>$767</w:t>
            </w:r>
          </w:p>
        </w:tc>
        <w:tc>
          <w:tcPr>
            <w:tcW w:w="922" w:type="pct"/>
          </w:tcPr>
          <w:p w14:paraId="59277F3B" w14:textId="77777777" w:rsidR="007D00BA" w:rsidRPr="007A4E7E" w:rsidRDefault="007D00BA" w:rsidP="00EA6DFD">
            <w:pPr>
              <w:pStyle w:val="TableText0"/>
              <w:jc w:val="center"/>
            </w:pPr>
            <w:r w:rsidRPr="007A4E7E">
              <w:t>$955</w:t>
            </w:r>
          </w:p>
        </w:tc>
        <w:tc>
          <w:tcPr>
            <w:tcW w:w="929" w:type="pct"/>
          </w:tcPr>
          <w:p w14:paraId="5B48D000" w14:textId="77777777" w:rsidR="007D00BA" w:rsidRPr="007A4E7E" w:rsidRDefault="007D00BA" w:rsidP="00EA6DFD">
            <w:pPr>
              <w:pStyle w:val="TableText0"/>
              <w:jc w:val="center"/>
            </w:pPr>
            <w:r w:rsidRPr="007A4E7E">
              <w:t>-$188</w:t>
            </w:r>
          </w:p>
        </w:tc>
        <w:tc>
          <w:tcPr>
            <w:tcW w:w="929" w:type="pct"/>
            <w:shd w:val="solid" w:color="000000" w:fill="000000"/>
          </w:tcPr>
          <w:p w14:paraId="13607A7A" w14:textId="70D62379" w:rsidR="007D00BA" w:rsidRPr="00914C1A" w:rsidRDefault="00DE6661" w:rsidP="00EA6DFD">
            <w:pPr>
              <w:pStyle w:val="TableText0"/>
              <w:jc w:val="center"/>
              <w:rPr>
                <w:highlight w:val="lightGray"/>
              </w:rPr>
            </w:pPr>
            <w:r w:rsidRPr="00DE6661">
              <w:rPr>
                <w:color w:val="000000"/>
                <w14:textFill>
                  <w14:solidFill>
                    <w14:srgbClr w14:val="000000">
                      <w14:alpha w14:val="100000"/>
                    </w14:srgbClr>
                  </w14:solidFill>
                </w14:textFill>
              </w:rPr>
              <w:t>|</w:t>
            </w:r>
          </w:p>
        </w:tc>
      </w:tr>
      <w:tr w:rsidR="007D00BA" w:rsidRPr="007A4E7E" w14:paraId="2A3B0158" w14:textId="77777777" w:rsidTr="00EA6DFD">
        <w:tc>
          <w:tcPr>
            <w:tcW w:w="1215" w:type="pct"/>
            <w:tcBorders>
              <w:bottom w:val="single" w:sz="4" w:space="0" w:color="auto"/>
            </w:tcBorders>
            <w:vAlign w:val="center"/>
          </w:tcPr>
          <w:p w14:paraId="0624356A" w14:textId="77777777" w:rsidR="007D00BA" w:rsidRPr="007A4E7E" w:rsidRDefault="007D00BA" w:rsidP="00EA6DFD">
            <w:pPr>
              <w:pStyle w:val="TableText0"/>
            </w:pPr>
            <w:r w:rsidRPr="007A4E7E">
              <w:t>Total cost</w:t>
            </w:r>
          </w:p>
        </w:tc>
        <w:tc>
          <w:tcPr>
            <w:tcW w:w="1005" w:type="pct"/>
            <w:tcBorders>
              <w:bottom w:val="single" w:sz="4" w:space="0" w:color="auto"/>
            </w:tcBorders>
          </w:tcPr>
          <w:p w14:paraId="3621D1E4" w14:textId="33095CAA" w:rsidR="007D00BA" w:rsidRPr="007A4E7E" w:rsidRDefault="007D00BA" w:rsidP="00EA6DFD">
            <w:pPr>
              <w:pStyle w:val="TableText0"/>
              <w:jc w:val="center"/>
            </w:pPr>
            <w:r w:rsidRPr="007A4E7E">
              <w:t>$</w:t>
            </w:r>
            <w:r w:rsidR="00DE6661" w:rsidRPr="00DE6661">
              <w:rPr>
                <w:color w:val="000000"/>
                <w:shd w:val="solid" w:color="000000" w:fill="000000"/>
                <w14:textFill>
                  <w14:solidFill>
                    <w14:srgbClr w14:val="000000">
                      <w14:alpha w14:val="100000"/>
                    </w14:srgbClr>
                  </w14:solidFill>
                </w14:textFill>
              </w:rPr>
              <w:t>|</w:t>
            </w:r>
          </w:p>
        </w:tc>
        <w:tc>
          <w:tcPr>
            <w:tcW w:w="922" w:type="pct"/>
            <w:tcBorders>
              <w:bottom w:val="single" w:sz="4" w:space="0" w:color="auto"/>
            </w:tcBorders>
          </w:tcPr>
          <w:p w14:paraId="4A7DDC03" w14:textId="77777777" w:rsidR="007D00BA" w:rsidRPr="007A4E7E" w:rsidRDefault="007D00BA" w:rsidP="00EA6DFD">
            <w:pPr>
              <w:pStyle w:val="TableText0"/>
              <w:jc w:val="center"/>
            </w:pPr>
            <w:r w:rsidRPr="007A4E7E">
              <w:t>$44,458</w:t>
            </w:r>
          </w:p>
        </w:tc>
        <w:tc>
          <w:tcPr>
            <w:tcW w:w="929" w:type="pct"/>
            <w:tcBorders>
              <w:bottom w:val="single" w:sz="4" w:space="0" w:color="auto"/>
            </w:tcBorders>
          </w:tcPr>
          <w:p w14:paraId="596E442B" w14:textId="476C9DF2" w:rsidR="007D00BA" w:rsidRPr="007A4E7E" w:rsidRDefault="007D00BA" w:rsidP="00EA6DFD">
            <w:pPr>
              <w:pStyle w:val="TableText0"/>
              <w:jc w:val="center"/>
            </w:pPr>
            <w:r w:rsidRPr="007A4E7E">
              <w:t>$</w:t>
            </w:r>
            <w:r w:rsidR="00DE6661" w:rsidRPr="00DE6661">
              <w:rPr>
                <w:color w:val="000000"/>
                <w:shd w:val="solid" w:color="000000" w:fill="000000"/>
                <w14:textFill>
                  <w14:solidFill>
                    <w14:srgbClr w14:val="000000">
                      <w14:alpha w14:val="100000"/>
                    </w14:srgbClr>
                  </w14:solidFill>
                </w14:textFill>
              </w:rPr>
              <w:t>|</w:t>
            </w:r>
          </w:p>
        </w:tc>
        <w:tc>
          <w:tcPr>
            <w:tcW w:w="929" w:type="pct"/>
            <w:tcBorders>
              <w:bottom w:val="single" w:sz="4" w:space="0" w:color="auto"/>
            </w:tcBorders>
          </w:tcPr>
          <w:p w14:paraId="763A00BB" w14:textId="77777777" w:rsidR="007D00BA" w:rsidRPr="007A4E7E" w:rsidRDefault="007D00BA" w:rsidP="00EA6DFD">
            <w:pPr>
              <w:pStyle w:val="TableText0"/>
              <w:jc w:val="center"/>
            </w:pPr>
            <w:r w:rsidRPr="007A4E7E">
              <w:t>100.0%</w:t>
            </w:r>
          </w:p>
        </w:tc>
      </w:tr>
      <w:tr w:rsidR="007D00BA" w:rsidRPr="007A4E7E" w14:paraId="57F84AAF" w14:textId="77777777" w:rsidTr="00EA6DFD">
        <w:tc>
          <w:tcPr>
            <w:tcW w:w="1215" w:type="pct"/>
            <w:tcBorders>
              <w:top w:val="single" w:sz="4" w:space="0" w:color="auto"/>
              <w:left w:val="single" w:sz="4" w:space="0" w:color="auto"/>
              <w:bottom w:val="single" w:sz="4" w:space="0" w:color="auto"/>
              <w:right w:val="nil"/>
            </w:tcBorders>
            <w:vAlign w:val="center"/>
          </w:tcPr>
          <w:p w14:paraId="34AF46BD" w14:textId="77777777" w:rsidR="007D00BA" w:rsidRPr="007A4E7E" w:rsidRDefault="007D00BA" w:rsidP="00EA6DFD">
            <w:pPr>
              <w:pStyle w:val="TableText0"/>
              <w:rPr>
                <w:b/>
                <w:iCs/>
                <w:vertAlign w:val="superscript"/>
              </w:rPr>
            </w:pPr>
            <w:r w:rsidRPr="007A4E7E">
              <w:rPr>
                <w:b/>
                <w:iCs/>
              </w:rPr>
              <w:t xml:space="preserve">LYG </w:t>
            </w:r>
            <w:r w:rsidRPr="007A4E7E">
              <w:rPr>
                <w:b/>
                <w:iCs/>
                <w:vertAlign w:val="superscript"/>
              </w:rPr>
              <w:t>a</w:t>
            </w:r>
          </w:p>
        </w:tc>
        <w:tc>
          <w:tcPr>
            <w:tcW w:w="1005" w:type="pct"/>
            <w:tcBorders>
              <w:top w:val="single" w:sz="4" w:space="0" w:color="auto"/>
              <w:left w:val="nil"/>
              <w:bottom w:val="single" w:sz="4" w:space="0" w:color="auto"/>
              <w:right w:val="nil"/>
            </w:tcBorders>
          </w:tcPr>
          <w:p w14:paraId="43399C39" w14:textId="77777777" w:rsidR="007D00BA" w:rsidRPr="007A4E7E" w:rsidRDefault="007D00BA" w:rsidP="00EA6DFD">
            <w:pPr>
              <w:pStyle w:val="TableText0"/>
              <w:jc w:val="center"/>
              <w:rPr>
                <w:iCs/>
              </w:rPr>
            </w:pPr>
          </w:p>
        </w:tc>
        <w:tc>
          <w:tcPr>
            <w:tcW w:w="922" w:type="pct"/>
            <w:tcBorders>
              <w:top w:val="single" w:sz="4" w:space="0" w:color="auto"/>
              <w:left w:val="nil"/>
              <w:bottom w:val="single" w:sz="4" w:space="0" w:color="auto"/>
              <w:right w:val="nil"/>
            </w:tcBorders>
          </w:tcPr>
          <w:p w14:paraId="142B0F33" w14:textId="77777777" w:rsidR="007D00BA" w:rsidRPr="007A4E7E" w:rsidRDefault="007D00BA" w:rsidP="00EA6DFD">
            <w:pPr>
              <w:pStyle w:val="TableText0"/>
              <w:jc w:val="center"/>
              <w:rPr>
                <w:iCs/>
              </w:rPr>
            </w:pPr>
          </w:p>
        </w:tc>
        <w:tc>
          <w:tcPr>
            <w:tcW w:w="929" w:type="pct"/>
            <w:tcBorders>
              <w:top w:val="single" w:sz="4" w:space="0" w:color="auto"/>
              <w:left w:val="nil"/>
              <w:bottom w:val="single" w:sz="4" w:space="0" w:color="auto"/>
              <w:right w:val="nil"/>
            </w:tcBorders>
          </w:tcPr>
          <w:p w14:paraId="52F2DEDC" w14:textId="77777777" w:rsidR="007D00BA" w:rsidRPr="007A4E7E" w:rsidRDefault="007D00BA" w:rsidP="00EA6DFD">
            <w:pPr>
              <w:pStyle w:val="TableText0"/>
              <w:jc w:val="center"/>
              <w:rPr>
                <w:iCs/>
              </w:rPr>
            </w:pPr>
          </w:p>
        </w:tc>
        <w:tc>
          <w:tcPr>
            <w:tcW w:w="929" w:type="pct"/>
            <w:tcBorders>
              <w:top w:val="single" w:sz="4" w:space="0" w:color="auto"/>
              <w:left w:val="nil"/>
              <w:bottom w:val="single" w:sz="4" w:space="0" w:color="auto"/>
              <w:right w:val="single" w:sz="4" w:space="0" w:color="auto"/>
            </w:tcBorders>
          </w:tcPr>
          <w:p w14:paraId="4A5C74C3" w14:textId="77777777" w:rsidR="007D00BA" w:rsidRPr="007A4E7E" w:rsidRDefault="007D00BA" w:rsidP="00EA6DFD">
            <w:pPr>
              <w:pStyle w:val="TableText0"/>
              <w:jc w:val="center"/>
              <w:rPr>
                <w:iCs/>
              </w:rPr>
            </w:pPr>
          </w:p>
        </w:tc>
      </w:tr>
      <w:tr w:rsidR="007D00BA" w:rsidRPr="007A4E7E" w14:paraId="5E88287A" w14:textId="77777777" w:rsidTr="00EA6DFD">
        <w:tc>
          <w:tcPr>
            <w:tcW w:w="1215" w:type="pct"/>
            <w:tcBorders>
              <w:top w:val="single" w:sz="4" w:space="0" w:color="auto"/>
              <w:bottom w:val="single" w:sz="4" w:space="0" w:color="auto"/>
            </w:tcBorders>
            <w:vAlign w:val="bottom"/>
          </w:tcPr>
          <w:p w14:paraId="6B56005A" w14:textId="77777777" w:rsidR="007D00BA" w:rsidRPr="007A4E7E" w:rsidRDefault="007D00BA" w:rsidP="00EA6DFD">
            <w:pPr>
              <w:pStyle w:val="TableText0"/>
              <w:rPr>
                <w:iCs/>
              </w:rPr>
            </w:pPr>
            <w:r w:rsidRPr="007A4E7E">
              <w:rPr>
                <w:rFonts w:cs="Calibri"/>
                <w:iCs/>
                <w:color w:val="000000"/>
                <w:szCs w:val="20"/>
              </w:rPr>
              <w:t>Responders</w:t>
            </w:r>
          </w:p>
        </w:tc>
        <w:tc>
          <w:tcPr>
            <w:tcW w:w="1005" w:type="pct"/>
            <w:tcBorders>
              <w:top w:val="single" w:sz="4" w:space="0" w:color="auto"/>
              <w:bottom w:val="single" w:sz="4" w:space="0" w:color="auto"/>
            </w:tcBorders>
          </w:tcPr>
          <w:p w14:paraId="5D58624C" w14:textId="77777777" w:rsidR="007D00BA" w:rsidRPr="007A4E7E" w:rsidRDefault="007D00BA" w:rsidP="00EA6DFD">
            <w:pPr>
              <w:pStyle w:val="TableText0"/>
              <w:jc w:val="center"/>
              <w:rPr>
                <w:iCs/>
              </w:rPr>
            </w:pPr>
            <w:r w:rsidRPr="007A4E7E">
              <w:rPr>
                <w:iCs/>
              </w:rPr>
              <w:t>3.37</w:t>
            </w:r>
          </w:p>
        </w:tc>
        <w:tc>
          <w:tcPr>
            <w:tcW w:w="922" w:type="pct"/>
            <w:tcBorders>
              <w:top w:val="single" w:sz="4" w:space="0" w:color="auto"/>
              <w:bottom w:val="single" w:sz="4" w:space="0" w:color="auto"/>
            </w:tcBorders>
          </w:tcPr>
          <w:p w14:paraId="22BFE324" w14:textId="77777777" w:rsidR="007D00BA" w:rsidRPr="007A4E7E" w:rsidRDefault="007D00BA" w:rsidP="00EA6DFD">
            <w:pPr>
              <w:pStyle w:val="TableText0"/>
              <w:jc w:val="center"/>
              <w:rPr>
                <w:iCs/>
              </w:rPr>
            </w:pPr>
            <w:r w:rsidRPr="007A4E7E">
              <w:rPr>
                <w:iCs/>
              </w:rPr>
              <w:t>0.68</w:t>
            </w:r>
          </w:p>
        </w:tc>
        <w:tc>
          <w:tcPr>
            <w:tcW w:w="929" w:type="pct"/>
            <w:tcBorders>
              <w:top w:val="single" w:sz="4" w:space="0" w:color="auto"/>
              <w:bottom w:val="single" w:sz="4" w:space="0" w:color="auto"/>
            </w:tcBorders>
          </w:tcPr>
          <w:p w14:paraId="36799446" w14:textId="77777777" w:rsidR="007D00BA" w:rsidRPr="007A4E7E" w:rsidRDefault="007D00BA" w:rsidP="00EA6DFD">
            <w:pPr>
              <w:pStyle w:val="TableText0"/>
              <w:jc w:val="center"/>
              <w:rPr>
                <w:iCs/>
              </w:rPr>
            </w:pPr>
            <w:r w:rsidRPr="007A4E7E">
              <w:rPr>
                <w:iCs/>
              </w:rPr>
              <w:t>2.69</w:t>
            </w:r>
          </w:p>
        </w:tc>
        <w:tc>
          <w:tcPr>
            <w:tcW w:w="929" w:type="pct"/>
            <w:tcBorders>
              <w:top w:val="single" w:sz="4" w:space="0" w:color="auto"/>
              <w:bottom w:val="single" w:sz="4" w:space="0" w:color="auto"/>
            </w:tcBorders>
          </w:tcPr>
          <w:p w14:paraId="713A241C" w14:textId="77777777" w:rsidR="007D00BA" w:rsidRPr="007A4E7E" w:rsidRDefault="007D00BA" w:rsidP="00EA6DFD">
            <w:pPr>
              <w:pStyle w:val="TableText0"/>
              <w:jc w:val="center"/>
              <w:rPr>
                <w:iCs/>
              </w:rPr>
            </w:pPr>
            <w:r w:rsidRPr="007A4E7E">
              <w:rPr>
                <w:iCs/>
              </w:rPr>
              <w:t>1109%</w:t>
            </w:r>
          </w:p>
        </w:tc>
      </w:tr>
      <w:tr w:rsidR="007D00BA" w:rsidRPr="007A4E7E" w14:paraId="5AD880FE" w14:textId="77777777" w:rsidTr="00EA6DFD">
        <w:tc>
          <w:tcPr>
            <w:tcW w:w="1215" w:type="pct"/>
            <w:tcBorders>
              <w:bottom w:val="single" w:sz="4" w:space="0" w:color="auto"/>
            </w:tcBorders>
            <w:vAlign w:val="bottom"/>
          </w:tcPr>
          <w:p w14:paraId="2885B626" w14:textId="77777777" w:rsidR="007D00BA" w:rsidRPr="007A4E7E" w:rsidRDefault="007D00BA" w:rsidP="00EA6DFD">
            <w:pPr>
              <w:pStyle w:val="TableText0"/>
              <w:rPr>
                <w:iCs/>
              </w:rPr>
            </w:pPr>
            <w:r w:rsidRPr="007A4E7E">
              <w:rPr>
                <w:rFonts w:cs="Calibri"/>
                <w:iCs/>
                <w:color w:val="000000"/>
                <w:szCs w:val="20"/>
              </w:rPr>
              <w:t>Non-responders</w:t>
            </w:r>
          </w:p>
        </w:tc>
        <w:tc>
          <w:tcPr>
            <w:tcW w:w="1005" w:type="pct"/>
            <w:tcBorders>
              <w:bottom w:val="single" w:sz="4" w:space="0" w:color="auto"/>
            </w:tcBorders>
          </w:tcPr>
          <w:p w14:paraId="2CA9A3E0" w14:textId="77777777" w:rsidR="007D00BA" w:rsidRPr="007A4E7E" w:rsidRDefault="007D00BA" w:rsidP="00EA6DFD">
            <w:pPr>
              <w:pStyle w:val="TableText0"/>
              <w:jc w:val="center"/>
              <w:rPr>
                <w:iCs/>
              </w:rPr>
            </w:pPr>
            <w:r w:rsidRPr="007A4E7E">
              <w:rPr>
                <w:iCs/>
              </w:rPr>
              <w:t>11.13</w:t>
            </w:r>
          </w:p>
        </w:tc>
        <w:tc>
          <w:tcPr>
            <w:tcW w:w="922" w:type="pct"/>
            <w:tcBorders>
              <w:bottom w:val="single" w:sz="4" w:space="0" w:color="auto"/>
            </w:tcBorders>
          </w:tcPr>
          <w:p w14:paraId="03009A93" w14:textId="77777777" w:rsidR="007D00BA" w:rsidRPr="007A4E7E" w:rsidRDefault="007D00BA" w:rsidP="00EA6DFD">
            <w:pPr>
              <w:pStyle w:val="TableText0"/>
              <w:jc w:val="center"/>
              <w:rPr>
                <w:iCs/>
              </w:rPr>
            </w:pPr>
            <w:r w:rsidRPr="007A4E7E">
              <w:rPr>
                <w:iCs/>
              </w:rPr>
              <w:t>13.58</w:t>
            </w:r>
          </w:p>
        </w:tc>
        <w:tc>
          <w:tcPr>
            <w:tcW w:w="929" w:type="pct"/>
            <w:tcBorders>
              <w:bottom w:val="single" w:sz="4" w:space="0" w:color="auto"/>
            </w:tcBorders>
          </w:tcPr>
          <w:p w14:paraId="4936B6D8" w14:textId="77777777" w:rsidR="007D00BA" w:rsidRPr="007A4E7E" w:rsidRDefault="007D00BA" w:rsidP="00EA6DFD">
            <w:pPr>
              <w:pStyle w:val="TableText0"/>
              <w:jc w:val="center"/>
              <w:rPr>
                <w:iCs/>
              </w:rPr>
            </w:pPr>
            <w:r w:rsidRPr="007A4E7E">
              <w:rPr>
                <w:iCs/>
              </w:rPr>
              <w:t>-2.45</w:t>
            </w:r>
          </w:p>
        </w:tc>
        <w:tc>
          <w:tcPr>
            <w:tcW w:w="929" w:type="pct"/>
            <w:tcBorders>
              <w:bottom w:val="single" w:sz="4" w:space="0" w:color="auto"/>
            </w:tcBorders>
          </w:tcPr>
          <w:p w14:paraId="53115436" w14:textId="77777777" w:rsidR="007D00BA" w:rsidRPr="007A4E7E" w:rsidRDefault="007D00BA" w:rsidP="00EA6DFD">
            <w:pPr>
              <w:pStyle w:val="TableText0"/>
              <w:jc w:val="center"/>
              <w:rPr>
                <w:iCs/>
              </w:rPr>
            </w:pPr>
            <w:r w:rsidRPr="007A4E7E">
              <w:rPr>
                <w:iCs/>
              </w:rPr>
              <w:t>-1009%</w:t>
            </w:r>
          </w:p>
        </w:tc>
      </w:tr>
      <w:tr w:rsidR="007D00BA" w:rsidRPr="007A4E7E" w14:paraId="36AD0854" w14:textId="77777777" w:rsidTr="00EA6DFD">
        <w:tc>
          <w:tcPr>
            <w:tcW w:w="1215" w:type="pct"/>
            <w:tcBorders>
              <w:bottom w:val="single" w:sz="4" w:space="0" w:color="auto"/>
            </w:tcBorders>
            <w:vAlign w:val="bottom"/>
          </w:tcPr>
          <w:p w14:paraId="3ED98743" w14:textId="77777777" w:rsidR="007D00BA" w:rsidRPr="007A4E7E" w:rsidRDefault="007D00BA" w:rsidP="00EA6DFD">
            <w:pPr>
              <w:pStyle w:val="TableText0"/>
              <w:rPr>
                <w:iCs/>
              </w:rPr>
            </w:pPr>
            <w:r w:rsidRPr="007A4E7E">
              <w:rPr>
                <w:rFonts w:cs="Calibri"/>
                <w:iCs/>
                <w:color w:val="000000"/>
                <w:szCs w:val="20"/>
              </w:rPr>
              <w:t>Total LYG</w:t>
            </w:r>
          </w:p>
        </w:tc>
        <w:tc>
          <w:tcPr>
            <w:tcW w:w="1005" w:type="pct"/>
            <w:tcBorders>
              <w:bottom w:val="single" w:sz="4" w:space="0" w:color="auto"/>
            </w:tcBorders>
          </w:tcPr>
          <w:p w14:paraId="3A26D9E6" w14:textId="77777777" w:rsidR="007D00BA" w:rsidRPr="007A4E7E" w:rsidRDefault="007D00BA" w:rsidP="00EA6DFD">
            <w:pPr>
              <w:pStyle w:val="TableText0"/>
              <w:jc w:val="center"/>
              <w:rPr>
                <w:iCs/>
              </w:rPr>
            </w:pPr>
            <w:r w:rsidRPr="007A4E7E">
              <w:rPr>
                <w:iCs/>
              </w:rPr>
              <w:t>14.49</w:t>
            </w:r>
          </w:p>
        </w:tc>
        <w:tc>
          <w:tcPr>
            <w:tcW w:w="922" w:type="pct"/>
            <w:tcBorders>
              <w:bottom w:val="single" w:sz="4" w:space="0" w:color="auto"/>
            </w:tcBorders>
          </w:tcPr>
          <w:p w14:paraId="7F822E1C" w14:textId="77777777" w:rsidR="007D00BA" w:rsidRPr="007A4E7E" w:rsidRDefault="007D00BA" w:rsidP="00EA6DFD">
            <w:pPr>
              <w:pStyle w:val="TableText0"/>
              <w:jc w:val="center"/>
              <w:rPr>
                <w:iCs/>
              </w:rPr>
            </w:pPr>
            <w:r w:rsidRPr="007A4E7E">
              <w:rPr>
                <w:iCs/>
              </w:rPr>
              <w:t>14.25</w:t>
            </w:r>
          </w:p>
        </w:tc>
        <w:tc>
          <w:tcPr>
            <w:tcW w:w="929" w:type="pct"/>
            <w:tcBorders>
              <w:bottom w:val="single" w:sz="4" w:space="0" w:color="auto"/>
            </w:tcBorders>
          </w:tcPr>
          <w:p w14:paraId="402FD50B" w14:textId="77777777" w:rsidR="007D00BA" w:rsidRPr="007A4E7E" w:rsidRDefault="007D00BA" w:rsidP="00EA6DFD">
            <w:pPr>
              <w:pStyle w:val="TableText0"/>
              <w:jc w:val="center"/>
              <w:rPr>
                <w:iCs/>
              </w:rPr>
            </w:pPr>
            <w:r w:rsidRPr="007A4E7E">
              <w:rPr>
                <w:iCs/>
              </w:rPr>
              <w:t>0.24</w:t>
            </w:r>
          </w:p>
        </w:tc>
        <w:tc>
          <w:tcPr>
            <w:tcW w:w="929" w:type="pct"/>
            <w:tcBorders>
              <w:bottom w:val="single" w:sz="4" w:space="0" w:color="auto"/>
            </w:tcBorders>
          </w:tcPr>
          <w:p w14:paraId="060CDDFE" w14:textId="77777777" w:rsidR="007D00BA" w:rsidRPr="007A4E7E" w:rsidRDefault="007D00BA" w:rsidP="00EA6DFD">
            <w:pPr>
              <w:pStyle w:val="TableText0"/>
              <w:jc w:val="center"/>
              <w:rPr>
                <w:iCs/>
              </w:rPr>
            </w:pPr>
            <w:r w:rsidRPr="007A4E7E">
              <w:rPr>
                <w:iCs/>
              </w:rPr>
              <w:t>100%</w:t>
            </w:r>
          </w:p>
        </w:tc>
      </w:tr>
      <w:tr w:rsidR="007D00BA" w:rsidRPr="007A4E7E" w14:paraId="5F0CFDE2" w14:textId="77777777" w:rsidTr="00EA6DFD">
        <w:tc>
          <w:tcPr>
            <w:tcW w:w="1215" w:type="pct"/>
            <w:tcBorders>
              <w:top w:val="single" w:sz="4" w:space="0" w:color="auto"/>
              <w:left w:val="single" w:sz="4" w:space="0" w:color="auto"/>
              <w:bottom w:val="single" w:sz="4" w:space="0" w:color="auto"/>
              <w:right w:val="nil"/>
            </w:tcBorders>
            <w:vAlign w:val="center"/>
          </w:tcPr>
          <w:p w14:paraId="27255B0E" w14:textId="77777777" w:rsidR="007D00BA" w:rsidRPr="007A4E7E" w:rsidRDefault="007D00BA" w:rsidP="00EA6DFD">
            <w:pPr>
              <w:pStyle w:val="TableText0"/>
              <w:rPr>
                <w:b/>
                <w:bCs w:val="0"/>
              </w:rPr>
            </w:pPr>
            <w:r w:rsidRPr="007A4E7E">
              <w:rPr>
                <w:b/>
                <w:bCs w:val="0"/>
              </w:rPr>
              <w:t>QALYs gained</w:t>
            </w:r>
          </w:p>
        </w:tc>
        <w:tc>
          <w:tcPr>
            <w:tcW w:w="1005" w:type="pct"/>
            <w:tcBorders>
              <w:top w:val="single" w:sz="4" w:space="0" w:color="auto"/>
              <w:left w:val="nil"/>
              <w:bottom w:val="single" w:sz="4" w:space="0" w:color="auto"/>
              <w:right w:val="nil"/>
            </w:tcBorders>
          </w:tcPr>
          <w:p w14:paraId="5F22E813" w14:textId="77777777" w:rsidR="007D00BA" w:rsidRPr="007A4E7E" w:rsidRDefault="007D00BA" w:rsidP="00EA6DFD">
            <w:pPr>
              <w:pStyle w:val="TableText0"/>
              <w:jc w:val="center"/>
            </w:pPr>
          </w:p>
        </w:tc>
        <w:tc>
          <w:tcPr>
            <w:tcW w:w="922" w:type="pct"/>
            <w:tcBorders>
              <w:top w:val="single" w:sz="4" w:space="0" w:color="auto"/>
              <w:left w:val="nil"/>
              <w:bottom w:val="single" w:sz="4" w:space="0" w:color="auto"/>
              <w:right w:val="nil"/>
            </w:tcBorders>
          </w:tcPr>
          <w:p w14:paraId="592DFF63" w14:textId="77777777" w:rsidR="007D00BA" w:rsidRPr="007A4E7E" w:rsidRDefault="007D00BA" w:rsidP="00EA6DFD">
            <w:pPr>
              <w:pStyle w:val="TableText0"/>
              <w:jc w:val="center"/>
            </w:pPr>
          </w:p>
        </w:tc>
        <w:tc>
          <w:tcPr>
            <w:tcW w:w="929" w:type="pct"/>
            <w:tcBorders>
              <w:top w:val="single" w:sz="4" w:space="0" w:color="auto"/>
              <w:left w:val="nil"/>
              <w:bottom w:val="single" w:sz="4" w:space="0" w:color="auto"/>
              <w:right w:val="nil"/>
            </w:tcBorders>
          </w:tcPr>
          <w:p w14:paraId="54AB54AD" w14:textId="77777777" w:rsidR="007D00BA" w:rsidRPr="007A4E7E" w:rsidRDefault="007D00BA" w:rsidP="00EA6DFD">
            <w:pPr>
              <w:pStyle w:val="TableText0"/>
              <w:jc w:val="center"/>
            </w:pPr>
          </w:p>
        </w:tc>
        <w:tc>
          <w:tcPr>
            <w:tcW w:w="929" w:type="pct"/>
            <w:tcBorders>
              <w:top w:val="single" w:sz="4" w:space="0" w:color="auto"/>
              <w:left w:val="nil"/>
              <w:bottom w:val="single" w:sz="4" w:space="0" w:color="auto"/>
              <w:right w:val="single" w:sz="4" w:space="0" w:color="auto"/>
            </w:tcBorders>
          </w:tcPr>
          <w:p w14:paraId="4BDC5746" w14:textId="77777777" w:rsidR="007D00BA" w:rsidRPr="007A4E7E" w:rsidRDefault="007D00BA" w:rsidP="00EA6DFD">
            <w:pPr>
              <w:pStyle w:val="TableText0"/>
              <w:jc w:val="center"/>
            </w:pPr>
          </w:p>
        </w:tc>
      </w:tr>
      <w:tr w:rsidR="007D00BA" w:rsidRPr="007A4E7E" w14:paraId="585818EC" w14:textId="77777777" w:rsidTr="00EA6DFD">
        <w:tc>
          <w:tcPr>
            <w:tcW w:w="1215" w:type="pct"/>
            <w:tcBorders>
              <w:top w:val="single" w:sz="4" w:space="0" w:color="auto"/>
              <w:left w:val="single" w:sz="4" w:space="0" w:color="auto"/>
              <w:bottom w:val="single" w:sz="4" w:space="0" w:color="auto"/>
              <w:right w:val="single" w:sz="4" w:space="0" w:color="auto"/>
            </w:tcBorders>
            <w:vAlign w:val="bottom"/>
          </w:tcPr>
          <w:p w14:paraId="10749EB2" w14:textId="77777777" w:rsidR="007D00BA" w:rsidRPr="007A4E7E" w:rsidRDefault="007D00BA" w:rsidP="00EA6DFD">
            <w:pPr>
              <w:pStyle w:val="TableText0"/>
              <w:rPr>
                <w:b/>
                <w:bCs w:val="0"/>
              </w:rPr>
            </w:pPr>
            <w:r w:rsidRPr="007A4E7E">
              <w:rPr>
                <w:rFonts w:cs="Calibri"/>
                <w:color w:val="000000"/>
                <w:szCs w:val="20"/>
              </w:rPr>
              <w:t>Responders</w:t>
            </w:r>
          </w:p>
        </w:tc>
        <w:tc>
          <w:tcPr>
            <w:tcW w:w="1005" w:type="pct"/>
            <w:tcBorders>
              <w:top w:val="single" w:sz="4" w:space="0" w:color="auto"/>
              <w:left w:val="single" w:sz="4" w:space="0" w:color="auto"/>
              <w:bottom w:val="single" w:sz="4" w:space="0" w:color="auto"/>
              <w:right w:val="single" w:sz="4" w:space="0" w:color="auto"/>
            </w:tcBorders>
            <w:vAlign w:val="bottom"/>
          </w:tcPr>
          <w:p w14:paraId="64F8D31A" w14:textId="77777777" w:rsidR="007D00BA" w:rsidRPr="007A4E7E" w:rsidRDefault="007D00BA" w:rsidP="00EA6DFD">
            <w:pPr>
              <w:pStyle w:val="TableText0"/>
              <w:jc w:val="center"/>
            </w:pPr>
            <w:r w:rsidRPr="007A4E7E">
              <w:rPr>
                <w:rFonts w:cs="Calibri"/>
                <w:szCs w:val="20"/>
              </w:rPr>
              <w:t>2.61</w:t>
            </w:r>
          </w:p>
        </w:tc>
        <w:tc>
          <w:tcPr>
            <w:tcW w:w="922" w:type="pct"/>
            <w:tcBorders>
              <w:top w:val="single" w:sz="4" w:space="0" w:color="auto"/>
              <w:left w:val="single" w:sz="4" w:space="0" w:color="auto"/>
              <w:bottom w:val="single" w:sz="4" w:space="0" w:color="auto"/>
              <w:right w:val="single" w:sz="4" w:space="0" w:color="auto"/>
            </w:tcBorders>
            <w:vAlign w:val="bottom"/>
          </w:tcPr>
          <w:p w14:paraId="38C76E61" w14:textId="77777777" w:rsidR="007D00BA" w:rsidRPr="007A4E7E" w:rsidRDefault="007D00BA" w:rsidP="00EA6DFD">
            <w:pPr>
              <w:pStyle w:val="TableText0"/>
              <w:jc w:val="center"/>
            </w:pPr>
            <w:r w:rsidRPr="007A4E7E">
              <w:rPr>
                <w:rFonts w:cs="Calibri"/>
                <w:szCs w:val="20"/>
              </w:rPr>
              <w:t>0.53</w:t>
            </w:r>
          </w:p>
        </w:tc>
        <w:tc>
          <w:tcPr>
            <w:tcW w:w="929" w:type="pct"/>
            <w:tcBorders>
              <w:top w:val="single" w:sz="4" w:space="0" w:color="auto"/>
              <w:left w:val="single" w:sz="4" w:space="0" w:color="auto"/>
              <w:bottom w:val="single" w:sz="4" w:space="0" w:color="auto"/>
              <w:right w:val="single" w:sz="4" w:space="0" w:color="auto"/>
            </w:tcBorders>
            <w:vAlign w:val="bottom"/>
          </w:tcPr>
          <w:p w14:paraId="55E24239" w14:textId="77777777" w:rsidR="007D00BA" w:rsidRPr="007A4E7E" w:rsidRDefault="007D00BA" w:rsidP="00EA6DFD">
            <w:pPr>
              <w:pStyle w:val="TableText0"/>
              <w:jc w:val="center"/>
            </w:pPr>
            <w:r w:rsidRPr="007A4E7E">
              <w:rPr>
                <w:rFonts w:cs="Calibri"/>
                <w:szCs w:val="20"/>
              </w:rPr>
              <w:t>2.08</w:t>
            </w:r>
          </w:p>
        </w:tc>
        <w:tc>
          <w:tcPr>
            <w:tcW w:w="929" w:type="pct"/>
            <w:tcBorders>
              <w:top w:val="single" w:sz="4" w:space="0" w:color="auto"/>
              <w:left w:val="single" w:sz="4" w:space="0" w:color="auto"/>
              <w:bottom w:val="single" w:sz="4" w:space="0" w:color="auto"/>
              <w:right w:val="single" w:sz="4" w:space="0" w:color="auto"/>
            </w:tcBorders>
            <w:vAlign w:val="bottom"/>
          </w:tcPr>
          <w:p w14:paraId="64136D61" w14:textId="77777777" w:rsidR="007D00BA" w:rsidRPr="007A4E7E" w:rsidRDefault="007D00BA" w:rsidP="00EA6DFD">
            <w:pPr>
              <w:pStyle w:val="TableText0"/>
              <w:jc w:val="center"/>
            </w:pPr>
            <w:r w:rsidRPr="007A4E7E">
              <w:rPr>
                <w:rFonts w:cs="Calibri"/>
                <w:szCs w:val="20"/>
              </w:rPr>
              <w:t>386.7%</w:t>
            </w:r>
          </w:p>
        </w:tc>
      </w:tr>
      <w:tr w:rsidR="007D00BA" w:rsidRPr="007A4E7E" w14:paraId="381D2B6D" w14:textId="77777777" w:rsidTr="00EA6DFD">
        <w:tc>
          <w:tcPr>
            <w:tcW w:w="1215" w:type="pct"/>
            <w:tcBorders>
              <w:top w:val="single" w:sz="4" w:space="0" w:color="auto"/>
              <w:left w:val="single" w:sz="4" w:space="0" w:color="auto"/>
              <w:bottom w:val="single" w:sz="4" w:space="0" w:color="auto"/>
            </w:tcBorders>
            <w:vAlign w:val="bottom"/>
          </w:tcPr>
          <w:p w14:paraId="46C10B26" w14:textId="77777777" w:rsidR="007D00BA" w:rsidRPr="007A4E7E" w:rsidRDefault="007D00BA" w:rsidP="00EA6DFD">
            <w:pPr>
              <w:pStyle w:val="TableText0"/>
            </w:pPr>
            <w:r w:rsidRPr="007A4E7E">
              <w:rPr>
                <w:rFonts w:cs="Calibri"/>
                <w:color w:val="000000"/>
                <w:szCs w:val="20"/>
              </w:rPr>
              <w:t>Non-responders</w:t>
            </w:r>
          </w:p>
        </w:tc>
        <w:tc>
          <w:tcPr>
            <w:tcW w:w="1005" w:type="pct"/>
            <w:tcBorders>
              <w:top w:val="single" w:sz="4" w:space="0" w:color="auto"/>
              <w:bottom w:val="single" w:sz="4" w:space="0" w:color="auto"/>
            </w:tcBorders>
            <w:vAlign w:val="bottom"/>
          </w:tcPr>
          <w:p w14:paraId="76D57C7B" w14:textId="77777777" w:rsidR="007D00BA" w:rsidRPr="007A4E7E" w:rsidRDefault="007D00BA" w:rsidP="00EA6DFD">
            <w:pPr>
              <w:pStyle w:val="TableText0"/>
              <w:jc w:val="center"/>
            </w:pPr>
            <w:r w:rsidRPr="007A4E7E">
              <w:rPr>
                <w:rFonts w:cs="Calibri"/>
                <w:szCs w:val="20"/>
              </w:rPr>
              <w:t>7.36</w:t>
            </w:r>
          </w:p>
        </w:tc>
        <w:tc>
          <w:tcPr>
            <w:tcW w:w="922" w:type="pct"/>
            <w:tcBorders>
              <w:top w:val="single" w:sz="4" w:space="0" w:color="auto"/>
              <w:bottom w:val="single" w:sz="4" w:space="0" w:color="auto"/>
            </w:tcBorders>
            <w:vAlign w:val="bottom"/>
          </w:tcPr>
          <w:p w14:paraId="7715660E" w14:textId="77777777" w:rsidR="007D00BA" w:rsidRPr="007A4E7E" w:rsidRDefault="007D00BA" w:rsidP="00EA6DFD">
            <w:pPr>
              <w:pStyle w:val="TableText0"/>
              <w:jc w:val="center"/>
            </w:pPr>
            <w:r w:rsidRPr="007A4E7E">
              <w:rPr>
                <w:rFonts w:cs="Calibri"/>
                <w:szCs w:val="20"/>
              </w:rPr>
              <w:t>8.90</w:t>
            </w:r>
          </w:p>
        </w:tc>
        <w:tc>
          <w:tcPr>
            <w:tcW w:w="929" w:type="pct"/>
            <w:tcBorders>
              <w:top w:val="single" w:sz="4" w:space="0" w:color="auto"/>
              <w:bottom w:val="single" w:sz="4" w:space="0" w:color="auto"/>
            </w:tcBorders>
            <w:vAlign w:val="bottom"/>
          </w:tcPr>
          <w:p w14:paraId="0AF90C2B" w14:textId="77777777" w:rsidR="007D00BA" w:rsidRPr="007A4E7E" w:rsidRDefault="007D00BA" w:rsidP="00EA6DFD">
            <w:pPr>
              <w:pStyle w:val="TableText0"/>
              <w:jc w:val="center"/>
            </w:pPr>
            <w:r w:rsidRPr="007A4E7E">
              <w:rPr>
                <w:rFonts w:cs="Calibri"/>
                <w:szCs w:val="20"/>
              </w:rPr>
              <w:t>-1.54</w:t>
            </w:r>
          </w:p>
        </w:tc>
        <w:tc>
          <w:tcPr>
            <w:tcW w:w="929" w:type="pct"/>
            <w:tcBorders>
              <w:top w:val="single" w:sz="4" w:space="0" w:color="auto"/>
              <w:bottom w:val="single" w:sz="4" w:space="0" w:color="auto"/>
              <w:right w:val="single" w:sz="4" w:space="0" w:color="auto"/>
            </w:tcBorders>
            <w:vAlign w:val="bottom"/>
          </w:tcPr>
          <w:p w14:paraId="0F548273" w14:textId="77777777" w:rsidR="007D00BA" w:rsidRPr="007A4E7E" w:rsidRDefault="007D00BA" w:rsidP="00EA6DFD">
            <w:pPr>
              <w:pStyle w:val="TableText0"/>
              <w:jc w:val="center"/>
            </w:pPr>
            <w:r w:rsidRPr="007A4E7E">
              <w:rPr>
                <w:rFonts w:cs="Calibri"/>
                <w:szCs w:val="20"/>
              </w:rPr>
              <w:t>-286.7%</w:t>
            </w:r>
          </w:p>
        </w:tc>
      </w:tr>
      <w:tr w:rsidR="007D00BA" w:rsidRPr="007A4E7E" w14:paraId="72960DF6" w14:textId="77777777" w:rsidTr="00EA6DFD">
        <w:tc>
          <w:tcPr>
            <w:tcW w:w="1215" w:type="pct"/>
            <w:tcBorders>
              <w:top w:val="single" w:sz="4" w:space="0" w:color="auto"/>
            </w:tcBorders>
            <w:vAlign w:val="bottom"/>
          </w:tcPr>
          <w:p w14:paraId="5217D089" w14:textId="77777777" w:rsidR="007D00BA" w:rsidRPr="007A4E7E" w:rsidRDefault="007D00BA" w:rsidP="00EA6DFD">
            <w:pPr>
              <w:pStyle w:val="TableText0"/>
            </w:pPr>
            <w:r w:rsidRPr="007A4E7E">
              <w:rPr>
                <w:rFonts w:cs="Calibri"/>
                <w:color w:val="000000"/>
                <w:szCs w:val="20"/>
              </w:rPr>
              <w:t>Total QALYs</w:t>
            </w:r>
          </w:p>
        </w:tc>
        <w:tc>
          <w:tcPr>
            <w:tcW w:w="1005" w:type="pct"/>
            <w:tcBorders>
              <w:top w:val="single" w:sz="4" w:space="0" w:color="auto"/>
            </w:tcBorders>
            <w:vAlign w:val="bottom"/>
          </w:tcPr>
          <w:p w14:paraId="76A7ECBC" w14:textId="77777777" w:rsidR="007D00BA" w:rsidRPr="007A4E7E" w:rsidRDefault="007D00BA" w:rsidP="00EA6DFD">
            <w:pPr>
              <w:pStyle w:val="TableText0"/>
              <w:jc w:val="center"/>
            </w:pPr>
            <w:r w:rsidRPr="007A4E7E">
              <w:rPr>
                <w:rFonts w:cs="Calibri"/>
                <w:szCs w:val="20"/>
              </w:rPr>
              <w:t>9.97</w:t>
            </w:r>
          </w:p>
        </w:tc>
        <w:tc>
          <w:tcPr>
            <w:tcW w:w="922" w:type="pct"/>
            <w:tcBorders>
              <w:top w:val="single" w:sz="4" w:space="0" w:color="auto"/>
            </w:tcBorders>
            <w:vAlign w:val="bottom"/>
          </w:tcPr>
          <w:p w14:paraId="2331E7C1" w14:textId="77777777" w:rsidR="007D00BA" w:rsidRPr="007A4E7E" w:rsidRDefault="007D00BA" w:rsidP="00EA6DFD">
            <w:pPr>
              <w:pStyle w:val="TableText0"/>
              <w:jc w:val="center"/>
            </w:pPr>
            <w:r w:rsidRPr="007A4E7E">
              <w:rPr>
                <w:rFonts w:cs="Calibri"/>
                <w:szCs w:val="20"/>
              </w:rPr>
              <w:t>9.43</w:t>
            </w:r>
          </w:p>
        </w:tc>
        <w:tc>
          <w:tcPr>
            <w:tcW w:w="929" w:type="pct"/>
            <w:tcBorders>
              <w:top w:val="single" w:sz="4" w:space="0" w:color="auto"/>
            </w:tcBorders>
            <w:vAlign w:val="bottom"/>
          </w:tcPr>
          <w:p w14:paraId="4C94898A" w14:textId="77777777" w:rsidR="007D00BA" w:rsidRPr="007A4E7E" w:rsidRDefault="007D00BA" w:rsidP="00EA6DFD">
            <w:pPr>
              <w:pStyle w:val="TableText0"/>
              <w:jc w:val="center"/>
            </w:pPr>
            <w:r w:rsidRPr="007A4E7E">
              <w:rPr>
                <w:rFonts w:cs="Calibri"/>
                <w:szCs w:val="20"/>
              </w:rPr>
              <w:t>0.54</w:t>
            </w:r>
          </w:p>
        </w:tc>
        <w:tc>
          <w:tcPr>
            <w:tcW w:w="929" w:type="pct"/>
            <w:tcBorders>
              <w:top w:val="single" w:sz="4" w:space="0" w:color="auto"/>
            </w:tcBorders>
            <w:vAlign w:val="bottom"/>
          </w:tcPr>
          <w:p w14:paraId="796D5656" w14:textId="77777777" w:rsidR="007D00BA" w:rsidRPr="007A4E7E" w:rsidRDefault="007D00BA" w:rsidP="00EA6DFD">
            <w:pPr>
              <w:pStyle w:val="TableText0"/>
              <w:jc w:val="center"/>
            </w:pPr>
            <w:r w:rsidRPr="007A4E7E">
              <w:rPr>
                <w:rFonts w:cs="Calibri"/>
                <w:szCs w:val="20"/>
              </w:rPr>
              <w:t>100.0%</w:t>
            </w:r>
          </w:p>
        </w:tc>
      </w:tr>
    </w:tbl>
    <w:p w14:paraId="01A285CA" w14:textId="2BA21AC5" w:rsidR="007D00BA" w:rsidRPr="007A4E7E" w:rsidRDefault="007D00BA" w:rsidP="00914C1A">
      <w:pPr>
        <w:pStyle w:val="FooterTableFigure"/>
        <w:keepNext/>
      </w:pPr>
      <w:r w:rsidRPr="007A4E7E">
        <w:t xml:space="preserve">Source: Tables 3.9-1 and </w:t>
      </w:r>
      <w:proofErr w:type="gramStart"/>
      <w:r w:rsidRPr="007A4E7E">
        <w:t>3.9-2,</w:t>
      </w:r>
      <w:proofErr w:type="gramEnd"/>
      <w:r w:rsidRPr="007A4E7E">
        <w:t xml:space="preserve"> of the resubmission </w:t>
      </w:r>
    </w:p>
    <w:p w14:paraId="52F34DC1" w14:textId="77777777" w:rsidR="007D00BA" w:rsidRPr="007A4E7E" w:rsidRDefault="007D00BA" w:rsidP="00914C1A">
      <w:pPr>
        <w:pStyle w:val="FooterTableFigure"/>
        <w:keepNext/>
      </w:pPr>
      <w:r w:rsidRPr="007A4E7E">
        <w:t>HCP = healthcare professional; LYG = life years gained; QALY = quality adjusted life year gained</w:t>
      </w:r>
    </w:p>
    <w:p w14:paraId="5AFAC7DE" w14:textId="77777777" w:rsidR="007D00BA" w:rsidRPr="007A4E7E" w:rsidRDefault="007D00BA" w:rsidP="007D00BA">
      <w:pPr>
        <w:pStyle w:val="FooterTableFigure"/>
      </w:pPr>
      <w:proofErr w:type="spellStart"/>
      <w:r w:rsidRPr="007A4E7E">
        <w:t>a</w:t>
      </w:r>
      <w:proofErr w:type="spellEnd"/>
      <w:r w:rsidRPr="007A4E7E">
        <w:rPr>
          <w:vertAlign w:val="superscript"/>
        </w:rPr>
        <w:t xml:space="preserve"> </w:t>
      </w:r>
      <w:r w:rsidRPr="007A4E7E">
        <w:t>Added during the evaluation</w:t>
      </w:r>
    </w:p>
    <w:p w14:paraId="61D28463" w14:textId="04E9BED4" w:rsidR="007D00BA" w:rsidRPr="007A4E7E" w:rsidRDefault="007D00BA" w:rsidP="007D00BA">
      <w:pPr>
        <w:pStyle w:val="ExecSumBodyText"/>
        <w:numPr>
          <w:ilvl w:val="1"/>
          <w:numId w:val="1"/>
        </w:numPr>
      </w:pPr>
      <w:r w:rsidRPr="007A4E7E">
        <w:rPr>
          <w:iCs/>
        </w:rPr>
        <w:t xml:space="preserve">Over a 50-year time horizon, the base case ICER was </w:t>
      </w:r>
      <w:r w:rsidR="00AE0224" w:rsidRPr="00AE0224">
        <w:rPr>
          <w:iCs/>
        </w:rPr>
        <w:t>$355,000 to &lt; $455,000</w:t>
      </w:r>
      <w:r w:rsidR="00AE0224">
        <w:rPr>
          <w:iCs/>
        </w:rPr>
        <w:t xml:space="preserve"> </w:t>
      </w:r>
      <w:r w:rsidRPr="007A4E7E">
        <w:rPr>
          <w:iCs/>
        </w:rPr>
        <w:t xml:space="preserve">per QALY gained, with the incremental life years (LYs; 0.24) and QALYs (0.54) being relatively small when considering the large difference in ORR. The small magnitude of incremental benefit may not be unexpected given the trials did not support a survival difference between osilodrostat and placebo nor did they adequately capture potential quality of life gains from durable cortisol control. Further, the estimated mean DoR in the model was only 3.37 years (4.62 years undiscounted) in the osilodrostat arm, with an incremental difference of 2.69 years (3.47 years undiscounted) between arms. </w:t>
      </w:r>
    </w:p>
    <w:p w14:paraId="642DA3A7" w14:textId="6D3ECE41" w:rsidR="007D00BA" w:rsidRPr="007A4E7E" w:rsidRDefault="007D00BA" w:rsidP="007D00BA">
      <w:pPr>
        <w:pStyle w:val="ExecSumBodyText"/>
        <w:numPr>
          <w:ilvl w:val="1"/>
          <w:numId w:val="1"/>
        </w:numPr>
      </w:pPr>
      <w:r w:rsidRPr="007A4E7E">
        <w:rPr>
          <w:iCs/>
        </w:rPr>
        <w:t>Osilodrostat drug costs were the primary driver of incremental costs (</w:t>
      </w:r>
      <w:r w:rsidR="00DE6661" w:rsidRPr="00DE6661">
        <w:rPr>
          <w:iCs/>
          <w:color w:val="000000"/>
          <w:w w:val="60"/>
          <w:shd w:val="solid" w:color="000000" w:fill="000000"/>
          <w:fitText w:val="467" w:id="-962329585"/>
          <w14:textFill>
            <w14:solidFill>
              <w14:srgbClr w14:val="000000">
                <w14:alpha w14:val="100000"/>
              </w14:srgbClr>
            </w14:solidFill>
          </w14:textFill>
        </w:rPr>
        <w:t>|||  ||</w:t>
      </w:r>
      <w:r w:rsidR="00DE6661" w:rsidRPr="00DE6661">
        <w:rPr>
          <w:iCs/>
          <w:color w:val="000000"/>
          <w:spacing w:val="3"/>
          <w:w w:val="60"/>
          <w:shd w:val="solid" w:color="000000" w:fill="000000"/>
          <w:fitText w:val="467" w:id="-962329585"/>
          <w14:textFill>
            <w14:solidFill>
              <w14:srgbClr w14:val="000000">
                <w14:alpha w14:val="100000"/>
              </w14:srgbClr>
            </w14:solidFill>
          </w14:textFill>
        </w:rPr>
        <w:t>|</w:t>
      </w:r>
      <w:r w:rsidR="00CD7175" w:rsidRPr="00914C1A">
        <w:rPr>
          <w:iCs/>
        </w:rPr>
        <w:t>%</w:t>
      </w:r>
      <w:r w:rsidR="00CD7175" w:rsidRPr="00CD7175">
        <w:rPr>
          <w:iCs/>
        </w:rPr>
        <w:t xml:space="preserve"> </w:t>
      </w:r>
      <w:r w:rsidRPr="007A4E7E">
        <w:rPr>
          <w:iCs/>
        </w:rPr>
        <w:t xml:space="preserve">of total osilodrostat costs and </w:t>
      </w:r>
      <w:r w:rsidR="00DE6661" w:rsidRPr="00063CEB">
        <w:rPr>
          <w:iCs/>
          <w:color w:val="000000"/>
          <w:w w:val="15"/>
          <w:shd w:val="solid" w:color="000000" w:fill="000000"/>
          <w:fitText w:val="-20" w:id="-962329584"/>
          <w14:textFill>
            <w14:solidFill>
              <w14:srgbClr w14:val="000000">
                <w14:alpha w14:val="100000"/>
              </w14:srgbClr>
            </w14:solidFill>
          </w14:textFill>
        </w:rPr>
        <w:t xml:space="preserve">|  </w:t>
      </w:r>
      <w:r w:rsidR="00DE6661" w:rsidRPr="00063CEB">
        <w:rPr>
          <w:iCs/>
          <w:color w:val="000000"/>
          <w:spacing w:val="-69"/>
          <w:w w:val="15"/>
          <w:shd w:val="solid" w:color="000000" w:fill="000000"/>
          <w:fitText w:val="-20" w:id="-962329584"/>
          <w14:textFill>
            <w14:solidFill>
              <w14:srgbClr w14:val="000000">
                <w14:alpha w14:val="100000"/>
              </w14:srgbClr>
            </w14:solidFill>
          </w14:textFill>
        </w:rPr>
        <w:t>|</w:t>
      </w:r>
      <w:r w:rsidRPr="007A4E7E">
        <w:rPr>
          <w:iCs/>
        </w:rPr>
        <w:t>% of total incremental costs). The majority of the LYs and QALYs accrued in both treatment arms were in the non-responder health state, which suggested that over the 50-year time horizon, the majority of patients were no longer responding to osilodrostat.</w:t>
      </w:r>
    </w:p>
    <w:p w14:paraId="45EC27C4" w14:textId="24C050F8" w:rsidR="007D00BA" w:rsidRPr="007A4E7E" w:rsidRDefault="007D00BA" w:rsidP="007D00BA">
      <w:pPr>
        <w:pStyle w:val="ExecSumBodyText"/>
        <w:numPr>
          <w:ilvl w:val="1"/>
          <w:numId w:val="1"/>
        </w:numPr>
      </w:pPr>
      <w:r w:rsidRPr="007A4E7E">
        <w:t xml:space="preserve">The results of key sensitivity analyses conducted by the resubmission and during the evaluation are summarised in </w:t>
      </w:r>
      <w:r w:rsidRPr="007A4E7E">
        <w:fldChar w:fldCharType="begin" w:fldLock="1"/>
      </w:r>
      <w:r w:rsidRPr="007A4E7E">
        <w:instrText xml:space="preserve"> REF _Ref153208119 \h </w:instrText>
      </w:r>
      <w:r w:rsidRPr="007A4E7E">
        <w:fldChar w:fldCharType="separate"/>
      </w:r>
      <w:r w:rsidR="00043D39" w:rsidRPr="007A4E7E">
        <w:t xml:space="preserve">Table </w:t>
      </w:r>
      <w:r w:rsidR="00043D39">
        <w:rPr>
          <w:noProof/>
        </w:rPr>
        <w:t>15</w:t>
      </w:r>
      <w:r w:rsidRPr="007A4E7E">
        <w:fldChar w:fldCharType="end"/>
      </w:r>
      <w:r w:rsidRPr="007A4E7E">
        <w:t>.</w:t>
      </w:r>
    </w:p>
    <w:p w14:paraId="0FBE6BD7" w14:textId="1E895F5A" w:rsidR="007D00BA" w:rsidRPr="0037577B" w:rsidRDefault="007D00BA" w:rsidP="00914C1A">
      <w:pPr>
        <w:pStyle w:val="TableFigureHeading"/>
        <w:keepLines/>
        <w:pageBreakBefore/>
        <w:rPr>
          <w:rStyle w:val="CommentReference"/>
          <w:b/>
          <w:bCs w:val="0"/>
          <w:snapToGrid w:val="0"/>
          <w:szCs w:val="24"/>
        </w:rPr>
      </w:pPr>
      <w:bookmarkStart w:id="56" w:name="_Ref153208119"/>
      <w:r w:rsidRPr="0037577B">
        <w:lastRenderedPageBreak/>
        <w:t xml:space="preserve">Table </w:t>
      </w:r>
      <w:r w:rsidR="00397E6D" w:rsidRPr="00914C1A">
        <w:fldChar w:fldCharType="begin" w:fldLock="1"/>
      </w:r>
      <w:r w:rsidR="00397E6D" w:rsidRPr="0037577B">
        <w:instrText xml:space="preserve"> SEQ Table \* ARABIC </w:instrText>
      </w:r>
      <w:r w:rsidR="00397E6D" w:rsidRPr="00914C1A">
        <w:fldChar w:fldCharType="separate"/>
      </w:r>
      <w:r w:rsidR="00043D39" w:rsidRPr="00914C1A">
        <w:t>15</w:t>
      </w:r>
      <w:r w:rsidR="00397E6D" w:rsidRPr="00914C1A">
        <w:fldChar w:fldCharType="end"/>
      </w:r>
      <w:bookmarkEnd w:id="56"/>
      <w:r w:rsidRPr="0037577B">
        <w:t>:</w:t>
      </w:r>
      <w:r w:rsidRPr="0037577B">
        <w:rPr>
          <w:rStyle w:val="CommentReference"/>
          <w:b/>
          <w:szCs w:val="24"/>
        </w:rPr>
        <w:t xml:space="preserve"> Key sensitivity analyses</w:t>
      </w:r>
    </w:p>
    <w:tbl>
      <w:tblPr>
        <w:tblStyle w:val="Summarybox72"/>
        <w:tblpPr w:leftFromText="180" w:rightFromText="180" w:vertAnchor="text" w:tblpY="1"/>
        <w:tblOverlap w:val="never"/>
        <w:tblW w:w="5000" w:type="pct"/>
        <w:tblLook w:val="04A0" w:firstRow="1" w:lastRow="0" w:firstColumn="1" w:lastColumn="0" w:noHBand="0" w:noVBand="1"/>
        <w:tblCaption w:val="Table 15: Key sensitivity analyses"/>
      </w:tblPr>
      <w:tblGrid>
        <w:gridCol w:w="2177"/>
        <w:gridCol w:w="1073"/>
        <w:gridCol w:w="997"/>
        <w:gridCol w:w="968"/>
        <w:gridCol w:w="689"/>
        <w:gridCol w:w="846"/>
        <w:gridCol w:w="553"/>
        <w:gridCol w:w="966"/>
        <w:gridCol w:w="748"/>
      </w:tblGrid>
      <w:tr w:rsidR="00F770F5" w:rsidRPr="007A4E7E" w14:paraId="2C4C0763" w14:textId="77777777" w:rsidTr="00914C1A">
        <w:trPr>
          <w:trHeight w:val="20"/>
          <w:tblHeader/>
        </w:trPr>
        <w:tc>
          <w:tcPr>
            <w:tcW w:w="1209" w:type="pct"/>
            <w:vMerge w:val="restart"/>
            <w:shd w:val="clear" w:color="auto" w:fill="auto"/>
            <w:vAlign w:val="center"/>
          </w:tcPr>
          <w:p w14:paraId="173BBE39" w14:textId="77777777" w:rsidR="007D00BA" w:rsidRPr="007A4E7E" w:rsidRDefault="007D00BA" w:rsidP="0037577B">
            <w:pPr>
              <w:keepNext/>
              <w:keepLines/>
              <w:jc w:val="left"/>
              <w:rPr>
                <w:rFonts w:ascii="Arial Narrow" w:hAnsi="Arial Narrow" w:cstheme="minorHAnsi"/>
                <w:sz w:val="20"/>
                <w:szCs w:val="20"/>
              </w:rPr>
            </w:pPr>
          </w:p>
        </w:tc>
        <w:tc>
          <w:tcPr>
            <w:tcW w:w="1688" w:type="pct"/>
            <w:gridSpan w:val="3"/>
            <w:shd w:val="clear" w:color="auto" w:fill="auto"/>
            <w:vAlign w:val="center"/>
          </w:tcPr>
          <w:p w14:paraId="69FD3D23" w14:textId="77777777"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Cost</w:t>
            </w:r>
          </w:p>
        </w:tc>
        <w:tc>
          <w:tcPr>
            <w:tcW w:w="1150" w:type="pct"/>
            <w:gridSpan w:val="3"/>
            <w:shd w:val="clear" w:color="auto" w:fill="auto"/>
            <w:vAlign w:val="center"/>
          </w:tcPr>
          <w:p w14:paraId="331F5CE7" w14:textId="77777777"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Outcomes</w:t>
            </w:r>
          </w:p>
        </w:tc>
        <w:tc>
          <w:tcPr>
            <w:tcW w:w="537" w:type="pct"/>
            <w:vMerge w:val="restart"/>
            <w:shd w:val="clear" w:color="auto" w:fill="auto"/>
            <w:vAlign w:val="center"/>
          </w:tcPr>
          <w:p w14:paraId="553BE70E" w14:textId="77777777"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ICER</w:t>
            </w:r>
          </w:p>
          <w:p w14:paraId="761BD575" w14:textId="77777777"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($/QALY)</w:t>
            </w:r>
          </w:p>
        </w:tc>
        <w:tc>
          <w:tcPr>
            <w:tcW w:w="416" w:type="pct"/>
            <w:vMerge w:val="restart"/>
            <w:vAlign w:val="center"/>
          </w:tcPr>
          <w:p w14:paraId="24D8CD63" w14:textId="77777777" w:rsidR="007D00BA" w:rsidRPr="007A4E7E" w:rsidRDefault="007D00BA" w:rsidP="0037577B">
            <w:pPr>
              <w:keepNext/>
              <w:keepLines/>
              <w:jc w:val="center"/>
              <w:rPr>
                <w:rFonts w:ascii="Arial Narrow" w:hAnsi="Arial Narrow" w:cstheme="minorHAnsi"/>
                <w:b/>
                <w:bCs/>
                <w:i/>
                <w:iCs/>
                <w:color w:val="000000"/>
                <w:sz w:val="20"/>
                <w:szCs w:val="20"/>
              </w:rPr>
            </w:pPr>
            <w:r w:rsidRPr="007A4E7E">
              <w:rPr>
                <w:rFonts w:ascii="Arial Narrow" w:hAnsi="Arial Narrow" w:cstheme="minorHAnsi"/>
                <w:b/>
                <w:bCs/>
                <w:i/>
                <w:iCs/>
                <w:color w:val="000000"/>
                <w:sz w:val="20"/>
                <w:szCs w:val="20"/>
              </w:rPr>
              <w:t>% Δ</w:t>
            </w:r>
          </w:p>
        </w:tc>
      </w:tr>
      <w:tr w:rsidR="00F770F5" w:rsidRPr="007A4E7E" w14:paraId="4E862D83" w14:textId="77777777" w:rsidTr="00DE6661">
        <w:trPr>
          <w:trHeight w:val="20"/>
          <w:tblHeader/>
        </w:trPr>
        <w:tc>
          <w:tcPr>
            <w:tcW w:w="1209" w:type="pct"/>
            <w:vMerge/>
            <w:shd w:val="clear" w:color="auto" w:fill="auto"/>
            <w:vAlign w:val="center"/>
          </w:tcPr>
          <w:p w14:paraId="7BC4322F" w14:textId="77777777" w:rsidR="007D00BA" w:rsidRPr="007A4E7E" w:rsidRDefault="007D00BA" w:rsidP="0037577B">
            <w:pPr>
              <w:keepNext/>
              <w:keepLines/>
              <w:jc w:val="left"/>
              <w:rPr>
                <w:rFonts w:ascii="Arial Narrow" w:hAnsi="Arial Narrow" w:cstheme="minorHAnsi"/>
                <w:sz w:val="20"/>
                <w:szCs w:val="20"/>
              </w:rPr>
            </w:pPr>
          </w:p>
        </w:tc>
        <w:tc>
          <w:tcPr>
            <w:tcW w:w="596" w:type="pct"/>
            <w:tcBorders>
              <w:bottom w:val="single" w:sz="4" w:space="0" w:color="auto"/>
            </w:tcBorders>
            <w:shd w:val="clear" w:color="auto" w:fill="auto"/>
            <w:vAlign w:val="center"/>
          </w:tcPr>
          <w:p w14:paraId="30C63162" w14:textId="33FF7C95"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Osi</w:t>
            </w:r>
            <w:r w:rsidR="00CD1087">
              <w:rPr>
                <w:rFonts w:ascii="Arial Narrow" w:hAnsi="Arial Narrow" w:cstheme="minorHAnsi"/>
                <w:b/>
                <w:bCs/>
                <w:color w:val="000000"/>
                <w:sz w:val="20"/>
                <w:szCs w:val="20"/>
              </w:rPr>
              <w:t>($)</w:t>
            </w:r>
          </w:p>
        </w:tc>
        <w:tc>
          <w:tcPr>
            <w:tcW w:w="554" w:type="pct"/>
            <w:shd w:val="clear" w:color="auto" w:fill="auto"/>
            <w:vAlign w:val="center"/>
          </w:tcPr>
          <w:p w14:paraId="3E613D44" w14:textId="77777777"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Placebo</w:t>
            </w:r>
          </w:p>
        </w:tc>
        <w:tc>
          <w:tcPr>
            <w:tcW w:w="538" w:type="pct"/>
            <w:tcBorders>
              <w:bottom w:val="single" w:sz="4" w:space="0" w:color="auto"/>
            </w:tcBorders>
            <w:shd w:val="clear" w:color="auto" w:fill="auto"/>
            <w:vAlign w:val="center"/>
          </w:tcPr>
          <w:p w14:paraId="33782A2D" w14:textId="46A0CB51"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Inc.</w:t>
            </w:r>
            <w:r w:rsidR="00CD1087">
              <w:rPr>
                <w:rFonts w:ascii="Arial Narrow" w:hAnsi="Arial Narrow" w:cstheme="minorHAnsi"/>
                <w:b/>
                <w:bCs/>
                <w:color w:val="000000"/>
                <w:sz w:val="20"/>
                <w:szCs w:val="20"/>
              </w:rPr>
              <w:t xml:space="preserve"> ($)</w:t>
            </w:r>
          </w:p>
        </w:tc>
        <w:tc>
          <w:tcPr>
            <w:tcW w:w="383" w:type="pct"/>
            <w:shd w:val="clear" w:color="auto" w:fill="auto"/>
            <w:vAlign w:val="center"/>
          </w:tcPr>
          <w:p w14:paraId="23F6DD56" w14:textId="77777777"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Osi</w:t>
            </w:r>
          </w:p>
        </w:tc>
        <w:tc>
          <w:tcPr>
            <w:tcW w:w="459" w:type="pct"/>
            <w:shd w:val="clear" w:color="auto" w:fill="auto"/>
            <w:vAlign w:val="center"/>
          </w:tcPr>
          <w:p w14:paraId="5095EFAD" w14:textId="77777777"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Placebo</w:t>
            </w:r>
          </w:p>
        </w:tc>
        <w:tc>
          <w:tcPr>
            <w:tcW w:w="308" w:type="pct"/>
            <w:shd w:val="clear" w:color="auto" w:fill="auto"/>
            <w:vAlign w:val="center"/>
          </w:tcPr>
          <w:p w14:paraId="2318ABF9" w14:textId="77777777" w:rsidR="007D00BA" w:rsidRPr="007A4E7E" w:rsidRDefault="007D00BA" w:rsidP="0037577B">
            <w:pPr>
              <w:keepNext/>
              <w:keepLines/>
              <w:jc w:val="center"/>
              <w:rPr>
                <w:rFonts w:ascii="Arial Narrow" w:hAnsi="Arial Narrow" w:cstheme="minorHAnsi"/>
                <w:b/>
                <w:bCs/>
                <w:color w:val="000000"/>
                <w:sz w:val="20"/>
                <w:szCs w:val="20"/>
              </w:rPr>
            </w:pPr>
            <w:r w:rsidRPr="007A4E7E">
              <w:rPr>
                <w:rFonts w:ascii="Arial Narrow" w:hAnsi="Arial Narrow" w:cstheme="minorHAnsi"/>
                <w:b/>
                <w:bCs/>
                <w:color w:val="000000"/>
                <w:sz w:val="20"/>
                <w:szCs w:val="20"/>
              </w:rPr>
              <w:t>Inc.</w:t>
            </w:r>
          </w:p>
        </w:tc>
        <w:tc>
          <w:tcPr>
            <w:tcW w:w="537" w:type="pct"/>
            <w:vMerge/>
            <w:shd w:val="clear" w:color="auto" w:fill="auto"/>
            <w:vAlign w:val="center"/>
          </w:tcPr>
          <w:p w14:paraId="048A270F" w14:textId="77777777" w:rsidR="007D00BA" w:rsidRPr="007A4E7E" w:rsidRDefault="007D00BA" w:rsidP="0037577B">
            <w:pPr>
              <w:keepNext/>
              <w:keepLines/>
              <w:jc w:val="center"/>
              <w:rPr>
                <w:rFonts w:ascii="Arial Narrow" w:hAnsi="Arial Narrow" w:cstheme="minorHAnsi"/>
                <w:color w:val="000000"/>
                <w:sz w:val="20"/>
                <w:szCs w:val="20"/>
              </w:rPr>
            </w:pPr>
          </w:p>
        </w:tc>
        <w:tc>
          <w:tcPr>
            <w:tcW w:w="416" w:type="pct"/>
            <w:vMerge/>
            <w:vAlign w:val="center"/>
          </w:tcPr>
          <w:p w14:paraId="43091562" w14:textId="77777777" w:rsidR="007D00BA" w:rsidRPr="007A4E7E" w:rsidRDefault="007D00BA" w:rsidP="0037577B">
            <w:pPr>
              <w:keepNext/>
              <w:keepLines/>
              <w:jc w:val="center"/>
              <w:rPr>
                <w:rFonts w:ascii="Arial Narrow" w:hAnsi="Arial Narrow" w:cstheme="minorHAnsi"/>
                <w:i/>
                <w:iCs/>
                <w:color w:val="000000"/>
                <w:sz w:val="20"/>
                <w:szCs w:val="20"/>
              </w:rPr>
            </w:pPr>
          </w:p>
        </w:tc>
      </w:tr>
      <w:tr w:rsidR="00F770F5" w:rsidRPr="007A4E7E" w14:paraId="2D453770" w14:textId="77777777" w:rsidTr="00DE6661">
        <w:trPr>
          <w:trHeight w:val="20"/>
        </w:trPr>
        <w:tc>
          <w:tcPr>
            <w:tcW w:w="1209" w:type="pct"/>
            <w:shd w:val="clear" w:color="auto" w:fill="auto"/>
            <w:vAlign w:val="center"/>
          </w:tcPr>
          <w:p w14:paraId="0C8CDD6C" w14:textId="77777777" w:rsidR="007D00BA" w:rsidRPr="007A4E7E" w:rsidRDefault="007D00BA" w:rsidP="0037577B">
            <w:pPr>
              <w:keepNext/>
              <w:keepLines/>
              <w:tabs>
                <w:tab w:val="right" w:pos="2189"/>
              </w:tabs>
              <w:jc w:val="left"/>
              <w:rPr>
                <w:rFonts w:ascii="Arial Narrow" w:hAnsi="Arial Narrow" w:cstheme="minorHAnsi"/>
                <w:b/>
                <w:bCs/>
                <w:color w:val="000000"/>
                <w:sz w:val="20"/>
                <w:szCs w:val="20"/>
              </w:rPr>
            </w:pPr>
            <w:r w:rsidRPr="007A4E7E">
              <w:rPr>
                <w:rFonts w:ascii="Arial Narrow" w:hAnsi="Arial Narrow" w:cstheme="minorHAnsi"/>
                <w:b/>
                <w:bCs/>
                <w:color w:val="000000"/>
                <w:sz w:val="20"/>
                <w:szCs w:val="20"/>
              </w:rPr>
              <w:t>Base case</w:t>
            </w:r>
          </w:p>
        </w:tc>
        <w:tc>
          <w:tcPr>
            <w:tcW w:w="596" w:type="pct"/>
            <w:shd w:val="solid" w:color="000000" w:fill="000000"/>
            <w:vAlign w:val="center"/>
          </w:tcPr>
          <w:p w14:paraId="1317421E" w14:textId="2F96390C" w:rsidR="007D00BA" w:rsidRPr="00914C1A" w:rsidRDefault="00DE6661" w:rsidP="0037577B">
            <w:pPr>
              <w:keepNext/>
              <w:keepLines/>
              <w:jc w:val="center"/>
              <w:rPr>
                <w:rFonts w:ascii="Arial Narrow" w:hAnsi="Arial Narrow" w:cs="Calibri"/>
                <w:b/>
                <w:bCs/>
                <w:sz w:val="20"/>
                <w:szCs w:val="20"/>
                <w:highlight w:val="lightGray"/>
              </w:rPr>
            </w:pPr>
            <w:r w:rsidRPr="00DE6661">
              <w:rPr>
                <w:rFonts w:ascii="Arial Narrow" w:hAnsi="Arial Narrow" w:cs="Calibri"/>
                <w:b/>
                <w:bCs/>
                <w:color w:val="000000"/>
                <w:spacing w:val="76"/>
                <w:sz w:val="20"/>
                <w:szCs w:val="20"/>
                <w:fitText w:val="168" w:id="-962329600"/>
                <w14:textFill>
                  <w14:solidFill>
                    <w14:srgbClr w14:val="000000">
                      <w14:alpha w14:val="100000"/>
                    </w14:srgbClr>
                  </w14:solidFill>
                </w14:textFill>
              </w:rPr>
              <w:t>|</w:t>
            </w:r>
            <w:r w:rsidRPr="00DE6661">
              <w:rPr>
                <w:rFonts w:ascii="Arial Narrow" w:hAnsi="Arial Narrow" w:cs="Calibri"/>
                <w:b/>
                <w:bCs/>
                <w:color w:val="000000"/>
                <w:sz w:val="20"/>
                <w:szCs w:val="20"/>
                <w:fitText w:val="168" w:id="-962329600"/>
                <w14:textFill>
                  <w14:solidFill>
                    <w14:srgbClr w14:val="000000">
                      <w14:alpha w14:val="100000"/>
                    </w14:srgbClr>
                  </w14:solidFill>
                </w14:textFill>
              </w:rPr>
              <w:t>|</w:t>
            </w:r>
          </w:p>
        </w:tc>
        <w:tc>
          <w:tcPr>
            <w:tcW w:w="554" w:type="pct"/>
            <w:shd w:val="clear" w:color="auto" w:fill="auto"/>
            <w:vAlign w:val="center"/>
          </w:tcPr>
          <w:p w14:paraId="7E50301E" w14:textId="77777777" w:rsidR="007D00BA" w:rsidRPr="007A4E7E" w:rsidRDefault="007D00BA" w:rsidP="0037577B">
            <w:pPr>
              <w:keepNext/>
              <w:keepLines/>
              <w:jc w:val="center"/>
              <w:rPr>
                <w:rFonts w:ascii="Arial Narrow" w:hAnsi="Arial Narrow" w:cs="Calibri"/>
                <w:b/>
                <w:bCs/>
                <w:sz w:val="20"/>
                <w:szCs w:val="20"/>
              </w:rPr>
            </w:pPr>
            <w:r w:rsidRPr="007A4E7E">
              <w:rPr>
                <w:rFonts w:ascii="Arial Narrow" w:hAnsi="Arial Narrow" w:cs="Calibri"/>
                <w:b/>
                <w:bCs/>
                <w:sz w:val="20"/>
                <w:szCs w:val="20"/>
              </w:rPr>
              <w:t>$44,458</w:t>
            </w:r>
          </w:p>
        </w:tc>
        <w:tc>
          <w:tcPr>
            <w:tcW w:w="538" w:type="pct"/>
            <w:shd w:val="solid" w:color="000000" w:fill="000000"/>
            <w:vAlign w:val="center"/>
          </w:tcPr>
          <w:p w14:paraId="6552EA14" w14:textId="622AB341" w:rsidR="007D00BA" w:rsidRPr="00914C1A" w:rsidRDefault="00DE6661" w:rsidP="0037577B">
            <w:pPr>
              <w:keepNext/>
              <w:keepLines/>
              <w:jc w:val="center"/>
              <w:rPr>
                <w:rFonts w:ascii="Arial Narrow" w:hAnsi="Arial Narrow" w:cs="Calibri"/>
                <w:b/>
                <w:bCs/>
                <w:sz w:val="20"/>
                <w:szCs w:val="20"/>
                <w:highlight w:val="lightGray"/>
              </w:rPr>
            </w:pPr>
            <w:r w:rsidRPr="00DE6661">
              <w:rPr>
                <w:rFonts w:ascii="Arial Narrow" w:hAnsi="Arial Narrow" w:cs="Calibri"/>
                <w:b/>
                <w:bCs/>
                <w:color w:val="000000"/>
                <w:spacing w:val="43"/>
                <w:sz w:val="20"/>
                <w:szCs w:val="20"/>
                <w:fitText w:val="224" w:id="-962329599"/>
                <w14:textFill>
                  <w14:solidFill>
                    <w14:srgbClr w14:val="000000">
                      <w14:alpha w14:val="100000"/>
                    </w14:srgbClr>
                  </w14:solidFill>
                </w14:textFill>
              </w:rPr>
              <w:t>||</w:t>
            </w:r>
            <w:r w:rsidRPr="00DE6661">
              <w:rPr>
                <w:rFonts w:ascii="Arial Narrow" w:hAnsi="Arial Narrow" w:cs="Calibri"/>
                <w:b/>
                <w:bCs/>
                <w:color w:val="000000"/>
                <w:spacing w:val="1"/>
                <w:sz w:val="20"/>
                <w:szCs w:val="20"/>
                <w:fitText w:val="224" w:id="-962329599"/>
                <w14:textFill>
                  <w14:solidFill>
                    <w14:srgbClr w14:val="000000">
                      <w14:alpha w14:val="100000"/>
                    </w14:srgbClr>
                  </w14:solidFill>
                </w14:textFill>
              </w:rPr>
              <w:t>|</w:t>
            </w:r>
          </w:p>
        </w:tc>
        <w:tc>
          <w:tcPr>
            <w:tcW w:w="383" w:type="pct"/>
            <w:shd w:val="clear" w:color="auto" w:fill="auto"/>
            <w:vAlign w:val="center"/>
          </w:tcPr>
          <w:p w14:paraId="38EAF2C8" w14:textId="77777777" w:rsidR="007D00BA" w:rsidRPr="007A4E7E" w:rsidRDefault="007D00BA" w:rsidP="0037577B">
            <w:pPr>
              <w:keepNext/>
              <w:keepLines/>
              <w:jc w:val="center"/>
              <w:rPr>
                <w:rFonts w:ascii="Arial Narrow" w:hAnsi="Arial Narrow" w:cs="Calibri"/>
                <w:b/>
                <w:bCs/>
                <w:sz w:val="20"/>
                <w:szCs w:val="20"/>
              </w:rPr>
            </w:pPr>
            <w:r w:rsidRPr="007A4E7E">
              <w:rPr>
                <w:rFonts w:ascii="Arial Narrow" w:hAnsi="Arial Narrow" w:cs="Calibri"/>
                <w:b/>
                <w:bCs/>
                <w:sz w:val="20"/>
                <w:szCs w:val="20"/>
              </w:rPr>
              <w:t>9.97</w:t>
            </w:r>
          </w:p>
        </w:tc>
        <w:tc>
          <w:tcPr>
            <w:tcW w:w="459" w:type="pct"/>
            <w:shd w:val="clear" w:color="auto" w:fill="auto"/>
            <w:vAlign w:val="center"/>
          </w:tcPr>
          <w:p w14:paraId="2870C39D" w14:textId="77777777" w:rsidR="007D00BA" w:rsidRPr="007A4E7E" w:rsidRDefault="007D00BA" w:rsidP="0037577B">
            <w:pPr>
              <w:keepNext/>
              <w:keepLines/>
              <w:jc w:val="center"/>
              <w:rPr>
                <w:rFonts w:ascii="Arial Narrow" w:hAnsi="Arial Narrow" w:cs="Calibri"/>
                <w:b/>
                <w:bCs/>
                <w:sz w:val="20"/>
                <w:szCs w:val="20"/>
              </w:rPr>
            </w:pPr>
            <w:r w:rsidRPr="007A4E7E">
              <w:rPr>
                <w:rFonts w:ascii="Arial Narrow" w:hAnsi="Arial Narrow" w:cs="Calibri"/>
                <w:b/>
                <w:bCs/>
                <w:sz w:val="20"/>
                <w:szCs w:val="20"/>
              </w:rPr>
              <w:t>9.43</w:t>
            </w:r>
          </w:p>
        </w:tc>
        <w:tc>
          <w:tcPr>
            <w:tcW w:w="308" w:type="pct"/>
            <w:shd w:val="clear" w:color="auto" w:fill="auto"/>
            <w:vAlign w:val="center"/>
          </w:tcPr>
          <w:p w14:paraId="090D3987" w14:textId="77777777" w:rsidR="007D00BA" w:rsidRPr="007A4E7E" w:rsidRDefault="007D00BA" w:rsidP="0037577B">
            <w:pPr>
              <w:keepNext/>
              <w:keepLines/>
              <w:jc w:val="center"/>
              <w:rPr>
                <w:rFonts w:ascii="Arial Narrow" w:hAnsi="Arial Narrow" w:cs="Calibri"/>
                <w:b/>
                <w:bCs/>
                <w:sz w:val="20"/>
                <w:szCs w:val="20"/>
              </w:rPr>
            </w:pPr>
            <w:r w:rsidRPr="007A4E7E">
              <w:rPr>
                <w:rFonts w:ascii="Arial Narrow" w:hAnsi="Arial Narrow" w:cs="Calibri"/>
                <w:b/>
                <w:bCs/>
                <w:sz w:val="20"/>
                <w:szCs w:val="20"/>
              </w:rPr>
              <w:t>0.54</w:t>
            </w:r>
          </w:p>
        </w:tc>
        <w:tc>
          <w:tcPr>
            <w:tcW w:w="537" w:type="pct"/>
            <w:shd w:val="clear" w:color="auto" w:fill="auto"/>
            <w:vAlign w:val="center"/>
          </w:tcPr>
          <w:p w14:paraId="5B649B33" w14:textId="0EE056D7" w:rsidR="007D00BA" w:rsidRPr="007A4E7E" w:rsidRDefault="007D00BA" w:rsidP="0037577B">
            <w:pPr>
              <w:keepNext/>
              <w:keepLines/>
              <w:jc w:val="center"/>
              <w:rPr>
                <w:rFonts w:ascii="Arial Narrow" w:hAnsi="Arial Narrow" w:cs="Calibri"/>
                <w:b/>
                <w:bCs/>
                <w:sz w:val="20"/>
                <w:szCs w:val="20"/>
              </w:rPr>
            </w:pPr>
            <w:r w:rsidRPr="007A4E7E">
              <w:rPr>
                <w:rFonts w:ascii="Arial Narrow" w:hAnsi="Arial Narrow" w:cs="Calibri"/>
                <w:b/>
                <w:bCs/>
                <w:sz w:val="20"/>
                <w:szCs w:val="20"/>
              </w:rPr>
              <w:t>$</w:t>
            </w:r>
            <w:r w:rsidR="00DE6661" w:rsidRPr="00DE6661">
              <w:rPr>
                <w:rFonts w:ascii="Arial Narrow" w:hAnsi="Arial Narrow" w:cs="Calibri"/>
                <w:b/>
                <w:bCs/>
                <w:color w:val="000000"/>
                <w:spacing w:val="207"/>
                <w:sz w:val="20"/>
                <w:szCs w:val="20"/>
                <w:shd w:val="solid" w:color="000000" w:fill="000000"/>
                <w:fitText w:val="299" w:id="-962329598"/>
                <w14:textFill>
                  <w14:solidFill>
                    <w14:srgbClr w14:val="000000">
                      <w14:alpha w14:val="100000"/>
                    </w14:srgbClr>
                  </w14:solidFill>
                </w14:textFill>
              </w:rPr>
              <w:t>|</w:t>
            </w:r>
            <w:r w:rsidR="00DE6661" w:rsidRPr="00DE6661">
              <w:rPr>
                <w:rFonts w:ascii="Arial Narrow" w:hAnsi="Arial Narrow" w:cs="Calibri"/>
                <w:b/>
                <w:bCs/>
                <w:color w:val="000000"/>
                <w:spacing w:val="1"/>
                <w:sz w:val="20"/>
                <w:szCs w:val="20"/>
                <w:shd w:val="solid" w:color="000000" w:fill="000000"/>
                <w:fitText w:val="299" w:id="-962329598"/>
                <w14:textFill>
                  <w14:solidFill>
                    <w14:srgbClr w14:val="000000">
                      <w14:alpha w14:val="100000"/>
                    </w14:srgbClr>
                  </w14:solidFill>
                </w14:textFill>
              </w:rPr>
              <w:t>|</w:t>
            </w:r>
            <w:r w:rsidR="0028207B" w:rsidRPr="00914C1A">
              <w:rPr>
                <w:rFonts w:ascii="Arial Narrow" w:hAnsi="Arial Narrow" w:cs="Calibri"/>
                <w:b/>
                <w:bCs/>
                <w:sz w:val="20"/>
                <w:szCs w:val="20"/>
                <w:vertAlign w:val="superscript"/>
              </w:rPr>
              <w:t>1</w:t>
            </w:r>
          </w:p>
        </w:tc>
        <w:tc>
          <w:tcPr>
            <w:tcW w:w="416" w:type="pct"/>
            <w:vAlign w:val="center"/>
          </w:tcPr>
          <w:p w14:paraId="3DA2E558" w14:textId="77777777" w:rsidR="007D00BA" w:rsidRPr="007A4E7E" w:rsidRDefault="007D00BA" w:rsidP="0037577B">
            <w:pPr>
              <w:keepNext/>
              <w:keepLines/>
              <w:jc w:val="center"/>
              <w:rPr>
                <w:rFonts w:ascii="Arial Narrow" w:hAnsi="Arial Narrow" w:cs="Calibri"/>
                <w:i/>
                <w:iCs/>
                <w:sz w:val="20"/>
                <w:szCs w:val="20"/>
              </w:rPr>
            </w:pPr>
            <w:r w:rsidRPr="007A4E7E">
              <w:rPr>
                <w:rFonts w:ascii="Arial Narrow" w:hAnsi="Arial Narrow" w:cs="Calibri"/>
                <w:i/>
                <w:iCs/>
                <w:sz w:val="20"/>
                <w:szCs w:val="20"/>
              </w:rPr>
              <w:t>-</w:t>
            </w:r>
          </w:p>
        </w:tc>
      </w:tr>
      <w:tr w:rsidR="007D00BA" w:rsidRPr="007A4E7E" w14:paraId="06AAEF53" w14:textId="77777777" w:rsidTr="00914C1A">
        <w:trPr>
          <w:trHeight w:val="20"/>
        </w:trPr>
        <w:tc>
          <w:tcPr>
            <w:tcW w:w="5000" w:type="pct"/>
            <w:gridSpan w:val="9"/>
            <w:shd w:val="clear" w:color="auto" w:fill="auto"/>
            <w:vAlign w:val="center"/>
          </w:tcPr>
          <w:p w14:paraId="536C8EB1" w14:textId="77777777" w:rsidR="007D00BA" w:rsidRPr="007A4E7E" w:rsidRDefault="007D00BA" w:rsidP="0037577B">
            <w:pPr>
              <w:keepNext/>
              <w:keepLines/>
              <w:rPr>
                <w:rFonts w:ascii="Arial Narrow" w:hAnsi="Arial Narrow" w:cs="Calibri"/>
                <w:b/>
                <w:bCs/>
                <w:i/>
                <w:iCs/>
                <w:sz w:val="20"/>
                <w:szCs w:val="20"/>
              </w:rPr>
            </w:pPr>
            <w:r w:rsidRPr="007A4E7E">
              <w:rPr>
                <w:rFonts w:ascii="Arial Narrow" w:hAnsi="Arial Narrow" w:cstheme="minorHAnsi"/>
                <w:b/>
                <w:bCs/>
                <w:color w:val="000000"/>
                <w:sz w:val="20"/>
                <w:szCs w:val="20"/>
              </w:rPr>
              <w:t>Trial source data [mUFC≥1.3xULN, ORR, Week 26)</w:t>
            </w:r>
          </w:p>
        </w:tc>
      </w:tr>
      <w:tr w:rsidR="00F770F5" w:rsidRPr="007A4E7E" w14:paraId="04473500" w14:textId="77777777" w:rsidTr="00DE6661">
        <w:trPr>
          <w:trHeight w:val="20"/>
        </w:trPr>
        <w:tc>
          <w:tcPr>
            <w:tcW w:w="1209" w:type="pct"/>
            <w:shd w:val="clear" w:color="auto" w:fill="auto"/>
            <w:vAlign w:val="center"/>
          </w:tcPr>
          <w:p w14:paraId="66AC0084" w14:textId="77777777" w:rsidR="007D00BA" w:rsidRPr="007A4E7E" w:rsidRDefault="007D00BA" w:rsidP="0037577B">
            <w:pPr>
              <w:keepNext/>
              <w:keepLines/>
              <w:jc w:val="left"/>
              <w:rPr>
                <w:rFonts w:ascii="Arial Narrow" w:hAnsi="Arial Narrow" w:cstheme="minorHAnsi"/>
                <w:color w:val="000000"/>
                <w:sz w:val="20"/>
                <w:szCs w:val="20"/>
              </w:rPr>
            </w:pPr>
            <w:r w:rsidRPr="007A4E7E">
              <w:rPr>
                <w:rFonts w:ascii="Arial Narrow" w:hAnsi="Arial Narrow" w:cstheme="minorHAnsi"/>
                <w:color w:val="000000"/>
                <w:sz w:val="20"/>
                <w:szCs w:val="20"/>
              </w:rPr>
              <w:t>LINC 3</w:t>
            </w:r>
          </w:p>
        </w:tc>
        <w:tc>
          <w:tcPr>
            <w:tcW w:w="596" w:type="pct"/>
            <w:tcBorders>
              <w:bottom w:val="single" w:sz="4" w:space="0" w:color="auto"/>
            </w:tcBorders>
            <w:shd w:val="solid" w:color="000000" w:fill="000000"/>
            <w:vAlign w:val="center"/>
          </w:tcPr>
          <w:p w14:paraId="6F9CBF16" w14:textId="6259B5F1" w:rsidR="007D00BA" w:rsidRPr="00914C1A" w:rsidRDefault="00DE6661" w:rsidP="0037577B">
            <w:pPr>
              <w:keepNext/>
              <w:keepLines/>
              <w:jc w:val="center"/>
              <w:rPr>
                <w:rFonts w:ascii="Arial Narrow" w:hAnsi="Arial Narrow" w:cstheme="minorHAnsi"/>
                <w:color w:val="000000"/>
                <w:sz w:val="20"/>
                <w:szCs w:val="20"/>
                <w:highlight w:val="lightGray"/>
              </w:rPr>
            </w:pPr>
            <w:r w:rsidRPr="00DE6661">
              <w:rPr>
                <w:rFonts w:ascii="Arial Narrow" w:hAnsi="Arial Narrow" w:cs="Calibri" w:hint="eastAsia"/>
                <w:color w:val="000000"/>
                <w:w w:val="25"/>
                <w:sz w:val="20"/>
                <w:szCs w:val="20"/>
                <w:fitText w:val="113" w:id="-962329597"/>
                <w14:textFill>
                  <w14:solidFill>
                    <w14:srgbClr w14:val="000000">
                      <w14:alpha w14:val="100000"/>
                    </w14:srgbClr>
                  </w14:solidFill>
                </w14:textFill>
              </w:rPr>
              <w:t xml:space="preserve">　</w:t>
            </w:r>
            <w:r w:rsidRPr="00DE6661">
              <w:rPr>
                <w:rFonts w:ascii="Arial Narrow" w:hAnsi="Arial Narrow" w:cs="Calibri"/>
                <w:color w:val="000000"/>
                <w:w w:val="25"/>
                <w:sz w:val="20"/>
                <w:szCs w:val="20"/>
                <w:fitText w:val="113" w:id="-962329597"/>
                <w14:textFill>
                  <w14:solidFill>
                    <w14:srgbClr w14:val="000000">
                      <w14:alpha w14:val="100000"/>
                    </w14:srgbClr>
                  </w14:solidFill>
                </w14:textFill>
              </w:rPr>
              <w:t>|</w:t>
            </w:r>
            <w:r w:rsidRPr="00DE6661">
              <w:rPr>
                <w:rFonts w:ascii="Arial Narrow" w:hAnsi="Arial Narrow" w:cs="Calibri" w:hint="eastAsia"/>
                <w:color w:val="000000"/>
                <w:w w:val="25"/>
                <w:sz w:val="20"/>
                <w:szCs w:val="20"/>
                <w:fitText w:val="113" w:id="-962329597"/>
                <w14:textFill>
                  <w14:solidFill>
                    <w14:srgbClr w14:val="000000">
                      <w14:alpha w14:val="100000"/>
                    </w14:srgbClr>
                  </w14:solidFill>
                </w14:textFill>
              </w:rPr>
              <w:t xml:space="preserve">　</w:t>
            </w:r>
          </w:p>
        </w:tc>
        <w:tc>
          <w:tcPr>
            <w:tcW w:w="554" w:type="pct"/>
            <w:shd w:val="clear" w:color="auto" w:fill="auto"/>
            <w:vAlign w:val="center"/>
          </w:tcPr>
          <w:p w14:paraId="6B5BA7D9" w14:textId="77777777"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$43,693</w:t>
            </w:r>
          </w:p>
        </w:tc>
        <w:tc>
          <w:tcPr>
            <w:tcW w:w="538" w:type="pct"/>
            <w:tcBorders>
              <w:bottom w:val="single" w:sz="4" w:space="0" w:color="auto"/>
            </w:tcBorders>
            <w:shd w:val="solid" w:color="000000" w:fill="000000"/>
            <w:vAlign w:val="center"/>
          </w:tcPr>
          <w:p w14:paraId="36432F96" w14:textId="66139C14" w:rsidR="007D00BA" w:rsidRPr="00914C1A" w:rsidRDefault="00DE6661" w:rsidP="0037577B">
            <w:pPr>
              <w:keepNext/>
              <w:keepLines/>
              <w:jc w:val="center"/>
              <w:rPr>
                <w:rFonts w:ascii="Arial Narrow" w:hAnsi="Arial Narrow" w:cstheme="minorHAnsi"/>
                <w:color w:val="000000"/>
                <w:sz w:val="20"/>
                <w:szCs w:val="20"/>
                <w:highlight w:val="lightGray"/>
              </w:rPr>
            </w:pPr>
            <w:r w:rsidRPr="00DE6661">
              <w:rPr>
                <w:rFonts w:ascii="Arial Narrow" w:hAnsi="Arial Narrow" w:cs="Calibri"/>
                <w:color w:val="000000"/>
                <w:spacing w:val="101"/>
                <w:sz w:val="20"/>
                <w:szCs w:val="20"/>
                <w:fitText w:val="187" w:id="-962329596"/>
                <w14:textFill>
                  <w14:solidFill>
                    <w14:srgbClr w14:val="000000">
                      <w14:alpha w14:val="100000"/>
                    </w14:srgbClr>
                  </w14:solidFill>
                </w14:textFill>
              </w:rPr>
              <w:t>|</w:t>
            </w:r>
            <w:r w:rsidRPr="00DE6661">
              <w:rPr>
                <w:rFonts w:ascii="Arial Narrow" w:hAnsi="Arial Narrow" w:cs="Calibri"/>
                <w:color w:val="000000"/>
                <w:sz w:val="20"/>
                <w:szCs w:val="20"/>
                <w:fitText w:val="187" w:id="-962329596"/>
                <w14:textFill>
                  <w14:solidFill>
                    <w14:srgbClr w14:val="000000">
                      <w14:alpha w14:val="100000"/>
                    </w14:srgbClr>
                  </w14:solidFill>
                </w14:textFill>
              </w:rPr>
              <w:t>|</w:t>
            </w:r>
          </w:p>
        </w:tc>
        <w:tc>
          <w:tcPr>
            <w:tcW w:w="383" w:type="pct"/>
            <w:shd w:val="clear" w:color="auto" w:fill="auto"/>
            <w:vAlign w:val="center"/>
          </w:tcPr>
          <w:p w14:paraId="4A855BCB" w14:textId="77777777"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8.04</w:t>
            </w:r>
          </w:p>
        </w:tc>
        <w:tc>
          <w:tcPr>
            <w:tcW w:w="459" w:type="pct"/>
            <w:shd w:val="clear" w:color="auto" w:fill="auto"/>
            <w:vAlign w:val="center"/>
          </w:tcPr>
          <w:p w14:paraId="791F4D77" w14:textId="77777777"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7.56</w:t>
            </w:r>
          </w:p>
        </w:tc>
        <w:tc>
          <w:tcPr>
            <w:tcW w:w="308" w:type="pct"/>
            <w:shd w:val="clear" w:color="auto" w:fill="auto"/>
            <w:vAlign w:val="center"/>
          </w:tcPr>
          <w:p w14:paraId="40EBBC73" w14:textId="77777777"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0.48</w:t>
            </w:r>
          </w:p>
        </w:tc>
        <w:tc>
          <w:tcPr>
            <w:tcW w:w="537" w:type="pct"/>
            <w:shd w:val="clear" w:color="auto" w:fill="auto"/>
            <w:vAlign w:val="center"/>
          </w:tcPr>
          <w:p w14:paraId="2EA9691C" w14:textId="16B2A4A2"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157"/>
                <w:sz w:val="20"/>
                <w:szCs w:val="20"/>
                <w:shd w:val="solid" w:color="000000" w:fill="000000"/>
                <w:fitText w:val="243" w:id="-962329595"/>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43" w:id="-962329595"/>
                <w14:textFill>
                  <w14:solidFill>
                    <w14:srgbClr w14:val="000000">
                      <w14:alpha w14:val="100000"/>
                    </w14:srgbClr>
                  </w14:solidFill>
                </w14:textFill>
              </w:rPr>
              <w:t>|</w:t>
            </w:r>
            <w:r w:rsidR="0028207B">
              <w:rPr>
                <w:rFonts w:ascii="Arial Narrow" w:hAnsi="Arial Narrow" w:cs="Calibri"/>
                <w:b/>
                <w:bCs/>
                <w:sz w:val="20"/>
                <w:szCs w:val="20"/>
                <w:vertAlign w:val="superscript"/>
              </w:rPr>
              <w:t>2</w:t>
            </w:r>
          </w:p>
        </w:tc>
        <w:tc>
          <w:tcPr>
            <w:tcW w:w="416" w:type="pct"/>
            <w:vAlign w:val="center"/>
          </w:tcPr>
          <w:p w14:paraId="34322F24" w14:textId="1AAAD791" w:rsidR="007D00BA" w:rsidRPr="007A4E7E" w:rsidRDefault="00DE6661" w:rsidP="0037577B">
            <w:pPr>
              <w:keepNext/>
              <w:keepLines/>
              <w:jc w:val="center"/>
              <w:rPr>
                <w:rFonts w:ascii="Arial Narrow" w:hAnsi="Arial Narrow" w:cs="Calibri"/>
                <w:iCs/>
                <w:sz w:val="20"/>
                <w:szCs w:val="20"/>
              </w:rPr>
            </w:pPr>
            <w:r w:rsidRPr="00DE6661">
              <w:rPr>
                <w:rFonts w:ascii="Arial Narrow" w:hAnsi="Arial Narrow"/>
                <w:iCs/>
                <w:color w:val="000000"/>
                <w:spacing w:val="214"/>
                <w:sz w:val="20"/>
                <w:szCs w:val="20"/>
                <w:shd w:val="solid" w:color="000000" w:fill="000000"/>
                <w:fitText w:val="300" w:id="-962329594"/>
                <w14:textFill>
                  <w14:solidFill>
                    <w14:srgbClr w14:val="000000">
                      <w14:alpha w14:val="100000"/>
                    </w14:srgbClr>
                  </w14:solidFill>
                </w14:textFill>
              </w:rPr>
              <w:t>|</w:t>
            </w:r>
            <w:r w:rsidRPr="00DE6661">
              <w:rPr>
                <w:rFonts w:ascii="Arial Narrow" w:hAnsi="Arial Narrow"/>
                <w:iCs/>
                <w:color w:val="000000"/>
                <w:spacing w:val="1"/>
                <w:sz w:val="20"/>
                <w:szCs w:val="20"/>
                <w:shd w:val="solid" w:color="000000" w:fill="000000"/>
                <w:fitText w:val="300" w:id="-962329594"/>
                <w14:textFill>
                  <w14:solidFill>
                    <w14:srgbClr w14:val="000000">
                      <w14:alpha w14:val="100000"/>
                    </w14:srgbClr>
                  </w14:solidFill>
                </w14:textFill>
              </w:rPr>
              <w:t>|</w:t>
            </w:r>
            <w:r w:rsidR="007D00BA" w:rsidRPr="007A4E7E">
              <w:rPr>
                <w:rFonts w:ascii="Arial Narrow" w:hAnsi="Arial Narrow"/>
                <w:iCs/>
                <w:sz w:val="20"/>
                <w:szCs w:val="20"/>
              </w:rPr>
              <w:t>%</w:t>
            </w:r>
          </w:p>
        </w:tc>
      </w:tr>
      <w:tr w:rsidR="00F770F5" w:rsidRPr="007A4E7E" w14:paraId="55C1C0DA" w14:textId="77777777" w:rsidTr="00DE6661">
        <w:trPr>
          <w:trHeight w:val="20"/>
        </w:trPr>
        <w:tc>
          <w:tcPr>
            <w:tcW w:w="1209" w:type="pct"/>
            <w:shd w:val="clear" w:color="auto" w:fill="auto"/>
            <w:vAlign w:val="center"/>
          </w:tcPr>
          <w:p w14:paraId="3AC8E7F7" w14:textId="77777777" w:rsidR="007D00BA" w:rsidRPr="007A4E7E" w:rsidRDefault="007D00BA" w:rsidP="0037577B">
            <w:pPr>
              <w:keepNext/>
              <w:keepLines/>
              <w:jc w:val="left"/>
              <w:rPr>
                <w:rFonts w:ascii="Arial Narrow" w:hAnsi="Arial Narrow" w:cstheme="minorHAnsi"/>
                <w:color w:val="000000"/>
                <w:sz w:val="20"/>
                <w:szCs w:val="20"/>
              </w:rPr>
            </w:pPr>
            <w:r w:rsidRPr="007A4E7E">
              <w:rPr>
                <w:rFonts w:ascii="Arial Narrow" w:hAnsi="Arial Narrow" w:cstheme="minorHAnsi"/>
                <w:color w:val="000000"/>
                <w:sz w:val="20"/>
                <w:szCs w:val="20"/>
              </w:rPr>
              <w:t>LINC 3&amp;LINC 4 Pooled</w:t>
            </w:r>
          </w:p>
        </w:tc>
        <w:tc>
          <w:tcPr>
            <w:tcW w:w="596" w:type="pct"/>
            <w:shd w:val="solid" w:color="000000" w:fill="000000"/>
            <w:vAlign w:val="center"/>
          </w:tcPr>
          <w:p w14:paraId="4877B397" w14:textId="52B7CF3A" w:rsidR="007D00BA" w:rsidRPr="00914C1A" w:rsidRDefault="00DE6661" w:rsidP="0037577B">
            <w:pPr>
              <w:keepNext/>
              <w:keepLines/>
              <w:jc w:val="center"/>
              <w:rPr>
                <w:rFonts w:ascii="Arial Narrow" w:hAnsi="Arial Narrow" w:cstheme="minorHAnsi"/>
                <w:color w:val="000000"/>
                <w:sz w:val="20"/>
                <w:szCs w:val="20"/>
                <w:highlight w:val="lightGray"/>
              </w:rPr>
            </w:pPr>
            <w:r w:rsidRPr="00DE6661">
              <w:rPr>
                <w:rFonts w:ascii="Arial Narrow" w:hAnsi="Arial Narrow" w:cs="Calibri" w:hint="eastAsia"/>
                <w:color w:val="000000"/>
                <w:w w:val="25"/>
                <w:sz w:val="20"/>
                <w:szCs w:val="20"/>
                <w:fitText w:val="113" w:id="-962329593"/>
                <w14:textFill>
                  <w14:solidFill>
                    <w14:srgbClr w14:val="000000">
                      <w14:alpha w14:val="100000"/>
                    </w14:srgbClr>
                  </w14:solidFill>
                </w14:textFill>
              </w:rPr>
              <w:t xml:space="preserve">　</w:t>
            </w:r>
            <w:r w:rsidRPr="00DE6661">
              <w:rPr>
                <w:rFonts w:ascii="Arial Narrow" w:hAnsi="Arial Narrow" w:cs="Calibri"/>
                <w:color w:val="000000"/>
                <w:w w:val="25"/>
                <w:sz w:val="20"/>
                <w:szCs w:val="20"/>
                <w:fitText w:val="113" w:id="-962329593"/>
                <w14:textFill>
                  <w14:solidFill>
                    <w14:srgbClr w14:val="000000">
                      <w14:alpha w14:val="100000"/>
                    </w14:srgbClr>
                  </w14:solidFill>
                </w14:textFill>
              </w:rPr>
              <w:t>|</w:t>
            </w:r>
            <w:r w:rsidRPr="00DE6661">
              <w:rPr>
                <w:rFonts w:ascii="Arial Narrow" w:hAnsi="Arial Narrow" w:cs="Calibri" w:hint="eastAsia"/>
                <w:color w:val="000000"/>
                <w:w w:val="25"/>
                <w:sz w:val="20"/>
                <w:szCs w:val="20"/>
                <w:fitText w:val="113" w:id="-962329593"/>
                <w14:textFill>
                  <w14:solidFill>
                    <w14:srgbClr w14:val="000000">
                      <w14:alpha w14:val="100000"/>
                    </w14:srgbClr>
                  </w14:solidFill>
                </w14:textFill>
              </w:rPr>
              <w:t xml:space="preserve">　</w:t>
            </w:r>
          </w:p>
        </w:tc>
        <w:tc>
          <w:tcPr>
            <w:tcW w:w="554" w:type="pct"/>
            <w:shd w:val="clear" w:color="auto" w:fill="auto"/>
            <w:vAlign w:val="center"/>
          </w:tcPr>
          <w:p w14:paraId="33317EEC" w14:textId="77777777"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$43,724</w:t>
            </w:r>
          </w:p>
        </w:tc>
        <w:tc>
          <w:tcPr>
            <w:tcW w:w="538" w:type="pct"/>
            <w:shd w:val="solid" w:color="000000" w:fill="000000"/>
            <w:vAlign w:val="center"/>
          </w:tcPr>
          <w:p w14:paraId="0CDF0020" w14:textId="767B52E9" w:rsidR="007D00BA" w:rsidRPr="00914C1A" w:rsidRDefault="00DE6661" w:rsidP="0037577B">
            <w:pPr>
              <w:keepNext/>
              <w:keepLines/>
              <w:jc w:val="center"/>
              <w:rPr>
                <w:rFonts w:ascii="Arial Narrow" w:hAnsi="Arial Narrow" w:cstheme="minorHAnsi"/>
                <w:color w:val="000000"/>
                <w:sz w:val="20"/>
                <w:szCs w:val="20"/>
                <w:highlight w:val="lightGray"/>
              </w:rPr>
            </w:pPr>
            <w:r w:rsidRPr="00DE6661">
              <w:rPr>
                <w:rFonts w:ascii="Arial Narrow" w:hAnsi="Arial Narrow" w:cs="Calibri"/>
                <w:color w:val="000000"/>
                <w:spacing w:val="101"/>
                <w:sz w:val="20"/>
                <w:szCs w:val="20"/>
                <w:fitText w:val="187" w:id="-962329592"/>
                <w14:textFill>
                  <w14:solidFill>
                    <w14:srgbClr w14:val="000000">
                      <w14:alpha w14:val="100000"/>
                    </w14:srgbClr>
                  </w14:solidFill>
                </w14:textFill>
              </w:rPr>
              <w:t>|</w:t>
            </w:r>
            <w:r w:rsidRPr="00DE6661">
              <w:rPr>
                <w:rFonts w:ascii="Arial Narrow" w:hAnsi="Arial Narrow" w:cs="Calibri"/>
                <w:color w:val="000000"/>
                <w:sz w:val="20"/>
                <w:szCs w:val="20"/>
                <w:fitText w:val="187" w:id="-962329592"/>
                <w14:textFill>
                  <w14:solidFill>
                    <w14:srgbClr w14:val="000000">
                      <w14:alpha w14:val="100000"/>
                    </w14:srgbClr>
                  </w14:solidFill>
                </w14:textFill>
              </w:rPr>
              <w:t>|</w:t>
            </w:r>
          </w:p>
        </w:tc>
        <w:tc>
          <w:tcPr>
            <w:tcW w:w="383" w:type="pct"/>
            <w:shd w:val="clear" w:color="auto" w:fill="auto"/>
            <w:vAlign w:val="center"/>
          </w:tcPr>
          <w:p w14:paraId="62147DAD" w14:textId="77777777"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9.08</w:t>
            </w:r>
          </w:p>
        </w:tc>
        <w:tc>
          <w:tcPr>
            <w:tcW w:w="459" w:type="pct"/>
            <w:shd w:val="clear" w:color="auto" w:fill="auto"/>
            <w:vAlign w:val="center"/>
          </w:tcPr>
          <w:p w14:paraId="47263C93" w14:textId="77777777"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8.48</w:t>
            </w:r>
          </w:p>
        </w:tc>
        <w:tc>
          <w:tcPr>
            <w:tcW w:w="308" w:type="pct"/>
            <w:shd w:val="clear" w:color="auto" w:fill="auto"/>
            <w:vAlign w:val="center"/>
          </w:tcPr>
          <w:p w14:paraId="20EEAE5E" w14:textId="77777777"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0.60</w:t>
            </w:r>
          </w:p>
        </w:tc>
        <w:tc>
          <w:tcPr>
            <w:tcW w:w="537" w:type="pct"/>
            <w:shd w:val="clear" w:color="auto" w:fill="auto"/>
            <w:vAlign w:val="center"/>
          </w:tcPr>
          <w:p w14:paraId="7FA41340" w14:textId="30A4883C" w:rsidR="007D00BA" w:rsidRPr="007A4E7E" w:rsidRDefault="007D00BA" w:rsidP="0037577B">
            <w:pPr>
              <w:keepNext/>
              <w:keepLines/>
              <w:jc w:val="center"/>
              <w:rPr>
                <w:rFonts w:ascii="Arial Narrow" w:hAnsi="Arial Narrow" w:cstheme="minorHAnsi"/>
                <w:color w:val="000000"/>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157"/>
                <w:sz w:val="20"/>
                <w:szCs w:val="20"/>
                <w:shd w:val="solid" w:color="000000" w:fill="000000"/>
                <w:fitText w:val="243" w:id="-962329591"/>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43" w:id="-962329591"/>
                <w14:textFill>
                  <w14:solidFill>
                    <w14:srgbClr w14:val="000000">
                      <w14:alpha w14:val="100000"/>
                    </w14:srgbClr>
                  </w14:solidFill>
                </w14:textFill>
              </w:rPr>
              <w:t>|</w:t>
            </w:r>
            <w:r w:rsidR="00F770F5">
              <w:rPr>
                <w:rFonts w:ascii="Arial Narrow" w:hAnsi="Arial Narrow" w:cs="Calibri"/>
                <w:sz w:val="20"/>
                <w:szCs w:val="20"/>
                <w:vertAlign w:val="superscript"/>
              </w:rPr>
              <w:t>1</w:t>
            </w:r>
          </w:p>
        </w:tc>
        <w:tc>
          <w:tcPr>
            <w:tcW w:w="416" w:type="pct"/>
            <w:vAlign w:val="center"/>
          </w:tcPr>
          <w:p w14:paraId="54838CEA" w14:textId="13E470F7" w:rsidR="007D00BA" w:rsidRPr="007A4E7E" w:rsidRDefault="00DE6661" w:rsidP="0037577B">
            <w:pPr>
              <w:keepNext/>
              <w:keepLines/>
              <w:jc w:val="center"/>
              <w:rPr>
                <w:rFonts w:ascii="Arial Narrow" w:hAnsi="Arial Narrow" w:cs="Calibri"/>
                <w:iCs/>
                <w:sz w:val="20"/>
                <w:szCs w:val="20"/>
              </w:rPr>
            </w:pPr>
            <w:r w:rsidRPr="00DE6661">
              <w:rPr>
                <w:rFonts w:ascii="Arial Narrow" w:hAnsi="Arial Narrow"/>
                <w:iCs/>
                <w:color w:val="000000"/>
                <w:spacing w:val="214"/>
                <w:sz w:val="20"/>
                <w:szCs w:val="20"/>
                <w:shd w:val="solid" w:color="000000" w:fill="000000"/>
                <w:fitText w:val="300" w:id="-962329590"/>
                <w14:textFill>
                  <w14:solidFill>
                    <w14:srgbClr w14:val="000000">
                      <w14:alpha w14:val="100000"/>
                    </w14:srgbClr>
                  </w14:solidFill>
                </w14:textFill>
              </w:rPr>
              <w:t>|</w:t>
            </w:r>
            <w:r w:rsidRPr="00DE6661">
              <w:rPr>
                <w:rFonts w:ascii="Arial Narrow" w:hAnsi="Arial Narrow"/>
                <w:iCs/>
                <w:color w:val="000000"/>
                <w:spacing w:val="1"/>
                <w:sz w:val="20"/>
                <w:szCs w:val="20"/>
                <w:shd w:val="solid" w:color="000000" w:fill="000000"/>
                <w:fitText w:val="300" w:id="-962329590"/>
                <w14:textFill>
                  <w14:solidFill>
                    <w14:srgbClr w14:val="000000">
                      <w14:alpha w14:val="100000"/>
                    </w14:srgbClr>
                  </w14:solidFill>
                </w14:textFill>
              </w:rPr>
              <w:t>|</w:t>
            </w:r>
            <w:r w:rsidR="007D00BA" w:rsidRPr="007A4E7E">
              <w:rPr>
                <w:rFonts w:ascii="Arial Narrow" w:hAnsi="Arial Narrow"/>
                <w:iCs/>
                <w:sz w:val="20"/>
                <w:szCs w:val="20"/>
              </w:rPr>
              <w:t>%</w:t>
            </w:r>
          </w:p>
        </w:tc>
      </w:tr>
      <w:tr w:rsidR="007D00BA" w:rsidRPr="007A4E7E" w14:paraId="5DADCB00" w14:textId="77777777" w:rsidTr="00914C1A">
        <w:trPr>
          <w:trHeight w:val="20"/>
        </w:trPr>
        <w:tc>
          <w:tcPr>
            <w:tcW w:w="5000" w:type="pct"/>
            <w:gridSpan w:val="9"/>
            <w:shd w:val="clear" w:color="auto" w:fill="auto"/>
            <w:vAlign w:val="center"/>
          </w:tcPr>
          <w:p w14:paraId="05104EDB" w14:textId="77777777" w:rsidR="007D00BA" w:rsidRPr="007A4E7E" w:rsidRDefault="007D00BA" w:rsidP="00914C1A">
            <w:pPr>
              <w:keepNext/>
              <w:keepLines/>
              <w:rPr>
                <w:rFonts w:ascii="Arial Narrow" w:hAnsi="Arial Narrow"/>
                <w:b/>
                <w:bCs/>
                <w:sz w:val="20"/>
                <w:szCs w:val="20"/>
              </w:rPr>
            </w:pPr>
            <w:r w:rsidRPr="007A4E7E">
              <w:rPr>
                <w:rFonts w:ascii="Arial Narrow" w:hAnsi="Arial Narrow"/>
                <w:b/>
                <w:bCs/>
                <w:sz w:val="20"/>
                <w:szCs w:val="20"/>
              </w:rPr>
              <w:t>DoR parametric distributions</w:t>
            </w:r>
          </w:p>
        </w:tc>
      </w:tr>
      <w:tr w:rsidR="00F770F5" w:rsidRPr="007A4E7E" w14:paraId="525CB1E1" w14:textId="77777777" w:rsidTr="00DE6661">
        <w:trPr>
          <w:trHeight w:val="20"/>
        </w:trPr>
        <w:tc>
          <w:tcPr>
            <w:tcW w:w="1209" w:type="pct"/>
            <w:shd w:val="clear" w:color="auto" w:fill="auto"/>
            <w:vAlign w:val="center"/>
          </w:tcPr>
          <w:p w14:paraId="6F51959D" w14:textId="77777777" w:rsidR="007D00BA" w:rsidRPr="007A4E7E" w:rsidRDefault="007D00BA" w:rsidP="00914C1A">
            <w:pPr>
              <w:keepNext/>
              <w:keepLines/>
              <w:jc w:val="left"/>
              <w:rPr>
                <w:rFonts w:ascii="Arial Narrow" w:hAnsi="Arial Narrow" w:cstheme="minorHAnsi"/>
                <w:color w:val="000000"/>
                <w:sz w:val="20"/>
                <w:szCs w:val="20"/>
              </w:rPr>
            </w:pPr>
            <w:r w:rsidRPr="007A4E7E">
              <w:rPr>
                <w:rFonts w:ascii="Arial Narrow" w:hAnsi="Arial Narrow" w:cstheme="minorHAnsi"/>
                <w:color w:val="000000"/>
                <w:sz w:val="20"/>
                <w:szCs w:val="20"/>
              </w:rPr>
              <w:t>Exponential</w:t>
            </w:r>
          </w:p>
        </w:tc>
        <w:tc>
          <w:tcPr>
            <w:tcW w:w="596" w:type="pct"/>
            <w:tcBorders>
              <w:bottom w:val="single" w:sz="4" w:space="0" w:color="auto"/>
            </w:tcBorders>
            <w:shd w:val="solid" w:color="000000" w:fill="000000"/>
            <w:vAlign w:val="center"/>
          </w:tcPr>
          <w:p w14:paraId="27E5A757" w14:textId="5E333373" w:rsidR="007D00BA" w:rsidRPr="00914C1A" w:rsidRDefault="00DE6661" w:rsidP="00914C1A">
            <w:pPr>
              <w:keepNext/>
              <w:keepLines/>
              <w:jc w:val="center"/>
              <w:rPr>
                <w:rFonts w:ascii="Arial Narrow" w:hAnsi="Arial Narrow" w:cstheme="minorHAnsi"/>
                <w:color w:val="000000"/>
                <w:sz w:val="20"/>
                <w:szCs w:val="20"/>
                <w:highlight w:val="lightGray"/>
              </w:rPr>
            </w:pPr>
            <w:r w:rsidRPr="00DE6661">
              <w:rPr>
                <w:rFonts w:ascii="Arial Narrow" w:hAnsi="Arial Narrow" w:cs="Calibri" w:hint="eastAsia"/>
                <w:color w:val="000000"/>
                <w:w w:val="25"/>
                <w:sz w:val="20"/>
                <w:szCs w:val="20"/>
                <w:fitText w:val="113" w:id="-962329589"/>
                <w14:textFill>
                  <w14:solidFill>
                    <w14:srgbClr w14:val="000000">
                      <w14:alpha w14:val="100000"/>
                    </w14:srgbClr>
                  </w14:solidFill>
                </w14:textFill>
              </w:rPr>
              <w:t xml:space="preserve">　</w:t>
            </w:r>
            <w:r w:rsidRPr="00DE6661">
              <w:rPr>
                <w:rFonts w:ascii="Arial Narrow" w:hAnsi="Arial Narrow" w:cs="Calibri"/>
                <w:color w:val="000000"/>
                <w:w w:val="25"/>
                <w:sz w:val="20"/>
                <w:szCs w:val="20"/>
                <w:fitText w:val="113" w:id="-962329589"/>
                <w14:textFill>
                  <w14:solidFill>
                    <w14:srgbClr w14:val="000000">
                      <w14:alpha w14:val="100000"/>
                    </w14:srgbClr>
                  </w14:solidFill>
                </w14:textFill>
              </w:rPr>
              <w:t>|</w:t>
            </w:r>
            <w:r w:rsidRPr="00DE6661">
              <w:rPr>
                <w:rFonts w:ascii="Arial Narrow" w:hAnsi="Arial Narrow" w:cs="Calibri" w:hint="eastAsia"/>
                <w:color w:val="000000"/>
                <w:w w:val="25"/>
                <w:sz w:val="20"/>
                <w:szCs w:val="20"/>
                <w:fitText w:val="113" w:id="-962329589"/>
                <w14:textFill>
                  <w14:solidFill>
                    <w14:srgbClr w14:val="000000">
                      <w14:alpha w14:val="100000"/>
                    </w14:srgbClr>
                  </w14:solidFill>
                </w14:textFill>
              </w:rPr>
              <w:t xml:space="preserve">　</w:t>
            </w:r>
          </w:p>
        </w:tc>
        <w:tc>
          <w:tcPr>
            <w:tcW w:w="554" w:type="pct"/>
            <w:shd w:val="clear" w:color="auto" w:fill="auto"/>
            <w:vAlign w:val="center"/>
          </w:tcPr>
          <w:p w14:paraId="30517F76"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$44,638</w:t>
            </w:r>
          </w:p>
        </w:tc>
        <w:tc>
          <w:tcPr>
            <w:tcW w:w="538" w:type="pct"/>
            <w:tcBorders>
              <w:bottom w:val="single" w:sz="4" w:space="0" w:color="auto"/>
            </w:tcBorders>
            <w:shd w:val="solid" w:color="000000" w:fill="000000"/>
            <w:vAlign w:val="center"/>
          </w:tcPr>
          <w:p w14:paraId="419396F4" w14:textId="02F4D51E" w:rsidR="007D00BA" w:rsidRPr="00914C1A" w:rsidRDefault="00DE6661" w:rsidP="00914C1A">
            <w:pPr>
              <w:keepNext/>
              <w:keepLines/>
              <w:jc w:val="center"/>
              <w:rPr>
                <w:rFonts w:ascii="Arial Narrow" w:hAnsi="Arial Narrow" w:cstheme="minorHAnsi"/>
                <w:color w:val="000000"/>
                <w:sz w:val="20"/>
                <w:szCs w:val="20"/>
                <w:highlight w:val="lightGray"/>
              </w:rPr>
            </w:pPr>
            <w:r w:rsidRPr="00DE6661">
              <w:rPr>
                <w:rFonts w:ascii="Arial Narrow" w:hAnsi="Arial Narrow" w:cs="Calibri"/>
                <w:color w:val="000000"/>
                <w:spacing w:val="101"/>
                <w:sz w:val="20"/>
                <w:szCs w:val="20"/>
                <w:fitText w:val="187" w:id="-962329588"/>
                <w14:textFill>
                  <w14:solidFill>
                    <w14:srgbClr w14:val="000000">
                      <w14:alpha w14:val="100000"/>
                    </w14:srgbClr>
                  </w14:solidFill>
                </w14:textFill>
              </w:rPr>
              <w:t>|</w:t>
            </w:r>
            <w:r w:rsidRPr="00DE6661">
              <w:rPr>
                <w:rFonts w:ascii="Arial Narrow" w:hAnsi="Arial Narrow" w:cs="Calibri"/>
                <w:color w:val="000000"/>
                <w:sz w:val="20"/>
                <w:szCs w:val="20"/>
                <w:fitText w:val="187" w:id="-962329588"/>
                <w14:textFill>
                  <w14:solidFill>
                    <w14:srgbClr w14:val="000000">
                      <w14:alpha w14:val="100000"/>
                    </w14:srgbClr>
                  </w14:solidFill>
                </w14:textFill>
              </w:rPr>
              <w:t>|</w:t>
            </w:r>
          </w:p>
        </w:tc>
        <w:tc>
          <w:tcPr>
            <w:tcW w:w="383" w:type="pct"/>
            <w:shd w:val="clear" w:color="auto" w:fill="auto"/>
            <w:vAlign w:val="center"/>
          </w:tcPr>
          <w:p w14:paraId="5612D43F"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9.79</w:t>
            </w:r>
          </w:p>
        </w:tc>
        <w:tc>
          <w:tcPr>
            <w:tcW w:w="459" w:type="pct"/>
            <w:shd w:val="clear" w:color="auto" w:fill="auto"/>
            <w:vAlign w:val="center"/>
          </w:tcPr>
          <w:p w14:paraId="2B656B46"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9.39</w:t>
            </w:r>
          </w:p>
        </w:tc>
        <w:tc>
          <w:tcPr>
            <w:tcW w:w="308" w:type="pct"/>
            <w:shd w:val="clear" w:color="auto" w:fill="auto"/>
            <w:vAlign w:val="center"/>
          </w:tcPr>
          <w:p w14:paraId="6CD135F7"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0.41</w:t>
            </w:r>
          </w:p>
        </w:tc>
        <w:tc>
          <w:tcPr>
            <w:tcW w:w="537" w:type="pct"/>
            <w:shd w:val="clear" w:color="auto" w:fill="auto"/>
            <w:vAlign w:val="center"/>
          </w:tcPr>
          <w:p w14:paraId="31104742" w14:textId="26A22F8A"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157"/>
                <w:sz w:val="20"/>
                <w:szCs w:val="20"/>
                <w:shd w:val="solid" w:color="000000" w:fill="000000"/>
                <w:fitText w:val="243" w:id="-962329587"/>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43" w:id="-962329587"/>
                <w14:textFill>
                  <w14:solidFill>
                    <w14:srgbClr w14:val="000000">
                      <w14:alpha w14:val="100000"/>
                    </w14:srgbClr>
                  </w14:solidFill>
                </w14:textFill>
              </w:rPr>
              <w:t>|</w:t>
            </w:r>
            <w:r w:rsidR="00F770F5">
              <w:rPr>
                <w:rFonts w:ascii="Arial Narrow" w:hAnsi="Arial Narrow" w:cs="Calibri"/>
                <w:b/>
                <w:bCs/>
                <w:sz w:val="20"/>
                <w:szCs w:val="20"/>
                <w:vertAlign w:val="superscript"/>
              </w:rPr>
              <w:t>1</w:t>
            </w:r>
          </w:p>
        </w:tc>
        <w:tc>
          <w:tcPr>
            <w:tcW w:w="416" w:type="pct"/>
            <w:vAlign w:val="center"/>
          </w:tcPr>
          <w:p w14:paraId="588A72A3" w14:textId="581F5526" w:rsidR="007D00BA" w:rsidRPr="007A4E7E" w:rsidRDefault="00DE6661" w:rsidP="00914C1A">
            <w:pPr>
              <w:keepNext/>
              <w:keepLines/>
              <w:jc w:val="center"/>
              <w:rPr>
                <w:rFonts w:ascii="Arial Narrow" w:hAnsi="Arial Narrow" w:cs="Calibri"/>
                <w:iCs/>
                <w:sz w:val="20"/>
                <w:szCs w:val="20"/>
              </w:rPr>
            </w:pPr>
            <w:r w:rsidRPr="00DE6661">
              <w:rPr>
                <w:rFonts w:ascii="Arial Narrow" w:hAnsi="Arial Narrow"/>
                <w:iCs/>
                <w:color w:val="000000"/>
                <w:spacing w:val="214"/>
                <w:sz w:val="20"/>
                <w:szCs w:val="20"/>
                <w:shd w:val="solid" w:color="000000" w:fill="000000"/>
                <w:fitText w:val="300" w:id="-962329586"/>
                <w14:textFill>
                  <w14:solidFill>
                    <w14:srgbClr w14:val="000000">
                      <w14:alpha w14:val="100000"/>
                    </w14:srgbClr>
                  </w14:solidFill>
                </w14:textFill>
              </w:rPr>
              <w:t>|</w:t>
            </w:r>
            <w:r w:rsidRPr="00DE6661">
              <w:rPr>
                <w:rFonts w:ascii="Arial Narrow" w:hAnsi="Arial Narrow"/>
                <w:iCs/>
                <w:color w:val="000000"/>
                <w:spacing w:val="1"/>
                <w:sz w:val="20"/>
                <w:szCs w:val="20"/>
                <w:shd w:val="solid" w:color="000000" w:fill="000000"/>
                <w:fitText w:val="300" w:id="-962329586"/>
                <w14:textFill>
                  <w14:solidFill>
                    <w14:srgbClr w14:val="000000">
                      <w14:alpha w14:val="100000"/>
                    </w14:srgbClr>
                  </w14:solidFill>
                </w14:textFill>
              </w:rPr>
              <w:t>|</w:t>
            </w:r>
            <w:r w:rsidR="007D00BA" w:rsidRPr="007A4E7E">
              <w:rPr>
                <w:rFonts w:ascii="Arial Narrow" w:hAnsi="Arial Narrow"/>
                <w:iCs/>
                <w:sz w:val="20"/>
                <w:szCs w:val="20"/>
              </w:rPr>
              <w:t>%</w:t>
            </w:r>
          </w:p>
        </w:tc>
      </w:tr>
      <w:tr w:rsidR="00F770F5" w:rsidRPr="007A4E7E" w14:paraId="78DDDE03" w14:textId="77777777" w:rsidTr="00DE6661">
        <w:trPr>
          <w:trHeight w:val="20"/>
        </w:trPr>
        <w:tc>
          <w:tcPr>
            <w:tcW w:w="1209" w:type="pct"/>
            <w:shd w:val="clear" w:color="auto" w:fill="auto"/>
            <w:vAlign w:val="center"/>
          </w:tcPr>
          <w:p w14:paraId="4920D656" w14:textId="77777777" w:rsidR="007D00BA" w:rsidRPr="007A4E7E" w:rsidRDefault="007D00BA" w:rsidP="00914C1A">
            <w:pPr>
              <w:keepNext/>
              <w:keepLines/>
              <w:jc w:val="left"/>
              <w:rPr>
                <w:rFonts w:ascii="Arial Narrow" w:hAnsi="Arial Narrow" w:cstheme="minorHAnsi"/>
                <w:color w:val="000000"/>
                <w:sz w:val="20"/>
                <w:szCs w:val="20"/>
              </w:rPr>
            </w:pPr>
            <w:r w:rsidRPr="007A4E7E">
              <w:rPr>
                <w:rFonts w:ascii="Arial Narrow" w:hAnsi="Arial Narrow" w:cstheme="minorHAnsi"/>
                <w:color w:val="000000"/>
                <w:sz w:val="20"/>
                <w:szCs w:val="20"/>
              </w:rPr>
              <w:t>Loglogistic</w:t>
            </w:r>
          </w:p>
        </w:tc>
        <w:tc>
          <w:tcPr>
            <w:tcW w:w="596" w:type="pct"/>
            <w:shd w:val="solid" w:color="000000" w:fill="000000"/>
            <w:vAlign w:val="center"/>
          </w:tcPr>
          <w:p w14:paraId="0BCB73AB" w14:textId="7C7F2B2D" w:rsidR="007D00BA" w:rsidRPr="00914C1A" w:rsidRDefault="00DE6661" w:rsidP="00914C1A">
            <w:pPr>
              <w:keepNext/>
              <w:keepLines/>
              <w:jc w:val="center"/>
              <w:rPr>
                <w:rFonts w:ascii="Arial Narrow" w:hAnsi="Arial Narrow" w:cstheme="minorHAnsi"/>
                <w:color w:val="000000"/>
                <w:sz w:val="20"/>
                <w:szCs w:val="20"/>
                <w:highlight w:val="lightGray"/>
              </w:rPr>
            </w:pPr>
            <w:r w:rsidRPr="00DE6661">
              <w:rPr>
                <w:rFonts w:ascii="Arial Narrow" w:hAnsi="Arial Narrow" w:cs="Calibri" w:hint="eastAsia"/>
                <w:color w:val="000000"/>
                <w:w w:val="25"/>
                <w:sz w:val="20"/>
                <w:szCs w:val="20"/>
                <w:fitText w:val="113" w:id="-962329585"/>
                <w14:textFill>
                  <w14:solidFill>
                    <w14:srgbClr w14:val="000000">
                      <w14:alpha w14:val="100000"/>
                    </w14:srgbClr>
                  </w14:solidFill>
                </w14:textFill>
              </w:rPr>
              <w:t xml:space="preserve">　</w:t>
            </w:r>
            <w:r w:rsidRPr="00DE6661">
              <w:rPr>
                <w:rFonts w:ascii="Arial Narrow" w:hAnsi="Arial Narrow" w:cs="Calibri"/>
                <w:color w:val="000000"/>
                <w:w w:val="25"/>
                <w:sz w:val="20"/>
                <w:szCs w:val="20"/>
                <w:fitText w:val="113" w:id="-962329585"/>
                <w14:textFill>
                  <w14:solidFill>
                    <w14:srgbClr w14:val="000000">
                      <w14:alpha w14:val="100000"/>
                    </w14:srgbClr>
                  </w14:solidFill>
                </w14:textFill>
              </w:rPr>
              <w:t>|</w:t>
            </w:r>
            <w:r w:rsidRPr="00DE6661">
              <w:rPr>
                <w:rFonts w:ascii="Arial Narrow" w:hAnsi="Arial Narrow" w:cs="Calibri" w:hint="eastAsia"/>
                <w:color w:val="000000"/>
                <w:w w:val="25"/>
                <w:sz w:val="20"/>
                <w:szCs w:val="20"/>
                <w:fitText w:val="113" w:id="-962329585"/>
                <w14:textFill>
                  <w14:solidFill>
                    <w14:srgbClr w14:val="000000">
                      <w14:alpha w14:val="100000"/>
                    </w14:srgbClr>
                  </w14:solidFill>
                </w14:textFill>
              </w:rPr>
              <w:t xml:space="preserve">　</w:t>
            </w:r>
          </w:p>
        </w:tc>
        <w:tc>
          <w:tcPr>
            <w:tcW w:w="554" w:type="pct"/>
            <w:shd w:val="clear" w:color="auto" w:fill="auto"/>
            <w:vAlign w:val="center"/>
          </w:tcPr>
          <w:p w14:paraId="1721131B"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$44,666</w:t>
            </w:r>
          </w:p>
        </w:tc>
        <w:tc>
          <w:tcPr>
            <w:tcW w:w="538" w:type="pct"/>
            <w:shd w:val="solid" w:color="000000" w:fill="000000"/>
            <w:vAlign w:val="center"/>
          </w:tcPr>
          <w:p w14:paraId="6AE6BE2F" w14:textId="26D17407" w:rsidR="007D00BA" w:rsidRPr="00914C1A" w:rsidRDefault="00DE6661" w:rsidP="00914C1A">
            <w:pPr>
              <w:keepNext/>
              <w:keepLines/>
              <w:jc w:val="center"/>
              <w:rPr>
                <w:rFonts w:ascii="Arial Narrow" w:hAnsi="Arial Narrow" w:cstheme="minorHAnsi"/>
                <w:color w:val="000000"/>
                <w:sz w:val="20"/>
                <w:szCs w:val="20"/>
                <w:highlight w:val="lightGray"/>
              </w:rPr>
            </w:pPr>
            <w:r w:rsidRPr="00DE6661">
              <w:rPr>
                <w:rFonts w:ascii="Arial Narrow" w:hAnsi="Arial Narrow" w:cs="Calibri"/>
                <w:color w:val="000000"/>
                <w:spacing w:val="101"/>
                <w:sz w:val="20"/>
                <w:szCs w:val="20"/>
                <w:fitText w:val="187" w:id="-962329584"/>
                <w14:textFill>
                  <w14:solidFill>
                    <w14:srgbClr w14:val="000000">
                      <w14:alpha w14:val="100000"/>
                    </w14:srgbClr>
                  </w14:solidFill>
                </w14:textFill>
              </w:rPr>
              <w:t>|</w:t>
            </w:r>
            <w:r w:rsidRPr="00DE6661">
              <w:rPr>
                <w:rFonts w:ascii="Arial Narrow" w:hAnsi="Arial Narrow" w:cs="Calibri"/>
                <w:color w:val="000000"/>
                <w:sz w:val="20"/>
                <w:szCs w:val="20"/>
                <w:fitText w:val="187" w:id="-962329584"/>
                <w14:textFill>
                  <w14:solidFill>
                    <w14:srgbClr w14:val="000000">
                      <w14:alpha w14:val="100000"/>
                    </w14:srgbClr>
                  </w14:solidFill>
                </w14:textFill>
              </w:rPr>
              <w:t>|</w:t>
            </w:r>
          </w:p>
        </w:tc>
        <w:tc>
          <w:tcPr>
            <w:tcW w:w="383" w:type="pct"/>
            <w:shd w:val="clear" w:color="auto" w:fill="auto"/>
            <w:vAlign w:val="center"/>
          </w:tcPr>
          <w:p w14:paraId="311B06F0"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9.79</w:t>
            </w:r>
          </w:p>
        </w:tc>
        <w:tc>
          <w:tcPr>
            <w:tcW w:w="459" w:type="pct"/>
            <w:shd w:val="clear" w:color="auto" w:fill="auto"/>
            <w:vAlign w:val="center"/>
          </w:tcPr>
          <w:p w14:paraId="74E5F462"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9.40</w:t>
            </w:r>
          </w:p>
        </w:tc>
        <w:tc>
          <w:tcPr>
            <w:tcW w:w="308" w:type="pct"/>
            <w:shd w:val="clear" w:color="auto" w:fill="auto"/>
            <w:vAlign w:val="center"/>
          </w:tcPr>
          <w:p w14:paraId="34DD5395"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0.39</w:t>
            </w:r>
          </w:p>
        </w:tc>
        <w:tc>
          <w:tcPr>
            <w:tcW w:w="537" w:type="pct"/>
            <w:shd w:val="clear" w:color="auto" w:fill="auto"/>
            <w:vAlign w:val="center"/>
          </w:tcPr>
          <w:p w14:paraId="29DC37E6" w14:textId="25143EA6"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157"/>
                <w:sz w:val="20"/>
                <w:szCs w:val="20"/>
                <w:shd w:val="solid" w:color="000000" w:fill="000000"/>
                <w:fitText w:val="243" w:id="-962329600"/>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43" w:id="-962329600"/>
                <w14:textFill>
                  <w14:solidFill>
                    <w14:srgbClr w14:val="000000">
                      <w14:alpha w14:val="100000"/>
                    </w14:srgbClr>
                  </w14:solidFill>
                </w14:textFill>
              </w:rPr>
              <w:t>|</w:t>
            </w:r>
            <w:r w:rsidR="00F770F5">
              <w:rPr>
                <w:rFonts w:ascii="Arial Narrow" w:hAnsi="Arial Narrow" w:cs="Calibri"/>
                <w:b/>
                <w:bCs/>
                <w:sz w:val="20"/>
                <w:szCs w:val="20"/>
                <w:vertAlign w:val="superscript"/>
              </w:rPr>
              <w:t>1</w:t>
            </w:r>
          </w:p>
        </w:tc>
        <w:tc>
          <w:tcPr>
            <w:tcW w:w="416" w:type="pct"/>
            <w:vAlign w:val="center"/>
          </w:tcPr>
          <w:p w14:paraId="005931F3" w14:textId="059DC9B7" w:rsidR="007D00BA" w:rsidRPr="007A4E7E" w:rsidRDefault="00DE6661" w:rsidP="00914C1A">
            <w:pPr>
              <w:keepNext/>
              <w:keepLines/>
              <w:jc w:val="center"/>
              <w:rPr>
                <w:rFonts w:ascii="Arial Narrow" w:hAnsi="Arial Narrow" w:cs="Calibri"/>
                <w:iCs/>
                <w:sz w:val="20"/>
                <w:szCs w:val="20"/>
              </w:rPr>
            </w:pPr>
            <w:r w:rsidRPr="00DE6661">
              <w:rPr>
                <w:rFonts w:ascii="Arial Narrow" w:hAnsi="Arial Narrow"/>
                <w:iCs/>
                <w:color w:val="000000"/>
                <w:spacing w:val="214"/>
                <w:sz w:val="20"/>
                <w:szCs w:val="20"/>
                <w:shd w:val="solid" w:color="000000" w:fill="000000"/>
                <w:fitText w:val="300" w:id="-962329599"/>
                <w14:textFill>
                  <w14:solidFill>
                    <w14:srgbClr w14:val="000000">
                      <w14:alpha w14:val="100000"/>
                    </w14:srgbClr>
                  </w14:solidFill>
                </w14:textFill>
              </w:rPr>
              <w:t>|</w:t>
            </w:r>
            <w:r w:rsidRPr="00DE6661">
              <w:rPr>
                <w:rFonts w:ascii="Arial Narrow" w:hAnsi="Arial Narrow"/>
                <w:iCs/>
                <w:color w:val="000000"/>
                <w:spacing w:val="1"/>
                <w:sz w:val="20"/>
                <w:szCs w:val="20"/>
                <w:shd w:val="solid" w:color="000000" w:fill="000000"/>
                <w:fitText w:val="300" w:id="-962329599"/>
                <w14:textFill>
                  <w14:solidFill>
                    <w14:srgbClr w14:val="000000">
                      <w14:alpha w14:val="100000"/>
                    </w14:srgbClr>
                  </w14:solidFill>
                </w14:textFill>
              </w:rPr>
              <w:t>|</w:t>
            </w:r>
            <w:r w:rsidR="007D00BA" w:rsidRPr="007A4E7E">
              <w:rPr>
                <w:rFonts w:ascii="Arial Narrow" w:hAnsi="Arial Narrow"/>
                <w:iCs/>
                <w:sz w:val="20"/>
                <w:szCs w:val="20"/>
              </w:rPr>
              <w:t>%</w:t>
            </w:r>
          </w:p>
        </w:tc>
      </w:tr>
      <w:tr w:rsidR="007D00BA" w:rsidRPr="007A4E7E" w14:paraId="429F1862" w14:textId="77777777" w:rsidTr="00914C1A">
        <w:trPr>
          <w:trHeight w:val="20"/>
        </w:trPr>
        <w:tc>
          <w:tcPr>
            <w:tcW w:w="5000" w:type="pct"/>
            <w:gridSpan w:val="9"/>
            <w:shd w:val="clear" w:color="auto" w:fill="auto"/>
            <w:vAlign w:val="center"/>
          </w:tcPr>
          <w:p w14:paraId="729B15C5" w14:textId="77777777" w:rsidR="007D00BA" w:rsidRPr="007A4E7E" w:rsidRDefault="007D00BA" w:rsidP="00914C1A">
            <w:pPr>
              <w:keepNext/>
              <w:keepLines/>
              <w:rPr>
                <w:rFonts w:ascii="Arial Narrow" w:hAnsi="Arial Narrow"/>
                <w:b/>
                <w:bCs/>
                <w:i/>
                <w:iCs/>
                <w:sz w:val="20"/>
                <w:szCs w:val="20"/>
              </w:rPr>
            </w:pPr>
            <w:r w:rsidRPr="007A4E7E">
              <w:rPr>
                <w:rFonts w:ascii="Arial Narrow" w:hAnsi="Arial Narrow" w:cstheme="minorHAnsi"/>
                <w:b/>
                <w:bCs/>
                <w:color w:val="000000"/>
                <w:sz w:val="20"/>
                <w:szCs w:val="20"/>
              </w:rPr>
              <w:t>Other</w:t>
            </w:r>
          </w:p>
        </w:tc>
      </w:tr>
      <w:tr w:rsidR="00F770F5" w:rsidRPr="007A4E7E" w14:paraId="6D2795C7" w14:textId="77777777" w:rsidTr="00DE6661">
        <w:trPr>
          <w:trHeight w:val="20"/>
        </w:trPr>
        <w:tc>
          <w:tcPr>
            <w:tcW w:w="1209" w:type="pct"/>
            <w:shd w:val="clear" w:color="auto" w:fill="auto"/>
            <w:vAlign w:val="center"/>
          </w:tcPr>
          <w:p w14:paraId="6C773E24" w14:textId="77777777" w:rsidR="007D00BA" w:rsidRPr="007A4E7E" w:rsidRDefault="007D00BA" w:rsidP="00914C1A">
            <w:pPr>
              <w:keepNext/>
              <w:keepLines/>
              <w:jc w:val="left"/>
              <w:rPr>
                <w:rFonts w:ascii="Arial Narrow" w:hAnsi="Arial Narrow" w:cstheme="minorHAnsi"/>
                <w:color w:val="000000"/>
                <w:sz w:val="20"/>
                <w:szCs w:val="20"/>
              </w:rPr>
            </w:pPr>
            <w:r w:rsidRPr="007A4E7E">
              <w:rPr>
                <w:rFonts w:ascii="Arial Narrow" w:hAnsi="Arial Narrow" w:cstheme="minorHAnsi"/>
                <w:color w:val="000000"/>
                <w:sz w:val="20"/>
                <w:szCs w:val="20"/>
              </w:rPr>
              <w:t>Incl. subsequent therapies</w:t>
            </w:r>
          </w:p>
        </w:tc>
        <w:tc>
          <w:tcPr>
            <w:tcW w:w="596" w:type="pct"/>
            <w:tcBorders>
              <w:bottom w:val="single" w:sz="4" w:space="0" w:color="auto"/>
            </w:tcBorders>
            <w:shd w:val="solid" w:color="000000" w:fill="000000"/>
            <w:vAlign w:val="center"/>
          </w:tcPr>
          <w:p w14:paraId="3597E36A" w14:textId="0796349D" w:rsidR="007D00BA" w:rsidRPr="00914C1A" w:rsidRDefault="00DE6661" w:rsidP="00914C1A">
            <w:pPr>
              <w:keepNext/>
              <w:keepLines/>
              <w:jc w:val="center"/>
              <w:rPr>
                <w:rFonts w:ascii="Arial Narrow" w:hAnsi="Arial Narrow" w:cstheme="minorHAnsi"/>
                <w:color w:val="000000"/>
                <w:sz w:val="20"/>
                <w:szCs w:val="20"/>
                <w:highlight w:val="lightGray"/>
              </w:rPr>
            </w:pPr>
            <w:r w:rsidRPr="00DE6661">
              <w:rPr>
                <w:rFonts w:ascii="Arial Narrow" w:hAnsi="Arial Narrow" w:cs="Calibri" w:hint="eastAsia"/>
                <w:color w:val="000000"/>
                <w:w w:val="25"/>
                <w:sz w:val="20"/>
                <w:szCs w:val="20"/>
                <w:fitText w:val="113" w:id="-962329598"/>
                <w14:textFill>
                  <w14:solidFill>
                    <w14:srgbClr w14:val="000000">
                      <w14:alpha w14:val="100000"/>
                    </w14:srgbClr>
                  </w14:solidFill>
                </w14:textFill>
              </w:rPr>
              <w:t xml:space="preserve">　</w:t>
            </w:r>
            <w:r w:rsidRPr="00DE6661">
              <w:rPr>
                <w:rFonts w:ascii="Arial Narrow" w:hAnsi="Arial Narrow" w:cs="Calibri"/>
                <w:color w:val="000000"/>
                <w:w w:val="25"/>
                <w:sz w:val="20"/>
                <w:szCs w:val="20"/>
                <w:fitText w:val="113" w:id="-962329598"/>
                <w14:textFill>
                  <w14:solidFill>
                    <w14:srgbClr w14:val="000000">
                      <w14:alpha w14:val="100000"/>
                    </w14:srgbClr>
                  </w14:solidFill>
                </w14:textFill>
              </w:rPr>
              <w:t>|</w:t>
            </w:r>
            <w:r w:rsidRPr="00DE6661">
              <w:rPr>
                <w:rFonts w:ascii="Arial Narrow" w:hAnsi="Arial Narrow" w:cs="Calibri" w:hint="eastAsia"/>
                <w:color w:val="000000"/>
                <w:w w:val="25"/>
                <w:sz w:val="20"/>
                <w:szCs w:val="20"/>
                <w:fitText w:val="113" w:id="-962329598"/>
                <w14:textFill>
                  <w14:solidFill>
                    <w14:srgbClr w14:val="000000">
                      <w14:alpha w14:val="100000"/>
                    </w14:srgbClr>
                  </w14:solidFill>
                </w14:textFill>
              </w:rPr>
              <w:t xml:space="preserve">　</w:t>
            </w:r>
          </w:p>
        </w:tc>
        <w:tc>
          <w:tcPr>
            <w:tcW w:w="554" w:type="pct"/>
            <w:shd w:val="clear" w:color="auto" w:fill="auto"/>
            <w:vAlign w:val="center"/>
          </w:tcPr>
          <w:p w14:paraId="1EFC288F"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$102,425</w:t>
            </w:r>
          </w:p>
        </w:tc>
        <w:tc>
          <w:tcPr>
            <w:tcW w:w="538" w:type="pct"/>
            <w:tcBorders>
              <w:bottom w:val="single" w:sz="4" w:space="0" w:color="auto"/>
            </w:tcBorders>
            <w:shd w:val="solid" w:color="000000" w:fill="000000"/>
            <w:vAlign w:val="center"/>
          </w:tcPr>
          <w:p w14:paraId="4AACC1A0" w14:textId="3E6D2FE1" w:rsidR="007D00BA" w:rsidRPr="00914C1A" w:rsidRDefault="00DE6661" w:rsidP="00914C1A">
            <w:pPr>
              <w:keepNext/>
              <w:keepLines/>
              <w:jc w:val="center"/>
              <w:rPr>
                <w:rFonts w:ascii="Arial Narrow" w:hAnsi="Arial Narrow" w:cstheme="minorHAnsi"/>
                <w:color w:val="000000"/>
                <w:sz w:val="20"/>
                <w:szCs w:val="20"/>
                <w:highlight w:val="lightGray"/>
              </w:rPr>
            </w:pPr>
            <w:r w:rsidRPr="00DE6661">
              <w:rPr>
                <w:rFonts w:ascii="Arial Narrow" w:hAnsi="Arial Narrow" w:cs="Calibri"/>
                <w:color w:val="000000"/>
                <w:spacing w:val="101"/>
                <w:sz w:val="20"/>
                <w:szCs w:val="20"/>
                <w:fitText w:val="187" w:id="-962329597"/>
                <w14:textFill>
                  <w14:solidFill>
                    <w14:srgbClr w14:val="000000">
                      <w14:alpha w14:val="100000"/>
                    </w14:srgbClr>
                  </w14:solidFill>
                </w14:textFill>
              </w:rPr>
              <w:t>|</w:t>
            </w:r>
            <w:r w:rsidRPr="00DE6661">
              <w:rPr>
                <w:rFonts w:ascii="Arial Narrow" w:hAnsi="Arial Narrow" w:cs="Calibri"/>
                <w:color w:val="000000"/>
                <w:sz w:val="20"/>
                <w:szCs w:val="20"/>
                <w:fitText w:val="187" w:id="-962329597"/>
                <w14:textFill>
                  <w14:solidFill>
                    <w14:srgbClr w14:val="000000">
                      <w14:alpha w14:val="100000"/>
                    </w14:srgbClr>
                  </w14:solidFill>
                </w14:textFill>
              </w:rPr>
              <w:t>|</w:t>
            </w:r>
          </w:p>
        </w:tc>
        <w:tc>
          <w:tcPr>
            <w:tcW w:w="383" w:type="pct"/>
            <w:shd w:val="clear" w:color="auto" w:fill="auto"/>
            <w:vAlign w:val="center"/>
          </w:tcPr>
          <w:p w14:paraId="608D027F"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11.00</w:t>
            </w:r>
          </w:p>
        </w:tc>
        <w:tc>
          <w:tcPr>
            <w:tcW w:w="459" w:type="pct"/>
            <w:shd w:val="clear" w:color="auto" w:fill="auto"/>
            <w:vAlign w:val="center"/>
          </w:tcPr>
          <w:p w14:paraId="1CA5A724"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10.57</w:t>
            </w:r>
          </w:p>
        </w:tc>
        <w:tc>
          <w:tcPr>
            <w:tcW w:w="308" w:type="pct"/>
            <w:shd w:val="clear" w:color="auto" w:fill="auto"/>
            <w:vAlign w:val="center"/>
          </w:tcPr>
          <w:p w14:paraId="1A09E43A" w14:textId="77777777"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0.43</w:t>
            </w:r>
          </w:p>
        </w:tc>
        <w:tc>
          <w:tcPr>
            <w:tcW w:w="537" w:type="pct"/>
            <w:shd w:val="clear" w:color="auto" w:fill="auto"/>
            <w:vAlign w:val="center"/>
          </w:tcPr>
          <w:p w14:paraId="088537E0" w14:textId="7A8F49AD" w:rsidR="007D00BA" w:rsidRPr="007A4E7E" w:rsidRDefault="007D00BA" w:rsidP="00914C1A">
            <w:pPr>
              <w:keepNext/>
              <w:keepLines/>
              <w:jc w:val="center"/>
              <w:rPr>
                <w:rFonts w:ascii="Arial Narrow" w:hAnsi="Arial Narrow" w:cstheme="minorHAnsi"/>
                <w:color w:val="000000"/>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157"/>
                <w:sz w:val="20"/>
                <w:szCs w:val="20"/>
                <w:shd w:val="solid" w:color="000000" w:fill="000000"/>
                <w:fitText w:val="243" w:id="-962329596"/>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43" w:id="-962329596"/>
                <w14:textFill>
                  <w14:solidFill>
                    <w14:srgbClr w14:val="000000">
                      <w14:alpha w14:val="100000"/>
                    </w14:srgbClr>
                  </w14:solidFill>
                </w14:textFill>
              </w:rPr>
              <w:t>|</w:t>
            </w:r>
            <w:r w:rsidR="00F770F5">
              <w:rPr>
                <w:rFonts w:ascii="Arial Narrow" w:hAnsi="Arial Narrow" w:cs="Calibri"/>
                <w:b/>
                <w:bCs/>
                <w:sz w:val="20"/>
                <w:szCs w:val="20"/>
                <w:vertAlign w:val="superscript"/>
              </w:rPr>
              <w:t>2</w:t>
            </w:r>
          </w:p>
        </w:tc>
        <w:tc>
          <w:tcPr>
            <w:tcW w:w="416" w:type="pct"/>
            <w:vAlign w:val="center"/>
          </w:tcPr>
          <w:p w14:paraId="79BD45B1" w14:textId="41535782" w:rsidR="007D00BA" w:rsidRPr="007A4E7E" w:rsidRDefault="00DE6661" w:rsidP="00914C1A">
            <w:pPr>
              <w:keepNext/>
              <w:keepLines/>
              <w:jc w:val="center"/>
              <w:rPr>
                <w:rFonts w:ascii="Arial Narrow" w:hAnsi="Arial Narrow" w:cs="Calibri"/>
                <w:iCs/>
                <w:sz w:val="20"/>
                <w:szCs w:val="20"/>
              </w:rPr>
            </w:pPr>
            <w:r w:rsidRPr="00DE6661">
              <w:rPr>
                <w:rFonts w:ascii="Arial Narrow" w:hAnsi="Arial Narrow"/>
                <w:iCs/>
                <w:color w:val="000000"/>
                <w:spacing w:val="214"/>
                <w:sz w:val="20"/>
                <w:szCs w:val="20"/>
                <w:shd w:val="solid" w:color="000000" w:fill="000000"/>
                <w:fitText w:val="300" w:id="-962329595"/>
                <w14:textFill>
                  <w14:solidFill>
                    <w14:srgbClr w14:val="000000">
                      <w14:alpha w14:val="100000"/>
                    </w14:srgbClr>
                  </w14:solidFill>
                </w14:textFill>
              </w:rPr>
              <w:t>|</w:t>
            </w:r>
            <w:r w:rsidRPr="00DE6661">
              <w:rPr>
                <w:rFonts w:ascii="Arial Narrow" w:hAnsi="Arial Narrow"/>
                <w:iCs/>
                <w:color w:val="000000"/>
                <w:spacing w:val="1"/>
                <w:sz w:val="20"/>
                <w:szCs w:val="20"/>
                <w:shd w:val="solid" w:color="000000" w:fill="000000"/>
                <w:fitText w:val="300" w:id="-962329595"/>
                <w14:textFill>
                  <w14:solidFill>
                    <w14:srgbClr w14:val="000000">
                      <w14:alpha w14:val="100000"/>
                    </w14:srgbClr>
                  </w14:solidFill>
                </w14:textFill>
              </w:rPr>
              <w:t>|</w:t>
            </w:r>
            <w:r w:rsidR="007D00BA" w:rsidRPr="007A4E7E">
              <w:rPr>
                <w:rFonts w:ascii="Arial Narrow" w:hAnsi="Arial Narrow"/>
                <w:iCs/>
                <w:sz w:val="20"/>
                <w:szCs w:val="20"/>
              </w:rPr>
              <w:t>%</w:t>
            </w:r>
          </w:p>
        </w:tc>
      </w:tr>
      <w:tr w:rsidR="00F770F5" w:rsidRPr="007A4E7E" w14:paraId="51977C0E" w14:textId="77777777" w:rsidTr="00DE6661">
        <w:trPr>
          <w:trHeight w:val="20"/>
        </w:trPr>
        <w:tc>
          <w:tcPr>
            <w:tcW w:w="1209" w:type="pct"/>
            <w:shd w:val="clear" w:color="auto" w:fill="auto"/>
            <w:vAlign w:val="center"/>
          </w:tcPr>
          <w:p w14:paraId="22A9E483" w14:textId="77777777" w:rsidR="007D00BA" w:rsidRPr="007A4E7E" w:rsidRDefault="007D00BA" w:rsidP="00914C1A">
            <w:pPr>
              <w:keepNext/>
              <w:keepLines/>
              <w:jc w:val="left"/>
              <w:rPr>
                <w:rFonts w:ascii="Arial Narrow" w:hAnsi="Arial Narrow" w:cstheme="minorHAnsi"/>
                <w:color w:val="000000"/>
                <w:sz w:val="20"/>
                <w:szCs w:val="20"/>
              </w:rPr>
            </w:pPr>
            <w:r w:rsidRPr="007A4E7E">
              <w:rPr>
                <w:rFonts w:ascii="Arial Narrow" w:hAnsi="Arial Narrow" w:cstheme="minorHAnsi"/>
                <w:color w:val="000000"/>
                <w:sz w:val="20"/>
                <w:szCs w:val="20"/>
              </w:rPr>
              <w:t>Discount 0%</w:t>
            </w:r>
          </w:p>
        </w:tc>
        <w:tc>
          <w:tcPr>
            <w:tcW w:w="596" w:type="pct"/>
            <w:tcBorders>
              <w:bottom w:val="single" w:sz="4" w:space="0" w:color="auto"/>
            </w:tcBorders>
            <w:shd w:val="solid" w:color="000000" w:fill="000000"/>
            <w:vAlign w:val="center"/>
          </w:tcPr>
          <w:p w14:paraId="6AB03ABF" w14:textId="04389843" w:rsidR="007D00BA" w:rsidRPr="00914C1A" w:rsidRDefault="00DE6661" w:rsidP="00914C1A">
            <w:pPr>
              <w:keepNext/>
              <w:keepLines/>
              <w:jc w:val="center"/>
              <w:rPr>
                <w:rFonts w:ascii="Arial Narrow" w:hAnsi="Arial Narrow" w:cs="Calibri"/>
                <w:sz w:val="20"/>
                <w:szCs w:val="20"/>
                <w:highlight w:val="lightGray"/>
              </w:rPr>
            </w:pPr>
            <w:r w:rsidRPr="00DE6661">
              <w:rPr>
                <w:rFonts w:ascii="Arial Narrow" w:hAnsi="Arial Narrow" w:cs="Calibri" w:hint="eastAsia"/>
                <w:color w:val="000000"/>
                <w:w w:val="25"/>
                <w:sz w:val="20"/>
                <w:szCs w:val="20"/>
                <w:fitText w:val="113" w:id="-962329594"/>
                <w14:textFill>
                  <w14:solidFill>
                    <w14:srgbClr w14:val="000000">
                      <w14:alpha w14:val="100000"/>
                    </w14:srgbClr>
                  </w14:solidFill>
                </w14:textFill>
              </w:rPr>
              <w:t xml:space="preserve">　</w:t>
            </w:r>
            <w:r w:rsidRPr="00DE6661">
              <w:rPr>
                <w:rFonts w:ascii="Arial Narrow" w:hAnsi="Arial Narrow" w:cs="Calibri"/>
                <w:color w:val="000000"/>
                <w:w w:val="25"/>
                <w:sz w:val="20"/>
                <w:szCs w:val="20"/>
                <w:fitText w:val="113" w:id="-962329594"/>
                <w14:textFill>
                  <w14:solidFill>
                    <w14:srgbClr w14:val="000000">
                      <w14:alpha w14:val="100000"/>
                    </w14:srgbClr>
                  </w14:solidFill>
                </w14:textFill>
              </w:rPr>
              <w:t>|</w:t>
            </w:r>
            <w:r w:rsidRPr="00DE6661">
              <w:rPr>
                <w:rFonts w:ascii="Arial Narrow" w:hAnsi="Arial Narrow" w:cs="Calibri" w:hint="eastAsia"/>
                <w:color w:val="000000"/>
                <w:w w:val="25"/>
                <w:sz w:val="20"/>
                <w:szCs w:val="20"/>
                <w:fitText w:val="113" w:id="-962329594"/>
                <w14:textFill>
                  <w14:solidFill>
                    <w14:srgbClr w14:val="000000">
                      <w14:alpha w14:val="100000"/>
                    </w14:srgbClr>
                  </w14:solidFill>
                </w14:textFill>
              </w:rPr>
              <w:t xml:space="preserve">　</w:t>
            </w:r>
          </w:p>
        </w:tc>
        <w:tc>
          <w:tcPr>
            <w:tcW w:w="554" w:type="pct"/>
            <w:shd w:val="clear" w:color="auto" w:fill="auto"/>
            <w:vAlign w:val="center"/>
          </w:tcPr>
          <w:p w14:paraId="05CAA455" w14:textId="7777777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$85,916</w:t>
            </w:r>
          </w:p>
        </w:tc>
        <w:tc>
          <w:tcPr>
            <w:tcW w:w="538" w:type="pct"/>
            <w:tcBorders>
              <w:bottom w:val="single" w:sz="4" w:space="0" w:color="auto"/>
            </w:tcBorders>
            <w:shd w:val="solid" w:color="000000" w:fill="000000"/>
            <w:vAlign w:val="center"/>
          </w:tcPr>
          <w:p w14:paraId="4A0EF66B" w14:textId="5E6205E0" w:rsidR="007D00BA" w:rsidRPr="00914C1A" w:rsidRDefault="00DE6661" w:rsidP="00914C1A">
            <w:pPr>
              <w:keepNext/>
              <w:keepLines/>
              <w:jc w:val="center"/>
              <w:rPr>
                <w:rFonts w:ascii="Arial Narrow" w:hAnsi="Arial Narrow" w:cs="Calibri"/>
                <w:sz w:val="20"/>
                <w:szCs w:val="20"/>
                <w:highlight w:val="lightGray"/>
              </w:rPr>
            </w:pPr>
            <w:r w:rsidRPr="00DE6661">
              <w:rPr>
                <w:rFonts w:ascii="Arial Narrow" w:hAnsi="Arial Narrow" w:cs="Calibri"/>
                <w:color w:val="000000"/>
                <w:spacing w:val="101"/>
                <w:sz w:val="20"/>
                <w:szCs w:val="20"/>
                <w:fitText w:val="187" w:id="-962329593"/>
                <w14:textFill>
                  <w14:solidFill>
                    <w14:srgbClr w14:val="000000">
                      <w14:alpha w14:val="100000"/>
                    </w14:srgbClr>
                  </w14:solidFill>
                </w14:textFill>
              </w:rPr>
              <w:t>|</w:t>
            </w:r>
            <w:r w:rsidRPr="00DE6661">
              <w:rPr>
                <w:rFonts w:ascii="Arial Narrow" w:hAnsi="Arial Narrow" w:cs="Calibri"/>
                <w:color w:val="000000"/>
                <w:sz w:val="20"/>
                <w:szCs w:val="20"/>
                <w:fitText w:val="187" w:id="-962329593"/>
                <w14:textFill>
                  <w14:solidFill>
                    <w14:srgbClr w14:val="000000">
                      <w14:alpha w14:val="100000"/>
                    </w14:srgbClr>
                  </w14:solidFill>
                </w14:textFill>
              </w:rPr>
              <w:t>|</w:t>
            </w:r>
          </w:p>
        </w:tc>
        <w:tc>
          <w:tcPr>
            <w:tcW w:w="383" w:type="pct"/>
            <w:shd w:val="clear" w:color="auto" w:fill="auto"/>
            <w:vAlign w:val="center"/>
          </w:tcPr>
          <w:p w14:paraId="3B1040C9" w14:textId="7777777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19.05</w:t>
            </w:r>
          </w:p>
        </w:tc>
        <w:tc>
          <w:tcPr>
            <w:tcW w:w="459" w:type="pct"/>
            <w:shd w:val="clear" w:color="auto" w:fill="auto"/>
            <w:vAlign w:val="center"/>
          </w:tcPr>
          <w:p w14:paraId="799237A8" w14:textId="7777777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18.20</w:t>
            </w:r>
          </w:p>
        </w:tc>
        <w:tc>
          <w:tcPr>
            <w:tcW w:w="308" w:type="pct"/>
            <w:shd w:val="clear" w:color="auto" w:fill="auto"/>
            <w:vAlign w:val="center"/>
          </w:tcPr>
          <w:p w14:paraId="796E23A9" w14:textId="7777777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0.85</w:t>
            </w:r>
          </w:p>
        </w:tc>
        <w:tc>
          <w:tcPr>
            <w:tcW w:w="537" w:type="pct"/>
            <w:shd w:val="clear" w:color="auto" w:fill="auto"/>
            <w:vAlign w:val="center"/>
          </w:tcPr>
          <w:p w14:paraId="115AFF83" w14:textId="000313E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157"/>
                <w:sz w:val="20"/>
                <w:szCs w:val="20"/>
                <w:shd w:val="solid" w:color="000000" w:fill="000000"/>
                <w:fitText w:val="243" w:id="-962329592"/>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43" w:id="-962329592"/>
                <w14:textFill>
                  <w14:solidFill>
                    <w14:srgbClr w14:val="000000">
                      <w14:alpha w14:val="100000"/>
                    </w14:srgbClr>
                  </w14:solidFill>
                </w14:textFill>
              </w:rPr>
              <w:t>|</w:t>
            </w:r>
            <w:r w:rsidR="00F770F5">
              <w:rPr>
                <w:rFonts w:ascii="Arial Narrow" w:hAnsi="Arial Narrow" w:cs="Calibri"/>
                <w:b/>
                <w:bCs/>
                <w:sz w:val="20"/>
                <w:szCs w:val="20"/>
                <w:vertAlign w:val="superscript"/>
              </w:rPr>
              <w:t>3</w:t>
            </w:r>
          </w:p>
        </w:tc>
        <w:tc>
          <w:tcPr>
            <w:tcW w:w="416" w:type="pct"/>
            <w:vAlign w:val="center"/>
          </w:tcPr>
          <w:p w14:paraId="6B08F477" w14:textId="44791656" w:rsidR="007D00BA" w:rsidRPr="007A4E7E" w:rsidRDefault="007D00BA" w:rsidP="00914C1A">
            <w:pPr>
              <w:keepNext/>
              <w:keepLines/>
              <w:jc w:val="center"/>
              <w:rPr>
                <w:rFonts w:ascii="Arial Narrow" w:hAnsi="Arial Narrow" w:cs="Calibri"/>
                <w:iCs/>
                <w:sz w:val="20"/>
                <w:szCs w:val="20"/>
              </w:rPr>
            </w:pPr>
            <w:r w:rsidRPr="007A4E7E">
              <w:rPr>
                <w:rFonts w:ascii="Arial Narrow" w:hAnsi="Arial Narrow"/>
                <w:iCs/>
                <w:sz w:val="20"/>
                <w:szCs w:val="20"/>
              </w:rPr>
              <w:t>-</w:t>
            </w:r>
            <w:r w:rsidR="00DE6661" w:rsidRPr="00DE6661">
              <w:rPr>
                <w:rFonts w:ascii="Arial Narrow" w:hAnsi="Arial Narrow"/>
                <w:iCs/>
                <w:color w:val="000000"/>
                <w:spacing w:val="214"/>
                <w:sz w:val="20"/>
                <w:szCs w:val="20"/>
                <w:shd w:val="solid" w:color="000000" w:fill="000000"/>
                <w:fitText w:val="300" w:id="-962329591"/>
                <w14:textFill>
                  <w14:solidFill>
                    <w14:srgbClr w14:val="000000">
                      <w14:alpha w14:val="100000"/>
                    </w14:srgbClr>
                  </w14:solidFill>
                </w14:textFill>
              </w:rPr>
              <w:t>|</w:t>
            </w:r>
            <w:r w:rsidR="00DE6661" w:rsidRPr="00DE6661">
              <w:rPr>
                <w:rFonts w:ascii="Arial Narrow" w:hAnsi="Arial Narrow"/>
                <w:iCs/>
                <w:color w:val="000000"/>
                <w:spacing w:val="1"/>
                <w:sz w:val="20"/>
                <w:szCs w:val="20"/>
                <w:shd w:val="solid" w:color="000000" w:fill="000000"/>
                <w:fitText w:val="300" w:id="-962329591"/>
                <w14:textFill>
                  <w14:solidFill>
                    <w14:srgbClr w14:val="000000">
                      <w14:alpha w14:val="100000"/>
                    </w14:srgbClr>
                  </w14:solidFill>
                </w14:textFill>
              </w:rPr>
              <w:t>|</w:t>
            </w:r>
            <w:r w:rsidRPr="007A4E7E">
              <w:rPr>
                <w:rFonts w:ascii="Arial Narrow" w:hAnsi="Arial Narrow"/>
                <w:iCs/>
                <w:sz w:val="20"/>
                <w:szCs w:val="20"/>
              </w:rPr>
              <w:t>%</w:t>
            </w:r>
          </w:p>
        </w:tc>
      </w:tr>
      <w:tr w:rsidR="00F770F5" w:rsidRPr="007A4E7E" w14:paraId="394E1D67" w14:textId="77777777" w:rsidTr="00DE6661">
        <w:trPr>
          <w:trHeight w:val="20"/>
        </w:trPr>
        <w:tc>
          <w:tcPr>
            <w:tcW w:w="1209" w:type="pct"/>
            <w:shd w:val="clear" w:color="auto" w:fill="auto"/>
            <w:vAlign w:val="center"/>
          </w:tcPr>
          <w:p w14:paraId="3B7F049F" w14:textId="77777777" w:rsidR="007D00BA" w:rsidRPr="007A4E7E" w:rsidRDefault="007D00BA" w:rsidP="00914C1A">
            <w:pPr>
              <w:keepNext/>
              <w:keepLines/>
              <w:jc w:val="left"/>
              <w:rPr>
                <w:rFonts w:ascii="Arial Narrow" w:hAnsi="Arial Narrow" w:cstheme="minorHAnsi"/>
                <w:color w:val="000000"/>
                <w:sz w:val="20"/>
                <w:szCs w:val="20"/>
              </w:rPr>
            </w:pPr>
            <w:r w:rsidRPr="007A4E7E">
              <w:rPr>
                <w:rFonts w:ascii="Arial Narrow" w:hAnsi="Arial Narrow" w:cstheme="minorHAnsi"/>
                <w:color w:val="000000"/>
                <w:sz w:val="20"/>
                <w:szCs w:val="20"/>
              </w:rPr>
              <w:t>Discount 3.5%</w:t>
            </w:r>
          </w:p>
        </w:tc>
        <w:tc>
          <w:tcPr>
            <w:tcW w:w="596" w:type="pct"/>
            <w:shd w:val="solid" w:color="000000" w:fill="000000"/>
            <w:vAlign w:val="center"/>
          </w:tcPr>
          <w:p w14:paraId="12E111F2" w14:textId="0137AE81" w:rsidR="007D00BA" w:rsidRPr="00914C1A" w:rsidRDefault="00DE6661" w:rsidP="00914C1A">
            <w:pPr>
              <w:keepNext/>
              <w:keepLines/>
              <w:jc w:val="center"/>
              <w:rPr>
                <w:rFonts w:ascii="Arial Narrow" w:hAnsi="Arial Narrow" w:cs="Calibri"/>
                <w:sz w:val="20"/>
                <w:szCs w:val="20"/>
                <w:highlight w:val="lightGray"/>
              </w:rPr>
            </w:pPr>
            <w:r w:rsidRPr="00DE6661">
              <w:rPr>
                <w:rFonts w:ascii="Arial Narrow" w:hAnsi="Arial Narrow" w:cs="Calibri" w:hint="eastAsia"/>
                <w:color w:val="000000"/>
                <w:w w:val="25"/>
                <w:sz w:val="20"/>
                <w:szCs w:val="20"/>
                <w:fitText w:val="113" w:id="-962329590"/>
                <w14:textFill>
                  <w14:solidFill>
                    <w14:srgbClr w14:val="000000">
                      <w14:alpha w14:val="100000"/>
                    </w14:srgbClr>
                  </w14:solidFill>
                </w14:textFill>
              </w:rPr>
              <w:t xml:space="preserve">　</w:t>
            </w:r>
            <w:r w:rsidRPr="00DE6661">
              <w:rPr>
                <w:rFonts w:ascii="Arial Narrow" w:hAnsi="Arial Narrow" w:cs="Calibri"/>
                <w:color w:val="000000"/>
                <w:w w:val="25"/>
                <w:sz w:val="20"/>
                <w:szCs w:val="20"/>
                <w:fitText w:val="113" w:id="-962329590"/>
                <w14:textFill>
                  <w14:solidFill>
                    <w14:srgbClr w14:val="000000">
                      <w14:alpha w14:val="100000"/>
                    </w14:srgbClr>
                  </w14:solidFill>
                </w14:textFill>
              </w:rPr>
              <w:t>|</w:t>
            </w:r>
            <w:r w:rsidRPr="00DE6661">
              <w:rPr>
                <w:rFonts w:ascii="Arial Narrow" w:hAnsi="Arial Narrow" w:cs="Calibri" w:hint="eastAsia"/>
                <w:color w:val="000000"/>
                <w:w w:val="25"/>
                <w:sz w:val="20"/>
                <w:szCs w:val="20"/>
                <w:fitText w:val="113" w:id="-962329590"/>
                <w14:textFill>
                  <w14:solidFill>
                    <w14:srgbClr w14:val="000000">
                      <w14:alpha w14:val="100000"/>
                    </w14:srgbClr>
                  </w14:solidFill>
                </w14:textFill>
              </w:rPr>
              <w:t xml:space="preserve">　</w:t>
            </w:r>
          </w:p>
        </w:tc>
        <w:tc>
          <w:tcPr>
            <w:tcW w:w="554" w:type="pct"/>
            <w:shd w:val="clear" w:color="auto" w:fill="auto"/>
            <w:vAlign w:val="center"/>
          </w:tcPr>
          <w:p w14:paraId="5F7A1DA5" w14:textId="7777777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$52,496</w:t>
            </w:r>
          </w:p>
        </w:tc>
        <w:tc>
          <w:tcPr>
            <w:tcW w:w="538" w:type="pct"/>
            <w:shd w:val="solid" w:color="000000" w:fill="000000"/>
            <w:vAlign w:val="center"/>
          </w:tcPr>
          <w:p w14:paraId="6AD02DA3" w14:textId="68C91079" w:rsidR="007D00BA" w:rsidRPr="00914C1A" w:rsidRDefault="00DE6661" w:rsidP="00914C1A">
            <w:pPr>
              <w:keepNext/>
              <w:keepLines/>
              <w:jc w:val="center"/>
              <w:rPr>
                <w:rFonts w:ascii="Arial Narrow" w:hAnsi="Arial Narrow" w:cs="Calibri"/>
                <w:sz w:val="20"/>
                <w:szCs w:val="20"/>
                <w:highlight w:val="lightGray"/>
              </w:rPr>
            </w:pPr>
            <w:r w:rsidRPr="00DE6661">
              <w:rPr>
                <w:rFonts w:ascii="Arial Narrow" w:hAnsi="Arial Narrow" w:cs="Calibri"/>
                <w:color w:val="000000"/>
                <w:spacing w:val="101"/>
                <w:sz w:val="20"/>
                <w:szCs w:val="20"/>
                <w:fitText w:val="187" w:id="-962329589"/>
                <w14:textFill>
                  <w14:solidFill>
                    <w14:srgbClr w14:val="000000">
                      <w14:alpha w14:val="100000"/>
                    </w14:srgbClr>
                  </w14:solidFill>
                </w14:textFill>
              </w:rPr>
              <w:t>|</w:t>
            </w:r>
            <w:r w:rsidRPr="00DE6661">
              <w:rPr>
                <w:rFonts w:ascii="Arial Narrow" w:hAnsi="Arial Narrow" w:cs="Calibri"/>
                <w:color w:val="000000"/>
                <w:sz w:val="20"/>
                <w:szCs w:val="20"/>
                <w:fitText w:val="187" w:id="-962329589"/>
                <w14:textFill>
                  <w14:solidFill>
                    <w14:srgbClr w14:val="000000">
                      <w14:alpha w14:val="100000"/>
                    </w14:srgbClr>
                  </w14:solidFill>
                </w14:textFill>
              </w:rPr>
              <w:t>|</w:t>
            </w:r>
          </w:p>
        </w:tc>
        <w:tc>
          <w:tcPr>
            <w:tcW w:w="383" w:type="pct"/>
            <w:shd w:val="clear" w:color="auto" w:fill="auto"/>
            <w:vAlign w:val="center"/>
          </w:tcPr>
          <w:p w14:paraId="4F73B93B" w14:textId="7777777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11.73</w:t>
            </w:r>
          </w:p>
        </w:tc>
        <w:tc>
          <w:tcPr>
            <w:tcW w:w="459" w:type="pct"/>
            <w:shd w:val="clear" w:color="auto" w:fill="auto"/>
            <w:vAlign w:val="center"/>
          </w:tcPr>
          <w:p w14:paraId="2595DF62" w14:textId="7777777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11.13</w:t>
            </w:r>
          </w:p>
        </w:tc>
        <w:tc>
          <w:tcPr>
            <w:tcW w:w="308" w:type="pct"/>
            <w:shd w:val="clear" w:color="auto" w:fill="auto"/>
            <w:vAlign w:val="center"/>
          </w:tcPr>
          <w:p w14:paraId="01A76901" w14:textId="77777777"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0.60</w:t>
            </w:r>
          </w:p>
        </w:tc>
        <w:tc>
          <w:tcPr>
            <w:tcW w:w="537" w:type="pct"/>
            <w:shd w:val="clear" w:color="auto" w:fill="auto"/>
            <w:vAlign w:val="center"/>
          </w:tcPr>
          <w:p w14:paraId="0E73F9E6" w14:textId="66A06F99" w:rsidR="007D00BA" w:rsidRPr="007A4E7E" w:rsidRDefault="007D00BA" w:rsidP="00914C1A">
            <w:pPr>
              <w:keepNext/>
              <w:keepLines/>
              <w:jc w:val="center"/>
              <w:rPr>
                <w:rFonts w:ascii="Arial Narrow" w:hAnsi="Arial Narrow" w:cs="Calibri"/>
                <w:sz w:val="20"/>
                <w:szCs w:val="20"/>
              </w:rPr>
            </w:pPr>
            <w:r w:rsidRPr="007A4E7E">
              <w:rPr>
                <w:rFonts w:ascii="Arial Narrow" w:hAnsi="Arial Narrow" w:cs="Calibri"/>
                <w:sz w:val="20"/>
                <w:szCs w:val="20"/>
              </w:rPr>
              <w:t>$</w:t>
            </w:r>
            <w:r w:rsidR="00DE6661" w:rsidRPr="00DE6661">
              <w:rPr>
                <w:rFonts w:ascii="Arial Narrow" w:hAnsi="Arial Narrow" w:cs="Calibri"/>
                <w:color w:val="000000"/>
                <w:spacing w:val="157"/>
                <w:sz w:val="20"/>
                <w:szCs w:val="20"/>
                <w:shd w:val="solid" w:color="000000" w:fill="000000"/>
                <w:fitText w:val="243" w:id="-962329588"/>
                <w14:textFill>
                  <w14:solidFill>
                    <w14:srgbClr w14:val="000000">
                      <w14:alpha w14:val="100000"/>
                    </w14:srgbClr>
                  </w14:solidFill>
                </w14:textFill>
              </w:rPr>
              <w:t>|</w:t>
            </w:r>
            <w:r w:rsidR="00DE6661" w:rsidRPr="00DE6661">
              <w:rPr>
                <w:rFonts w:ascii="Arial Narrow" w:hAnsi="Arial Narrow" w:cs="Calibri"/>
                <w:color w:val="000000"/>
                <w:spacing w:val="1"/>
                <w:sz w:val="20"/>
                <w:szCs w:val="20"/>
                <w:shd w:val="solid" w:color="000000" w:fill="000000"/>
                <w:fitText w:val="243" w:id="-962329588"/>
                <w14:textFill>
                  <w14:solidFill>
                    <w14:srgbClr w14:val="000000">
                      <w14:alpha w14:val="100000"/>
                    </w14:srgbClr>
                  </w14:solidFill>
                </w14:textFill>
              </w:rPr>
              <w:t>|</w:t>
            </w:r>
            <w:r w:rsidR="00F770F5" w:rsidRPr="00162C9D">
              <w:rPr>
                <w:rFonts w:ascii="Arial Narrow" w:hAnsi="Arial Narrow" w:cs="Calibri"/>
                <w:b/>
                <w:bCs/>
                <w:sz w:val="20"/>
                <w:szCs w:val="20"/>
                <w:vertAlign w:val="superscript"/>
              </w:rPr>
              <w:t>1</w:t>
            </w:r>
          </w:p>
        </w:tc>
        <w:tc>
          <w:tcPr>
            <w:tcW w:w="416" w:type="pct"/>
            <w:vAlign w:val="center"/>
          </w:tcPr>
          <w:p w14:paraId="12469851" w14:textId="2AFCDDDE" w:rsidR="007D00BA" w:rsidRPr="007A4E7E" w:rsidRDefault="007D00BA" w:rsidP="00914C1A">
            <w:pPr>
              <w:keepNext/>
              <w:keepLines/>
              <w:jc w:val="center"/>
              <w:rPr>
                <w:rFonts w:ascii="Arial Narrow" w:hAnsi="Arial Narrow" w:cs="Calibri"/>
                <w:iCs/>
                <w:sz w:val="20"/>
                <w:szCs w:val="20"/>
              </w:rPr>
            </w:pPr>
            <w:r w:rsidRPr="007A4E7E">
              <w:rPr>
                <w:rFonts w:ascii="Arial Narrow" w:hAnsi="Arial Narrow"/>
                <w:iCs/>
                <w:sz w:val="20"/>
                <w:szCs w:val="20"/>
              </w:rPr>
              <w:t>-</w:t>
            </w:r>
            <w:r w:rsidR="00DE6661" w:rsidRPr="00DE6661">
              <w:rPr>
                <w:rFonts w:ascii="Arial Narrow" w:hAnsi="Arial Narrow"/>
                <w:iCs/>
                <w:color w:val="000000"/>
                <w:spacing w:val="214"/>
                <w:sz w:val="20"/>
                <w:szCs w:val="20"/>
                <w:shd w:val="solid" w:color="000000" w:fill="000000"/>
                <w:fitText w:val="300" w:id="-962329587"/>
                <w14:textFill>
                  <w14:solidFill>
                    <w14:srgbClr w14:val="000000">
                      <w14:alpha w14:val="100000"/>
                    </w14:srgbClr>
                  </w14:solidFill>
                </w14:textFill>
              </w:rPr>
              <w:t>|</w:t>
            </w:r>
            <w:r w:rsidR="00DE6661" w:rsidRPr="00DE6661">
              <w:rPr>
                <w:rFonts w:ascii="Arial Narrow" w:hAnsi="Arial Narrow"/>
                <w:iCs/>
                <w:color w:val="000000"/>
                <w:spacing w:val="1"/>
                <w:sz w:val="20"/>
                <w:szCs w:val="20"/>
                <w:shd w:val="solid" w:color="000000" w:fill="000000"/>
                <w:fitText w:val="300" w:id="-962329587"/>
                <w14:textFill>
                  <w14:solidFill>
                    <w14:srgbClr w14:val="000000">
                      <w14:alpha w14:val="100000"/>
                    </w14:srgbClr>
                  </w14:solidFill>
                </w14:textFill>
              </w:rPr>
              <w:t>|</w:t>
            </w:r>
            <w:r w:rsidRPr="007A4E7E">
              <w:rPr>
                <w:rFonts w:ascii="Arial Narrow" w:hAnsi="Arial Narrow"/>
                <w:iCs/>
                <w:sz w:val="20"/>
                <w:szCs w:val="20"/>
              </w:rPr>
              <w:t>%</w:t>
            </w:r>
          </w:p>
        </w:tc>
      </w:tr>
      <w:tr w:rsidR="007D00BA" w:rsidRPr="007A4E7E" w14:paraId="70B0D50C" w14:textId="77777777" w:rsidTr="00914C1A">
        <w:trPr>
          <w:trHeight w:val="20"/>
        </w:trPr>
        <w:tc>
          <w:tcPr>
            <w:tcW w:w="5000" w:type="pct"/>
            <w:gridSpan w:val="9"/>
            <w:shd w:val="clear" w:color="auto" w:fill="auto"/>
            <w:vAlign w:val="center"/>
          </w:tcPr>
          <w:p w14:paraId="04CABC92" w14:textId="77777777" w:rsidR="007D00BA" w:rsidRPr="007A4E7E" w:rsidRDefault="007D00BA" w:rsidP="00914C1A">
            <w:pPr>
              <w:keepNext/>
              <w:keepLines/>
              <w:jc w:val="center"/>
              <w:rPr>
                <w:rFonts w:ascii="Arial Narrow" w:hAnsi="Arial Narrow" w:cs="Calibri"/>
                <w:b/>
                <w:bCs/>
                <w:sz w:val="20"/>
                <w:szCs w:val="20"/>
              </w:rPr>
            </w:pPr>
            <w:r w:rsidRPr="007A4E7E">
              <w:rPr>
                <w:rFonts w:ascii="Arial Narrow" w:hAnsi="Arial Narrow" w:cstheme="minorHAnsi"/>
                <w:b/>
                <w:bCs/>
                <w:color w:val="000000"/>
                <w:sz w:val="20"/>
                <w:szCs w:val="20"/>
              </w:rPr>
              <w:t>Sensitivity analysis conducted during the evaluation</w:t>
            </w:r>
          </w:p>
        </w:tc>
      </w:tr>
      <w:tr w:rsidR="007D00BA" w:rsidRPr="007A4E7E" w14:paraId="14DCFF52" w14:textId="77777777" w:rsidTr="00914C1A">
        <w:trPr>
          <w:trHeight w:val="20"/>
        </w:trPr>
        <w:tc>
          <w:tcPr>
            <w:tcW w:w="5000" w:type="pct"/>
            <w:gridSpan w:val="9"/>
            <w:shd w:val="clear" w:color="auto" w:fill="auto"/>
          </w:tcPr>
          <w:p w14:paraId="4AEA2D69" w14:textId="77777777" w:rsidR="007D00BA" w:rsidRPr="007A4E7E" w:rsidRDefault="007D00BA" w:rsidP="00914C1A">
            <w:pPr>
              <w:pStyle w:val="TableText0"/>
              <w:keepLines/>
              <w:rPr>
                <w:b/>
                <w:bCs w:val="0"/>
                <w:szCs w:val="20"/>
              </w:rPr>
            </w:pPr>
            <w:r w:rsidRPr="007A4E7E">
              <w:rPr>
                <w:b/>
                <w:bCs w:val="0"/>
                <w:szCs w:val="20"/>
              </w:rPr>
              <w:t>SMR non-responder (base case = 6.9)</w:t>
            </w:r>
          </w:p>
        </w:tc>
      </w:tr>
      <w:tr w:rsidR="00F770F5" w:rsidRPr="007A4E7E" w14:paraId="10E0E9B0" w14:textId="77777777" w:rsidTr="00DE6661">
        <w:trPr>
          <w:trHeight w:val="20"/>
        </w:trPr>
        <w:tc>
          <w:tcPr>
            <w:tcW w:w="1209" w:type="pct"/>
            <w:shd w:val="clear" w:color="auto" w:fill="auto"/>
          </w:tcPr>
          <w:p w14:paraId="7D3BAF06" w14:textId="77777777" w:rsidR="007D00BA" w:rsidRPr="007A4E7E" w:rsidRDefault="007D00BA" w:rsidP="00914C1A">
            <w:pPr>
              <w:pStyle w:val="TableText0"/>
              <w:keepLines/>
              <w:rPr>
                <w:rFonts w:cstheme="minorHAnsi"/>
                <w:iCs/>
                <w:color w:val="000000"/>
                <w:szCs w:val="20"/>
              </w:rPr>
            </w:pPr>
            <w:r w:rsidRPr="007A4E7E">
              <w:rPr>
                <w:iCs/>
                <w:szCs w:val="20"/>
              </w:rPr>
              <w:t>95% LCI = 4.3</w:t>
            </w:r>
          </w:p>
        </w:tc>
        <w:tc>
          <w:tcPr>
            <w:tcW w:w="596" w:type="pct"/>
            <w:tcBorders>
              <w:bottom w:val="single" w:sz="4" w:space="0" w:color="auto"/>
            </w:tcBorders>
            <w:shd w:val="solid" w:color="000000" w:fill="000000"/>
          </w:tcPr>
          <w:p w14:paraId="75B668E5" w14:textId="32E688CF" w:rsidR="007D00BA" w:rsidRPr="00914C1A" w:rsidRDefault="00DE6661" w:rsidP="00914C1A">
            <w:pPr>
              <w:pStyle w:val="TableText0"/>
              <w:keepLines/>
              <w:jc w:val="center"/>
              <w:rPr>
                <w:rFonts w:cs="Calibri"/>
                <w:iCs/>
                <w:szCs w:val="20"/>
                <w:highlight w:val="lightGray"/>
              </w:rPr>
            </w:pPr>
            <w:r w:rsidRPr="00DE6661">
              <w:rPr>
                <w:rFonts w:hint="eastAsia"/>
                <w:iCs/>
                <w:color w:val="000000"/>
                <w:w w:val="25"/>
                <w:szCs w:val="20"/>
                <w:fitText w:val="113" w:id="-962329586"/>
                <w14:textFill>
                  <w14:solidFill>
                    <w14:srgbClr w14:val="000000">
                      <w14:alpha w14:val="100000"/>
                    </w14:srgbClr>
                  </w14:solidFill>
                </w14:textFill>
              </w:rPr>
              <w:t xml:space="preserve">　</w:t>
            </w:r>
            <w:r w:rsidRPr="00DE6661">
              <w:rPr>
                <w:iCs/>
                <w:color w:val="000000"/>
                <w:w w:val="25"/>
                <w:szCs w:val="20"/>
                <w:fitText w:val="113" w:id="-962329586"/>
                <w14:textFill>
                  <w14:solidFill>
                    <w14:srgbClr w14:val="000000">
                      <w14:alpha w14:val="100000"/>
                    </w14:srgbClr>
                  </w14:solidFill>
                </w14:textFill>
              </w:rPr>
              <w:t>|</w:t>
            </w:r>
            <w:r w:rsidRPr="00DE6661">
              <w:rPr>
                <w:rFonts w:hint="eastAsia"/>
                <w:iCs/>
                <w:color w:val="000000"/>
                <w:w w:val="25"/>
                <w:szCs w:val="20"/>
                <w:fitText w:val="113" w:id="-962329586"/>
                <w14:textFill>
                  <w14:solidFill>
                    <w14:srgbClr w14:val="000000">
                      <w14:alpha w14:val="100000"/>
                    </w14:srgbClr>
                  </w14:solidFill>
                </w14:textFill>
              </w:rPr>
              <w:t xml:space="preserve">　</w:t>
            </w:r>
          </w:p>
        </w:tc>
        <w:tc>
          <w:tcPr>
            <w:tcW w:w="554" w:type="pct"/>
            <w:shd w:val="clear" w:color="auto" w:fill="auto"/>
          </w:tcPr>
          <w:p w14:paraId="71E312CC" w14:textId="77777777" w:rsidR="007D00BA" w:rsidRPr="007A4E7E" w:rsidRDefault="007D00BA" w:rsidP="00914C1A">
            <w:pPr>
              <w:pStyle w:val="TableText0"/>
              <w:keepLines/>
              <w:jc w:val="center"/>
              <w:rPr>
                <w:rFonts w:cs="Calibri"/>
                <w:iCs/>
                <w:szCs w:val="20"/>
              </w:rPr>
            </w:pPr>
            <w:r w:rsidRPr="007A4E7E">
              <w:rPr>
                <w:iCs/>
                <w:szCs w:val="20"/>
              </w:rPr>
              <w:t>$47,751</w:t>
            </w:r>
          </w:p>
        </w:tc>
        <w:tc>
          <w:tcPr>
            <w:tcW w:w="538" w:type="pct"/>
            <w:tcBorders>
              <w:bottom w:val="single" w:sz="4" w:space="0" w:color="auto"/>
            </w:tcBorders>
            <w:shd w:val="solid" w:color="000000" w:fill="000000"/>
          </w:tcPr>
          <w:p w14:paraId="2F5514D2" w14:textId="7FC99FD9" w:rsidR="007D00BA" w:rsidRPr="00914C1A" w:rsidRDefault="00DE6661" w:rsidP="00914C1A">
            <w:pPr>
              <w:pStyle w:val="TableText0"/>
              <w:keepLines/>
              <w:jc w:val="center"/>
              <w:rPr>
                <w:rFonts w:cs="Calibri"/>
                <w:iCs/>
                <w:szCs w:val="20"/>
                <w:highlight w:val="lightGray"/>
              </w:rPr>
            </w:pPr>
            <w:r w:rsidRPr="00DE6661">
              <w:rPr>
                <w:iCs/>
                <w:color w:val="000000"/>
                <w:spacing w:val="101"/>
                <w:szCs w:val="20"/>
                <w:fitText w:val="187" w:id="-962329585"/>
                <w14:textFill>
                  <w14:solidFill>
                    <w14:srgbClr w14:val="000000">
                      <w14:alpha w14:val="100000"/>
                    </w14:srgbClr>
                  </w14:solidFill>
                </w14:textFill>
              </w:rPr>
              <w:t>|</w:t>
            </w:r>
            <w:r w:rsidRPr="00DE6661">
              <w:rPr>
                <w:iCs/>
                <w:color w:val="000000"/>
                <w:szCs w:val="20"/>
                <w:fitText w:val="187" w:id="-962329585"/>
                <w14:textFill>
                  <w14:solidFill>
                    <w14:srgbClr w14:val="000000">
                      <w14:alpha w14:val="100000"/>
                    </w14:srgbClr>
                  </w14:solidFill>
                </w14:textFill>
              </w:rPr>
              <w:t>|</w:t>
            </w:r>
          </w:p>
        </w:tc>
        <w:tc>
          <w:tcPr>
            <w:tcW w:w="383" w:type="pct"/>
            <w:shd w:val="clear" w:color="auto" w:fill="auto"/>
          </w:tcPr>
          <w:p w14:paraId="6E0C87BD" w14:textId="77777777" w:rsidR="007D00BA" w:rsidRPr="007A4E7E" w:rsidRDefault="007D00BA" w:rsidP="00914C1A">
            <w:pPr>
              <w:pStyle w:val="TableText0"/>
              <w:keepLines/>
              <w:jc w:val="center"/>
              <w:rPr>
                <w:rFonts w:cs="Calibri"/>
                <w:iCs/>
                <w:szCs w:val="20"/>
              </w:rPr>
            </w:pPr>
            <w:r w:rsidRPr="007A4E7E">
              <w:rPr>
                <w:iCs/>
                <w:szCs w:val="20"/>
              </w:rPr>
              <w:t>10.60</w:t>
            </w:r>
          </w:p>
        </w:tc>
        <w:tc>
          <w:tcPr>
            <w:tcW w:w="459" w:type="pct"/>
            <w:shd w:val="clear" w:color="auto" w:fill="auto"/>
          </w:tcPr>
          <w:p w14:paraId="71C05A7D" w14:textId="77777777" w:rsidR="007D00BA" w:rsidRPr="007A4E7E" w:rsidRDefault="007D00BA" w:rsidP="00914C1A">
            <w:pPr>
              <w:pStyle w:val="TableText0"/>
              <w:keepLines/>
              <w:jc w:val="center"/>
              <w:rPr>
                <w:rFonts w:cs="Calibri"/>
                <w:iCs/>
                <w:szCs w:val="20"/>
              </w:rPr>
            </w:pPr>
            <w:r w:rsidRPr="007A4E7E">
              <w:rPr>
                <w:iCs/>
                <w:szCs w:val="20"/>
              </w:rPr>
              <w:t>10.12</w:t>
            </w:r>
          </w:p>
        </w:tc>
        <w:tc>
          <w:tcPr>
            <w:tcW w:w="308" w:type="pct"/>
            <w:shd w:val="clear" w:color="auto" w:fill="auto"/>
          </w:tcPr>
          <w:p w14:paraId="7B5C5EEC" w14:textId="77777777" w:rsidR="007D00BA" w:rsidRPr="007A4E7E" w:rsidRDefault="007D00BA" w:rsidP="00914C1A">
            <w:pPr>
              <w:pStyle w:val="TableText0"/>
              <w:keepLines/>
              <w:jc w:val="center"/>
              <w:rPr>
                <w:rFonts w:cs="Calibri"/>
                <w:iCs/>
                <w:szCs w:val="20"/>
              </w:rPr>
            </w:pPr>
            <w:r w:rsidRPr="007A4E7E">
              <w:rPr>
                <w:iCs/>
                <w:szCs w:val="20"/>
              </w:rPr>
              <w:t>0.48</w:t>
            </w:r>
          </w:p>
        </w:tc>
        <w:tc>
          <w:tcPr>
            <w:tcW w:w="537" w:type="pct"/>
            <w:shd w:val="clear" w:color="auto" w:fill="auto"/>
          </w:tcPr>
          <w:p w14:paraId="21B28B22" w14:textId="43CADF9B" w:rsidR="007D00BA" w:rsidRPr="007A4E7E" w:rsidRDefault="007D00BA" w:rsidP="00914C1A">
            <w:pPr>
              <w:pStyle w:val="TableText0"/>
              <w:keepLines/>
              <w:jc w:val="center"/>
              <w:rPr>
                <w:rFonts w:cs="Calibri"/>
                <w:iCs/>
                <w:szCs w:val="20"/>
              </w:rPr>
            </w:pPr>
            <w:r w:rsidRPr="007A4E7E">
              <w:rPr>
                <w:iCs/>
                <w:szCs w:val="20"/>
              </w:rPr>
              <w:t>$</w:t>
            </w:r>
            <w:r w:rsidR="00DE6661" w:rsidRPr="00DE6661">
              <w:rPr>
                <w:iCs/>
                <w:color w:val="000000"/>
                <w:spacing w:val="157"/>
                <w:szCs w:val="20"/>
                <w:shd w:val="solid" w:color="000000" w:fill="000000"/>
                <w:fitText w:val="243" w:id="-962329584"/>
                <w14:textFill>
                  <w14:solidFill>
                    <w14:srgbClr w14:val="000000">
                      <w14:alpha w14:val="100000"/>
                    </w14:srgbClr>
                  </w14:solidFill>
                </w14:textFill>
              </w:rPr>
              <w:t>|</w:t>
            </w:r>
            <w:r w:rsidR="00DE6661" w:rsidRPr="00DE6661">
              <w:rPr>
                <w:iCs/>
                <w:color w:val="000000"/>
                <w:spacing w:val="1"/>
                <w:szCs w:val="20"/>
                <w:shd w:val="solid" w:color="000000" w:fill="000000"/>
                <w:fitText w:val="243" w:id="-962329584"/>
                <w14:textFill>
                  <w14:solidFill>
                    <w14:srgbClr w14:val="000000">
                      <w14:alpha w14:val="100000"/>
                    </w14:srgbClr>
                  </w14:solidFill>
                </w14:textFill>
              </w:rPr>
              <w:t>|</w:t>
            </w:r>
            <w:r w:rsidR="00F770F5">
              <w:rPr>
                <w:rFonts w:cs="Calibri"/>
                <w:b/>
                <w:bCs w:val="0"/>
                <w:szCs w:val="20"/>
                <w:vertAlign w:val="superscript"/>
              </w:rPr>
              <w:t>1</w:t>
            </w:r>
          </w:p>
        </w:tc>
        <w:tc>
          <w:tcPr>
            <w:tcW w:w="416" w:type="pct"/>
          </w:tcPr>
          <w:p w14:paraId="59905385" w14:textId="7500E28D" w:rsidR="007D00BA" w:rsidRPr="007A4E7E" w:rsidRDefault="00DE6661" w:rsidP="00914C1A">
            <w:pPr>
              <w:pStyle w:val="TableText0"/>
              <w:keepLines/>
              <w:jc w:val="center"/>
              <w:rPr>
                <w:rFonts w:cs="Calibri"/>
                <w:iCs/>
                <w:szCs w:val="20"/>
              </w:rPr>
            </w:pPr>
            <w:r w:rsidRPr="00DE6661">
              <w:rPr>
                <w:iCs/>
                <w:color w:val="000000"/>
                <w:spacing w:val="214"/>
                <w:szCs w:val="20"/>
                <w:shd w:val="solid" w:color="000000" w:fill="000000"/>
                <w:fitText w:val="300" w:id="-962329600"/>
                <w14:textFill>
                  <w14:solidFill>
                    <w14:srgbClr w14:val="000000">
                      <w14:alpha w14:val="100000"/>
                    </w14:srgbClr>
                  </w14:solidFill>
                </w14:textFill>
              </w:rPr>
              <w:t>|</w:t>
            </w:r>
            <w:r w:rsidRPr="00DE6661">
              <w:rPr>
                <w:iCs/>
                <w:color w:val="000000"/>
                <w:spacing w:val="1"/>
                <w:szCs w:val="20"/>
                <w:shd w:val="solid" w:color="000000" w:fill="000000"/>
                <w:fitText w:val="300" w:id="-962329600"/>
                <w14:textFill>
                  <w14:solidFill>
                    <w14:srgbClr w14:val="000000">
                      <w14:alpha w14:val="100000"/>
                    </w14:srgbClr>
                  </w14:solidFill>
                </w14:textFill>
              </w:rPr>
              <w:t>|</w:t>
            </w:r>
            <w:r w:rsidR="007D00BA" w:rsidRPr="007A4E7E">
              <w:rPr>
                <w:iCs/>
                <w:szCs w:val="20"/>
              </w:rPr>
              <w:t>%</w:t>
            </w:r>
          </w:p>
        </w:tc>
      </w:tr>
      <w:tr w:rsidR="00F770F5" w:rsidRPr="007A4E7E" w14:paraId="797EFBDA" w14:textId="77777777" w:rsidTr="00DE6661">
        <w:trPr>
          <w:trHeight w:val="20"/>
        </w:trPr>
        <w:tc>
          <w:tcPr>
            <w:tcW w:w="1209" w:type="pct"/>
            <w:shd w:val="clear" w:color="auto" w:fill="auto"/>
          </w:tcPr>
          <w:p w14:paraId="1F71CCA5" w14:textId="77777777" w:rsidR="007D00BA" w:rsidRPr="007A4E7E" w:rsidRDefault="007D00BA" w:rsidP="00914C1A">
            <w:pPr>
              <w:pStyle w:val="TableText0"/>
              <w:keepLines/>
              <w:rPr>
                <w:rFonts w:cstheme="minorHAnsi"/>
                <w:iCs/>
                <w:color w:val="000000"/>
                <w:szCs w:val="20"/>
              </w:rPr>
            </w:pPr>
            <w:r w:rsidRPr="007A4E7E">
              <w:rPr>
                <w:iCs/>
                <w:szCs w:val="20"/>
              </w:rPr>
              <w:t>95% UCI = 10.4</w:t>
            </w:r>
          </w:p>
        </w:tc>
        <w:tc>
          <w:tcPr>
            <w:tcW w:w="596" w:type="pct"/>
            <w:shd w:val="solid" w:color="000000" w:fill="000000"/>
          </w:tcPr>
          <w:p w14:paraId="6BC4A942" w14:textId="21973F70" w:rsidR="007D00BA" w:rsidRPr="00914C1A" w:rsidRDefault="00DE6661" w:rsidP="00914C1A">
            <w:pPr>
              <w:pStyle w:val="TableText0"/>
              <w:keepLines/>
              <w:jc w:val="center"/>
              <w:rPr>
                <w:rFonts w:cs="Calibri"/>
                <w:iCs/>
                <w:szCs w:val="20"/>
                <w:highlight w:val="lightGray"/>
              </w:rPr>
            </w:pPr>
            <w:r w:rsidRPr="00DE6661">
              <w:rPr>
                <w:rFonts w:hint="eastAsia"/>
                <w:iCs/>
                <w:color w:val="000000"/>
                <w:w w:val="25"/>
                <w:szCs w:val="20"/>
                <w:fitText w:val="113" w:id="-962329599"/>
                <w14:textFill>
                  <w14:solidFill>
                    <w14:srgbClr w14:val="000000">
                      <w14:alpha w14:val="100000"/>
                    </w14:srgbClr>
                  </w14:solidFill>
                </w14:textFill>
              </w:rPr>
              <w:t xml:space="preserve">　</w:t>
            </w:r>
            <w:r w:rsidRPr="00DE6661">
              <w:rPr>
                <w:iCs/>
                <w:color w:val="000000"/>
                <w:w w:val="25"/>
                <w:szCs w:val="20"/>
                <w:fitText w:val="113" w:id="-962329599"/>
                <w14:textFill>
                  <w14:solidFill>
                    <w14:srgbClr w14:val="000000">
                      <w14:alpha w14:val="100000"/>
                    </w14:srgbClr>
                  </w14:solidFill>
                </w14:textFill>
              </w:rPr>
              <w:t>|</w:t>
            </w:r>
            <w:r w:rsidRPr="00DE6661">
              <w:rPr>
                <w:rFonts w:hint="eastAsia"/>
                <w:iCs/>
                <w:color w:val="000000"/>
                <w:w w:val="25"/>
                <w:szCs w:val="20"/>
                <w:fitText w:val="113" w:id="-962329599"/>
                <w14:textFill>
                  <w14:solidFill>
                    <w14:srgbClr w14:val="000000">
                      <w14:alpha w14:val="100000"/>
                    </w14:srgbClr>
                  </w14:solidFill>
                </w14:textFill>
              </w:rPr>
              <w:t xml:space="preserve">　</w:t>
            </w:r>
          </w:p>
        </w:tc>
        <w:tc>
          <w:tcPr>
            <w:tcW w:w="554" w:type="pct"/>
            <w:shd w:val="clear" w:color="auto" w:fill="auto"/>
          </w:tcPr>
          <w:p w14:paraId="729E4894" w14:textId="77777777" w:rsidR="007D00BA" w:rsidRPr="007A4E7E" w:rsidRDefault="007D00BA" w:rsidP="00914C1A">
            <w:pPr>
              <w:pStyle w:val="TableText0"/>
              <w:keepLines/>
              <w:jc w:val="center"/>
              <w:rPr>
                <w:rFonts w:cs="Calibri"/>
                <w:iCs/>
                <w:szCs w:val="20"/>
              </w:rPr>
            </w:pPr>
            <w:r w:rsidRPr="007A4E7E">
              <w:rPr>
                <w:iCs/>
                <w:szCs w:val="20"/>
              </w:rPr>
              <w:t>$41,084</w:t>
            </w:r>
          </w:p>
        </w:tc>
        <w:tc>
          <w:tcPr>
            <w:tcW w:w="538" w:type="pct"/>
            <w:shd w:val="solid" w:color="000000" w:fill="000000"/>
          </w:tcPr>
          <w:p w14:paraId="3D533C7E" w14:textId="295B783A" w:rsidR="007D00BA" w:rsidRPr="00914C1A" w:rsidRDefault="00DE6661" w:rsidP="00914C1A">
            <w:pPr>
              <w:pStyle w:val="TableText0"/>
              <w:keepLines/>
              <w:jc w:val="center"/>
              <w:rPr>
                <w:rFonts w:cs="Calibri"/>
                <w:iCs/>
                <w:szCs w:val="20"/>
                <w:highlight w:val="lightGray"/>
              </w:rPr>
            </w:pPr>
            <w:r w:rsidRPr="00DE6661">
              <w:rPr>
                <w:iCs/>
                <w:color w:val="000000"/>
                <w:spacing w:val="101"/>
                <w:szCs w:val="20"/>
                <w:fitText w:val="187" w:id="-962329598"/>
                <w14:textFill>
                  <w14:solidFill>
                    <w14:srgbClr w14:val="000000">
                      <w14:alpha w14:val="100000"/>
                    </w14:srgbClr>
                  </w14:solidFill>
                </w14:textFill>
              </w:rPr>
              <w:t>|</w:t>
            </w:r>
            <w:r w:rsidRPr="00DE6661">
              <w:rPr>
                <w:iCs/>
                <w:color w:val="000000"/>
                <w:szCs w:val="20"/>
                <w:fitText w:val="187" w:id="-962329598"/>
                <w14:textFill>
                  <w14:solidFill>
                    <w14:srgbClr w14:val="000000">
                      <w14:alpha w14:val="100000"/>
                    </w14:srgbClr>
                  </w14:solidFill>
                </w14:textFill>
              </w:rPr>
              <w:t>|</w:t>
            </w:r>
          </w:p>
        </w:tc>
        <w:tc>
          <w:tcPr>
            <w:tcW w:w="383" w:type="pct"/>
            <w:shd w:val="clear" w:color="auto" w:fill="auto"/>
          </w:tcPr>
          <w:p w14:paraId="3D4488D0" w14:textId="77777777" w:rsidR="007D00BA" w:rsidRPr="007A4E7E" w:rsidRDefault="007D00BA" w:rsidP="00914C1A">
            <w:pPr>
              <w:pStyle w:val="TableText0"/>
              <w:keepLines/>
              <w:jc w:val="center"/>
              <w:rPr>
                <w:rFonts w:cs="Calibri"/>
                <w:iCs/>
                <w:szCs w:val="20"/>
              </w:rPr>
            </w:pPr>
            <w:r w:rsidRPr="007A4E7E">
              <w:rPr>
                <w:iCs/>
                <w:szCs w:val="20"/>
              </w:rPr>
              <w:t>9.38</w:t>
            </w:r>
          </w:p>
        </w:tc>
        <w:tc>
          <w:tcPr>
            <w:tcW w:w="459" w:type="pct"/>
            <w:shd w:val="clear" w:color="auto" w:fill="auto"/>
          </w:tcPr>
          <w:p w14:paraId="094161A4" w14:textId="77777777" w:rsidR="007D00BA" w:rsidRPr="007A4E7E" w:rsidRDefault="007D00BA" w:rsidP="00914C1A">
            <w:pPr>
              <w:pStyle w:val="TableText0"/>
              <w:keepLines/>
              <w:jc w:val="center"/>
              <w:rPr>
                <w:rFonts w:cs="Calibri"/>
                <w:iCs/>
                <w:szCs w:val="20"/>
              </w:rPr>
            </w:pPr>
            <w:r w:rsidRPr="007A4E7E">
              <w:rPr>
                <w:iCs/>
                <w:szCs w:val="20"/>
              </w:rPr>
              <w:t>8.72</w:t>
            </w:r>
          </w:p>
        </w:tc>
        <w:tc>
          <w:tcPr>
            <w:tcW w:w="308" w:type="pct"/>
            <w:shd w:val="clear" w:color="auto" w:fill="auto"/>
          </w:tcPr>
          <w:p w14:paraId="2C4B8E65" w14:textId="77777777" w:rsidR="007D00BA" w:rsidRPr="007A4E7E" w:rsidRDefault="007D00BA" w:rsidP="00914C1A">
            <w:pPr>
              <w:pStyle w:val="TableText0"/>
              <w:keepLines/>
              <w:jc w:val="center"/>
              <w:rPr>
                <w:rFonts w:cs="Calibri"/>
                <w:iCs/>
                <w:szCs w:val="20"/>
              </w:rPr>
            </w:pPr>
            <w:r w:rsidRPr="007A4E7E">
              <w:rPr>
                <w:iCs/>
                <w:szCs w:val="20"/>
              </w:rPr>
              <w:t>0.65</w:t>
            </w:r>
          </w:p>
        </w:tc>
        <w:tc>
          <w:tcPr>
            <w:tcW w:w="537" w:type="pct"/>
            <w:shd w:val="clear" w:color="auto" w:fill="auto"/>
          </w:tcPr>
          <w:p w14:paraId="69A28CE9" w14:textId="36C2E8C2" w:rsidR="007D00BA" w:rsidRPr="007A4E7E" w:rsidRDefault="007D00BA" w:rsidP="00914C1A">
            <w:pPr>
              <w:pStyle w:val="TableText0"/>
              <w:keepLines/>
              <w:jc w:val="center"/>
              <w:rPr>
                <w:rFonts w:cs="Calibri"/>
                <w:iCs/>
                <w:szCs w:val="20"/>
              </w:rPr>
            </w:pPr>
            <w:r w:rsidRPr="007A4E7E">
              <w:rPr>
                <w:iCs/>
                <w:szCs w:val="20"/>
              </w:rPr>
              <w:t>$</w:t>
            </w:r>
            <w:r w:rsidR="00DE6661" w:rsidRPr="00DE6661">
              <w:rPr>
                <w:iCs/>
                <w:color w:val="000000"/>
                <w:spacing w:val="157"/>
                <w:szCs w:val="20"/>
                <w:shd w:val="solid" w:color="000000" w:fill="000000"/>
                <w:fitText w:val="243" w:id="-962329597"/>
                <w14:textFill>
                  <w14:solidFill>
                    <w14:srgbClr w14:val="000000">
                      <w14:alpha w14:val="100000"/>
                    </w14:srgbClr>
                  </w14:solidFill>
                </w14:textFill>
              </w:rPr>
              <w:t>|</w:t>
            </w:r>
            <w:r w:rsidR="00DE6661" w:rsidRPr="00DE6661">
              <w:rPr>
                <w:iCs/>
                <w:color w:val="000000"/>
                <w:spacing w:val="1"/>
                <w:szCs w:val="20"/>
                <w:shd w:val="solid" w:color="000000" w:fill="000000"/>
                <w:fitText w:val="243" w:id="-962329597"/>
                <w14:textFill>
                  <w14:solidFill>
                    <w14:srgbClr w14:val="000000">
                      <w14:alpha w14:val="100000"/>
                    </w14:srgbClr>
                  </w14:solidFill>
                </w14:textFill>
              </w:rPr>
              <w:t>|</w:t>
            </w:r>
            <w:r w:rsidR="00F770F5">
              <w:rPr>
                <w:rFonts w:cs="Calibri"/>
                <w:b/>
                <w:bCs w:val="0"/>
                <w:szCs w:val="20"/>
                <w:vertAlign w:val="superscript"/>
              </w:rPr>
              <w:t>3</w:t>
            </w:r>
          </w:p>
        </w:tc>
        <w:tc>
          <w:tcPr>
            <w:tcW w:w="416" w:type="pct"/>
          </w:tcPr>
          <w:p w14:paraId="1C04A6C8" w14:textId="7DB46925" w:rsidR="007D00BA" w:rsidRPr="007A4E7E" w:rsidRDefault="007D00BA" w:rsidP="00914C1A">
            <w:pPr>
              <w:pStyle w:val="TableText0"/>
              <w:keepLines/>
              <w:jc w:val="center"/>
              <w:rPr>
                <w:rFonts w:cs="Calibri"/>
                <w:iCs/>
                <w:szCs w:val="20"/>
              </w:rPr>
            </w:pPr>
            <w:r w:rsidRPr="007A4E7E">
              <w:rPr>
                <w:iCs/>
                <w:szCs w:val="20"/>
              </w:rPr>
              <w:t>-</w:t>
            </w:r>
            <w:r w:rsidR="00DE6661" w:rsidRPr="00DE6661">
              <w:rPr>
                <w:iCs/>
                <w:color w:val="000000"/>
                <w:spacing w:val="214"/>
                <w:szCs w:val="20"/>
                <w:shd w:val="solid" w:color="000000" w:fill="000000"/>
                <w:fitText w:val="300" w:id="-962329596"/>
                <w14:textFill>
                  <w14:solidFill>
                    <w14:srgbClr w14:val="000000">
                      <w14:alpha w14:val="100000"/>
                    </w14:srgbClr>
                  </w14:solidFill>
                </w14:textFill>
              </w:rPr>
              <w:t>|</w:t>
            </w:r>
            <w:r w:rsidR="00DE6661" w:rsidRPr="00DE6661">
              <w:rPr>
                <w:iCs/>
                <w:color w:val="000000"/>
                <w:spacing w:val="1"/>
                <w:szCs w:val="20"/>
                <w:shd w:val="solid" w:color="000000" w:fill="000000"/>
                <w:fitText w:val="300" w:id="-962329596"/>
                <w14:textFill>
                  <w14:solidFill>
                    <w14:srgbClr w14:val="000000">
                      <w14:alpha w14:val="100000"/>
                    </w14:srgbClr>
                  </w14:solidFill>
                </w14:textFill>
              </w:rPr>
              <w:t>|</w:t>
            </w:r>
            <w:r w:rsidRPr="007A4E7E">
              <w:rPr>
                <w:iCs/>
                <w:szCs w:val="20"/>
              </w:rPr>
              <w:t>%</w:t>
            </w:r>
          </w:p>
        </w:tc>
      </w:tr>
      <w:tr w:rsidR="007D00BA" w:rsidRPr="007A4E7E" w14:paraId="2AE38F22" w14:textId="77777777" w:rsidTr="00914C1A">
        <w:trPr>
          <w:trHeight w:val="20"/>
        </w:trPr>
        <w:tc>
          <w:tcPr>
            <w:tcW w:w="5000" w:type="pct"/>
            <w:gridSpan w:val="9"/>
            <w:shd w:val="clear" w:color="auto" w:fill="auto"/>
          </w:tcPr>
          <w:p w14:paraId="1790D90D" w14:textId="77777777" w:rsidR="007D00BA" w:rsidRPr="007A4E7E" w:rsidRDefault="007D00BA" w:rsidP="00914C1A">
            <w:pPr>
              <w:pStyle w:val="TableText0"/>
              <w:keepLines/>
              <w:rPr>
                <w:b/>
                <w:bCs w:val="0"/>
                <w:szCs w:val="20"/>
              </w:rPr>
            </w:pPr>
            <w:r w:rsidRPr="007A4E7E">
              <w:rPr>
                <w:b/>
                <w:bCs w:val="0"/>
                <w:szCs w:val="20"/>
              </w:rPr>
              <w:t>Base utility value (base case: responders = 0.713; non-responders = 0.658)</w:t>
            </w:r>
          </w:p>
        </w:tc>
      </w:tr>
      <w:tr w:rsidR="00F770F5" w:rsidRPr="007A4E7E" w14:paraId="01F574BF" w14:textId="77777777" w:rsidTr="00DE6661">
        <w:trPr>
          <w:trHeight w:val="20"/>
        </w:trPr>
        <w:tc>
          <w:tcPr>
            <w:tcW w:w="1209" w:type="pct"/>
            <w:shd w:val="clear" w:color="auto" w:fill="auto"/>
          </w:tcPr>
          <w:p w14:paraId="76F6C2CC" w14:textId="77777777" w:rsidR="007D00BA" w:rsidRPr="007A4E7E" w:rsidRDefault="007D00BA" w:rsidP="00914C1A">
            <w:pPr>
              <w:pStyle w:val="TableText0"/>
              <w:keepLines/>
              <w:rPr>
                <w:rFonts w:cstheme="minorHAnsi"/>
                <w:iCs/>
                <w:color w:val="000000"/>
                <w:szCs w:val="20"/>
              </w:rPr>
            </w:pPr>
            <w:r w:rsidRPr="007A4E7E">
              <w:rPr>
                <w:iCs/>
                <w:szCs w:val="20"/>
              </w:rPr>
              <w:t>0.851 (FAS LINC 4) for both groups</w:t>
            </w:r>
          </w:p>
        </w:tc>
        <w:tc>
          <w:tcPr>
            <w:tcW w:w="596" w:type="pct"/>
            <w:tcBorders>
              <w:bottom w:val="single" w:sz="4" w:space="0" w:color="auto"/>
            </w:tcBorders>
            <w:shd w:val="solid" w:color="000000" w:fill="000000"/>
            <w:vAlign w:val="center"/>
          </w:tcPr>
          <w:p w14:paraId="739BF5D5" w14:textId="2D3D9925" w:rsidR="007D00BA" w:rsidRPr="00914C1A" w:rsidRDefault="00DE6661" w:rsidP="00914C1A">
            <w:pPr>
              <w:pStyle w:val="TableText0"/>
              <w:keepLines/>
              <w:jc w:val="center"/>
              <w:rPr>
                <w:rFonts w:cs="Calibri"/>
                <w:iCs/>
                <w:szCs w:val="20"/>
                <w:highlight w:val="lightGray"/>
              </w:rPr>
            </w:pPr>
            <w:r w:rsidRPr="00DE6661">
              <w:rPr>
                <w:rFonts w:hint="eastAsia"/>
                <w:iCs/>
                <w:color w:val="000000"/>
                <w:w w:val="25"/>
                <w:szCs w:val="20"/>
                <w:fitText w:val="113" w:id="-962329595"/>
                <w14:textFill>
                  <w14:solidFill>
                    <w14:srgbClr w14:val="000000">
                      <w14:alpha w14:val="100000"/>
                    </w14:srgbClr>
                  </w14:solidFill>
                </w14:textFill>
              </w:rPr>
              <w:t xml:space="preserve">　</w:t>
            </w:r>
            <w:r w:rsidRPr="00DE6661">
              <w:rPr>
                <w:iCs/>
                <w:color w:val="000000"/>
                <w:w w:val="25"/>
                <w:szCs w:val="20"/>
                <w:fitText w:val="113" w:id="-962329595"/>
                <w14:textFill>
                  <w14:solidFill>
                    <w14:srgbClr w14:val="000000">
                      <w14:alpha w14:val="100000"/>
                    </w14:srgbClr>
                  </w14:solidFill>
                </w14:textFill>
              </w:rPr>
              <w:t>|</w:t>
            </w:r>
            <w:r w:rsidRPr="00DE6661">
              <w:rPr>
                <w:rFonts w:hint="eastAsia"/>
                <w:iCs/>
                <w:color w:val="000000"/>
                <w:w w:val="25"/>
                <w:szCs w:val="20"/>
                <w:fitText w:val="113" w:id="-962329595"/>
                <w14:textFill>
                  <w14:solidFill>
                    <w14:srgbClr w14:val="000000">
                      <w14:alpha w14:val="100000"/>
                    </w14:srgbClr>
                  </w14:solidFill>
                </w14:textFill>
              </w:rPr>
              <w:t xml:space="preserve">　</w:t>
            </w:r>
          </w:p>
        </w:tc>
        <w:tc>
          <w:tcPr>
            <w:tcW w:w="554" w:type="pct"/>
            <w:shd w:val="clear" w:color="auto" w:fill="auto"/>
            <w:vAlign w:val="center"/>
          </w:tcPr>
          <w:p w14:paraId="4132D19B" w14:textId="77777777" w:rsidR="007D00BA" w:rsidRPr="007A4E7E" w:rsidRDefault="007D00BA" w:rsidP="00914C1A">
            <w:pPr>
              <w:pStyle w:val="TableText0"/>
              <w:keepLines/>
              <w:jc w:val="center"/>
              <w:rPr>
                <w:rFonts w:cs="Calibri"/>
                <w:iCs/>
                <w:szCs w:val="20"/>
              </w:rPr>
            </w:pPr>
            <w:r w:rsidRPr="007A4E7E">
              <w:rPr>
                <w:iCs/>
                <w:szCs w:val="20"/>
              </w:rPr>
              <w:t>$44,458</w:t>
            </w:r>
          </w:p>
        </w:tc>
        <w:tc>
          <w:tcPr>
            <w:tcW w:w="538" w:type="pct"/>
            <w:tcBorders>
              <w:bottom w:val="single" w:sz="4" w:space="0" w:color="auto"/>
            </w:tcBorders>
            <w:shd w:val="solid" w:color="000000" w:fill="000000"/>
            <w:vAlign w:val="center"/>
          </w:tcPr>
          <w:p w14:paraId="55A0106F" w14:textId="480B2209" w:rsidR="007D00BA" w:rsidRPr="00914C1A" w:rsidRDefault="00DE6661" w:rsidP="00914C1A">
            <w:pPr>
              <w:pStyle w:val="TableText0"/>
              <w:keepLines/>
              <w:jc w:val="center"/>
              <w:rPr>
                <w:rFonts w:cs="Calibri"/>
                <w:iCs/>
                <w:szCs w:val="20"/>
                <w:highlight w:val="lightGray"/>
              </w:rPr>
            </w:pPr>
            <w:r w:rsidRPr="00DE6661">
              <w:rPr>
                <w:iCs/>
                <w:color w:val="000000"/>
                <w:spacing w:val="101"/>
                <w:szCs w:val="20"/>
                <w:fitText w:val="187" w:id="-962329594"/>
                <w14:textFill>
                  <w14:solidFill>
                    <w14:srgbClr w14:val="000000">
                      <w14:alpha w14:val="100000"/>
                    </w14:srgbClr>
                  </w14:solidFill>
                </w14:textFill>
              </w:rPr>
              <w:t>|</w:t>
            </w:r>
            <w:r w:rsidRPr="00DE6661">
              <w:rPr>
                <w:iCs/>
                <w:color w:val="000000"/>
                <w:szCs w:val="20"/>
                <w:fitText w:val="187" w:id="-962329594"/>
                <w14:textFill>
                  <w14:solidFill>
                    <w14:srgbClr w14:val="000000">
                      <w14:alpha w14:val="100000"/>
                    </w14:srgbClr>
                  </w14:solidFill>
                </w14:textFill>
              </w:rPr>
              <w:t>|</w:t>
            </w:r>
          </w:p>
        </w:tc>
        <w:tc>
          <w:tcPr>
            <w:tcW w:w="383" w:type="pct"/>
            <w:shd w:val="clear" w:color="auto" w:fill="auto"/>
            <w:vAlign w:val="center"/>
          </w:tcPr>
          <w:p w14:paraId="78A34617" w14:textId="77777777" w:rsidR="007D00BA" w:rsidRPr="007A4E7E" w:rsidRDefault="007D00BA" w:rsidP="00914C1A">
            <w:pPr>
              <w:pStyle w:val="TableText0"/>
              <w:keepLines/>
              <w:jc w:val="center"/>
              <w:rPr>
                <w:rFonts w:cs="Calibri"/>
                <w:iCs/>
                <w:szCs w:val="20"/>
              </w:rPr>
            </w:pPr>
            <w:r w:rsidRPr="007A4E7E">
              <w:rPr>
                <w:iCs/>
                <w:szCs w:val="20"/>
              </w:rPr>
              <w:t>12.57</w:t>
            </w:r>
          </w:p>
        </w:tc>
        <w:tc>
          <w:tcPr>
            <w:tcW w:w="459" w:type="pct"/>
            <w:shd w:val="clear" w:color="auto" w:fill="auto"/>
            <w:vAlign w:val="center"/>
          </w:tcPr>
          <w:p w14:paraId="2AC4E368" w14:textId="77777777" w:rsidR="007D00BA" w:rsidRPr="007A4E7E" w:rsidRDefault="007D00BA" w:rsidP="00914C1A">
            <w:pPr>
              <w:pStyle w:val="TableText0"/>
              <w:keepLines/>
              <w:jc w:val="center"/>
              <w:rPr>
                <w:rFonts w:cs="Calibri"/>
                <w:iCs/>
                <w:szCs w:val="20"/>
              </w:rPr>
            </w:pPr>
            <w:r w:rsidRPr="007A4E7E">
              <w:rPr>
                <w:iCs/>
                <w:szCs w:val="20"/>
              </w:rPr>
              <w:t>12.13</w:t>
            </w:r>
          </w:p>
        </w:tc>
        <w:tc>
          <w:tcPr>
            <w:tcW w:w="308" w:type="pct"/>
            <w:shd w:val="clear" w:color="auto" w:fill="auto"/>
            <w:vAlign w:val="center"/>
          </w:tcPr>
          <w:p w14:paraId="5E54DAC8" w14:textId="77777777" w:rsidR="007D00BA" w:rsidRPr="007A4E7E" w:rsidRDefault="007D00BA" w:rsidP="00914C1A">
            <w:pPr>
              <w:pStyle w:val="TableText0"/>
              <w:keepLines/>
              <w:jc w:val="center"/>
              <w:rPr>
                <w:rFonts w:cs="Calibri"/>
                <w:iCs/>
                <w:szCs w:val="20"/>
              </w:rPr>
            </w:pPr>
            <w:r w:rsidRPr="007A4E7E">
              <w:rPr>
                <w:iCs/>
                <w:szCs w:val="20"/>
              </w:rPr>
              <w:t>0.44</w:t>
            </w:r>
          </w:p>
        </w:tc>
        <w:tc>
          <w:tcPr>
            <w:tcW w:w="537" w:type="pct"/>
            <w:shd w:val="clear" w:color="auto" w:fill="auto"/>
            <w:vAlign w:val="center"/>
          </w:tcPr>
          <w:p w14:paraId="785A07DD" w14:textId="3FF6A904" w:rsidR="007D00BA" w:rsidRPr="007A4E7E" w:rsidRDefault="007D00BA" w:rsidP="00914C1A">
            <w:pPr>
              <w:pStyle w:val="TableText0"/>
              <w:keepLines/>
              <w:jc w:val="center"/>
              <w:rPr>
                <w:rFonts w:cs="Calibri"/>
                <w:iCs/>
                <w:szCs w:val="20"/>
              </w:rPr>
            </w:pPr>
            <w:r w:rsidRPr="007A4E7E">
              <w:rPr>
                <w:iCs/>
                <w:szCs w:val="20"/>
              </w:rPr>
              <w:t>$</w:t>
            </w:r>
            <w:r w:rsidR="00DE6661" w:rsidRPr="00DE6661">
              <w:rPr>
                <w:iCs/>
                <w:color w:val="000000"/>
                <w:spacing w:val="157"/>
                <w:szCs w:val="20"/>
                <w:shd w:val="solid" w:color="000000" w:fill="000000"/>
                <w:fitText w:val="243" w:id="-962329593"/>
                <w14:textFill>
                  <w14:solidFill>
                    <w14:srgbClr w14:val="000000">
                      <w14:alpha w14:val="100000"/>
                    </w14:srgbClr>
                  </w14:solidFill>
                </w14:textFill>
              </w:rPr>
              <w:t>|</w:t>
            </w:r>
            <w:r w:rsidR="00DE6661" w:rsidRPr="00DE6661">
              <w:rPr>
                <w:iCs/>
                <w:color w:val="000000"/>
                <w:spacing w:val="1"/>
                <w:szCs w:val="20"/>
                <w:shd w:val="solid" w:color="000000" w:fill="000000"/>
                <w:fitText w:val="243" w:id="-962329593"/>
                <w14:textFill>
                  <w14:solidFill>
                    <w14:srgbClr w14:val="000000">
                      <w14:alpha w14:val="100000"/>
                    </w14:srgbClr>
                  </w14:solidFill>
                </w14:textFill>
              </w:rPr>
              <w:t>|</w:t>
            </w:r>
            <w:r w:rsidR="00F770F5">
              <w:rPr>
                <w:rFonts w:cs="Calibri"/>
                <w:b/>
                <w:bCs w:val="0"/>
                <w:szCs w:val="20"/>
                <w:vertAlign w:val="superscript"/>
              </w:rPr>
              <w:t>2</w:t>
            </w:r>
          </w:p>
        </w:tc>
        <w:tc>
          <w:tcPr>
            <w:tcW w:w="416" w:type="pct"/>
            <w:vAlign w:val="center"/>
          </w:tcPr>
          <w:p w14:paraId="30ECA7FD" w14:textId="5A5D8A4E" w:rsidR="007D00BA" w:rsidRPr="007A4E7E" w:rsidRDefault="00DE6661" w:rsidP="00914C1A">
            <w:pPr>
              <w:pStyle w:val="TableText0"/>
              <w:keepLines/>
              <w:jc w:val="center"/>
              <w:rPr>
                <w:rFonts w:cs="Calibri"/>
                <w:iCs/>
                <w:szCs w:val="20"/>
              </w:rPr>
            </w:pPr>
            <w:r w:rsidRPr="00DE6661">
              <w:rPr>
                <w:iCs/>
                <w:color w:val="000000"/>
                <w:spacing w:val="214"/>
                <w:szCs w:val="20"/>
                <w:shd w:val="solid" w:color="000000" w:fill="000000"/>
                <w:fitText w:val="300" w:id="-962329592"/>
                <w14:textFill>
                  <w14:solidFill>
                    <w14:srgbClr w14:val="000000">
                      <w14:alpha w14:val="100000"/>
                    </w14:srgbClr>
                  </w14:solidFill>
                </w14:textFill>
              </w:rPr>
              <w:t>|</w:t>
            </w:r>
            <w:r w:rsidRPr="00DE6661">
              <w:rPr>
                <w:iCs/>
                <w:color w:val="000000"/>
                <w:spacing w:val="1"/>
                <w:szCs w:val="20"/>
                <w:shd w:val="solid" w:color="000000" w:fill="000000"/>
                <w:fitText w:val="300" w:id="-962329592"/>
                <w14:textFill>
                  <w14:solidFill>
                    <w14:srgbClr w14:val="000000">
                      <w14:alpha w14:val="100000"/>
                    </w14:srgbClr>
                  </w14:solidFill>
                </w14:textFill>
              </w:rPr>
              <w:t>|</w:t>
            </w:r>
            <w:r w:rsidR="007D00BA" w:rsidRPr="007A4E7E">
              <w:rPr>
                <w:iCs/>
                <w:szCs w:val="20"/>
              </w:rPr>
              <w:t>%</w:t>
            </w:r>
          </w:p>
        </w:tc>
      </w:tr>
      <w:tr w:rsidR="00F770F5" w:rsidRPr="007A4E7E" w14:paraId="7912AD5B" w14:textId="77777777" w:rsidTr="00DE6661">
        <w:trPr>
          <w:trHeight w:val="20"/>
        </w:trPr>
        <w:tc>
          <w:tcPr>
            <w:tcW w:w="1209" w:type="pct"/>
            <w:shd w:val="clear" w:color="auto" w:fill="auto"/>
          </w:tcPr>
          <w:p w14:paraId="408C8313" w14:textId="77777777" w:rsidR="007D00BA" w:rsidRPr="007A4E7E" w:rsidRDefault="007D00BA" w:rsidP="00914C1A">
            <w:pPr>
              <w:pStyle w:val="TableText0"/>
              <w:keepLines/>
              <w:rPr>
                <w:rFonts w:cstheme="minorHAnsi"/>
                <w:iCs/>
                <w:color w:val="000000"/>
                <w:szCs w:val="20"/>
              </w:rPr>
            </w:pPr>
            <w:r w:rsidRPr="007A4E7E">
              <w:rPr>
                <w:iCs/>
                <w:szCs w:val="20"/>
              </w:rPr>
              <w:t>0.708 (Weighted average baseline utility)</w:t>
            </w:r>
          </w:p>
        </w:tc>
        <w:tc>
          <w:tcPr>
            <w:tcW w:w="596" w:type="pct"/>
            <w:shd w:val="solid" w:color="000000" w:fill="000000"/>
            <w:vAlign w:val="center"/>
          </w:tcPr>
          <w:p w14:paraId="698D58E1" w14:textId="37752640" w:rsidR="007D00BA" w:rsidRPr="00914C1A" w:rsidRDefault="00DE6661" w:rsidP="00914C1A">
            <w:pPr>
              <w:pStyle w:val="TableText0"/>
              <w:keepLines/>
              <w:jc w:val="center"/>
              <w:rPr>
                <w:rFonts w:cs="Calibri"/>
                <w:iCs/>
                <w:szCs w:val="20"/>
                <w:highlight w:val="lightGray"/>
              </w:rPr>
            </w:pPr>
            <w:r w:rsidRPr="00DE6661">
              <w:rPr>
                <w:rFonts w:hint="eastAsia"/>
                <w:iCs/>
                <w:color w:val="000000"/>
                <w:w w:val="25"/>
                <w:szCs w:val="20"/>
                <w:fitText w:val="113" w:id="-962329591"/>
                <w14:textFill>
                  <w14:solidFill>
                    <w14:srgbClr w14:val="000000">
                      <w14:alpha w14:val="100000"/>
                    </w14:srgbClr>
                  </w14:solidFill>
                </w14:textFill>
              </w:rPr>
              <w:t xml:space="preserve">　</w:t>
            </w:r>
            <w:r w:rsidRPr="00DE6661">
              <w:rPr>
                <w:iCs/>
                <w:color w:val="000000"/>
                <w:w w:val="25"/>
                <w:szCs w:val="20"/>
                <w:fitText w:val="113" w:id="-962329591"/>
                <w14:textFill>
                  <w14:solidFill>
                    <w14:srgbClr w14:val="000000">
                      <w14:alpha w14:val="100000"/>
                    </w14:srgbClr>
                  </w14:solidFill>
                </w14:textFill>
              </w:rPr>
              <w:t>|</w:t>
            </w:r>
            <w:r w:rsidRPr="00DE6661">
              <w:rPr>
                <w:rFonts w:hint="eastAsia"/>
                <w:iCs/>
                <w:color w:val="000000"/>
                <w:w w:val="25"/>
                <w:szCs w:val="20"/>
                <w:fitText w:val="113" w:id="-962329591"/>
                <w14:textFill>
                  <w14:solidFill>
                    <w14:srgbClr w14:val="000000">
                      <w14:alpha w14:val="100000"/>
                    </w14:srgbClr>
                  </w14:solidFill>
                </w14:textFill>
              </w:rPr>
              <w:t xml:space="preserve">　</w:t>
            </w:r>
          </w:p>
        </w:tc>
        <w:tc>
          <w:tcPr>
            <w:tcW w:w="554" w:type="pct"/>
            <w:shd w:val="clear" w:color="auto" w:fill="auto"/>
            <w:vAlign w:val="center"/>
          </w:tcPr>
          <w:p w14:paraId="6E978C92" w14:textId="77777777" w:rsidR="007D00BA" w:rsidRPr="007A4E7E" w:rsidRDefault="007D00BA" w:rsidP="00914C1A">
            <w:pPr>
              <w:pStyle w:val="TableText0"/>
              <w:keepLines/>
              <w:jc w:val="center"/>
              <w:rPr>
                <w:rFonts w:cs="Calibri"/>
                <w:iCs/>
                <w:szCs w:val="20"/>
              </w:rPr>
            </w:pPr>
            <w:r w:rsidRPr="007A4E7E">
              <w:rPr>
                <w:iCs/>
                <w:szCs w:val="20"/>
              </w:rPr>
              <w:t>$44,458</w:t>
            </w:r>
          </w:p>
        </w:tc>
        <w:tc>
          <w:tcPr>
            <w:tcW w:w="538" w:type="pct"/>
            <w:shd w:val="solid" w:color="000000" w:fill="000000"/>
            <w:vAlign w:val="center"/>
          </w:tcPr>
          <w:p w14:paraId="46F8BF44" w14:textId="01CEB607" w:rsidR="007D00BA" w:rsidRPr="00914C1A" w:rsidRDefault="00DE6661" w:rsidP="00914C1A">
            <w:pPr>
              <w:pStyle w:val="TableText0"/>
              <w:keepLines/>
              <w:jc w:val="center"/>
              <w:rPr>
                <w:rFonts w:cs="Calibri"/>
                <w:iCs/>
                <w:szCs w:val="20"/>
                <w:highlight w:val="lightGray"/>
              </w:rPr>
            </w:pPr>
            <w:r w:rsidRPr="00DE6661">
              <w:rPr>
                <w:iCs/>
                <w:color w:val="000000"/>
                <w:spacing w:val="101"/>
                <w:szCs w:val="20"/>
                <w:fitText w:val="187" w:id="-962329590"/>
                <w14:textFill>
                  <w14:solidFill>
                    <w14:srgbClr w14:val="000000">
                      <w14:alpha w14:val="100000"/>
                    </w14:srgbClr>
                  </w14:solidFill>
                </w14:textFill>
              </w:rPr>
              <w:t>|</w:t>
            </w:r>
            <w:r w:rsidRPr="00DE6661">
              <w:rPr>
                <w:iCs/>
                <w:color w:val="000000"/>
                <w:szCs w:val="20"/>
                <w:fitText w:val="187" w:id="-962329590"/>
                <w14:textFill>
                  <w14:solidFill>
                    <w14:srgbClr w14:val="000000">
                      <w14:alpha w14:val="100000"/>
                    </w14:srgbClr>
                  </w14:solidFill>
                </w14:textFill>
              </w:rPr>
              <w:t>|</w:t>
            </w:r>
          </w:p>
        </w:tc>
        <w:tc>
          <w:tcPr>
            <w:tcW w:w="383" w:type="pct"/>
            <w:shd w:val="clear" w:color="auto" w:fill="auto"/>
            <w:vAlign w:val="center"/>
          </w:tcPr>
          <w:p w14:paraId="4FCE61DA" w14:textId="77777777" w:rsidR="007D00BA" w:rsidRPr="007A4E7E" w:rsidRDefault="007D00BA" w:rsidP="00914C1A">
            <w:pPr>
              <w:pStyle w:val="TableText0"/>
              <w:keepLines/>
              <w:jc w:val="center"/>
              <w:rPr>
                <w:rFonts w:cs="Calibri"/>
                <w:iCs/>
                <w:szCs w:val="20"/>
              </w:rPr>
            </w:pPr>
            <w:r w:rsidRPr="007A4E7E">
              <w:rPr>
                <w:iCs/>
                <w:szCs w:val="20"/>
              </w:rPr>
              <w:t>10.51</w:t>
            </w:r>
          </w:p>
        </w:tc>
        <w:tc>
          <w:tcPr>
            <w:tcW w:w="459" w:type="pct"/>
            <w:shd w:val="clear" w:color="auto" w:fill="auto"/>
            <w:vAlign w:val="center"/>
          </w:tcPr>
          <w:p w14:paraId="3B8CD358" w14:textId="77777777" w:rsidR="007D00BA" w:rsidRPr="007A4E7E" w:rsidRDefault="007D00BA" w:rsidP="00914C1A">
            <w:pPr>
              <w:pStyle w:val="TableText0"/>
              <w:keepLines/>
              <w:jc w:val="center"/>
              <w:rPr>
                <w:rFonts w:cs="Calibri"/>
                <w:iCs/>
                <w:szCs w:val="20"/>
              </w:rPr>
            </w:pPr>
            <w:r w:rsidRPr="007A4E7E">
              <w:rPr>
                <w:iCs/>
                <w:szCs w:val="20"/>
              </w:rPr>
              <w:t>10.10</w:t>
            </w:r>
          </w:p>
        </w:tc>
        <w:tc>
          <w:tcPr>
            <w:tcW w:w="308" w:type="pct"/>
            <w:shd w:val="clear" w:color="auto" w:fill="auto"/>
            <w:vAlign w:val="center"/>
          </w:tcPr>
          <w:p w14:paraId="2494A712" w14:textId="77777777" w:rsidR="007D00BA" w:rsidRPr="007A4E7E" w:rsidRDefault="007D00BA" w:rsidP="00914C1A">
            <w:pPr>
              <w:pStyle w:val="TableText0"/>
              <w:keepLines/>
              <w:jc w:val="center"/>
              <w:rPr>
                <w:rFonts w:cs="Calibri"/>
                <w:iCs/>
                <w:szCs w:val="20"/>
              </w:rPr>
            </w:pPr>
            <w:r w:rsidRPr="007A4E7E">
              <w:rPr>
                <w:iCs/>
                <w:szCs w:val="20"/>
              </w:rPr>
              <w:t>0.41</w:t>
            </w:r>
          </w:p>
        </w:tc>
        <w:tc>
          <w:tcPr>
            <w:tcW w:w="537" w:type="pct"/>
            <w:shd w:val="clear" w:color="auto" w:fill="auto"/>
            <w:vAlign w:val="center"/>
          </w:tcPr>
          <w:p w14:paraId="75DA17AE" w14:textId="43E781FB" w:rsidR="007D00BA" w:rsidRPr="007A4E7E" w:rsidRDefault="007D00BA" w:rsidP="00914C1A">
            <w:pPr>
              <w:pStyle w:val="TableText0"/>
              <w:keepLines/>
              <w:jc w:val="center"/>
              <w:rPr>
                <w:rFonts w:cs="Calibri"/>
                <w:iCs/>
                <w:szCs w:val="20"/>
              </w:rPr>
            </w:pPr>
            <w:r w:rsidRPr="007A4E7E">
              <w:rPr>
                <w:iCs/>
                <w:szCs w:val="20"/>
              </w:rPr>
              <w:t>$</w:t>
            </w:r>
            <w:r w:rsidR="00DE6661" w:rsidRPr="00DE6661">
              <w:rPr>
                <w:iCs/>
                <w:color w:val="000000"/>
                <w:spacing w:val="157"/>
                <w:szCs w:val="20"/>
                <w:shd w:val="solid" w:color="000000" w:fill="000000"/>
                <w:fitText w:val="243" w:id="-962329589"/>
                <w14:textFill>
                  <w14:solidFill>
                    <w14:srgbClr w14:val="000000">
                      <w14:alpha w14:val="100000"/>
                    </w14:srgbClr>
                  </w14:solidFill>
                </w14:textFill>
              </w:rPr>
              <w:t>|</w:t>
            </w:r>
            <w:r w:rsidR="00DE6661" w:rsidRPr="00DE6661">
              <w:rPr>
                <w:iCs/>
                <w:color w:val="000000"/>
                <w:spacing w:val="1"/>
                <w:szCs w:val="20"/>
                <w:shd w:val="solid" w:color="000000" w:fill="000000"/>
                <w:fitText w:val="243" w:id="-962329589"/>
                <w14:textFill>
                  <w14:solidFill>
                    <w14:srgbClr w14:val="000000">
                      <w14:alpha w14:val="100000"/>
                    </w14:srgbClr>
                  </w14:solidFill>
                </w14:textFill>
              </w:rPr>
              <w:t>|</w:t>
            </w:r>
            <w:r w:rsidR="00F770F5">
              <w:rPr>
                <w:rFonts w:cs="Calibri"/>
                <w:b/>
                <w:bCs w:val="0"/>
                <w:szCs w:val="20"/>
                <w:vertAlign w:val="superscript"/>
              </w:rPr>
              <w:t>2</w:t>
            </w:r>
          </w:p>
        </w:tc>
        <w:tc>
          <w:tcPr>
            <w:tcW w:w="416" w:type="pct"/>
            <w:vAlign w:val="center"/>
          </w:tcPr>
          <w:p w14:paraId="4ACB6C9D" w14:textId="3E8C8720" w:rsidR="007D00BA" w:rsidRPr="007A4E7E" w:rsidRDefault="00DE6661" w:rsidP="00914C1A">
            <w:pPr>
              <w:pStyle w:val="TableText0"/>
              <w:keepLines/>
              <w:jc w:val="center"/>
              <w:rPr>
                <w:rFonts w:cs="Calibri"/>
                <w:iCs/>
                <w:szCs w:val="20"/>
              </w:rPr>
            </w:pPr>
            <w:r w:rsidRPr="00DE6661">
              <w:rPr>
                <w:iCs/>
                <w:color w:val="000000"/>
                <w:spacing w:val="214"/>
                <w:szCs w:val="20"/>
                <w:shd w:val="solid" w:color="000000" w:fill="000000"/>
                <w:fitText w:val="300" w:id="-962329588"/>
                <w14:textFill>
                  <w14:solidFill>
                    <w14:srgbClr w14:val="000000">
                      <w14:alpha w14:val="100000"/>
                    </w14:srgbClr>
                  </w14:solidFill>
                </w14:textFill>
              </w:rPr>
              <w:t>|</w:t>
            </w:r>
            <w:r w:rsidRPr="00DE6661">
              <w:rPr>
                <w:iCs/>
                <w:color w:val="000000"/>
                <w:spacing w:val="1"/>
                <w:szCs w:val="20"/>
                <w:shd w:val="solid" w:color="000000" w:fill="000000"/>
                <w:fitText w:val="300" w:id="-962329588"/>
                <w14:textFill>
                  <w14:solidFill>
                    <w14:srgbClr w14:val="000000">
                      <w14:alpha w14:val="100000"/>
                    </w14:srgbClr>
                  </w14:solidFill>
                </w14:textFill>
              </w:rPr>
              <w:t>|</w:t>
            </w:r>
            <w:r w:rsidR="007D00BA" w:rsidRPr="007A4E7E">
              <w:rPr>
                <w:iCs/>
                <w:szCs w:val="20"/>
              </w:rPr>
              <w:t>%</w:t>
            </w:r>
          </w:p>
        </w:tc>
      </w:tr>
      <w:tr w:rsidR="007D00BA" w:rsidRPr="007A4E7E" w14:paraId="52E618D8" w14:textId="77777777" w:rsidTr="00914C1A">
        <w:trPr>
          <w:trHeight w:val="20"/>
        </w:trPr>
        <w:tc>
          <w:tcPr>
            <w:tcW w:w="5000" w:type="pct"/>
            <w:gridSpan w:val="9"/>
            <w:shd w:val="clear" w:color="auto" w:fill="auto"/>
          </w:tcPr>
          <w:p w14:paraId="5C917298" w14:textId="77777777" w:rsidR="007D00BA" w:rsidRPr="007A4E7E" w:rsidRDefault="007D00BA" w:rsidP="00914C1A">
            <w:pPr>
              <w:pStyle w:val="TableText0"/>
              <w:keepLines/>
              <w:rPr>
                <w:b/>
                <w:bCs w:val="0"/>
                <w:szCs w:val="20"/>
              </w:rPr>
            </w:pPr>
            <w:r w:rsidRPr="007A4E7E">
              <w:rPr>
                <w:b/>
                <w:bCs w:val="0"/>
                <w:szCs w:val="20"/>
              </w:rPr>
              <w:t>Change from baseline after 12 weeks utilities in responders (base case: responders = 0.086)</w:t>
            </w:r>
          </w:p>
        </w:tc>
      </w:tr>
      <w:tr w:rsidR="00F770F5" w:rsidRPr="007A4E7E" w14:paraId="3D8EB8DB" w14:textId="77777777" w:rsidTr="00DE6661">
        <w:trPr>
          <w:trHeight w:val="20"/>
        </w:trPr>
        <w:tc>
          <w:tcPr>
            <w:tcW w:w="1209" w:type="pct"/>
            <w:shd w:val="clear" w:color="auto" w:fill="auto"/>
          </w:tcPr>
          <w:p w14:paraId="6053F853" w14:textId="77777777" w:rsidR="007D00BA" w:rsidRPr="007A4E7E" w:rsidRDefault="007D00BA" w:rsidP="00914C1A">
            <w:pPr>
              <w:pStyle w:val="TableText0"/>
              <w:keepLines/>
              <w:rPr>
                <w:rFonts w:cstheme="minorHAnsi"/>
                <w:iCs/>
                <w:color w:val="000000"/>
                <w:szCs w:val="20"/>
              </w:rPr>
            </w:pPr>
            <w:r w:rsidRPr="007A4E7E">
              <w:rPr>
                <w:iCs/>
                <w:szCs w:val="20"/>
              </w:rPr>
              <w:t>95% LCI = 0.026</w:t>
            </w:r>
          </w:p>
        </w:tc>
        <w:tc>
          <w:tcPr>
            <w:tcW w:w="596" w:type="pct"/>
            <w:tcBorders>
              <w:bottom w:val="single" w:sz="4" w:space="0" w:color="auto"/>
            </w:tcBorders>
            <w:shd w:val="solid" w:color="000000" w:fill="000000"/>
            <w:vAlign w:val="center"/>
          </w:tcPr>
          <w:p w14:paraId="106A6A89" w14:textId="31BE4B3E" w:rsidR="007D00BA" w:rsidRPr="00914C1A" w:rsidRDefault="00DE6661" w:rsidP="00914C1A">
            <w:pPr>
              <w:pStyle w:val="TableText0"/>
              <w:keepLines/>
              <w:jc w:val="center"/>
              <w:rPr>
                <w:rFonts w:cs="Calibri"/>
                <w:iCs/>
                <w:szCs w:val="20"/>
                <w:highlight w:val="lightGray"/>
              </w:rPr>
            </w:pPr>
            <w:r w:rsidRPr="00DE6661">
              <w:rPr>
                <w:rFonts w:hint="eastAsia"/>
                <w:iCs/>
                <w:color w:val="000000"/>
                <w:w w:val="25"/>
                <w:szCs w:val="20"/>
                <w:fitText w:val="113" w:id="-962329587"/>
                <w14:textFill>
                  <w14:solidFill>
                    <w14:srgbClr w14:val="000000">
                      <w14:alpha w14:val="100000"/>
                    </w14:srgbClr>
                  </w14:solidFill>
                </w14:textFill>
              </w:rPr>
              <w:t xml:space="preserve">　</w:t>
            </w:r>
            <w:r w:rsidRPr="00DE6661">
              <w:rPr>
                <w:iCs/>
                <w:color w:val="000000"/>
                <w:w w:val="25"/>
                <w:szCs w:val="20"/>
                <w:fitText w:val="113" w:id="-962329587"/>
                <w14:textFill>
                  <w14:solidFill>
                    <w14:srgbClr w14:val="000000">
                      <w14:alpha w14:val="100000"/>
                    </w14:srgbClr>
                  </w14:solidFill>
                </w14:textFill>
              </w:rPr>
              <w:t>|</w:t>
            </w:r>
            <w:r w:rsidRPr="00DE6661">
              <w:rPr>
                <w:rFonts w:hint="eastAsia"/>
                <w:iCs/>
                <w:color w:val="000000"/>
                <w:w w:val="25"/>
                <w:szCs w:val="20"/>
                <w:fitText w:val="113" w:id="-962329587"/>
                <w14:textFill>
                  <w14:solidFill>
                    <w14:srgbClr w14:val="000000">
                      <w14:alpha w14:val="100000"/>
                    </w14:srgbClr>
                  </w14:solidFill>
                </w14:textFill>
              </w:rPr>
              <w:t xml:space="preserve">　</w:t>
            </w:r>
          </w:p>
        </w:tc>
        <w:tc>
          <w:tcPr>
            <w:tcW w:w="554" w:type="pct"/>
            <w:shd w:val="clear" w:color="auto" w:fill="auto"/>
            <w:vAlign w:val="center"/>
          </w:tcPr>
          <w:p w14:paraId="5D85D033" w14:textId="77777777" w:rsidR="007D00BA" w:rsidRPr="007A4E7E" w:rsidRDefault="007D00BA" w:rsidP="00914C1A">
            <w:pPr>
              <w:pStyle w:val="TableText0"/>
              <w:keepLines/>
              <w:jc w:val="center"/>
              <w:rPr>
                <w:rFonts w:cs="Calibri"/>
                <w:iCs/>
                <w:szCs w:val="20"/>
              </w:rPr>
            </w:pPr>
            <w:r w:rsidRPr="007A4E7E">
              <w:rPr>
                <w:iCs/>
                <w:szCs w:val="20"/>
              </w:rPr>
              <w:t>$44,458</w:t>
            </w:r>
          </w:p>
        </w:tc>
        <w:tc>
          <w:tcPr>
            <w:tcW w:w="538" w:type="pct"/>
            <w:tcBorders>
              <w:bottom w:val="single" w:sz="4" w:space="0" w:color="auto"/>
            </w:tcBorders>
            <w:shd w:val="solid" w:color="000000" w:fill="000000"/>
            <w:vAlign w:val="center"/>
          </w:tcPr>
          <w:p w14:paraId="71912AD6" w14:textId="3131B079" w:rsidR="007D00BA" w:rsidRPr="00914C1A" w:rsidRDefault="00DE6661" w:rsidP="00914C1A">
            <w:pPr>
              <w:pStyle w:val="TableText0"/>
              <w:keepLines/>
              <w:jc w:val="center"/>
              <w:rPr>
                <w:rFonts w:cs="Calibri"/>
                <w:iCs/>
                <w:szCs w:val="20"/>
                <w:highlight w:val="lightGray"/>
              </w:rPr>
            </w:pPr>
            <w:r w:rsidRPr="00DE6661">
              <w:rPr>
                <w:iCs/>
                <w:color w:val="000000"/>
                <w:spacing w:val="101"/>
                <w:szCs w:val="20"/>
                <w:fitText w:val="187" w:id="-962329586"/>
                <w14:textFill>
                  <w14:solidFill>
                    <w14:srgbClr w14:val="000000">
                      <w14:alpha w14:val="100000"/>
                    </w14:srgbClr>
                  </w14:solidFill>
                </w14:textFill>
              </w:rPr>
              <w:t>|</w:t>
            </w:r>
            <w:r w:rsidRPr="00DE6661">
              <w:rPr>
                <w:iCs/>
                <w:color w:val="000000"/>
                <w:szCs w:val="20"/>
                <w:fitText w:val="187" w:id="-962329586"/>
                <w14:textFill>
                  <w14:solidFill>
                    <w14:srgbClr w14:val="000000">
                      <w14:alpha w14:val="100000"/>
                    </w14:srgbClr>
                  </w14:solidFill>
                </w14:textFill>
              </w:rPr>
              <w:t>|</w:t>
            </w:r>
          </w:p>
        </w:tc>
        <w:tc>
          <w:tcPr>
            <w:tcW w:w="383" w:type="pct"/>
            <w:shd w:val="clear" w:color="auto" w:fill="auto"/>
            <w:vAlign w:val="center"/>
          </w:tcPr>
          <w:p w14:paraId="69254CAD" w14:textId="77777777" w:rsidR="007D00BA" w:rsidRPr="007A4E7E" w:rsidRDefault="007D00BA" w:rsidP="00914C1A">
            <w:pPr>
              <w:pStyle w:val="TableText0"/>
              <w:keepLines/>
              <w:jc w:val="center"/>
              <w:rPr>
                <w:rFonts w:cs="Calibri"/>
                <w:iCs/>
                <w:szCs w:val="20"/>
              </w:rPr>
            </w:pPr>
            <w:r w:rsidRPr="007A4E7E">
              <w:rPr>
                <w:iCs/>
                <w:szCs w:val="20"/>
              </w:rPr>
              <w:t>9.78</w:t>
            </w:r>
          </w:p>
        </w:tc>
        <w:tc>
          <w:tcPr>
            <w:tcW w:w="459" w:type="pct"/>
            <w:shd w:val="clear" w:color="auto" w:fill="auto"/>
            <w:vAlign w:val="center"/>
          </w:tcPr>
          <w:p w14:paraId="56FB6947" w14:textId="77777777" w:rsidR="007D00BA" w:rsidRPr="007A4E7E" w:rsidRDefault="007D00BA" w:rsidP="00914C1A">
            <w:pPr>
              <w:pStyle w:val="TableText0"/>
              <w:keepLines/>
              <w:jc w:val="center"/>
              <w:rPr>
                <w:rFonts w:cs="Calibri"/>
                <w:iCs/>
                <w:szCs w:val="20"/>
              </w:rPr>
            </w:pPr>
            <w:r w:rsidRPr="007A4E7E">
              <w:rPr>
                <w:iCs/>
                <w:szCs w:val="20"/>
              </w:rPr>
              <w:t>9.39</w:t>
            </w:r>
          </w:p>
        </w:tc>
        <w:tc>
          <w:tcPr>
            <w:tcW w:w="308" w:type="pct"/>
            <w:shd w:val="clear" w:color="auto" w:fill="auto"/>
            <w:vAlign w:val="center"/>
          </w:tcPr>
          <w:p w14:paraId="0602C03C" w14:textId="77777777" w:rsidR="007D00BA" w:rsidRPr="007A4E7E" w:rsidRDefault="007D00BA" w:rsidP="00914C1A">
            <w:pPr>
              <w:pStyle w:val="TableText0"/>
              <w:keepLines/>
              <w:jc w:val="center"/>
              <w:rPr>
                <w:rFonts w:cs="Calibri"/>
                <w:iCs/>
                <w:szCs w:val="20"/>
              </w:rPr>
            </w:pPr>
            <w:r w:rsidRPr="007A4E7E">
              <w:rPr>
                <w:iCs/>
                <w:szCs w:val="20"/>
              </w:rPr>
              <w:t>0.39</w:t>
            </w:r>
          </w:p>
        </w:tc>
        <w:tc>
          <w:tcPr>
            <w:tcW w:w="537" w:type="pct"/>
            <w:shd w:val="clear" w:color="auto" w:fill="auto"/>
            <w:vAlign w:val="center"/>
          </w:tcPr>
          <w:p w14:paraId="32955F71" w14:textId="7AC4E2D3" w:rsidR="007D00BA" w:rsidRPr="007A4E7E" w:rsidRDefault="007D00BA" w:rsidP="00914C1A">
            <w:pPr>
              <w:pStyle w:val="TableText0"/>
              <w:keepLines/>
              <w:jc w:val="center"/>
              <w:rPr>
                <w:rFonts w:cs="Calibri"/>
                <w:iCs/>
                <w:szCs w:val="20"/>
              </w:rPr>
            </w:pPr>
            <w:r w:rsidRPr="007A4E7E">
              <w:rPr>
                <w:iCs/>
                <w:szCs w:val="20"/>
              </w:rPr>
              <w:t>$</w:t>
            </w:r>
            <w:r w:rsidR="00DE6661" w:rsidRPr="00DE6661">
              <w:rPr>
                <w:iCs/>
                <w:color w:val="000000"/>
                <w:spacing w:val="157"/>
                <w:szCs w:val="20"/>
                <w:shd w:val="solid" w:color="000000" w:fill="000000"/>
                <w:fitText w:val="243" w:id="-962329585"/>
                <w14:textFill>
                  <w14:solidFill>
                    <w14:srgbClr w14:val="000000">
                      <w14:alpha w14:val="100000"/>
                    </w14:srgbClr>
                  </w14:solidFill>
                </w14:textFill>
              </w:rPr>
              <w:t>|</w:t>
            </w:r>
            <w:r w:rsidR="00DE6661" w:rsidRPr="00DE6661">
              <w:rPr>
                <w:iCs/>
                <w:color w:val="000000"/>
                <w:spacing w:val="1"/>
                <w:szCs w:val="20"/>
                <w:shd w:val="solid" w:color="000000" w:fill="000000"/>
                <w:fitText w:val="243" w:id="-962329585"/>
                <w14:textFill>
                  <w14:solidFill>
                    <w14:srgbClr w14:val="000000">
                      <w14:alpha w14:val="100000"/>
                    </w14:srgbClr>
                  </w14:solidFill>
                </w14:textFill>
              </w:rPr>
              <w:t>|</w:t>
            </w:r>
            <w:r w:rsidR="00F770F5">
              <w:rPr>
                <w:rFonts w:cs="Calibri"/>
                <w:b/>
                <w:bCs w:val="0"/>
                <w:szCs w:val="20"/>
                <w:vertAlign w:val="superscript"/>
              </w:rPr>
              <w:t>2</w:t>
            </w:r>
          </w:p>
        </w:tc>
        <w:tc>
          <w:tcPr>
            <w:tcW w:w="416" w:type="pct"/>
            <w:vAlign w:val="center"/>
          </w:tcPr>
          <w:p w14:paraId="277B3AE2" w14:textId="0EE26633" w:rsidR="007D00BA" w:rsidRPr="007A4E7E" w:rsidRDefault="00DE6661" w:rsidP="00914C1A">
            <w:pPr>
              <w:pStyle w:val="TableText0"/>
              <w:keepLines/>
              <w:jc w:val="center"/>
              <w:rPr>
                <w:rFonts w:cs="Calibri"/>
                <w:iCs/>
                <w:szCs w:val="20"/>
              </w:rPr>
            </w:pPr>
            <w:r w:rsidRPr="00DE6661">
              <w:rPr>
                <w:iCs/>
                <w:color w:val="000000"/>
                <w:spacing w:val="214"/>
                <w:szCs w:val="20"/>
                <w:shd w:val="solid" w:color="000000" w:fill="000000"/>
                <w:fitText w:val="300" w:id="-962329584"/>
                <w14:textFill>
                  <w14:solidFill>
                    <w14:srgbClr w14:val="000000">
                      <w14:alpha w14:val="100000"/>
                    </w14:srgbClr>
                  </w14:solidFill>
                </w14:textFill>
              </w:rPr>
              <w:t>|</w:t>
            </w:r>
            <w:r w:rsidRPr="00DE6661">
              <w:rPr>
                <w:iCs/>
                <w:color w:val="000000"/>
                <w:spacing w:val="1"/>
                <w:szCs w:val="20"/>
                <w:shd w:val="solid" w:color="000000" w:fill="000000"/>
                <w:fitText w:val="300" w:id="-962329584"/>
                <w14:textFill>
                  <w14:solidFill>
                    <w14:srgbClr w14:val="000000">
                      <w14:alpha w14:val="100000"/>
                    </w14:srgbClr>
                  </w14:solidFill>
                </w14:textFill>
              </w:rPr>
              <w:t>|</w:t>
            </w:r>
            <w:r w:rsidR="007D00BA" w:rsidRPr="007A4E7E">
              <w:rPr>
                <w:iCs/>
                <w:szCs w:val="20"/>
              </w:rPr>
              <w:t>%</w:t>
            </w:r>
          </w:p>
        </w:tc>
      </w:tr>
      <w:tr w:rsidR="00F770F5" w:rsidRPr="007A4E7E" w14:paraId="6A409C48" w14:textId="77777777" w:rsidTr="00DE6661">
        <w:trPr>
          <w:trHeight w:val="20"/>
        </w:trPr>
        <w:tc>
          <w:tcPr>
            <w:tcW w:w="1209" w:type="pct"/>
            <w:shd w:val="clear" w:color="auto" w:fill="auto"/>
          </w:tcPr>
          <w:p w14:paraId="275691B6" w14:textId="77777777" w:rsidR="007D00BA" w:rsidRPr="007A4E7E" w:rsidRDefault="007D00BA" w:rsidP="00914C1A">
            <w:pPr>
              <w:pStyle w:val="TableText0"/>
              <w:keepLines/>
              <w:rPr>
                <w:rFonts w:cstheme="minorHAnsi"/>
                <w:iCs/>
                <w:color w:val="000000"/>
                <w:szCs w:val="20"/>
              </w:rPr>
            </w:pPr>
            <w:r w:rsidRPr="007A4E7E">
              <w:rPr>
                <w:iCs/>
                <w:szCs w:val="20"/>
              </w:rPr>
              <w:t>95% UCI = 0.146</w:t>
            </w:r>
          </w:p>
        </w:tc>
        <w:tc>
          <w:tcPr>
            <w:tcW w:w="596" w:type="pct"/>
            <w:shd w:val="solid" w:color="000000" w:fill="000000"/>
            <w:vAlign w:val="center"/>
          </w:tcPr>
          <w:p w14:paraId="3F20B907" w14:textId="62DA4C55" w:rsidR="007D00BA" w:rsidRPr="00914C1A" w:rsidRDefault="00DE6661" w:rsidP="00914C1A">
            <w:pPr>
              <w:pStyle w:val="TableText0"/>
              <w:keepLines/>
              <w:jc w:val="center"/>
              <w:rPr>
                <w:rFonts w:cs="Calibri"/>
                <w:iCs/>
                <w:szCs w:val="20"/>
                <w:highlight w:val="lightGray"/>
              </w:rPr>
            </w:pPr>
            <w:r w:rsidRPr="00DE6661">
              <w:rPr>
                <w:rFonts w:hint="eastAsia"/>
                <w:iCs/>
                <w:color w:val="000000"/>
                <w:w w:val="25"/>
                <w:szCs w:val="20"/>
                <w:fitText w:val="113" w:id="-962329600"/>
                <w14:textFill>
                  <w14:solidFill>
                    <w14:srgbClr w14:val="000000">
                      <w14:alpha w14:val="100000"/>
                    </w14:srgbClr>
                  </w14:solidFill>
                </w14:textFill>
              </w:rPr>
              <w:t xml:space="preserve">　</w:t>
            </w:r>
            <w:r w:rsidRPr="00DE6661">
              <w:rPr>
                <w:iCs/>
                <w:color w:val="000000"/>
                <w:w w:val="25"/>
                <w:szCs w:val="20"/>
                <w:fitText w:val="113" w:id="-962329600"/>
                <w14:textFill>
                  <w14:solidFill>
                    <w14:srgbClr w14:val="000000">
                      <w14:alpha w14:val="100000"/>
                    </w14:srgbClr>
                  </w14:solidFill>
                </w14:textFill>
              </w:rPr>
              <w:t>|</w:t>
            </w:r>
            <w:r w:rsidRPr="00DE6661">
              <w:rPr>
                <w:rFonts w:hint="eastAsia"/>
                <w:iCs/>
                <w:color w:val="000000"/>
                <w:w w:val="25"/>
                <w:szCs w:val="20"/>
                <w:fitText w:val="113" w:id="-962329600"/>
                <w14:textFill>
                  <w14:solidFill>
                    <w14:srgbClr w14:val="000000">
                      <w14:alpha w14:val="100000"/>
                    </w14:srgbClr>
                  </w14:solidFill>
                </w14:textFill>
              </w:rPr>
              <w:t xml:space="preserve">　</w:t>
            </w:r>
          </w:p>
        </w:tc>
        <w:tc>
          <w:tcPr>
            <w:tcW w:w="554" w:type="pct"/>
            <w:shd w:val="clear" w:color="auto" w:fill="auto"/>
            <w:vAlign w:val="center"/>
          </w:tcPr>
          <w:p w14:paraId="65670713" w14:textId="77777777" w:rsidR="007D00BA" w:rsidRPr="007A4E7E" w:rsidRDefault="007D00BA" w:rsidP="00914C1A">
            <w:pPr>
              <w:pStyle w:val="TableText0"/>
              <w:keepLines/>
              <w:jc w:val="center"/>
              <w:rPr>
                <w:rFonts w:cs="Calibri"/>
                <w:iCs/>
                <w:szCs w:val="20"/>
              </w:rPr>
            </w:pPr>
            <w:r w:rsidRPr="007A4E7E">
              <w:rPr>
                <w:iCs/>
                <w:szCs w:val="20"/>
              </w:rPr>
              <w:t>$44,458</w:t>
            </w:r>
          </w:p>
        </w:tc>
        <w:tc>
          <w:tcPr>
            <w:tcW w:w="538" w:type="pct"/>
            <w:shd w:val="solid" w:color="000000" w:fill="000000"/>
            <w:vAlign w:val="center"/>
          </w:tcPr>
          <w:p w14:paraId="3C875352" w14:textId="048A10B8" w:rsidR="007D00BA" w:rsidRPr="00914C1A" w:rsidRDefault="00DE6661" w:rsidP="00914C1A">
            <w:pPr>
              <w:pStyle w:val="TableText0"/>
              <w:keepLines/>
              <w:jc w:val="center"/>
              <w:rPr>
                <w:rFonts w:cs="Calibri"/>
                <w:iCs/>
                <w:szCs w:val="20"/>
                <w:highlight w:val="lightGray"/>
              </w:rPr>
            </w:pPr>
            <w:r w:rsidRPr="00DE6661">
              <w:rPr>
                <w:iCs/>
                <w:color w:val="000000"/>
                <w:spacing w:val="101"/>
                <w:szCs w:val="20"/>
                <w:fitText w:val="187" w:id="-962329599"/>
                <w14:textFill>
                  <w14:solidFill>
                    <w14:srgbClr w14:val="000000">
                      <w14:alpha w14:val="100000"/>
                    </w14:srgbClr>
                  </w14:solidFill>
                </w14:textFill>
              </w:rPr>
              <w:t>|</w:t>
            </w:r>
            <w:r w:rsidRPr="00DE6661">
              <w:rPr>
                <w:iCs/>
                <w:color w:val="000000"/>
                <w:szCs w:val="20"/>
                <w:fitText w:val="187" w:id="-962329599"/>
                <w14:textFill>
                  <w14:solidFill>
                    <w14:srgbClr w14:val="000000">
                      <w14:alpha w14:val="100000"/>
                    </w14:srgbClr>
                  </w14:solidFill>
                </w14:textFill>
              </w:rPr>
              <w:t>|</w:t>
            </w:r>
          </w:p>
        </w:tc>
        <w:tc>
          <w:tcPr>
            <w:tcW w:w="383" w:type="pct"/>
            <w:shd w:val="clear" w:color="auto" w:fill="auto"/>
            <w:vAlign w:val="center"/>
          </w:tcPr>
          <w:p w14:paraId="2E944E73" w14:textId="77777777" w:rsidR="007D00BA" w:rsidRPr="007A4E7E" w:rsidRDefault="007D00BA" w:rsidP="00914C1A">
            <w:pPr>
              <w:pStyle w:val="TableText0"/>
              <w:keepLines/>
              <w:jc w:val="center"/>
              <w:rPr>
                <w:rFonts w:cs="Calibri"/>
                <w:iCs/>
                <w:szCs w:val="20"/>
              </w:rPr>
            </w:pPr>
            <w:r w:rsidRPr="007A4E7E">
              <w:rPr>
                <w:iCs/>
                <w:szCs w:val="20"/>
              </w:rPr>
              <w:t>10.16</w:t>
            </w:r>
          </w:p>
        </w:tc>
        <w:tc>
          <w:tcPr>
            <w:tcW w:w="459" w:type="pct"/>
            <w:shd w:val="clear" w:color="auto" w:fill="auto"/>
            <w:vAlign w:val="center"/>
          </w:tcPr>
          <w:p w14:paraId="0A926D91" w14:textId="77777777" w:rsidR="007D00BA" w:rsidRPr="007A4E7E" w:rsidRDefault="007D00BA" w:rsidP="00914C1A">
            <w:pPr>
              <w:pStyle w:val="TableText0"/>
              <w:keepLines/>
              <w:jc w:val="center"/>
              <w:rPr>
                <w:rFonts w:cs="Calibri"/>
                <w:iCs/>
                <w:szCs w:val="20"/>
              </w:rPr>
            </w:pPr>
            <w:r w:rsidRPr="007A4E7E">
              <w:rPr>
                <w:iCs/>
                <w:szCs w:val="20"/>
              </w:rPr>
              <w:t>9.47</w:t>
            </w:r>
          </w:p>
        </w:tc>
        <w:tc>
          <w:tcPr>
            <w:tcW w:w="308" w:type="pct"/>
            <w:shd w:val="clear" w:color="auto" w:fill="auto"/>
            <w:vAlign w:val="center"/>
          </w:tcPr>
          <w:p w14:paraId="2E821AB6" w14:textId="77777777" w:rsidR="007D00BA" w:rsidRPr="007A4E7E" w:rsidRDefault="007D00BA" w:rsidP="00914C1A">
            <w:pPr>
              <w:pStyle w:val="TableText0"/>
              <w:keepLines/>
              <w:jc w:val="center"/>
              <w:rPr>
                <w:rFonts w:cs="Calibri"/>
                <w:iCs/>
                <w:szCs w:val="20"/>
              </w:rPr>
            </w:pPr>
            <w:r w:rsidRPr="007A4E7E">
              <w:rPr>
                <w:iCs/>
                <w:szCs w:val="20"/>
              </w:rPr>
              <w:t>0.69</w:t>
            </w:r>
          </w:p>
        </w:tc>
        <w:tc>
          <w:tcPr>
            <w:tcW w:w="537" w:type="pct"/>
            <w:shd w:val="clear" w:color="auto" w:fill="auto"/>
            <w:vAlign w:val="center"/>
          </w:tcPr>
          <w:p w14:paraId="50477316" w14:textId="34AD626E" w:rsidR="007D00BA" w:rsidRPr="007A4E7E" w:rsidRDefault="007D00BA" w:rsidP="00914C1A">
            <w:pPr>
              <w:pStyle w:val="TableText0"/>
              <w:keepLines/>
              <w:jc w:val="center"/>
              <w:rPr>
                <w:rFonts w:cs="Calibri"/>
                <w:iCs/>
                <w:szCs w:val="20"/>
              </w:rPr>
            </w:pPr>
            <w:r w:rsidRPr="007A4E7E">
              <w:rPr>
                <w:iCs/>
                <w:szCs w:val="20"/>
              </w:rPr>
              <w:t>$</w:t>
            </w:r>
            <w:r w:rsidR="00DE6661" w:rsidRPr="00DE6661">
              <w:rPr>
                <w:iCs/>
                <w:color w:val="000000"/>
                <w:spacing w:val="157"/>
                <w:szCs w:val="20"/>
                <w:shd w:val="solid" w:color="000000" w:fill="000000"/>
                <w:fitText w:val="243" w:id="-962329598"/>
                <w14:textFill>
                  <w14:solidFill>
                    <w14:srgbClr w14:val="000000">
                      <w14:alpha w14:val="100000"/>
                    </w14:srgbClr>
                  </w14:solidFill>
                </w14:textFill>
              </w:rPr>
              <w:t>|</w:t>
            </w:r>
            <w:r w:rsidR="00DE6661" w:rsidRPr="00DE6661">
              <w:rPr>
                <w:iCs/>
                <w:color w:val="000000"/>
                <w:spacing w:val="1"/>
                <w:szCs w:val="20"/>
                <w:shd w:val="solid" w:color="000000" w:fill="000000"/>
                <w:fitText w:val="243" w:id="-962329598"/>
                <w14:textFill>
                  <w14:solidFill>
                    <w14:srgbClr w14:val="000000">
                      <w14:alpha w14:val="100000"/>
                    </w14:srgbClr>
                  </w14:solidFill>
                </w14:textFill>
              </w:rPr>
              <w:t>|</w:t>
            </w:r>
            <w:r w:rsidR="00F770F5">
              <w:rPr>
                <w:rFonts w:cs="Calibri"/>
                <w:b/>
                <w:bCs w:val="0"/>
                <w:szCs w:val="20"/>
                <w:vertAlign w:val="superscript"/>
              </w:rPr>
              <w:t>3</w:t>
            </w:r>
          </w:p>
        </w:tc>
        <w:tc>
          <w:tcPr>
            <w:tcW w:w="416" w:type="pct"/>
            <w:vAlign w:val="center"/>
          </w:tcPr>
          <w:p w14:paraId="6016EAF5" w14:textId="34AECEFD" w:rsidR="007D00BA" w:rsidRPr="007A4E7E" w:rsidRDefault="007D00BA" w:rsidP="00914C1A">
            <w:pPr>
              <w:pStyle w:val="TableText0"/>
              <w:keepLines/>
              <w:jc w:val="center"/>
              <w:rPr>
                <w:rFonts w:cs="Calibri"/>
                <w:iCs/>
                <w:szCs w:val="20"/>
              </w:rPr>
            </w:pPr>
            <w:r w:rsidRPr="007A4E7E">
              <w:rPr>
                <w:iCs/>
                <w:szCs w:val="20"/>
              </w:rPr>
              <w:t>-</w:t>
            </w:r>
            <w:r w:rsidR="00DE6661" w:rsidRPr="00DE6661">
              <w:rPr>
                <w:iCs/>
                <w:color w:val="000000"/>
                <w:spacing w:val="214"/>
                <w:szCs w:val="20"/>
                <w:shd w:val="solid" w:color="000000" w:fill="000000"/>
                <w:fitText w:val="300" w:id="-962329597"/>
                <w14:textFill>
                  <w14:solidFill>
                    <w14:srgbClr w14:val="000000">
                      <w14:alpha w14:val="100000"/>
                    </w14:srgbClr>
                  </w14:solidFill>
                </w14:textFill>
              </w:rPr>
              <w:t>|</w:t>
            </w:r>
            <w:r w:rsidR="00DE6661" w:rsidRPr="00DE6661">
              <w:rPr>
                <w:iCs/>
                <w:color w:val="000000"/>
                <w:spacing w:val="1"/>
                <w:szCs w:val="20"/>
                <w:shd w:val="solid" w:color="000000" w:fill="000000"/>
                <w:fitText w:val="300" w:id="-962329597"/>
                <w14:textFill>
                  <w14:solidFill>
                    <w14:srgbClr w14:val="000000">
                      <w14:alpha w14:val="100000"/>
                    </w14:srgbClr>
                  </w14:solidFill>
                </w14:textFill>
              </w:rPr>
              <w:t>|</w:t>
            </w:r>
            <w:r w:rsidRPr="007A4E7E">
              <w:rPr>
                <w:iCs/>
                <w:szCs w:val="20"/>
              </w:rPr>
              <w:t>%</w:t>
            </w:r>
          </w:p>
        </w:tc>
      </w:tr>
      <w:tr w:rsidR="007D00BA" w:rsidRPr="007A4E7E" w14:paraId="7CC16EB0" w14:textId="77777777" w:rsidTr="00914C1A">
        <w:trPr>
          <w:trHeight w:val="20"/>
        </w:trPr>
        <w:tc>
          <w:tcPr>
            <w:tcW w:w="5000" w:type="pct"/>
            <w:gridSpan w:val="9"/>
            <w:shd w:val="clear" w:color="auto" w:fill="auto"/>
          </w:tcPr>
          <w:p w14:paraId="4BB869D8" w14:textId="77777777" w:rsidR="007D00BA" w:rsidRPr="007A4E7E" w:rsidRDefault="007D00BA" w:rsidP="00914C1A">
            <w:pPr>
              <w:pStyle w:val="TableText0"/>
              <w:keepLines/>
              <w:rPr>
                <w:b/>
                <w:bCs w:val="0"/>
                <w:szCs w:val="20"/>
              </w:rPr>
            </w:pPr>
            <w:r w:rsidRPr="007A4E7E">
              <w:rPr>
                <w:b/>
                <w:bCs w:val="0"/>
                <w:szCs w:val="20"/>
              </w:rPr>
              <w:t>‘Best case’ scenario analysis assumed 100% response and 100% DoR in the osilodrostat arm</w:t>
            </w:r>
          </w:p>
        </w:tc>
      </w:tr>
      <w:tr w:rsidR="00F770F5" w:rsidRPr="007A4E7E" w14:paraId="615BAF0E" w14:textId="77777777" w:rsidTr="00DE6661">
        <w:trPr>
          <w:trHeight w:val="20"/>
        </w:trPr>
        <w:tc>
          <w:tcPr>
            <w:tcW w:w="1209" w:type="pct"/>
            <w:shd w:val="clear" w:color="auto" w:fill="auto"/>
          </w:tcPr>
          <w:p w14:paraId="23C0535F" w14:textId="77777777" w:rsidR="007D00BA" w:rsidRPr="007A4E7E" w:rsidRDefault="007D00BA" w:rsidP="00914C1A">
            <w:pPr>
              <w:pStyle w:val="TableText0"/>
              <w:keepLines/>
              <w:rPr>
                <w:iCs/>
                <w:szCs w:val="16"/>
              </w:rPr>
            </w:pPr>
            <w:r w:rsidRPr="007A4E7E">
              <w:rPr>
                <w:iCs/>
                <w:szCs w:val="16"/>
              </w:rPr>
              <w:t>‘Best case’ scenario</w:t>
            </w:r>
          </w:p>
        </w:tc>
        <w:tc>
          <w:tcPr>
            <w:tcW w:w="596" w:type="pct"/>
            <w:shd w:val="solid" w:color="000000" w:fill="000000"/>
            <w:vAlign w:val="center"/>
          </w:tcPr>
          <w:p w14:paraId="244B19B0" w14:textId="263A311F" w:rsidR="007D00BA" w:rsidRPr="00914C1A" w:rsidRDefault="00DE6661" w:rsidP="00914C1A">
            <w:pPr>
              <w:pStyle w:val="TableText0"/>
              <w:keepLines/>
              <w:jc w:val="center"/>
              <w:rPr>
                <w:iCs/>
                <w:szCs w:val="18"/>
                <w:highlight w:val="lightGray"/>
              </w:rPr>
            </w:pPr>
            <w:r w:rsidRPr="00DE6661">
              <w:rPr>
                <w:rFonts w:hint="eastAsia"/>
                <w:iCs/>
                <w:color w:val="000000"/>
                <w:w w:val="25"/>
                <w:szCs w:val="18"/>
                <w:fitText w:val="113" w:id="-962329596"/>
                <w14:textFill>
                  <w14:solidFill>
                    <w14:srgbClr w14:val="000000">
                      <w14:alpha w14:val="100000"/>
                    </w14:srgbClr>
                  </w14:solidFill>
                </w14:textFill>
              </w:rPr>
              <w:t xml:space="preserve">　</w:t>
            </w:r>
            <w:r w:rsidRPr="00DE6661">
              <w:rPr>
                <w:iCs/>
                <w:color w:val="000000"/>
                <w:w w:val="25"/>
                <w:szCs w:val="18"/>
                <w:fitText w:val="113" w:id="-962329596"/>
                <w14:textFill>
                  <w14:solidFill>
                    <w14:srgbClr w14:val="000000">
                      <w14:alpha w14:val="100000"/>
                    </w14:srgbClr>
                  </w14:solidFill>
                </w14:textFill>
              </w:rPr>
              <w:t>|</w:t>
            </w:r>
            <w:r w:rsidRPr="00DE6661">
              <w:rPr>
                <w:rFonts w:hint="eastAsia"/>
                <w:iCs/>
                <w:color w:val="000000"/>
                <w:w w:val="25"/>
                <w:szCs w:val="18"/>
                <w:fitText w:val="113" w:id="-962329596"/>
                <w14:textFill>
                  <w14:solidFill>
                    <w14:srgbClr w14:val="000000">
                      <w14:alpha w14:val="100000"/>
                    </w14:srgbClr>
                  </w14:solidFill>
                </w14:textFill>
              </w:rPr>
              <w:t xml:space="preserve">　</w:t>
            </w:r>
          </w:p>
        </w:tc>
        <w:tc>
          <w:tcPr>
            <w:tcW w:w="554" w:type="pct"/>
            <w:shd w:val="clear" w:color="auto" w:fill="auto"/>
            <w:vAlign w:val="center"/>
          </w:tcPr>
          <w:p w14:paraId="702534EC" w14:textId="77777777" w:rsidR="007D00BA" w:rsidRPr="007A4E7E" w:rsidRDefault="007D00BA" w:rsidP="00914C1A">
            <w:pPr>
              <w:pStyle w:val="TableText0"/>
              <w:keepLines/>
              <w:jc w:val="center"/>
              <w:rPr>
                <w:iCs/>
                <w:szCs w:val="18"/>
              </w:rPr>
            </w:pPr>
            <w:r w:rsidRPr="007A4E7E">
              <w:rPr>
                <w:iCs/>
                <w:szCs w:val="18"/>
              </w:rPr>
              <w:t>$44,458</w:t>
            </w:r>
          </w:p>
        </w:tc>
        <w:tc>
          <w:tcPr>
            <w:tcW w:w="538" w:type="pct"/>
            <w:shd w:val="solid" w:color="000000" w:fill="000000"/>
            <w:vAlign w:val="center"/>
          </w:tcPr>
          <w:p w14:paraId="5E6C4695" w14:textId="04EAE453" w:rsidR="007D00BA" w:rsidRPr="00914C1A" w:rsidRDefault="00DE6661" w:rsidP="00914C1A">
            <w:pPr>
              <w:pStyle w:val="TableText0"/>
              <w:keepLines/>
              <w:jc w:val="center"/>
              <w:rPr>
                <w:iCs/>
                <w:szCs w:val="18"/>
                <w:highlight w:val="lightGray"/>
              </w:rPr>
            </w:pPr>
            <w:r w:rsidRPr="00DE6661">
              <w:rPr>
                <w:iCs/>
                <w:color w:val="000000"/>
                <w:spacing w:val="101"/>
                <w:szCs w:val="18"/>
                <w:fitText w:val="187" w:id="-962329595"/>
                <w14:textFill>
                  <w14:solidFill>
                    <w14:srgbClr w14:val="000000">
                      <w14:alpha w14:val="100000"/>
                    </w14:srgbClr>
                  </w14:solidFill>
                </w14:textFill>
              </w:rPr>
              <w:t>|</w:t>
            </w:r>
            <w:r w:rsidRPr="00DE6661">
              <w:rPr>
                <w:iCs/>
                <w:color w:val="000000"/>
                <w:szCs w:val="18"/>
                <w:fitText w:val="187" w:id="-962329595"/>
                <w14:textFill>
                  <w14:solidFill>
                    <w14:srgbClr w14:val="000000">
                      <w14:alpha w14:val="100000"/>
                    </w14:srgbClr>
                  </w14:solidFill>
                </w14:textFill>
              </w:rPr>
              <w:t>|</w:t>
            </w:r>
          </w:p>
        </w:tc>
        <w:tc>
          <w:tcPr>
            <w:tcW w:w="383" w:type="pct"/>
            <w:shd w:val="clear" w:color="auto" w:fill="auto"/>
            <w:vAlign w:val="center"/>
          </w:tcPr>
          <w:p w14:paraId="7ADC9DEA" w14:textId="77777777" w:rsidR="007D00BA" w:rsidRPr="007A4E7E" w:rsidRDefault="007D00BA" w:rsidP="00914C1A">
            <w:pPr>
              <w:pStyle w:val="TableText0"/>
              <w:keepLines/>
              <w:jc w:val="center"/>
              <w:rPr>
                <w:iCs/>
                <w:szCs w:val="18"/>
              </w:rPr>
            </w:pPr>
            <w:r w:rsidRPr="007A4E7E">
              <w:rPr>
                <w:iCs/>
                <w:szCs w:val="18"/>
              </w:rPr>
              <w:t>13.33</w:t>
            </w:r>
          </w:p>
        </w:tc>
        <w:tc>
          <w:tcPr>
            <w:tcW w:w="459" w:type="pct"/>
            <w:shd w:val="clear" w:color="auto" w:fill="auto"/>
            <w:vAlign w:val="center"/>
          </w:tcPr>
          <w:p w14:paraId="7CA30766" w14:textId="77777777" w:rsidR="007D00BA" w:rsidRPr="007A4E7E" w:rsidRDefault="007D00BA" w:rsidP="00914C1A">
            <w:pPr>
              <w:pStyle w:val="TableText0"/>
              <w:keepLines/>
              <w:jc w:val="center"/>
              <w:rPr>
                <w:iCs/>
                <w:szCs w:val="18"/>
              </w:rPr>
            </w:pPr>
            <w:r w:rsidRPr="007A4E7E">
              <w:rPr>
                <w:iCs/>
                <w:szCs w:val="18"/>
              </w:rPr>
              <w:t>9.43</w:t>
            </w:r>
          </w:p>
        </w:tc>
        <w:tc>
          <w:tcPr>
            <w:tcW w:w="308" w:type="pct"/>
            <w:shd w:val="clear" w:color="auto" w:fill="auto"/>
            <w:vAlign w:val="center"/>
          </w:tcPr>
          <w:p w14:paraId="155FDBC1" w14:textId="77777777" w:rsidR="007D00BA" w:rsidRPr="007A4E7E" w:rsidRDefault="007D00BA" w:rsidP="00914C1A">
            <w:pPr>
              <w:pStyle w:val="TableText0"/>
              <w:keepLines/>
              <w:jc w:val="center"/>
              <w:rPr>
                <w:iCs/>
                <w:szCs w:val="18"/>
              </w:rPr>
            </w:pPr>
            <w:r w:rsidRPr="007A4E7E">
              <w:rPr>
                <w:iCs/>
                <w:szCs w:val="18"/>
              </w:rPr>
              <w:t>3.90</w:t>
            </w:r>
          </w:p>
        </w:tc>
        <w:tc>
          <w:tcPr>
            <w:tcW w:w="537" w:type="pct"/>
            <w:shd w:val="clear" w:color="auto" w:fill="auto"/>
            <w:vAlign w:val="center"/>
          </w:tcPr>
          <w:p w14:paraId="197E2CCB" w14:textId="7C88402B" w:rsidR="007D00BA" w:rsidRPr="007A4E7E" w:rsidRDefault="007D00BA" w:rsidP="00914C1A">
            <w:pPr>
              <w:pStyle w:val="TableText0"/>
              <w:keepLines/>
              <w:jc w:val="center"/>
              <w:rPr>
                <w:iCs/>
                <w:szCs w:val="18"/>
              </w:rPr>
            </w:pPr>
            <w:r w:rsidRPr="007A4E7E">
              <w:rPr>
                <w:iCs/>
                <w:szCs w:val="18"/>
              </w:rPr>
              <w:t>$</w:t>
            </w:r>
            <w:r w:rsidR="00DE6661" w:rsidRPr="00DE6661">
              <w:rPr>
                <w:iCs/>
                <w:color w:val="000000"/>
                <w:spacing w:val="157"/>
                <w:szCs w:val="18"/>
                <w:shd w:val="solid" w:color="000000" w:fill="000000"/>
                <w:fitText w:val="243" w:id="-962329594"/>
                <w14:textFill>
                  <w14:solidFill>
                    <w14:srgbClr w14:val="000000">
                      <w14:alpha w14:val="100000"/>
                    </w14:srgbClr>
                  </w14:solidFill>
                </w14:textFill>
              </w:rPr>
              <w:t>|</w:t>
            </w:r>
            <w:r w:rsidR="00DE6661" w:rsidRPr="00DE6661">
              <w:rPr>
                <w:iCs/>
                <w:color w:val="000000"/>
                <w:spacing w:val="1"/>
                <w:szCs w:val="18"/>
                <w:shd w:val="solid" w:color="000000" w:fill="000000"/>
                <w:fitText w:val="243" w:id="-962329594"/>
                <w14:textFill>
                  <w14:solidFill>
                    <w14:srgbClr w14:val="000000">
                      <w14:alpha w14:val="100000"/>
                    </w14:srgbClr>
                  </w14:solidFill>
                </w14:textFill>
              </w:rPr>
              <w:t>|</w:t>
            </w:r>
            <w:r w:rsidR="00F770F5">
              <w:rPr>
                <w:rFonts w:cs="Calibri"/>
                <w:b/>
                <w:bCs w:val="0"/>
                <w:szCs w:val="20"/>
                <w:vertAlign w:val="superscript"/>
              </w:rPr>
              <w:t>4</w:t>
            </w:r>
          </w:p>
        </w:tc>
        <w:tc>
          <w:tcPr>
            <w:tcW w:w="416" w:type="pct"/>
            <w:vAlign w:val="center"/>
          </w:tcPr>
          <w:p w14:paraId="18892BA2" w14:textId="2529F7EE" w:rsidR="007D00BA" w:rsidRPr="007A4E7E" w:rsidRDefault="007D00BA" w:rsidP="00914C1A">
            <w:pPr>
              <w:pStyle w:val="TableText0"/>
              <w:keepLines/>
              <w:jc w:val="center"/>
              <w:rPr>
                <w:iCs/>
                <w:szCs w:val="18"/>
              </w:rPr>
            </w:pPr>
            <w:r w:rsidRPr="007A4E7E">
              <w:rPr>
                <w:iCs/>
                <w:szCs w:val="18"/>
              </w:rPr>
              <w:t>-</w:t>
            </w:r>
            <w:r w:rsidR="00DE6661" w:rsidRPr="00DE6661">
              <w:rPr>
                <w:iCs/>
                <w:color w:val="000000"/>
                <w:spacing w:val="214"/>
                <w:szCs w:val="18"/>
                <w:shd w:val="solid" w:color="000000" w:fill="000000"/>
                <w:fitText w:val="300" w:id="-962329593"/>
                <w14:textFill>
                  <w14:solidFill>
                    <w14:srgbClr w14:val="000000">
                      <w14:alpha w14:val="100000"/>
                    </w14:srgbClr>
                  </w14:solidFill>
                </w14:textFill>
              </w:rPr>
              <w:t>|</w:t>
            </w:r>
            <w:r w:rsidR="00DE6661" w:rsidRPr="00DE6661">
              <w:rPr>
                <w:iCs/>
                <w:color w:val="000000"/>
                <w:spacing w:val="1"/>
                <w:szCs w:val="18"/>
                <w:shd w:val="solid" w:color="000000" w:fill="000000"/>
                <w:fitText w:val="300" w:id="-962329593"/>
                <w14:textFill>
                  <w14:solidFill>
                    <w14:srgbClr w14:val="000000">
                      <w14:alpha w14:val="100000"/>
                    </w14:srgbClr>
                  </w14:solidFill>
                </w14:textFill>
              </w:rPr>
              <w:t>|</w:t>
            </w:r>
            <w:r w:rsidRPr="007A4E7E">
              <w:rPr>
                <w:iCs/>
                <w:szCs w:val="18"/>
              </w:rPr>
              <w:t>%</w:t>
            </w:r>
          </w:p>
        </w:tc>
      </w:tr>
    </w:tbl>
    <w:p w14:paraId="155797B0" w14:textId="41652AA5" w:rsidR="007D00BA" w:rsidRPr="007A4E7E" w:rsidRDefault="007D00BA" w:rsidP="00914C1A">
      <w:pPr>
        <w:pStyle w:val="FooterTableFigure"/>
        <w:keepNext/>
        <w:keepLines/>
      </w:pPr>
      <w:r w:rsidRPr="007A4E7E">
        <w:t>Source: Table 3.10-1 of the resubmission</w:t>
      </w:r>
    </w:p>
    <w:p w14:paraId="5C62E81E" w14:textId="77777777" w:rsidR="007D00BA" w:rsidRDefault="007D00BA" w:rsidP="00914C1A">
      <w:pPr>
        <w:pStyle w:val="FooterTableFigure"/>
        <w:keepNext/>
        <w:keepLines/>
        <w:spacing w:after="0"/>
        <w:rPr>
          <w:szCs w:val="20"/>
        </w:rPr>
      </w:pPr>
      <w:r w:rsidRPr="007A4E7E">
        <w:rPr>
          <w:szCs w:val="20"/>
        </w:rPr>
        <w:t>CR = complete response; DoR = duration of response; FAS = full analysis set; ICER = incremental cost effectiveness ratio; Inc = incremental; LCI = lower confidence interval; Osi = osilodrostat; PR = partial response; QALY = quality adjusted life year gained; UCI = upper confidence interval; ULN = upper limit of normal</w:t>
      </w:r>
    </w:p>
    <w:p w14:paraId="010D8DA6" w14:textId="77777777" w:rsidR="00F770F5" w:rsidRPr="00914C1A" w:rsidRDefault="00F770F5"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rPr>
        <w:t xml:space="preserve">The redacted values correspond to the following ranges: </w:t>
      </w:r>
    </w:p>
    <w:p w14:paraId="7FFFD864" w14:textId="73D85A19" w:rsidR="00F770F5" w:rsidRPr="00914C1A" w:rsidRDefault="00F770F5"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1</w:t>
      </w:r>
      <w:r w:rsidRPr="00914C1A">
        <w:rPr>
          <w:rFonts w:ascii="Arial Narrow" w:hAnsi="Arial Narrow" w:cstheme="minorHAnsi"/>
          <w:bCs/>
          <w:i/>
          <w:iCs/>
          <w:sz w:val="18"/>
          <w:szCs w:val="18"/>
        </w:rPr>
        <w:t xml:space="preserve"> $355,000 to &lt; $455,000</w:t>
      </w:r>
    </w:p>
    <w:p w14:paraId="151D7249" w14:textId="2E1BC1B1" w:rsidR="00F770F5" w:rsidRPr="00914C1A" w:rsidRDefault="00F770F5"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2</w:t>
      </w:r>
      <w:r w:rsidRPr="00914C1A">
        <w:rPr>
          <w:rFonts w:ascii="Arial Narrow" w:hAnsi="Arial Narrow" w:cstheme="minorHAnsi"/>
          <w:bCs/>
          <w:i/>
          <w:iCs/>
          <w:sz w:val="18"/>
          <w:szCs w:val="18"/>
        </w:rPr>
        <w:t xml:space="preserve"> $455,000 to &lt; $555,000</w:t>
      </w:r>
    </w:p>
    <w:p w14:paraId="25B62693" w14:textId="6121E058" w:rsidR="00F770F5" w:rsidRPr="00914C1A" w:rsidRDefault="00F770F5"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3</w:t>
      </w:r>
      <w:r w:rsidRPr="00914C1A">
        <w:rPr>
          <w:rFonts w:ascii="Arial Narrow" w:hAnsi="Arial Narrow" w:cstheme="minorHAnsi"/>
          <w:bCs/>
          <w:i/>
          <w:iCs/>
          <w:sz w:val="18"/>
          <w:szCs w:val="18"/>
        </w:rPr>
        <w:t xml:space="preserve"> </w:t>
      </w:r>
      <w:r w:rsidR="00F13C82" w:rsidRPr="001E3E58">
        <w:rPr>
          <w:rFonts w:ascii="Arial Narrow" w:hAnsi="Arial Narrow" w:cstheme="minorHAnsi"/>
          <w:bCs/>
          <w:i/>
          <w:iCs/>
          <w:sz w:val="18"/>
          <w:szCs w:val="18"/>
        </w:rPr>
        <w:t>$255,000 to &lt; $355,000</w:t>
      </w:r>
    </w:p>
    <w:p w14:paraId="187E3BC3" w14:textId="766396AC" w:rsidR="00F770F5" w:rsidRPr="007A4E7E" w:rsidRDefault="00F770F5" w:rsidP="00914C1A">
      <w:pPr>
        <w:spacing w:after="120"/>
        <w:jc w:val="left"/>
        <w:rPr>
          <w:szCs w:val="20"/>
        </w:rPr>
      </w:pPr>
      <w:r w:rsidRPr="00914C1A">
        <w:rPr>
          <w:rFonts w:ascii="Arial Narrow" w:hAnsi="Arial Narrow" w:cstheme="minorHAnsi"/>
          <w:bCs/>
          <w:i/>
          <w:iCs/>
          <w:sz w:val="18"/>
          <w:szCs w:val="18"/>
          <w:vertAlign w:val="superscript"/>
        </w:rPr>
        <w:t>4</w:t>
      </w:r>
      <w:r w:rsidRPr="00914C1A">
        <w:rPr>
          <w:rFonts w:ascii="Arial Narrow" w:hAnsi="Arial Narrow" w:cstheme="minorHAnsi"/>
          <w:bCs/>
          <w:i/>
          <w:iCs/>
          <w:sz w:val="18"/>
          <w:szCs w:val="18"/>
        </w:rPr>
        <w:t xml:space="preserve"> </w:t>
      </w:r>
      <w:r w:rsidR="00F13C82" w:rsidRPr="001E3E58">
        <w:rPr>
          <w:rFonts w:ascii="Arial Narrow" w:hAnsi="Arial Narrow" w:cstheme="minorHAnsi"/>
          <w:bCs/>
          <w:i/>
          <w:iCs/>
          <w:sz w:val="18"/>
          <w:szCs w:val="18"/>
        </w:rPr>
        <w:t>$155,000 to &lt; $255,000</w:t>
      </w:r>
      <w:r w:rsidRPr="00914C1A">
        <w:rPr>
          <w:rFonts w:ascii="Arial Narrow" w:hAnsi="Arial Narrow" w:cstheme="minorHAnsi"/>
          <w:bCs/>
          <w:i/>
          <w:iCs/>
          <w:sz w:val="18"/>
          <w:szCs w:val="18"/>
        </w:rPr>
        <w:t xml:space="preserve"> </w:t>
      </w:r>
    </w:p>
    <w:p w14:paraId="596FB50B" w14:textId="77777777" w:rsidR="007D00BA" w:rsidRPr="007A4E7E" w:rsidRDefault="007D00BA" w:rsidP="007D00BA">
      <w:pPr>
        <w:pStyle w:val="ExecSumBodyText"/>
        <w:numPr>
          <w:ilvl w:val="1"/>
          <w:numId w:val="1"/>
        </w:numPr>
      </w:pPr>
      <w:r w:rsidRPr="007A4E7E">
        <w:rPr>
          <w:iCs/>
        </w:rPr>
        <w:t>Overall, despite the resubmission’s attempt to demonstrate long term benefits of osilodrostat, the inputs informing the model, particularly survival and QoL, remained uncertain and the base case ICER was high and unlikely to adequately represent the cost-effectiveness of osilodrostat.</w:t>
      </w:r>
    </w:p>
    <w:p w14:paraId="2D814149" w14:textId="22C21960" w:rsidR="007D00BA" w:rsidRPr="007A4E7E" w:rsidRDefault="007D00BA" w:rsidP="007D00BA">
      <w:pPr>
        <w:pStyle w:val="ExecSumBodyText"/>
        <w:numPr>
          <w:ilvl w:val="1"/>
          <w:numId w:val="1"/>
        </w:numPr>
      </w:pPr>
      <w:r w:rsidRPr="007A4E7E">
        <w:t xml:space="preserve">The resubmission also included metyrapone and ketoconazole as subsequent therapies for a sensitivity analysis (cost for both $930 per month based on clinician advice). This scenario led to an increase in the ICER by </w:t>
      </w:r>
      <w:r w:rsidR="00DE6661" w:rsidRPr="00063CEB">
        <w:rPr>
          <w:color w:val="000000"/>
          <w:w w:val="15"/>
          <w:shd w:val="solid" w:color="000000" w:fill="000000"/>
          <w:fitText w:val="-20" w:id="-962329592"/>
          <w14:textFill>
            <w14:solidFill>
              <w14:srgbClr w14:val="000000">
                <w14:alpha w14:val="100000"/>
              </w14:srgbClr>
            </w14:solidFill>
          </w14:textFill>
        </w:rPr>
        <w:t xml:space="preserve">|  </w:t>
      </w:r>
      <w:r w:rsidR="00DE6661" w:rsidRPr="00063CEB">
        <w:rPr>
          <w:color w:val="000000"/>
          <w:spacing w:val="-69"/>
          <w:w w:val="15"/>
          <w:shd w:val="solid" w:color="000000" w:fill="000000"/>
          <w:fitText w:val="-20" w:id="-962329592"/>
          <w14:textFill>
            <w14:solidFill>
              <w14:srgbClr w14:val="000000">
                <w14:alpha w14:val="100000"/>
              </w14:srgbClr>
            </w14:solidFill>
          </w14:textFill>
        </w:rPr>
        <w:t>|</w:t>
      </w:r>
      <w:r w:rsidRPr="007A4E7E">
        <w:t>%.</w:t>
      </w:r>
    </w:p>
    <w:p w14:paraId="52B262A3" w14:textId="77777777" w:rsidR="007D00BA" w:rsidRPr="007A4E7E" w:rsidRDefault="007D00BA" w:rsidP="007D00BA">
      <w:pPr>
        <w:pStyle w:val="4-SubsectionHeading"/>
      </w:pPr>
      <w:bookmarkStart w:id="57" w:name="_Toc156988661"/>
      <w:r w:rsidRPr="007A4E7E">
        <w:t>Drug cost per patient per year</w:t>
      </w:r>
      <w:bookmarkEnd w:id="57"/>
    </w:p>
    <w:p w14:paraId="207EEE3E" w14:textId="469BE22D" w:rsidR="007D00BA" w:rsidRPr="007A4E7E" w:rsidRDefault="007D00BA" w:rsidP="007D00BA">
      <w:pPr>
        <w:pStyle w:val="ExecSumBodyText"/>
        <w:numPr>
          <w:ilvl w:val="1"/>
          <w:numId w:val="1"/>
        </w:numPr>
        <w:rPr>
          <w:i/>
          <w:iCs/>
        </w:rPr>
      </w:pPr>
      <w:r w:rsidRPr="007A4E7E">
        <w:t xml:space="preserve">The drug cost per patient per year (responders and non-responders) is presented in </w:t>
      </w:r>
      <w:r w:rsidRPr="007A4E7E">
        <w:fldChar w:fldCharType="begin" w:fldLock="1"/>
      </w:r>
      <w:r w:rsidRPr="007A4E7E">
        <w:instrText xml:space="preserve"> REF _Ref153191140 \h </w:instrText>
      </w:r>
      <w:r w:rsidRPr="007A4E7E">
        <w:fldChar w:fldCharType="separate"/>
      </w:r>
      <w:r w:rsidR="00043D39" w:rsidRPr="007A4E7E">
        <w:t xml:space="preserve">Table </w:t>
      </w:r>
      <w:r w:rsidR="00043D39">
        <w:rPr>
          <w:noProof/>
        </w:rPr>
        <w:t>16</w:t>
      </w:r>
      <w:r w:rsidRPr="007A4E7E">
        <w:fldChar w:fldCharType="end"/>
      </w:r>
      <w:r w:rsidRPr="007A4E7E">
        <w:t>. For the initial year of treatment (including dose titration) the cost for responders was estimated to be $</w:t>
      </w:r>
      <w:r w:rsidR="00DE6661" w:rsidRPr="00063CEB">
        <w:rPr>
          <w:color w:val="000000"/>
          <w:w w:val="15"/>
          <w:shd w:val="solid" w:color="000000" w:fill="000000"/>
          <w:fitText w:val="-20" w:id="-962329591"/>
          <w14:textFill>
            <w14:solidFill>
              <w14:srgbClr w14:val="000000">
                <w14:alpha w14:val="100000"/>
              </w14:srgbClr>
            </w14:solidFill>
          </w14:textFill>
        </w:rPr>
        <w:t xml:space="preserve">|  </w:t>
      </w:r>
      <w:r w:rsidR="00DE6661" w:rsidRPr="00063CEB">
        <w:rPr>
          <w:color w:val="000000"/>
          <w:spacing w:val="-69"/>
          <w:w w:val="15"/>
          <w:shd w:val="solid" w:color="000000" w:fill="000000"/>
          <w:fitText w:val="-20" w:id="-962329591"/>
          <w14:textFill>
            <w14:solidFill>
              <w14:srgbClr w14:val="000000">
                <w14:alpha w14:val="100000"/>
              </w14:srgbClr>
            </w14:solidFill>
          </w14:textFill>
        </w:rPr>
        <w:t>|</w:t>
      </w:r>
      <w:r w:rsidRPr="007A4E7E">
        <w:t>. Ongoing annual cost would then be $</w:t>
      </w:r>
      <w:r w:rsidR="00DE6661" w:rsidRPr="00063CEB">
        <w:rPr>
          <w:color w:val="000000"/>
          <w:w w:val="15"/>
          <w:shd w:val="solid" w:color="000000" w:fill="000000"/>
          <w:fitText w:val="-20" w:id="-962329590"/>
          <w14:textFill>
            <w14:solidFill>
              <w14:srgbClr w14:val="000000">
                <w14:alpha w14:val="100000"/>
              </w14:srgbClr>
            </w14:solidFill>
          </w14:textFill>
        </w:rPr>
        <w:t xml:space="preserve">|  </w:t>
      </w:r>
      <w:r w:rsidR="00DE6661" w:rsidRPr="00063CEB">
        <w:rPr>
          <w:color w:val="000000"/>
          <w:spacing w:val="-69"/>
          <w:w w:val="15"/>
          <w:shd w:val="solid" w:color="000000" w:fill="000000"/>
          <w:fitText w:val="-20" w:id="-962329590"/>
          <w14:textFill>
            <w14:solidFill>
              <w14:srgbClr w14:val="000000">
                <w14:alpha w14:val="100000"/>
              </w14:srgbClr>
            </w14:solidFill>
          </w14:textFill>
        </w:rPr>
        <w:t>|</w:t>
      </w:r>
      <w:r w:rsidRPr="007A4E7E">
        <w:t>.</w:t>
      </w:r>
      <w:r w:rsidRPr="007A4E7E">
        <w:rPr>
          <w:i/>
          <w:iCs/>
        </w:rPr>
        <w:t xml:space="preserve"> </w:t>
      </w:r>
    </w:p>
    <w:p w14:paraId="408690FF" w14:textId="1EF5D875" w:rsidR="007D00BA" w:rsidRPr="00043D39" w:rsidRDefault="007D00BA" w:rsidP="007D00BA">
      <w:pPr>
        <w:pStyle w:val="Caption"/>
        <w:rPr>
          <w:rStyle w:val="CommentReference"/>
          <w:b/>
          <w:bCs w:val="0"/>
          <w:szCs w:val="24"/>
        </w:rPr>
      </w:pPr>
      <w:bookmarkStart w:id="58" w:name="_Ref153191140"/>
      <w:r w:rsidRPr="007A4E7E">
        <w:lastRenderedPageBreak/>
        <w:t xml:space="preserve">Table </w:t>
      </w:r>
      <w:r w:rsidR="00545EA1">
        <w:fldChar w:fldCharType="begin" w:fldLock="1"/>
      </w:r>
      <w:r w:rsidR="00545EA1">
        <w:instrText xml:space="preserve"> SEQ Table \* ARABIC </w:instrText>
      </w:r>
      <w:r w:rsidR="00545EA1">
        <w:fldChar w:fldCharType="separate"/>
      </w:r>
      <w:r w:rsidR="00043D39">
        <w:rPr>
          <w:noProof/>
        </w:rPr>
        <w:t>16</w:t>
      </w:r>
      <w:r w:rsidR="00545EA1">
        <w:rPr>
          <w:noProof/>
        </w:rPr>
        <w:fldChar w:fldCharType="end"/>
      </w:r>
      <w:bookmarkEnd w:id="58"/>
      <w:r w:rsidRPr="007A4E7E">
        <w:t>:</w:t>
      </w:r>
      <w:r w:rsidRPr="007A4E7E">
        <w:rPr>
          <w:rStyle w:val="CommentReference"/>
          <w:szCs w:val="24"/>
        </w:rPr>
        <w:t xml:space="preserve"> </w:t>
      </w:r>
      <w:r w:rsidRPr="00043D39">
        <w:rPr>
          <w:rStyle w:val="CommentReference"/>
          <w:b/>
          <w:bCs w:val="0"/>
          <w:szCs w:val="24"/>
        </w:rPr>
        <w:t>Drug cost per patient for osilodrostat (undiscounted, half-cycle corrected for model)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Drug cost per patient for osilodrostat (undiscounted, half-cycle corrected for model)"/>
      </w:tblPr>
      <w:tblGrid>
        <w:gridCol w:w="3266"/>
        <w:gridCol w:w="2110"/>
        <w:gridCol w:w="1830"/>
        <w:gridCol w:w="1811"/>
      </w:tblGrid>
      <w:tr w:rsidR="007D00BA" w:rsidRPr="007A4E7E" w14:paraId="219C7DCD" w14:textId="77777777" w:rsidTr="00EA6DFD">
        <w:trPr>
          <w:cantSplit/>
          <w:tblHeader/>
          <w:jc w:val="center"/>
        </w:trPr>
        <w:tc>
          <w:tcPr>
            <w:tcW w:w="1811" w:type="pct"/>
            <w:tcBorders>
              <w:bottom w:val="single" w:sz="4" w:space="0" w:color="auto"/>
            </w:tcBorders>
            <w:shd w:val="clear" w:color="auto" w:fill="auto"/>
            <w:vAlign w:val="center"/>
          </w:tcPr>
          <w:p w14:paraId="057563A0" w14:textId="77777777" w:rsidR="007D00BA" w:rsidRPr="007A4E7E" w:rsidRDefault="007D00BA" w:rsidP="00EA6DFD">
            <w:pPr>
              <w:pStyle w:val="In-tableHeading"/>
              <w:jc w:val="center"/>
              <w:rPr>
                <w:lang w:val="en-AU"/>
              </w:rPr>
            </w:pPr>
          </w:p>
        </w:tc>
        <w:tc>
          <w:tcPr>
            <w:tcW w:w="1170" w:type="pct"/>
            <w:tcBorders>
              <w:bottom w:val="single" w:sz="4" w:space="0" w:color="auto"/>
            </w:tcBorders>
            <w:shd w:val="clear" w:color="auto" w:fill="auto"/>
            <w:vAlign w:val="center"/>
          </w:tcPr>
          <w:p w14:paraId="037BB491" w14:textId="77777777" w:rsidR="007D00BA" w:rsidRPr="007A4E7E" w:rsidRDefault="007D00BA" w:rsidP="00EA6DFD">
            <w:pPr>
              <w:pStyle w:val="In-tableHeading"/>
              <w:jc w:val="center"/>
              <w:rPr>
                <w:lang w:val="en-AU"/>
              </w:rPr>
            </w:pPr>
            <w:r w:rsidRPr="007A4E7E">
              <w:rPr>
                <w:lang w:val="en-AU"/>
              </w:rPr>
              <w:t>LINC 4 (post-hoc analysis)</w:t>
            </w:r>
          </w:p>
        </w:tc>
        <w:tc>
          <w:tcPr>
            <w:tcW w:w="1015" w:type="pct"/>
            <w:tcBorders>
              <w:bottom w:val="single" w:sz="4" w:space="0" w:color="auto"/>
            </w:tcBorders>
            <w:shd w:val="clear" w:color="auto" w:fill="auto"/>
            <w:vAlign w:val="center"/>
          </w:tcPr>
          <w:p w14:paraId="3BCABE12" w14:textId="77777777" w:rsidR="007D00BA" w:rsidRPr="007A4E7E" w:rsidRDefault="007D00BA" w:rsidP="00EA6DFD">
            <w:pPr>
              <w:pStyle w:val="In-tableHeading"/>
              <w:jc w:val="center"/>
              <w:rPr>
                <w:lang w:val="en-AU"/>
              </w:rPr>
            </w:pPr>
            <w:r w:rsidRPr="007A4E7E">
              <w:rPr>
                <w:lang w:val="en-AU"/>
              </w:rPr>
              <w:t>Economic model</w:t>
            </w:r>
          </w:p>
        </w:tc>
        <w:tc>
          <w:tcPr>
            <w:tcW w:w="1004" w:type="pct"/>
            <w:tcBorders>
              <w:bottom w:val="single" w:sz="4" w:space="0" w:color="auto"/>
            </w:tcBorders>
            <w:shd w:val="clear" w:color="auto" w:fill="auto"/>
            <w:vAlign w:val="center"/>
          </w:tcPr>
          <w:p w14:paraId="6BEA967F" w14:textId="77777777" w:rsidR="007D00BA" w:rsidRPr="007A4E7E" w:rsidRDefault="007D00BA" w:rsidP="00EA6DFD">
            <w:pPr>
              <w:pStyle w:val="In-tableHeading"/>
              <w:jc w:val="center"/>
              <w:rPr>
                <w:lang w:val="en-AU"/>
              </w:rPr>
            </w:pPr>
            <w:r w:rsidRPr="007A4E7E">
              <w:rPr>
                <w:lang w:val="en-AU"/>
              </w:rPr>
              <w:t>Financial estimates</w:t>
            </w:r>
          </w:p>
        </w:tc>
      </w:tr>
      <w:tr w:rsidR="007D00BA" w:rsidRPr="007A4E7E" w14:paraId="1D254396" w14:textId="77777777" w:rsidTr="00EA6DFD">
        <w:trPr>
          <w:cantSplit/>
          <w:jc w:val="center"/>
        </w:trPr>
        <w:tc>
          <w:tcPr>
            <w:tcW w:w="1811" w:type="pct"/>
            <w:tcBorders>
              <w:top w:val="single" w:sz="4" w:space="0" w:color="auto"/>
              <w:left w:val="single" w:sz="4" w:space="0" w:color="auto"/>
              <w:bottom w:val="single" w:sz="4" w:space="0" w:color="auto"/>
              <w:right w:val="nil"/>
            </w:tcBorders>
            <w:shd w:val="clear" w:color="auto" w:fill="auto"/>
            <w:vAlign w:val="center"/>
          </w:tcPr>
          <w:p w14:paraId="0B92D819" w14:textId="77777777" w:rsidR="007D00BA" w:rsidRPr="007A4E7E" w:rsidRDefault="007D00BA" w:rsidP="00EA6DFD">
            <w:pPr>
              <w:pStyle w:val="TableText0"/>
              <w:rPr>
                <w:b/>
                <w:bCs w:val="0"/>
              </w:rPr>
            </w:pPr>
            <w:r w:rsidRPr="007A4E7E">
              <w:rPr>
                <w:b/>
                <w:bCs w:val="0"/>
              </w:rPr>
              <w:t>Mean dose</w:t>
            </w:r>
          </w:p>
        </w:tc>
        <w:tc>
          <w:tcPr>
            <w:tcW w:w="1170" w:type="pct"/>
            <w:tcBorders>
              <w:top w:val="single" w:sz="4" w:space="0" w:color="auto"/>
              <w:left w:val="nil"/>
              <w:bottom w:val="single" w:sz="4" w:space="0" w:color="auto"/>
              <w:right w:val="nil"/>
            </w:tcBorders>
            <w:shd w:val="clear" w:color="auto" w:fill="auto"/>
            <w:vAlign w:val="center"/>
          </w:tcPr>
          <w:p w14:paraId="1B78FA85" w14:textId="77777777" w:rsidR="007D00BA" w:rsidRPr="007A4E7E" w:rsidRDefault="007D00BA" w:rsidP="00EA6DFD">
            <w:pPr>
              <w:pStyle w:val="TableText0"/>
              <w:jc w:val="center"/>
            </w:pPr>
          </w:p>
        </w:tc>
        <w:tc>
          <w:tcPr>
            <w:tcW w:w="1015" w:type="pct"/>
            <w:tcBorders>
              <w:top w:val="single" w:sz="4" w:space="0" w:color="auto"/>
              <w:left w:val="nil"/>
              <w:bottom w:val="single" w:sz="4" w:space="0" w:color="auto"/>
              <w:right w:val="nil"/>
            </w:tcBorders>
            <w:shd w:val="clear" w:color="auto" w:fill="auto"/>
            <w:vAlign w:val="center"/>
          </w:tcPr>
          <w:p w14:paraId="0B2F8614" w14:textId="77777777" w:rsidR="007D00BA" w:rsidRPr="007A4E7E" w:rsidRDefault="007D00BA" w:rsidP="00EA6DFD">
            <w:pPr>
              <w:pStyle w:val="TableText0"/>
              <w:jc w:val="cente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93764DD" w14:textId="77777777" w:rsidR="007D00BA" w:rsidRPr="007A4E7E" w:rsidRDefault="007D00BA" w:rsidP="00EA6DFD">
            <w:pPr>
              <w:pStyle w:val="TableText0"/>
              <w:jc w:val="center"/>
            </w:pPr>
          </w:p>
        </w:tc>
      </w:tr>
      <w:tr w:rsidR="007D00BA" w:rsidRPr="007A4E7E" w14:paraId="5D01234B" w14:textId="77777777" w:rsidTr="00EA6DFD">
        <w:trPr>
          <w:cantSplit/>
          <w:jc w:val="center"/>
        </w:trPr>
        <w:tc>
          <w:tcPr>
            <w:tcW w:w="1811" w:type="pct"/>
            <w:tcBorders>
              <w:top w:val="single" w:sz="4" w:space="0" w:color="auto"/>
            </w:tcBorders>
            <w:shd w:val="clear" w:color="auto" w:fill="auto"/>
            <w:vAlign w:val="center"/>
          </w:tcPr>
          <w:p w14:paraId="399E880A" w14:textId="77777777" w:rsidR="007D00BA" w:rsidRPr="007A4E7E" w:rsidRDefault="007D00BA" w:rsidP="00EA6DFD">
            <w:pPr>
              <w:pStyle w:val="TableText0"/>
            </w:pPr>
            <w:r w:rsidRPr="007A4E7E">
              <w:t>Initial treatment period – responders</w:t>
            </w:r>
          </w:p>
        </w:tc>
        <w:tc>
          <w:tcPr>
            <w:tcW w:w="1170" w:type="pct"/>
            <w:tcBorders>
              <w:top w:val="single" w:sz="4" w:space="0" w:color="auto"/>
            </w:tcBorders>
            <w:shd w:val="clear" w:color="auto" w:fill="auto"/>
            <w:vAlign w:val="center"/>
          </w:tcPr>
          <w:p w14:paraId="11D5CA77" w14:textId="77777777" w:rsidR="007D00BA" w:rsidRPr="007A4E7E" w:rsidRDefault="007D00BA" w:rsidP="00EA6DFD">
            <w:pPr>
              <w:pStyle w:val="TableText0"/>
              <w:jc w:val="center"/>
            </w:pPr>
            <w:r w:rsidRPr="007A4E7E">
              <w:t>7.53 mg/day</w:t>
            </w:r>
          </w:p>
        </w:tc>
        <w:tc>
          <w:tcPr>
            <w:tcW w:w="1015" w:type="pct"/>
            <w:tcBorders>
              <w:top w:val="single" w:sz="4" w:space="0" w:color="auto"/>
            </w:tcBorders>
            <w:shd w:val="clear" w:color="auto" w:fill="auto"/>
            <w:vAlign w:val="center"/>
          </w:tcPr>
          <w:p w14:paraId="51C5011C" w14:textId="77777777" w:rsidR="007D00BA" w:rsidRPr="007A4E7E" w:rsidRDefault="007D00BA" w:rsidP="00EA6DFD">
            <w:pPr>
              <w:pStyle w:val="TableText0"/>
              <w:jc w:val="center"/>
            </w:pPr>
            <w:r w:rsidRPr="007A4E7E">
              <w:t>7.53 mg/day</w:t>
            </w:r>
          </w:p>
        </w:tc>
        <w:tc>
          <w:tcPr>
            <w:tcW w:w="1004" w:type="pct"/>
            <w:tcBorders>
              <w:top w:val="single" w:sz="4" w:space="0" w:color="auto"/>
            </w:tcBorders>
            <w:shd w:val="clear" w:color="auto" w:fill="auto"/>
            <w:vAlign w:val="center"/>
          </w:tcPr>
          <w:p w14:paraId="0DC86CC3" w14:textId="77777777" w:rsidR="007D00BA" w:rsidRPr="007A4E7E" w:rsidRDefault="007D00BA" w:rsidP="00EA6DFD">
            <w:pPr>
              <w:pStyle w:val="TableText0"/>
              <w:jc w:val="center"/>
            </w:pPr>
            <w:r w:rsidRPr="007A4E7E">
              <w:t>7.53 mg/day</w:t>
            </w:r>
          </w:p>
        </w:tc>
      </w:tr>
      <w:tr w:rsidR="007D00BA" w:rsidRPr="007A4E7E" w14:paraId="56544143" w14:textId="77777777" w:rsidTr="00EA6DFD">
        <w:trPr>
          <w:cantSplit/>
          <w:jc w:val="center"/>
        </w:trPr>
        <w:tc>
          <w:tcPr>
            <w:tcW w:w="1811" w:type="pct"/>
            <w:shd w:val="clear" w:color="auto" w:fill="auto"/>
            <w:vAlign w:val="center"/>
          </w:tcPr>
          <w:p w14:paraId="0FB3E5C4" w14:textId="77777777" w:rsidR="007D00BA" w:rsidRPr="007A4E7E" w:rsidRDefault="007D00BA" w:rsidP="00EA6DFD">
            <w:pPr>
              <w:pStyle w:val="TableText0"/>
            </w:pPr>
            <w:r w:rsidRPr="007A4E7E">
              <w:t>Initial treatment period – non- responders</w:t>
            </w:r>
          </w:p>
        </w:tc>
        <w:tc>
          <w:tcPr>
            <w:tcW w:w="1170" w:type="pct"/>
            <w:shd w:val="clear" w:color="auto" w:fill="auto"/>
            <w:vAlign w:val="center"/>
          </w:tcPr>
          <w:p w14:paraId="03824ACD" w14:textId="77777777" w:rsidR="007D00BA" w:rsidRPr="007A4E7E" w:rsidRDefault="007D00BA" w:rsidP="00EA6DFD">
            <w:pPr>
              <w:pStyle w:val="TableText0"/>
              <w:jc w:val="center"/>
            </w:pPr>
            <w:r w:rsidRPr="007A4E7E">
              <w:t>7.99 mg/day</w:t>
            </w:r>
          </w:p>
        </w:tc>
        <w:tc>
          <w:tcPr>
            <w:tcW w:w="1015" w:type="pct"/>
            <w:shd w:val="clear" w:color="auto" w:fill="auto"/>
            <w:vAlign w:val="center"/>
          </w:tcPr>
          <w:p w14:paraId="387C4F99" w14:textId="77777777" w:rsidR="007D00BA" w:rsidRPr="007A4E7E" w:rsidRDefault="007D00BA" w:rsidP="00EA6DFD">
            <w:pPr>
              <w:pStyle w:val="TableText0"/>
              <w:jc w:val="center"/>
            </w:pPr>
            <w:r w:rsidRPr="007A4E7E">
              <w:t>7.99 mg/day</w:t>
            </w:r>
          </w:p>
        </w:tc>
        <w:tc>
          <w:tcPr>
            <w:tcW w:w="1004" w:type="pct"/>
            <w:shd w:val="clear" w:color="auto" w:fill="auto"/>
            <w:vAlign w:val="center"/>
          </w:tcPr>
          <w:p w14:paraId="1406721B" w14:textId="77777777" w:rsidR="007D00BA" w:rsidRPr="007A4E7E" w:rsidRDefault="007D00BA" w:rsidP="00EA6DFD">
            <w:pPr>
              <w:pStyle w:val="TableText0"/>
              <w:jc w:val="center"/>
            </w:pPr>
            <w:r w:rsidRPr="007A4E7E">
              <w:t>7.99 mg/day</w:t>
            </w:r>
          </w:p>
        </w:tc>
      </w:tr>
      <w:tr w:rsidR="007D00BA" w:rsidRPr="007A4E7E" w14:paraId="1E4FD58A" w14:textId="77777777" w:rsidTr="00EA6DFD">
        <w:trPr>
          <w:cantSplit/>
          <w:jc w:val="center"/>
        </w:trPr>
        <w:tc>
          <w:tcPr>
            <w:tcW w:w="1811" w:type="pct"/>
            <w:tcBorders>
              <w:bottom w:val="single" w:sz="4" w:space="0" w:color="auto"/>
            </w:tcBorders>
            <w:shd w:val="clear" w:color="auto" w:fill="auto"/>
            <w:vAlign w:val="center"/>
          </w:tcPr>
          <w:p w14:paraId="79587DCE" w14:textId="77777777" w:rsidR="007D00BA" w:rsidRPr="007A4E7E" w:rsidRDefault="007D00BA" w:rsidP="00EA6DFD">
            <w:pPr>
              <w:pStyle w:val="TableText0"/>
            </w:pPr>
            <w:r w:rsidRPr="007A4E7E">
              <w:t>Continuing treatment period – responders</w:t>
            </w:r>
          </w:p>
        </w:tc>
        <w:tc>
          <w:tcPr>
            <w:tcW w:w="1170" w:type="pct"/>
            <w:tcBorders>
              <w:bottom w:val="single" w:sz="4" w:space="0" w:color="auto"/>
            </w:tcBorders>
            <w:shd w:val="clear" w:color="auto" w:fill="auto"/>
            <w:vAlign w:val="center"/>
          </w:tcPr>
          <w:p w14:paraId="52DF3934" w14:textId="77777777" w:rsidR="007D00BA" w:rsidRPr="007A4E7E" w:rsidRDefault="007D00BA" w:rsidP="00EA6DFD">
            <w:pPr>
              <w:pStyle w:val="TableText0"/>
              <w:jc w:val="center"/>
            </w:pPr>
            <w:r w:rsidRPr="007A4E7E">
              <w:t>9.65 mg/day</w:t>
            </w:r>
          </w:p>
        </w:tc>
        <w:tc>
          <w:tcPr>
            <w:tcW w:w="1015" w:type="pct"/>
            <w:tcBorders>
              <w:bottom w:val="single" w:sz="4" w:space="0" w:color="auto"/>
            </w:tcBorders>
            <w:shd w:val="clear" w:color="auto" w:fill="auto"/>
            <w:vAlign w:val="center"/>
          </w:tcPr>
          <w:p w14:paraId="58A252FC" w14:textId="77777777" w:rsidR="007D00BA" w:rsidRPr="007A4E7E" w:rsidRDefault="007D00BA" w:rsidP="00EA6DFD">
            <w:pPr>
              <w:pStyle w:val="TableText0"/>
              <w:jc w:val="center"/>
            </w:pPr>
            <w:r w:rsidRPr="007A4E7E">
              <w:t>9.65 mg/day</w:t>
            </w:r>
          </w:p>
        </w:tc>
        <w:tc>
          <w:tcPr>
            <w:tcW w:w="1004" w:type="pct"/>
            <w:tcBorders>
              <w:bottom w:val="single" w:sz="4" w:space="0" w:color="auto"/>
            </w:tcBorders>
            <w:shd w:val="clear" w:color="auto" w:fill="auto"/>
            <w:vAlign w:val="center"/>
          </w:tcPr>
          <w:p w14:paraId="6656783E" w14:textId="77777777" w:rsidR="007D00BA" w:rsidRPr="007A4E7E" w:rsidRDefault="007D00BA" w:rsidP="00EA6DFD">
            <w:pPr>
              <w:pStyle w:val="TableText0"/>
              <w:jc w:val="center"/>
            </w:pPr>
            <w:r w:rsidRPr="007A4E7E">
              <w:t>9.65 mg/day</w:t>
            </w:r>
          </w:p>
        </w:tc>
      </w:tr>
      <w:tr w:rsidR="007D00BA" w:rsidRPr="007A4E7E" w14:paraId="1435DD8F" w14:textId="77777777" w:rsidTr="00EA6DFD">
        <w:trPr>
          <w:cantSplit/>
          <w:jc w:val="center"/>
        </w:trPr>
        <w:tc>
          <w:tcPr>
            <w:tcW w:w="1811" w:type="pct"/>
            <w:tcBorders>
              <w:top w:val="single" w:sz="4" w:space="0" w:color="auto"/>
              <w:left w:val="single" w:sz="4" w:space="0" w:color="auto"/>
              <w:bottom w:val="single" w:sz="4" w:space="0" w:color="auto"/>
              <w:right w:val="nil"/>
            </w:tcBorders>
            <w:shd w:val="clear" w:color="auto" w:fill="auto"/>
            <w:vAlign w:val="center"/>
          </w:tcPr>
          <w:p w14:paraId="77BFE200" w14:textId="77777777" w:rsidR="007D00BA" w:rsidRPr="007A4E7E" w:rsidRDefault="007D00BA" w:rsidP="00EA6DFD">
            <w:pPr>
              <w:pStyle w:val="TableText0"/>
              <w:rPr>
                <w:b/>
                <w:bCs w:val="0"/>
                <w:vertAlign w:val="superscript"/>
              </w:rPr>
            </w:pPr>
            <w:r w:rsidRPr="007A4E7E">
              <w:rPr>
                <w:b/>
                <w:bCs w:val="0"/>
              </w:rPr>
              <w:t xml:space="preserve">Mean treatment duration </w:t>
            </w:r>
            <w:r w:rsidRPr="007A4E7E">
              <w:rPr>
                <w:b/>
                <w:bCs w:val="0"/>
                <w:vertAlign w:val="superscript"/>
              </w:rPr>
              <w:t>a</w:t>
            </w:r>
          </w:p>
        </w:tc>
        <w:tc>
          <w:tcPr>
            <w:tcW w:w="1170" w:type="pct"/>
            <w:tcBorders>
              <w:top w:val="single" w:sz="4" w:space="0" w:color="auto"/>
              <w:left w:val="nil"/>
              <w:bottom w:val="single" w:sz="4" w:space="0" w:color="auto"/>
              <w:right w:val="nil"/>
            </w:tcBorders>
            <w:shd w:val="clear" w:color="auto" w:fill="auto"/>
            <w:vAlign w:val="center"/>
          </w:tcPr>
          <w:p w14:paraId="174E1629" w14:textId="77777777" w:rsidR="007D00BA" w:rsidRPr="007A4E7E" w:rsidRDefault="007D00BA" w:rsidP="00EA6DFD">
            <w:pPr>
              <w:pStyle w:val="TableText0"/>
              <w:jc w:val="center"/>
            </w:pPr>
          </w:p>
        </w:tc>
        <w:tc>
          <w:tcPr>
            <w:tcW w:w="1015" w:type="pct"/>
            <w:tcBorders>
              <w:top w:val="single" w:sz="4" w:space="0" w:color="auto"/>
              <w:left w:val="nil"/>
              <w:bottom w:val="single" w:sz="4" w:space="0" w:color="auto"/>
              <w:right w:val="nil"/>
            </w:tcBorders>
            <w:shd w:val="clear" w:color="auto" w:fill="auto"/>
            <w:vAlign w:val="center"/>
          </w:tcPr>
          <w:p w14:paraId="29B4D59F" w14:textId="77777777" w:rsidR="007D00BA" w:rsidRPr="007A4E7E" w:rsidRDefault="007D00BA" w:rsidP="00EA6DFD">
            <w:pPr>
              <w:pStyle w:val="TableText0"/>
              <w:jc w:val="cente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9740D7B" w14:textId="77777777" w:rsidR="007D00BA" w:rsidRPr="007A4E7E" w:rsidRDefault="007D00BA" w:rsidP="00EA6DFD">
            <w:pPr>
              <w:pStyle w:val="TableText0"/>
              <w:jc w:val="center"/>
            </w:pPr>
          </w:p>
        </w:tc>
      </w:tr>
      <w:tr w:rsidR="007D00BA" w:rsidRPr="007A4E7E" w14:paraId="7A16BCDB" w14:textId="77777777" w:rsidTr="00EA6DFD">
        <w:trPr>
          <w:cantSplit/>
          <w:jc w:val="center"/>
        </w:trPr>
        <w:tc>
          <w:tcPr>
            <w:tcW w:w="1811" w:type="pct"/>
            <w:tcBorders>
              <w:top w:val="single" w:sz="4" w:space="0" w:color="auto"/>
              <w:bottom w:val="single" w:sz="4" w:space="0" w:color="auto"/>
            </w:tcBorders>
            <w:shd w:val="clear" w:color="auto" w:fill="auto"/>
            <w:vAlign w:val="center"/>
          </w:tcPr>
          <w:p w14:paraId="7181816D" w14:textId="77777777" w:rsidR="007D00BA" w:rsidRPr="007A4E7E" w:rsidRDefault="007D00BA" w:rsidP="00EA6DFD">
            <w:pPr>
              <w:pStyle w:val="TableText0"/>
              <w:rPr>
                <w:b/>
                <w:bCs w:val="0"/>
              </w:rPr>
            </w:pPr>
            <w:r w:rsidRPr="007A4E7E">
              <w:t>Initial treatment period – responders</w:t>
            </w:r>
          </w:p>
        </w:tc>
        <w:tc>
          <w:tcPr>
            <w:tcW w:w="1170" w:type="pct"/>
            <w:vMerge w:val="restart"/>
            <w:tcBorders>
              <w:top w:val="single" w:sz="4" w:space="0" w:color="auto"/>
            </w:tcBorders>
            <w:shd w:val="clear" w:color="auto" w:fill="auto"/>
            <w:vAlign w:val="center"/>
          </w:tcPr>
          <w:p w14:paraId="104F2192" w14:textId="77777777" w:rsidR="007D00BA" w:rsidRPr="007A4E7E" w:rsidRDefault="007D00BA" w:rsidP="00EA6DFD">
            <w:pPr>
              <w:pStyle w:val="TableText0"/>
              <w:jc w:val="center"/>
              <w:rPr>
                <w:vertAlign w:val="superscript"/>
              </w:rPr>
            </w:pPr>
            <w:r w:rsidRPr="007A4E7E">
              <w:t xml:space="preserve">81.1 weeks </w:t>
            </w:r>
            <w:r w:rsidRPr="007A4E7E">
              <w:rPr>
                <w:vertAlign w:val="superscript"/>
              </w:rPr>
              <w:t>c</w:t>
            </w:r>
          </w:p>
        </w:tc>
        <w:tc>
          <w:tcPr>
            <w:tcW w:w="1015" w:type="pct"/>
            <w:vMerge w:val="restart"/>
            <w:tcBorders>
              <w:top w:val="single" w:sz="4" w:space="0" w:color="auto"/>
            </w:tcBorders>
            <w:shd w:val="clear" w:color="auto" w:fill="auto"/>
            <w:vAlign w:val="center"/>
          </w:tcPr>
          <w:p w14:paraId="46C791F7" w14:textId="77777777" w:rsidR="007D00BA" w:rsidRPr="007A4E7E" w:rsidRDefault="007D00BA" w:rsidP="00EA6DFD">
            <w:pPr>
              <w:pStyle w:val="TableText0"/>
              <w:jc w:val="center"/>
            </w:pPr>
            <w:r w:rsidRPr="007A4E7E">
              <w:t xml:space="preserve">25.99 weeks </w:t>
            </w:r>
            <w:r w:rsidRPr="007A4E7E">
              <w:rPr>
                <w:vertAlign w:val="superscript"/>
              </w:rPr>
              <w:t>b</w:t>
            </w:r>
          </w:p>
        </w:tc>
        <w:tc>
          <w:tcPr>
            <w:tcW w:w="1004" w:type="pct"/>
            <w:vMerge w:val="restart"/>
            <w:tcBorders>
              <w:top w:val="single" w:sz="4" w:space="0" w:color="auto"/>
            </w:tcBorders>
            <w:shd w:val="clear" w:color="auto" w:fill="auto"/>
            <w:vAlign w:val="center"/>
          </w:tcPr>
          <w:p w14:paraId="713785D9" w14:textId="77777777" w:rsidR="007D00BA" w:rsidRPr="007A4E7E" w:rsidRDefault="007D00BA" w:rsidP="00EA6DFD">
            <w:pPr>
              <w:pStyle w:val="TableText0"/>
              <w:jc w:val="center"/>
            </w:pPr>
            <w:r w:rsidRPr="007A4E7E">
              <w:t>25.99 weeks</w:t>
            </w:r>
          </w:p>
        </w:tc>
      </w:tr>
      <w:tr w:rsidR="007D00BA" w:rsidRPr="007A4E7E" w14:paraId="70820E6B" w14:textId="77777777" w:rsidTr="00EA6DFD">
        <w:trPr>
          <w:cantSplit/>
          <w:jc w:val="center"/>
        </w:trPr>
        <w:tc>
          <w:tcPr>
            <w:tcW w:w="1811" w:type="pct"/>
            <w:tcBorders>
              <w:bottom w:val="single" w:sz="4" w:space="0" w:color="auto"/>
            </w:tcBorders>
            <w:shd w:val="clear" w:color="auto" w:fill="auto"/>
            <w:vAlign w:val="center"/>
          </w:tcPr>
          <w:p w14:paraId="55581478" w14:textId="77777777" w:rsidR="007D00BA" w:rsidRPr="007A4E7E" w:rsidRDefault="007D00BA" w:rsidP="00EA6DFD">
            <w:pPr>
              <w:pStyle w:val="TableText0"/>
              <w:rPr>
                <w:b/>
                <w:bCs w:val="0"/>
              </w:rPr>
            </w:pPr>
            <w:r w:rsidRPr="007A4E7E">
              <w:t>Initial treatment period – non- responders</w:t>
            </w:r>
          </w:p>
        </w:tc>
        <w:tc>
          <w:tcPr>
            <w:tcW w:w="1170" w:type="pct"/>
            <w:vMerge/>
            <w:shd w:val="clear" w:color="auto" w:fill="auto"/>
            <w:vAlign w:val="center"/>
          </w:tcPr>
          <w:p w14:paraId="2F1623A0" w14:textId="77777777" w:rsidR="007D00BA" w:rsidRPr="007A4E7E" w:rsidRDefault="007D00BA" w:rsidP="00EA6DFD">
            <w:pPr>
              <w:pStyle w:val="TableText0"/>
              <w:jc w:val="center"/>
            </w:pPr>
          </w:p>
        </w:tc>
        <w:tc>
          <w:tcPr>
            <w:tcW w:w="1015" w:type="pct"/>
            <w:vMerge/>
            <w:tcBorders>
              <w:bottom w:val="single" w:sz="4" w:space="0" w:color="auto"/>
            </w:tcBorders>
            <w:shd w:val="clear" w:color="auto" w:fill="auto"/>
            <w:vAlign w:val="center"/>
          </w:tcPr>
          <w:p w14:paraId="7F617767" w14:textId="77777777" w:rsidR="007D00BA" w:rsidRPr="007A4E7E" w:rsidRDefault="007D00BA" w:rsidP="00EA6DFD">
            <w:pPr>
              <w:pStyle w:val="TableText0"/>
              <w:jc w:val="center"/>
            </w:pPr>
          </w:p>
        </w:tc>
        <w:tc>
          <w:tcPr>
            <w:tcW w:w="1004" w:type="pct"/>
            <w:vMerge/>
            <w:tcBorders>
              <w:bottom w:val="single" w:sz="4" w:space="0" w:color="auto"/>
            </w:tcBorders>
            <w:shd w:val="clear" w:color="auto" w:fill="auto"/>
            <w:vAlign w:val="center"/>
          </w:tcPr>
          <w:p w14:paraId="592EB928" w14:textId="77777777" w:rsidR="007D00BA" w:rsidRPr="007A4E7E" w:rsidRDefault="007D00BA" w:rsidP="00EA6DFD">
            <w:pPr>
              <w:pStyle w:val="TableText0"/>
              <w:jc w:val="center"/>
            </w:pPr>
          </w:p>
        </w:tc>
      </w:tr>
      <w:tr w:rsidR="007D00BA" w:rsidRPr="007A4E7E" w14:paraId="32BDC2A5" w14:textId="77777777" w:rsidTr="00EA6DFD">
        <w:trPr>
          <w:cantSplit/>
          <w:jc w:val="center"/>
        </w:trPr>
        <w:tc>
          <w:tcPr>
            <w:tcW w:w="1811" w:type="pct"/>
            <w:tcBorders>
              <w:bottom w:val="single" w:sz="4" w:space="0" w:color="auto"/>
            </w:tcBorders>
            <w:shd w:val="clear" w:color="auto" w:fill="auto"/>
            <w:vAlign w:val="center"/>
          </w:tcPr>
          <w:p w14:paraId="4870055F" w14:textId="77777777" w:rsidR="007D00BA" w:rsidRPr="007A4E7E" w:rsidRDefault="007D00BA" w:rsidP="00EA6DFD">
            <w:pPr>
              <w:pStyle w:val="TableText0"/>
              <w:rPr>
                <w:b/>
                <w:bCs w:val="0"/>
              </w:rPr>
            </w:pPr>
            <w:r w:rsidRPr="007A4E7E">
              <w:t>Continuing treatment period – responders</w:t>
            </w:r>
          </w:p>
        </w:tc>
        <w:tc>
          <w:tcPr>
            <w:tcW w:w="1170" w:type="pct"/>
            <w:vMerge/>
            <w:tcBorders>
              <w:bottom w:val="single" w:sz="4" w:space="0" w:color="auto"/>
            </w:tcBorders>
            <w:shd w:val="clear" w:color="auto" w:fill="auto"/>
            <w:vAlign w:val="center"/>
          </w:tcPr>
          <w:p w14:paraId="0C8AF9F0" w14:textId="77777777" w:rsidR="007D00BA" w:rsidRPr="007A4E7E" w:rsidRDefault="007D00BA" w:rsidP="00EA6DFD">
            <w:pPr>
              <w:pStyle w:val="TableText0"/>
              <w:jc w:val="center"/>
            </w:pPr>
          </w:p>
        </w:tc>
        <w:tc>
          <w:tcPr>
            <w:tcW w:w="1015" w:type="pct"/>
            <w:tcBorders>
              <w:bottom w:val="single" w:sz="4" w:space="0" w:color="auto"/>
            </w:tcBorders>
            <w:shd w:val="clear" w:color="auto" w:fill="auto"/>
            <w:vAlign w:val="center"/>
          </w:tcPr>
          <w:p w14:paraId="4AA3194B" w14:textId="77777777" w:rsidR="007D00BA" w:rsidRPr="007A4E7E" w:rsidRDefault="007D00BA" w:rsidP="00EA6DFD">
            <w:pPr>
              <w:pStyle w:val="TableText0"/>
              <w:jc w:val="center"/>
            </w:pPr>
            <w:r w:rsidRPr="007A4E7E">
              <w:t>214.41 weeks</w:t>
            </w:r>
          </w:p>
        </w:tc>
        <w:tc>
          <w:tcPr>
            <w:tcW w:w="1004" w:type="pct"/>
            <w:tcBorders>
              <w:bottom w:val="single" w:sz="4" w:space="0" w:color="auto"/>
            </w:tcBorders>
            <w:shd w:val="clear" w:color="auto" w:fill="auto"/>
            <w:vAlign w:val="center"/>
          </w:tcPr>
          <w:p w14:paraId="6E0E396B" w14:textId="77777777" w:rsidR="007D00BA" w:rsidRPr="007A4E7E" w:rsidRDefault="007D00BA" w:rsidP="00EA6DFD">
            <w:pPr>
              <w:pStyle w:val="TableText0"/>
              <w:jc w:val="center"/>
            </w:pPr>
            <w:r w:rsidRPr="007A4E7E">
              <w:t>22.06 weeks in 1</w:t>
            </w:r>
            <w:r w:rsidRPr="007A4E7E">
              <w:rPr>
                <w:vertAlign w:val="superscript"/>
              </w:rPr>
              <w:t>st</w:t>
            </w:r>
            <w:r w:rsidRPr="007A4E7E">
              <w:t xml:space="preserve"> continuing cycle, then 52 weeks thereafter</w:t>
            </w:r>
          </w:p>
        </w:tc>
      </w:tr>
      <w:tr w:rsidR="007D00BA" w:rsidRPr="007A4E7E" w14:paraId="38170C20" w14:textId="77777777" w:rsidTr="00EA6DFD">
        <w:trPr>
          <w:cantSplit/>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E108B0" w14:textId="77777777" w:rsidR="007D00BA" w:rsidRPr="007A4E7E" w:rsidRDefault="007D00BA" w:rsidP="00EA6DFD">
            <w:pPr>
              <w:pStyle w:val="TableText0"/>
              <w:rPr>
                <w:iCs/>
              </w:rPr>
            </w:pPr>
            <w:r w:rsidRPr="007A4E7E">
              <w:rPr>
                <w:b/>
                <w:bCs w:val="0"/>
              </w:rPr>
              <w:t xml:space="preserve">Cost per patient in each treatment period (or total treatment period for continuing patients) </w:t>
            </w:r>
            <w:r w:rsidRPr="007A4E7E">
              <w:rPr>
                <w:b/>
                <w:bCs w:val="0"/>
                <w:vertAlign w:val="superscript"/>
              </w:rPr>
              <w:t>d</w:t>
            </w:r>
          </w:p>
        </w:tc>
      </w:tr>
      <w:tr w:rsidR="007D00BA" w:rsidRPr="007A4E7E" w14:paraId="0864D66D" w14:textId="77777777" w:rsidTr="00DE6661">
        <w:trPr>
          <w:cantSplit/>
          <w:jc w:val="center"/>
        </w:trPr>
        <w:tc>
          <w:tcPr>
            <w:tcW w:w="1811" w:type="pct"/>
            <w:tcBorders>
              <w:top w:val="single" w:sz="4" w:space="0" w:color="auto"/>
            </w:tcBorders>
            <w:shd w:val="clear" w:color="auto" w:fill="auto"/>
            <w:vAlign w:val="center"/>
          </w:tcPr>
          <w:p w14:paraId="6738E657" w14:textId="77777777" w:rsidR="007D00BA" w:rsidRPr="007A4E7E" w:rsidRDefault="007D00BA" w:rsidP="00EA6DFD">
            <w:pPr>
              <w:pStyle w:val="TableText0"/>
            </w:pPr>
            <w:r w:rsidRPr="007A4E7E">
              <w:t>Initial treatment period – responders</w:t>
            </w:r>
          </w:p>
        </w:tc>
        <w:tc>
          <w:tcPr>
            <w:tcW w:w="1170" w:type="pct"/>
            <w:vMerge w:val="restart"/>
            <w:tcBorders>
              <w:top w:val="single" w:sz="4" w:space="0" w:color="auto"/>
            </w:tcBorders>
            <w:shd w:val="clear" w:color="auto" w:fill="auto"/>
            <w:vAlign w:val="center"/>
          </w:tcPr>
          <w:p w14:paraId="0CE972B9" w14:textId="77777777" w:rsidR="007D00BA" w:rsidRPr="007A4E7E" w:rsidRDefault="007D00BA" w:rsidP="00EA6DFD">
            <w:pPr>
              <w:pStyle w:val="TableText0"/>
              <w:jc w:val="center"/>
            </w:pPr>
            <w:r w:rsidRPr="007A4E7E">
              <w:t>NR</w:t>
            </w:r>
          </w:p>
        </w:tc>
        <w:tc>
          <w:tcPr>
            <w:tcW w:w="1015" w:type="pct"/>
            <w:tcBorders>
              <w:top w:val="single" w:sz="4" w:space="0" w:color="auto"/>
              <w:bottom w:val="single" w:sz="4" w:space="0" w:color="auto"/>
            </w:tcBorders>
            <w:shd w:val="solid" w:color="000000" w:fill="000000"/>
            <w:vAlign w:val="center"/>
          </w:tcPr>
          <w:p w14:paraId="72E2D1E2" w14:textId="23557713" w:rsidR="007D00BA" w:rsidRPr="00914C1A" w:rsidRDefault="00DE6661" w:rsidP="00EA6DFD">
            <w:pPr>
              <w:pStyle w:val="TableText0"/>
              <w:jc w:val="center"/>
              <w:rPr>
                <w:highlight w:val="lightGray"/>
              </w:rPr>
            </w:pPr>
            <w:r w:rsidRPr="00DE6661">
              <w:rPr>
                <w:color w:val="000000"/>
                <w14:textFill>
                  <w14:solidFill>
                    <w14:srgbClr w14:val="000000">
                      <w14:alpha w14:val="100000"/>
                    </w14:srgbClr>
                  </w14:solidFill>
                </w14:textFill>
              </w:rPr>
              <w:t>|</w:t>
            </w:r>
          </w:p>
        </w:tc>
        <w:tc>
          <w:tcPr>
            <w:tcW w:w="1004" w:type="pct"/>
            <w:tcBorders>
              <w:top w:val="single" w:sz="4" w:space="0" w:color="auto"/>
              <w:bottom w:val="single" w:sz="4" w:space="0" w:color="auto"/>
            </w:tcBorders>
            <w:shd w:val="solid" w:color="000000" w:fill="000000"/>
            <w:vAlign w:val="center"/>
          </w:tcPr>
          <w:p w14:paraId="029AD187" w14:textId="14125F53" w:rsidR="007D00BA" w:rsidRPr="00914C1A" w:rsidRDefault="00DE6661" w:rsidP="00EA6DFD">
            <w:pPr>
              <w:pStyle w:val="TableText0"/>
              <w:jc w:val="center"/>
              <w:rPr>
                <w:iCs/>
                <w:highlight w:val="lightGray"/>
              </w:rPr>
            </w:pPr>
            <w:r w:rsidRPr="00DE6661">
              <w:rPr>
                <w:color w:val="000000"/>
                <w14:textFill>
                  <w14:solidFill>
                    <w14:srgbClr w14:val="000000">
                      <w14:alpha w14:val="100000"/>
                    </w14:srgbClr>
                  </w14:solidFill>
                </w14:textFill>
              </w:rPr>
              <w:t>|</w:t>
            </w:r>
          </w:p>
        </w:tc>
      </w:tr>
      <w:tr w:rsidR="007D00BA" w:rsidRPr="007A4E7E" w14:paraId="2411F6E5" w14:textId="77777777" w:rsidTr="00DE6661">
        <w:trPr>
          <w:cantSplit/>
          <w:jc w:val="center"/>
        </w:trPr>
        <w:tc>
          <w:tcPr>
            <w:tcW w:w="1811" w:type="pct"/>
            <w:shd w:val="clear" w:color="auto" w:fill="auto"/>
            <w:vAlign w:val="center"/>
          </w:tcPr>
          <w:p w14:paraId="1F82D7C9" w14:textId="77777777" w:rsidR="007D00BA" w:rsidRPr="007A4E7E" w:rsidRDefault="007D00BA" w:rsidP="00EA6DFD">
            <w:pPr>
              <w:pStyle w:val="TableText0"/>
            </w:pPr>
            <w:r w:rsidRPr="007A4E7E">
              <w:t>Initial treatment period – non- responders</w:t>
            </w:r>
          </w:p>
        </w:tc>
        <w:tc>
          <w:tcPr>
            <w:tcW w:w="1170" w:type="pct"/>
            <w:vMerge/>
            <w:shd w:val="clear" w:color="auto" w:fill="auto"/>
            <w:vAlign w:val="center"/>
          </w:tcPr>
          <w:p w14:paraId="799D0FBA" w14:textId="77777777" w:rsidR="007D00BA" w:rsidRPr="007A4E7E" w:rsidRDefault="007D00BA" w:rsidP="00EA6DFD">
            <w:pPr>
              <w:pStyle w:val="TableText0"/>
              <w:jc w:val="center"/>
            </w:pPr>
          </w:p>
        </w:tc>
        <w:tc>
          <w:tcPr>
            <w:tcW w:w="1015" w:type="pct"/>
            <w:tcBorders>
              <w:bottom w:val="single" w:sz="4" w:space="0" w:color="auto"/>
            </w:tcBorders>
            <w:shd w:val="solid" w:color="000000" w:fill="000000"/>
            <w:vAlign w:val="center"/>
          </w:tcPr>
          <w:p w14:paraId="19713BBC" w14:textId="62164201" w:rsidR="007D00BA" w:rsidRPr="00914C1A" w:rsidRDefault="00DE6661" w:rsidP="00EA6DFD">
            <w:pPr>
              <w:pStyle w:val="TableText0"/>
              <w:jc w:val="center"/>
              <w:rPr>
                <w:highlight w:val="lightGray"/>
              </w:rPr>
            </w:pPr>
            <w:r w:rsidRPr="00DE6661">
              <w:rPr>
                <w:color w:val="000000"/>
                <w14:textFill>
                  <w14:solidFill>
                    <w14:srgbClr w14:val="000000">
                      <w14:alpha w14:val="100000"/>
                    </w14:srgbClr>
                  </w14:solidFill>
                </w14:textFill>
              </w:rPr>
              <w:t>|</w:t>
            </w:r>
          </w:p>
        </w:tc>
        <w:tc>
          <w:tcPr>
            <w:tcW w:w="1004" w:type="pct"/>
            <w:tcBorders>
              <w:bottom w:val="single" w:sz="4" w:space="0" w:color="auto"/>
            </w:tcBorders>
            <w:shd w:val="solid" w:color="000000" w:fill="000000"/>
            <w:vAlign w:val="center"/>
          </w:tcPr>
          <w:p w14:paraId="280D5F69" w14:textId="5A708401" w:rsidR="007D00BA" w:rsidRPr="00914C1A" w:rsidRDefault="00DE6661" w:rsidP="00EA6DFD">
            <w:pPr>
              <w:pStyle w:val="TableText0"/>
              <w:jc w:val="center"/>
              <w:rPr>
                <w:iCs/>
                <w:highlight w:val="lightGray"/>
              </w:rPr>
            </w:pPr>
            <w:r w:rsidRPr="00DE6661">
              <w:rPr>
                <w:color w:val="000000"/>
                <w14:textFill>
                  <w14:solidFill>
                    <w14:srgbClr w14:val="000000">
                      <w14:alpha w14:val="100000"/>
                    </w14:srgbClr>
                  </w14:solidFill>
                </w14:textFill>
              </w:rPr>
              <w:t>|</w:t>
            </w:r>
          </w:p>
        </w:tc>
      </w:tr>
      <w:tr w:rsidR="007D00BA" w:rsidRPr="007A4E7E" w14:paraId="55FD3BDF" w14:textId="77777777" w:rsidTr="00DE6661">
        <w:trPr>
          <w:cantSplit/>
          <w:jc w:val="center"/>
        </w:trPr>
        <w:tc>
          <w:tcPr>
            <w:tcW w:w="1811" w:type="pct"/>
            <w:tcBorders>
              <w:bottom w:val="single" w:sz="4" w:space="0" w:color="auto"/>
            </w:tcBorders>
            <w:shd w:val="clear" w:color="auto" w:fill="auto"/>
            <w:vAlign w:val="center"/>
          </w:tcPr>
          <w:p w14:paraId="6039680F" w14:textId="77777777" w:rsidR="007D00BA" w:rsidRPr="007A4E7E" w:rsidRDefault="007D00BA" w:rsidP="00EA6DFD">
            <w:pPr>
              <w:pStyle w:val="TableText0"/>
            </w:pPr>
            <w:r w:rsidRPr="007A4E7E">
              <w:t>Continuing treatment period – responders</w:t>
            </w:r>
          </w:p>
        </w:tc>
        <w:tc>
          <w:tcPr>
            <w:tcW w:w="1170" w:type="pct"/>
            <w:vMerge/>
            <w:tcBorders>
              <w:bottom w:val="single" w:sz="4" w:space="0" w:color="auto"/>
            </w:tcBorders>
            <w:shd w:val="clear" w:color="auto" w:fill="auto"/>
            <w:vAlign w:val="center"/>
          </w:tcPr>
          <w:p w14:paraId="155A027C" w14:textId="77777777" w:rsidR="007D00BA" w:rsidRPr="007A4E7E" w:rsidRDefault="007D00BA" w:rsidP="00EA6DFD">
            <w:pPr>
              <w:pStyle w:val="TableText0"/>
              <w:jc w:val="center"/>
            </w:pPr>
          </w:p>
        </w:tc>
        <w:tc>
          <w:tcPr>
            <w:tcW w:w="1015" w:type="pct"/>
            <w:tcBorders>
              <w:bottom w:val="single" w:sz="4" w:space="0" w:color="auto"/>
            </w:tcBorders>
            <w:shd w:val="solid" w:color="000000" w:fill="000000"/>
            <w:vAlign w:val="center"/>
          </w:tcPr>
          <w:p w14:paraId="391E0C44" w14:textId="7CF4DAC0" w:rsidR="007D00BA" w:rsidRPr="00914C1A" w:rsidRDefault="00DE6661" w:rsidP="00EA6DFD">
            <w:pPr>
              <w:pStyle w:val="TableText0"/>
              <w:jc w:val="center"/>
              <w:rPr>
                <w:highlight w:val="lightGray"/>
              </w:rPr>
            </w:pPr>
            <w:r w:rsidRPr="00DE6661">
              <w:rPr>
                <w:color w:val="000000"/>
                <w14:textFill>
                  <w14:solidFill>
                    <w14:srgbClr w14:val="000000">
                      <w14:alpha w14:val="100000"/>
                    </w14:srgbClr>
                  </w14:solidFill>
                </w14:textFill>
              </w:rPr>
              <w:t>|</w:t>
            </w:r>
          </w:p>
        </w:tc>
        <w:tc>
          <w:tcPr>
            <w:tcW w:w="1004" w:type="pct"/>
            <w:tcBorders>
              <w:bottom w:val="single" w:sz="4" w:space="0" w:color="auto"/>
            </w:tcBorders>
            <w:shd w:val="solid" w:color="000000" w:fill="000000"/>
            <w:vAlign w:val="center"/>
          </w:tcPr>
          <w:p w14:paraId="50C94F8A" w14:textId="5FDE329C" w:rsidR="007D00BA" w:rsidRPr="00914C1A" w:rsidRDefault="00DE6661" w:rsidP="00EA6DFD">
            <w:pPr>
              <w:pStyle w:val="TableText0"/>
              <w:jc w:val="center"/>
              <w:rPr>
                <w:iCs/>
                <w:highlight w:val="lightGray"/>
              </w:rPr>
            </w:pPr>
            <w:r w:rsidRPr="00DE6661">
              <w:rPr>
                <w:color w:val="000000"/>
                <w14:textFill>
                  <w14:solidFill>
                    <w14:srgbClr w14:val="000000">
                      <w14:alpha w14:val="100000"/>
                    </w14:srgbClr>
                  </w14:solidFill>
                </w14:textFill>
              </w:rPr>
              <w:t>|</w:t>
            </w:r>
          </w:p>
        </w:tc>
      </w:tr>
      <w:tr w:rsidR="007D00BA" w:rsidRPr="007A4E7E" w14:paraId="5645A611" w14:textId="77777777" w:rsidTr="00EA6DFD">
        <w:trPr>
          <w:cantSplit/>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EEB293" w14:textId="77777777" w:rsidR="007D00BA" w:rsidRPr="007A4E7E" w:rsidRDefault="007D00BA" w:rsidP="00EA6DFD">
            <w:pPr>
              <w:pStyle w:val="TableText0"/>
              <w:rPr>
                <w:iCs/>
              </w:rPr>
            </w:pPr>
            <w:r w:rsidRPr="007A4E7E">
              <w:rPr>
                <w:b/>
                <w:bCs w:val="0"/>
              </w:rPr>
              <w:t>Cost per patient per year (responder and non-responder)</w:t>
            </w:r>
          </w:p>
        </w:tc>
      </w:tr>
      <w:tr w:rsidR="007D00BA" w:rsidRPr="007A4E7E" w14:paraId="75C5CD46" w14:textId="77777777" w:rsidTr="00EA6DFD">
        <w:trPr>
          <w:cantSplit/>
          <w:jc w:val="center"/>
        </w:trPr>
        <w:tc>
          <w:tcPr>
            <w:tcW w:w="1811" w:type="pct"/>
            <w:tcBorders>
              <w:top w:val="single" w:sz="4" w:space="0" w:color="auto"/>
              <w:bottom w:val="single" w:sz="4" w:space="0" w:color="auto"/>
            </w:tcBorders>
            <w:shd w:val="clear" w:color="auto" w:fill="auto"/>
            <w:vAlign w:val="center"/>
          </w:tcPr>
          <w:p w14:paraId="4900ACF9" w14:textId="77777777" w:rsidR="007D00BA" w:rsidRPr="007A4E7E" w:rsidRDefault="007D00BA" w:rsidP="00EA6DFD">
            <w:pPr>
              <w:pStyle w:val="TableText0"/>
            </w:pPr>
            <w:r w:rsidRPr="007A4E7E">
              <w:t>Responders (initial + continuing) Year 1</w:t>
            </w:r>
          </w:p>
        </w:tc>
        <w:tc>
          <w:tcPr>
            <w:tcW w:w="1170" w:type="pct"/>
            <w:vMerge w:val="restart"/>
            <w:tcBorders>
              <w:top w:val="single" w:sz="4" w:space="0" w:color="auto"/>
            </w:tcBorders>
            <w:shd w:val="clear" w:color="auto" w:fill="auto"/>
            <w:vAlign w:val="center"/>
          </w:tcPr>
          <w:p w14:paraId="39F89B48" w14:textId="77777777" w:rsidR="007D00BA" w:rsidRPr="007A4E7E" w:rsidRDefault="007D00BA" w:rsidP="00EA6DFD">
            <w:pPr>
              <w:pStyle w:val="TableText0"/>
              <w:jc w:val="center"/>
            </w:pPr>
            <w:r w:rsidRPr="007A4E7E">
              <w:t>NR</w:t>
            </w:r>
          </w:p>
        </w:tc>
        <w:tc>
          <w:tcPr>
            <w:tcW w:w="1015" w:type="pct"/>
            <w:tcBorders>
              <w:top w:val="single" w:sz="4" w:space="0" w:color="auto"/>
              <w:bottom w:val="single" w:sz="4" w:space="0" w:color="auto"/>
            </w:tcBorders>
            <w:shd w:val="clear" w:color="auto" w:fill="auto"/>
            <w:vAlign w:val="center"/>
          </w:tcPr>
          <w:p w14:paraId="1169F64C" w14:textId="54C48838" w:rsidR="007D00BA" w:rsidRPr="007A4E7E" w:rsidRDefault="00DE6661" w:rsidP="00EA6DFD">
            <w:pPr>
              <w:pStyle w:val="TableText0"/>
              <w:jc w:val="center"/>
            </w:pPr>
            <w:r w:rsidRPr="00DE6661">
              <w:rPr>
                <w:color w:val="000000"/>
                <w:shd w:val="solid" w:color="000000" w:fill="000000"/>
                <w14:textFill>
                  <w14:solidFill>
                    <w14:srgbClr w14:val="000000">
                      <w14:alpha w14:val="100000"/>
                    </w14:srgbClr>
                  </w14:solidFill>
                </w14:textFill>
              </w:rPr>
              <w:t>|</w:t>
            </w:r>
            <w:r w:rsidR="007D00BA" w:rsidRPr="007A4E7E">
              <w:t xml:space="preserve"> </w:t>
            </w:r>
            <w:r w:rsidR="007D00BA" w:rsidRPr="007A4E7E">
              <w:rPr>
                <w:vertAlign w:val="superscript"/>
              </w:rPr>
              <w:t>e</w:t>
            </w:r>
          </w:p>
        </w:tc>
        <w:tc>
          <w:tcPr>
            <w:tcW w:w="1004" w:type="pct"/>
            <w:tcBorders>
              <w:top w:val="single" w:sz="4" w:space="0" w:color="auto"/>
              <w:bottom w:val="single" w:sz="4" w:space="0" w:color="auto"/>
            </w:tcBorders>
            <w:shd w:val="clear" w:color="auto" w:fill="auto"/>
            <w:vAlign w:val="center"/>
          </w:tcPr>
          <w:p w14:paraId="291A6C9F" w14:textId="40231A4E" w:rsidR="007D00BA" w:rsidRPr="007A4E7E" w:rsidRDefault="00DE6661" w:rsidP="00EA6DFD">
            <w:pPr>
              <w:pStyle w:val="TableText0"/>
              <w:jc w:val="center"/>
              <w:rPr>
                <w:iCs/>
              </w:rPr>
            </w:pPr>
            <w:r w:rsidRPr="00DE6661">
              <w:rPr>
                <w:color w:val="000000"/>
                <w:shd w:val="solid" w:color="000000" w:fill="000000"/>
                <w14:textFill>
                  <w14:solidFill>
                    <w14:srgbClr w14:val="000000">
                      <w14:alpha w14:val="100000"/>
                    </w14:srgbClr>
                  </w14:solidFill>
                </w14:textFill>
              </w:rPr>
              <w:t>|</w:t>
            </w:r>
            <w:r w:rsidR="007D00BA" w:rsidRPr="007A4E7E">
              <w:t xml:space="preserve"> </w:t>
            </w:r>
            <w:r w:rsidR="007D00BA" w:rsidRPr="007A4E7E">
              <w:rPr>
                <w:vertAlign w:val="superscript"/>
              </w:rPr>
              <w:t>e</w:t>
            </w:r>
          </w:p>
        </w:tc>
      </w:tr>
      <w:tr w:rsidR="007D00BA" w:rsidRPr="007A4E7E" w14:paraId="36CF85F1" w14:textId="77777777" w:rsidTr="00EA6DFD">
        <w:trPr>
          <w:cantSplit/>
          <w:jc w:val="center"/>
        </w:trPr>
        <w:tc>
          <w:tcPr>
            <w:tcW w:w="1811" w:type="pct"/>
            <w:tcBorders>
              <w:bottom w:val="single" w:sz="4" w:space="0" w:color="auto"/>
            </w:tcBorders>
            <w:shd w:val="clear" w:color="auto" w:fill="auto"/>
            <w:vAlign w:val="center"/>
          </w:tcPr>
          <w:p w14:paraId="4060FB81" w14:textId="77777777" w:rsidR="007D00BA" w:rsidRPr="007A4E7E" w:rsidRDefault="007D00BA" w:rsidP="00EA6DFD">
            <w:pPr>
              <w:pStyle w:val="TableText0"/>
            </w:pPr>
            <w:r w:rsidRPr="007A4E7E">
              <w:t>Responders (continuing) Year 2+</w:t>
            </w:r>
          </w:p>
        </w:tc>
        <w:tc>
          <w:tcPr>
            <w:tcW w:w="1170" w:type="pct"/>
            <w:vMerge/>
            <w:shd w:val="clear" w:color="auto" w:fill="auto"/>
            <w:vAlign w:val="center"/>
          </w:tcPr>
          <w:p w14:paraId="639D4E1E" w14:textId="77777777" w:rsidR="007D00BA" w:rsidRPr="007A4E7E" w:rsidRDefault="007D00BA" w:rsidP="00EA6DFD">
            <w:pPr>
              <w:pStyle w:val="TableText0"/>
              <w:jc w:val="center"/>
            </w:pPr>
          </w:p>
        </w:tc>
        <w:tc>
          <w:tcPr>
            <w:tcW w:w="1015" w:type="pct"/>
            <w:tcBorders>
              <w:bottom w:val="single" w:sz="4" w:space="0" w:color="auto"/>
            </w:tcBorders>
            <w:shd w:val="clear" w:color="auto" w:fill="auto"/>
            <w:vAlign w:val="center"/>
          </w:tcPr>
          <w:p w14:paraId="24CAAEF7" w14:textId="086C2BAF" w:rsidR="007D00BA" w:rsidRPr="007A4E7E" w:rsidRDefault="00DE6661" w:rsidP="00EA6DFD">
            <w:pPr>
              <w:pStyle w:val="TableText0"/>
              <w:jc w:val="center"/>
            </w:pPr>
            <w:r w:rsidRPr="00DE6661">
              <w:rPr>
                <w:color w:val="000000"/>
                <w:shd w:val="solid" w:color="000000" w:fill="000000"/>
                <w14:textFill>
                  <w14:solidFill>
                    <w14:srgbClr w14:val="000000">
                      <w14:alpha w14:val="100000"/>
                    </w14:srgbClr>
                  </w14:solidFill>
                </w14:textFill>
              </w:rPr>
              <w:t>|</w:t>
            </w:r>
            <w:r w:rsidR="007D00BA" w:rsidRPr="007A4E7E">
              <w:t xml:space="preserve"> </w:t>
            </w:r>
            <w:r w:rsidR="007D00BA" w:rsidRPr="007A4E7E">
              <w:rPr>
                <w:vertAlign w:val="superscript"/>
              </w:rPr>
              <w:t>f</w:t>
            </w:r>
          </w:p>
        </w:tc>
        <w:tc>
          <w:tcPr>
            <w:tcW w:w="1004" w:type="pct"/>
            <w:tcBorders>
              <w:bottom w:val="single" w:sz="4" w:space="0" w:color="auto"/>
            </w:tcBorders>
            <w:shd w:val="clear" w:color="auto" w:fill="auto"/>
            <w:vAlign w:val="center"/>
          </w:tcPr>
          <w:p w14:paraId="0EA6F9F3" w14:textId="71F828CE" w:rsidR="007D00BA" w:rsidRPr="007A4E7E" w:rsidRDefault="00DE6661" w:rsidP="00EA6DFD">
            <w:pPr>
              <w:pStyle w:val="TableText0"/>
              <w:jc w:val="center"/>
              <w:rPr>
                <w:iCs/>
              </w:rPr>
            </w:pPr>
            <w:r w:rsidRPr="00DE6661">
              <w:rPr>
                <w:color w:val="000000"/>
                <w:shd w:val="solid" w:color="000000" w:fill="000000"/>
                <w14:textFill>
                  <w14:solidFill>
                    <w14:srgbClr w14:val="000000">
                      <w14:alpha w14:val="100000"/>
                    </w14:srgbClr>
                  </w14:solidFill>
                </w14:textFill>
              </w:rPr>
              <w:t>|</w:t>
            </w:r>
            <w:r w:rsidR="007D00BA" w:rsidRPr="007A4E7E">
              <w:t xml:space="preserve"> </w:t>
            </w:r>
            <w:r w:rsidR="007D00BA" w:rsidRPr="007A4E7E">
              <w:rPr>
                <w:vertAlign w:val="superscript"/>
              </w:rPr>
              <w:t>f</w:t>
            </w:r>
          </w:p>
        </w:tc>
      </w:tr>
      <w:tr w:rsidR="007D00BA" w:rsidRPr="007A4E7E" w14:paraId="6F2BDCAD" w14:textId="77777777" w:rsidTr="00EA6DFD">
        <w:trPr>
          <w:cantSplit/>
          <w:jc w:val="center"/>
        </w:trPr>
        <w:tc>
          <w:tcPr>
            <w:tcW w:w="1811" w:type="pct"/>
            <w:shd w:val="clear" w:color="auto" w:fill="auto"/>
            <w:vAlign w:val="center"/>
          </w:tcPr>
          <w:p w14:paraId="52523DE6" w14:textId="77777777" w:rsidR="007D00BA" w:rsidRPr="007A4E7E" w:rsidRDefault="007D00BA" w:rsidP="00EA6DFD">
            <w:pPr>
              <w:pStyle w:val="TableText0"/>
            </w:pPr>
            <w:r w:rsidRPr="007A4E7E">
              <w:t>Non-responders (initial only) Year 1 only</w:t>
            </w:r>
          </w:p>
        </w:tc>
        <w:tc>
          <w:tcPr>
            <w:tcW w:w="1170" w:type="pct"/>
            <w:vMerge/>
            <w:shd w:val="clear" w:color="auto" w:fill="auto"/>
            <w:vAlign w:val="center"/>
          </w:tcPr>
          <w:p w14:paraId="381D881B" w14:textId="77777777" w:rsidR="007D00BA" w:rsidRPr="007A4E7E" w:rsidRDefault="007D00BA" w:rsidP="00EA6DFD">
            <w:pPr>
              <w:pStyle w:val="TableText0"/>
              <w:jc w:val="center"/>
            </w:pPr>
          </w:p>
        </w:tc>
        <w:tc>
          <w:tcPr>
            <w:tcW w:w="1015" w:type="pct"/>
            <w:shd w:val="clear" w:color="auto" w:fill="auto"/>
            <w:vAlign w:val="center"/>
          </w:tcPr>
          <w:p w14:paraId="5FFB4EB2" w14:textId="35AC0385" w:rsidR="007D00BA" w:rsidRPr="007A4E7E" w:rsidRDefault="00DE6661" w:rsidP="00EA6DFD">
            <w:pPr>
              <w:pStyle w:val="TableText0"/>
              <w:jc w:val="center"/>
            </w:pPr>
            <w:r w:rsidRPr="00DE6661">
              <w:rPr>
                <w:color w:val="000000"/>
                <w:shd w:val="solid" w:color="000000" w:fill="000000"/>
                <w14:textFill>
                  <w14:solidFill>
                    <w14:srgbClr w14:val="000000">
                      <w14:alpha w14:val="100000"/>
                    </w14:srgbClr>
                  </w14:solidFill>
                </w14:textFill>
              </w:rPr>
              <w:t>|</w:t>
            </w:r>
            <w:r w:rsidR="007D00BA" w:rsidRPr="007A4E7E">
              <w:t xml:space="preserve"> </w:t>
            </w:r>
            <w:r w:rsidR="007D00BA" w:rsidRPr="007A4E7E">
              <w:rPr>
                <w:vertAlign w:val="superscript"/>
              </w:rPr>
              <w:t>g</w:t>
            </w:r>
          </w:p>
        </w:tc>
        <w:tc>
          <w:tcPr>
            <w:tcW w:w="1004" w:type="pct"/>
            <w:shd w:val="clear" w:color="auto" w:fill="auto"/>
            <w:vAlign w:val="center"/>
          </w:tcPr>
          <w:p w14:paraId="4706E92A" w14:textId="523A105B" w:rsidR="007D00BA" w:rsidRPr="007A4E7E" w:rsidRDefault="00DE6661" w:rsidP="00EA6DFD">
            <w:pPr>
              <w:pStyle w:val="TableText0"/>
              <w:jc w:val="center"/>
              <w:rPr>
                <w:iCs/>
              </w:rPr>
            </w:pPr>
            <w:r w:rsidRPr="00DE6661">
              <w:rPr>
                <w:color w:val="000000"/>
                <w:shd w:val="solid" w:color="000000" w:fill="000000"/>
                <w14:textFill>
                  <w14:solidFill>
                    <w14:srgbClr w14:val="000000">
                      <w14:alpha w14:val="100000"/>
                    </w14:srgbClr>
                  </w14:solidFill>
                </w14:textFill>
              </w:rPr>
              <w:t>|</w:t>
            </w:r>
            <w:r w:rsidR="007D00BA" w:rsidRPr="007A4E7E">
              <w:t xml:space="preserve"> </w:t>
            </w:r>
            <w:r w:rsidR="007D00BA" w:rsidRPr="007A4E7E">
              <w:rPr>
                <w:vertAlign w:val="superscript"/>
              </w:rPr>
              <w:t>g</w:t>
            </w:r>
          </w:p>
        </w:tc>
      </w:tr>
      <w:tr w:rsidR="007D00BA" w:rsidRPr="007A4E7E" w14:paraId="52B11780" w14:textId="77777777" w:rsidTr="00EA6DFD">
        <w:trPr>
          <w:cantSplit/>
          <w:jc w:val="center"/>
        </w:trPr>
        <w:tc>
          <w:tcPr>
            <w:tcW w:w="1811" w:type="pct"/>
            <w:tcBorders>
              <w:bottom w:val="single" w:sz="4" w:space="0" w:color="auto"/>
            </w:tcBorders>
            <w:shd w:val="clear" w:color="auto" w:fill="D9E2F3" w:themeFill="accent1" w:themeFillTint="33"/>
            <w:vAlign w:val="center"/>
          </w:tcPr>
          <w:p w14:paraId="00BDD2AF" w14:textId="77777777" w:rsidR="007D00BA" w:rsidRPr="007A4E7E" w:rsidRDefault="007D00BA" w:rsidP="00EA6DFD">
            <w:pPr>
              <w:pStyle w:val="TableText0"/>
              <w:rPr>
                <w:b/>
                <w:bCs w:val="0"/>
                <w:i/>
                <w:iCs/>
              </w:rPr>
            </w:pPr>
            <w:r w:rsidRPr="007A4E7E">
              <w:rPr>
                <w:b/>
                <w:bCs w:val="0"/>
                <w:i/>
                <w:iCs/>
              </w:rPr>
              <w:t>Previous consideration (March 2023)</w:t>
            </w:r>
          </w:p>
        </w:tc>
        <w:tc>
          <w:tcPr>
            <w:tcW w:w="1170" w:type="pct"/>
            <w:tcBorders>
              <w:bottom w:val="single" w:sz="4" w:space="0" w:color="auto"/>
            </w:tcBorders>
            <w:shd w:val="clear" w:color="auto" w:fill="D9E2F3" w:themeFill="accent1" w:themeFillTint="33"/>
            <w:vAlign w:val="center"/>
          </w:tcPr>
          <w:p w14:paraId="0D48448A" w14:textId="77777777" w:rsidR="007D00BA" w:rsidRPr="007A4E7E" w:rsidRDefault="007D00BA" w:rsidP="00EA6DFD">
            <w:pPr>
              <w:pStyle w:val="TableText0"/>
              <w:jc w:val="center"/>
              <w:rPr>
                <w:b/>
                <w:bCs w:val="0"/>
                <w:i/>
                <w:iCs/>
              </w:rPr>
            </w:pPr>
            <w:r w:rsidRPr="007A4E7E">
              <w:rPr>
                <w:b/>
                <w:bCs w:val="0"/>
                <w:i/>
                <w:iCs/>
              </w:rPr>
              <w:t>LINC 4 FAS</w:t>
            </w:r>
          </w:p>
        </w:tc>
        <w:tc>
          <w:tcPr>
            <w:tcW w:w="1015" w:type="pct"/>
            <w:tcBorders>
              <w:bottom w:val="single" w:sz="4" w:space="0" w:color="auto"/>
            </w:tcBorders>
            <w:shd w:val="clear" w:color="auto" w:fill="D9E2F3" w:themeFill="accent1" w:themeFillTint="33"/>
            <w:vAlign w:val="center"/>
          </w:tcPr>
          <w:p w14:paraId="287A281E" w14:textId="77777777" w:rsidR="007D00BA" w:rsidRPr="007A4E7E" w:rsidRDefault="007D00BA" w:rsidP="00EA6DFD">
            <w:pPr>
              <w:pStyle w:val="TableText0"/>
              <w:jc w:val="center"/>
              <w:rPr>
                <w:b/>
                <w:bCs w:val="0"/>
                <w:i/>
                <w:iCs/>
              </w:rPr>
            </w:pPr>
            <w:r w:rsidRPr="007A4E7E">
              <w:rPr>
                <w:b/>
                <w:bCs w:val="0"/>
                <w:i/>
                <w:iCs/>
              </w:rPr>
              <w:t>Trial-based evaluation</w:t>
            </w:r>
          </w:p>
        </w:tc>
        <w:tc>
          <w:tcPr>
            <w:tcW w:w="1004" w:type="pct"/>
            <w:tcBorders>
              <w:bottom w:val="single" w:sz="4" w:space="0" w:color="auto"/>
            </w:tcBorders>
            <w:shd w:val="clear" w:color="auto" w:fill="D9E2F3" w:themeFill="accent1" w:themeFillTint="33"/>
            <w:vAlign w:val="center"/>
          </w:tcPr>
          <w:p w14:paraId="7161DEE6" w14:textId="77777777" w:rsidR="007D00BA" w:rsidRPr="007A4E7E" w:rsidRDefault="007D00BA" w:rsidP="00EA6DFD">
            <w:pPr>
              <w:pStyle w:val="TableText0"/>
              <w:jc w:val="center"/>
              <w:rPr>
                <w:b/>
                <w:bCs w:val="0"/>
                <w:i/>
                <w:iCs/>
              </w:rPr>
            </w:pPr>
            <w:r w:rsidRPr="007A4E7E">
              <w:rPr>
                <w:b/>
                <w:bCs w:val="0"/>
                <w:i/>
                <w:iCs/>
              </w:rPr>
              <w:t>Financial estimates</w:t>
            </w:r>
          </w:p>
        </w:tc>
      </w:tr>
      <w:tr w:rsidR="007D00BA" w:rsidRPr="007A4E7E" w14:paraId="5F00929A" w14:textId="77777777" w:rsidTr="00EA6DFD">
        <w:trPr>
          <w:cantSplit/>
          <w:jc w:val="center"/>
        </w:trPr>
        <w:tc>
          <w:tcPr>
            <w:tcW w:w="1811" w:type="pct"/>
            <w:tcBorders>
              <w:bottom w:val="single" w:sz="4" w:space="0" w:color="auto"/>
            </w:tcBorders>
            <w:shd w:val="clear" w:color="auto" w:fill="D9E2F3" w:themeFill="accent1" w:themeFillTint="33"/>
            <w:vAlign w:val="center"/>
          </w:tcPr>
          <w:p w14:paraId="6EDF67FB" w14:textId="77777777" w:rsidR="007D00BA" w:rsidRPr="007A4E7E" w:rsidRDefault="007D00BA" w:rsidP="00EA6DFD">
            <w:pPr>
              <w:pStyle w:val="TableText0"/>
              <w:rPr>
                <w:iCs/>
              </w:rPr>
            </w:pPr>
            <w:r w:rsidRPr="007A4E7E">
              <w:rPr>
                <w:iCs/>
              </w:rPr>
              <w:t>Mean dose</w:t>
            </w:r>
          </w:p>
        </w:tc>
        <w:tc>
          <w:tcPr>
            <w:tcW w:w="1170" w:type="pct"/>
            <w:tcBorders>
              <w:bottom w:val="single" w:sz="4" w:space="0" w:color="auto"/>
            </w:tcBorders>
            <w:shd w:val="clear" w:color="auto" w:fill="D9E2F3" w:themeFill="accent1" w:themeFillTint="33"/>
            <w:vAlign w:val="center"/>
          </w:tcPr>
          <w:p w14:paraId="0BA50A43" w14:textId="77777777" w:rsidR="007D00BA" w:rsidRPr="007A4E7E" w:rsidRDefault="007D00BA" w:rsidP="00EA6DFD">
            <w:pPr>
              <w:pStyle w:val="TableText0"/>
              <w:jc w:val="center"/>
              <w:rPr>
                <w:iCs/>
              </w:rPr>
            </w:pPr>
            <w:r w:rsidRPr="007A4E7E">
              <w:rPr>
                <w:iCs/>
              </w:rPr>
              <w:t>8.79 mg/day</w:t>
            </w:r>
          </w:p>
        </w:tc>
        <w:tc>
          <w:tcPr>
            <w:tcW w:w="1015" w:type="pct"/>
            <w:tcBorders>
              <w:bottom w:val="single" w:sz="4" w:space="0" w:color="auto"/>
            </w:tcBorders>
            <w:shd w:val="clear" w:color="auto" w:fill="D9E2F3" w:themeFill="accent1" w:themeFillTint="33"/>
            <w:vAlign w:val="center"/>
          </w:tcPr>
          <w:p w14:paraId="55876C67" w14:textId="77777777" w:rsidR="007D00BA" w:rsidRPr="007A4E7E" w:rsidRDefault="007D00BA" w:rsidP="00EA6DFD">
            <w:pPr>
              <w:pStyle w:val="TableText0"/>
              <w:jc w:val="center"/>
              <w:rPr>
                <w:iCs/>
              </w:rPr>
            </w:pPr>
            <w:r w:rsidRPr="007A4E7E">
              <w:rPr>
                <w:iCs/>
              </w:rPr>
              <w:t>8.79 mg/day</w:t>
            </w:r>
          </w:p>
        </w:tc>
        <w:tc>
          <w:tcPr>
            <w:tcW w:w="1004" w:type="pct"/>
            <w:tcBorders>
              <w:bottom w:val="single" w:sz="4" w:space="0" w:color="auto"/>
            </w:tcBorders>
            <w:shd w:val="clear" w:color="auto" w:fill="D9E2F3" w:themeFill="accent1" w:themeFillTint="33"/>
            <w:vAlign w:val="center"/>
          </w:tcPr>
          <w:p w14:paraId="475690DF" w14:textId="77777777" w:rsidR="007D00BA" w:rsidRPr="007A4E7E" w:rsidRDefault="007D00BA" w:rsidP="00EA6DFD">
            <w:pPr>
              <w:pStyle w:val="TableText0"/>
              <w:jc w:val="center"/>
              <w:rPr>
                <w:iCs/>
              </w:rPr>
            </w:pPr>
            <w:r w:rsidRPr="007A4E7E">
              <w:rPr>
                <w:iCs/>
              </w:rPr>
              <w:t>8.79 mg/day</w:t>
            </w:r>
          </w:p>
        </w:tc>
      </w:tr>
      <w:tr w:rsidR="007D00BA" w:rsidRPr="007A4E7E" w14:paraId="486603A2" w14:textId="77777777" w:rsidTr="00EA6DFD">
        <w:trPr>
          <w:cantSplit/>
          <w:jc w:val="center"/>
        </w:trPr>
        <w:tc>
          <w:tcPr>
            <w:tcW w:w="1811" w:type="pct"/>
            <w:tcBorders>
              <w:bottom w:val="single" w:sz="4" w:space="0" w:color="auto"/>
            </w:tcBorders>
            <w:shd w:val="clear" w:color="auto" w:fill="D9E2F3" w:themeFill="accent1" w:themeFillTint="33"/>
            <w:vAlign w:val="center"/>
          </w:tcPr>
          <w:p w14:paraId="340504BF" w14:textId="77777777" w:rsidR="007D00BA" w:rsidRPr="007A4E7E" w:rsidRDefault="007D00BA" w:rsidP="00EA6DFD">
            <w:pPr>
              <w:pStyle w:val="TableText0"/>
              <w:rPr>
                <w:iCs/>
              </w:rPr>
            </w:pPr>
            <w:r w:rsidRPr="007A4E7E">
              <w:rPr>
                <w:iCs/>
              </w:rPr>
              <w:t>Mean duration</w:t>
            </w:r>
          </w:p>
        </w:tc>
        <w:tc>
          <w:tcPr>
            <w:tcW w:w="1170" w:type="pct"/>
            <w:tcBorders>
              <w:bottom w:val="single" w:sz="4" w:space="0" w:color="auto"/>
            </w:tcBorders>
            <w:shd w:val="clear" w:color="auto" w:fill="D9E2F3" w:themeFill="accent1" w:themeFillTint="33"/>
            <w:vAlign w:val="center"/>
          </w:tcPr>
          <w:p w14:paraId="3F93F551" w14:textId="77777777" w:rsidR="007D00BA" w:rsidRPr="007A4E7E" w:rsidRDefault="007D00BA" w:rsidP="00EA6DFD">
            <w:pPr>
              <w:pStyle w:val="TableText0"/>
              <w:jc w:val="center"/>
              <w:rPr>
                <w:iCs/>
              </w:rPr>
            </w:pPr>
            <w:r w:rsidRPr="007A4E7E">
              <w:rPr>
                <w:iCs/>
              </w:rPr>
              <w:t>81.1 weeks</w:t>
            </w:r>
          </w:p>
        </w:tc>
        <w:tc>
          <w:tcPr>
            <w:tcW w:w="1015" w:type="pct"/>
            <w:tcBorders>
              <w:bottom w:val="single" w:sz="4" w:space="0" w:color="auto"/>
            </w:tcBorders>
            <w:shd w:val="clear" w:color="auto" w:fill="D9E2F3" w:themeFill="accent1" w:themeFillTint="33"/>
            <w:vAlign w:val="center"/>
          </w:tcPr>
          <w:p w14:paraId="2A370DC7" w14:textId="77777777" w:rsidR="007D00BA" w:rsidRPr="007A4E7E" w:rsidRDefault="007D00BA" w:rsidP="00EA6DFD">
            <w:pPr>
              <w:pStyle w:val="TableText0"/>
              <w:jc w:val="center"/>
              <w:rPr>
                <w:iCs/>
              </w:rPr>
            </w:pPr>
            <w:r w:rsidRPr="007A4E7E">
              <w:rPr>
                <w:iCs/>
              </w:rPr>
              <w:t>1 year</w:t>
            </w:r>
          </w:p>
        </w:tc>
        <w:tc>
          <w:tcPr>
            <w:tcW w:w="1004" w:type="pct"/>
            <w:tcBorders>
              <w:bottom w:val="single" w:sz="4" w:space="0" w:color="auto"/>
            </w:tcBorders>
            <w:shd w:val="clear" w:color="auto" w:fill="D9E2F3" w:themeFill="accent1" w:themeFillTint="33"/>
            <w:vAlign w:val="center"/>
          </w:tcPr>
          <w:p w14:paraId="1D184D9B" w14:textId="77777777" w:rsidR="007D00BA" w:rsidRPr="007A4E7E" w:rsidRDefault="007D00BA" w:rsidP="00EA6DFD">
            <w:pPr>
              <w:pStyle w:val="TableText0"/>
              <w:jc w:val="center"/>
              <w:rPr>
                <w:iCs/>
              </w:rPr>
            </w:pPr>
            <w:r w:rsidRPr="007A4E7E">
              <w:rPr>
                <w:iCs/>
              </w:rPr>
              <w:t>1 year</w:t>
            </w:r>
          </w:p>
        </w:tc>
      </w:tr>
      <w:tr w:rsidR="007D00BA" w:rsidRPr="007A4E7E" w14:paraId="35EBDD57" w14:textId="77777777" w:rsidTr="00EA6DFD">
        <w:trPr>
          <w:cantSplit/>
          <w:jc w:val="center"/>
        </w:trPr>
        <w:tc>
          <w:tcPr>
            <w:tcW w:w="1811" w:type="pct"/>
            <w:tcBorders>
              <w:bottom w:val="single" w:sz="4" w:space="0" w:color="auto"/>
            </w:tcBorders>
            <w:shd w:val="clear" w:color="auto" w:fill="D9E2F3" w:themeFill="accent1" w:themeFillTint="33"/>
            <w:vAlign w:val="center"/>
          </w:tcPr>
          <w:p w14:paraId="0CA62CE8" w14:textId="77777777" w:rsidR="007D00BA" w:rsidRPr="007A4E7E" w:rsidRDefault="007D00BA" w:rsidP="00EA6DFD">
            <w:pPr>
              <w:pStyle w:val="TableText0"/>
              <w:rPr>
                <w:iCs/>
              </w:rPr>
            </w:pPr>
            <w:r w:rsidRPr="007A4E7E">
              <w:rPr>
                <w:iCs/>
              </w:rPr>
              <w:t>Cost per patient per year</w:t>
            </w:r>
          </w:p>
        </w:tc>
        <w:tc>
          <w:tcPr>
            <w:tcW w:w="1170" w:type="pct"/>
            <w:tcBorders>
              <w:bottom w:val="single" w:sz="4" w:space="0" w:color="auto"/>
            </w:tcBorders>
            <w:shd w:val="clear" w:color="auto" w:fill="D9E2F3" w:themeFill="accent1" w:themeFillTint="33"/>
            <w:vAlign w:val="center"/>
          </w:tcPr>
          <w:p w14:paraId="5E156598" w14:textId="77777777" w:rsidR="007D00BA" w:rsidRPr="007A4E7E" w:rsidRDefault="007D00BA" w:rsidP="00EA6DFD">
            <w:pPr>
              <w:pStyle w:val="TableText0"/>
              <w:jc w:val="center"/>
              <w:rPr>
                <w:iCs/>
              </w:rPr>
            </w:pPr>
            <w:r w:rsidRPr="007A4E7E">
              <w:rPr>
                <w:iCs/>
              </w:rPr>
              <w:t>NR</w:t>
            </w:r>
          </w:p>
        </w:tc>
        <w:tc>
          <w:tcPr>
            <w:tcW w:w="1015" w:type="pct"/>
            <w:tcBorders>
              <w:bottom w:val="single" w:sz="4" w:space="0" w:color="auto"/>
            </w:tcBorders>
            <w:shd w:val="clear" w:color="auto" w:fill="D9E2F3" w:themeFill="accent1" w:themeFillTint="33"/>
            <w:vAlign w:val="center"/>
          </w:tcPr>
          <w:p w14:paraId="75E76397" w14:textId="24E1A2B1" w:rsidR="007D00BA" w:rsidRPr="007A4E7E" w:rsidRDefault="007D00BA" w:rsidP="00EA6DFD">
            <w:pPr>
              <w:pStyle w:val="TableText0"/>
              <w:jc w:val="center"/>
              <w:rPr>
                <w:iCs/>
                <w:vertAlign w:val="superscript"/>
              </w:rPr>
            </w:pPr>
            <w:r w:rsidRPr="007A4E7E">
              <w:rPr>
                <w:iCs/>
              </w:rPr>
              <w:t>$</w:t>
            </w:r>
            <w:r w:rsidR="00DE6661" w:rsidRPr="00DE6661">
              <w:rPr>
                <w:iCs/>
                <w:color w:val="000000"/>
                <w:shd w:val="solid" w:color="000000" w:fill="000000"/>
                <w14:textFill>
                  <w14:solidFill>
                    <w14:srgbClr w14:val="000000">
                      <w14:alpha w14:val="100000"/>
                    </w14:srgbClr>
                  </w14:solidFill>
                </w14:textFill>
              </w:rPr>
              <w:t>|</w:t>
            </w:r>
            <w:r w:rsidRPr="007A4E7E">
              <w:rPr>
                <w:iCs/>
              </w:rPr>
              <w:t xml:space="preserve"> </w:t>
            </w:r>
            <w:r w:rsidRPr="007A4E7E">
              <w:rPr>
                <w:iCs/>
                <w:vertAlign w:val="superscript"/>
              </w:rPr>
              <w:t>h</w:t>
            </w:r>
          </w:p>
        </w:tc>
        <w:tc>
          <w:tcPr>
            <w:tcW w:w="1004" w:type="pct"/>
            <w:tcBorders>
              <w:bottom w:val="single" w:sz="4" w:space="0" w:color="auto"/>
            </w:tcBorders>
            <w:shd w:val="clear" w:color="auto" w:fill="D9E2F3" w:themeFill="accent1" w:themeFillTint="33"/>
            <w:vAlign w:val="center"/>
          </w:tcPr>
          <w:p w14:paraId="48E47CDC" w14:textId="0F848129" w:rsidR="007D00BA" w:rsidRPr="007A4E7E" w:rsidRDefault="007D00BA" w:rsidP="00EA6DFD">
            <w:pPr>
              <w:pStyle w:val="TableText0"/>
              <w:jc w:val="center"/>
              <w:rPr>
                <w:iCs/>
              </w:rPr>
            </w:pPr>
            <w:r w:rsidRPr="007A4E7E">
              <w:rPr>
                <w:iCs/>
              </w:rPr>
              <w:t>$</w:t>
            </w:r>
            <w:r w:rsidR="00DE6661" w:rsidRPr="00DE6661">
              <w:rPr>
                <w:iCs/>
                <w:color w:val="000000"/>
                <w:shd w:val="solid" w:color="000000" w:fill="000000"/>
                <w14:textFill>
                  <w14:solidFill>
                    <w14:srgbClr w14:val="000000">
                      <w14:alpha w14:val="100000"/>
                    </w14:srgbClr>
                  </w14:solidFill>
                </w14:textFill>
              </w:rPr>
              <w:t>|</w:t>
            </w:r>
            <w:r w:rsidRPr="007A4E7E">
              <w:rPr>
                <w:iCs/>
              </w:rPr>
              <w:t xml:space="preserve"> </w:t>
            </w:r>
          </w:p>
          <w:p w14:paraId="0096D812" w14:textId="77777777" w:rsidR="007D00BA" w:rsidRPr="007A4E7E" w:rsidRDefault="007D00BA" w:rsidP="00EA6DFD">
            <w:pPr>
              <w:pStyle w:val="TableText0"/>
              <w:jc w:val="center"/>
              <w:rPr>
                <w:iCs/>
              </w:rPr>
            </w:pPr>
            <w:r w:rsidRPr="007A4E7E">
              <w:rPr>
                <w:iCs/>
              </w:rPr>
              <w:t>(N = 68 continuing patients only)</w:t>
            </w:r>
          </w:p>
        </w:tc>
      </w:tr>
    </w:tbl>
    <w:p w14:paraId="3497324B" w14:textId="65983194" w:rsidR="007D00BA" w:rsidRPr="007A4E7E" w:rsidRDefault="007D00BA" w:rsidP="007D00BA">
      <w:pPr>
        <w:pStyle w:val="FooterTableFigure"/>
      </w:pPr>
      <w:r w:rsidRPr="007A4E7E">
        <w:t>Source: Isturisa (osilodrostat) – endogenous CS – CEA.xlsx – ‘Resource use’ and ‘Figures’ worksheets’; Appendix 18 – Average dose- LINC 3 LINC 4 LINC 3&amp;4, ‘First assessment (C2302)’ and ‘Later assessments (C2302)’ worksheets’; Table 18, osilodrostat, PSD, March 2023 PBAC meeting</w:t>
      </w:r>
    </w:p>
    <w:p w14:paraId="27712477" w14:textId="77777777" w:rsidR="007D00BA" w:rsidRPr="007A4E7E" w:rsidRDefault="007D00BA" w:rsidP="007D00BA">
      <w:pPr>
        <w:pStyle w:val="FooterTableFigure"/>
      </w:pPr>
      <w:r w:rsidRPr="007A4E7E">
        <w:t>FAS = full analysis set; N = number of patients; NR = not reported</w:t>
      </w:r>
    </w:p>
    <w:p w14:paraId="3A90AC11" w14:textId="77777777" w:rsidR="007D00BA" w:rsidRPr="007A4E7E" w:rsidRDefault="007D00BA" w:rsidP="007D00BA">
      <w:pPr>
        <w:pStyle w:val="FooterTableFigure"/>
        <w:keepNext/>
        <w:keepLines/>
      </w:pPr>
      <w:r w:rsidRPr="007A4E7E">
        <w:rPr>
          <w:vertAlign w:val="superscript"/>
        </w:rPr>
        <w:t>a</w:t>
      </w:r>
      <w:r w:rsidRPr="007A4E7E">
        <w:t xml:space="preserve"> Derived from the duration of treatment data from “Figures” worksheet of the economic model </w:t>
      </w:r>
    </w:p>
    <w:p w14:paraId="5B25E2EA" w14:textId="77777777" w:rsidR="007D00BA" w:rsidRPr="007A4E7E" w:rsidRDefault="007D00BA" w:rsidP="007D00BA">
      <w:pPr>
        <w:pStyle w:val="FooterTableFigure"/>
        <w:keepNext/>
        <w:keepLines/>
      </w:pPr>
      <w:r w:rsidRPr="007A4E7E">
        <w:rPr>
          <w:vertAlign w:val="superscript"/>
        </w:rPr>
        <w:t>b</w:t>
      </w:r>
      <w:r w:rsidRPr="007A4E7E">
        <w:t xml:space="preserve"> Treatment duration in the initial period for responders and non-responders assumed the same (i.e., both responders and non-responders trialled the initial treatment period)</w:t>
      </w:r>
    </w:p>
    <w:p w14:paraId="577F0392" w14:textId="77777777" w:rsidR="007D00BA" w:rsidRPr="007A4E7E" w:rsidRDefault="007D00BA" w:rsidP="007D00BA">
      <w:pPr>
        <w:pStyle w:val="FooterTableFigure"/>
      </w:pPr>
      <w:r w:rsidRPr="007A4E7E">
        <w:rPr>
          <w:vertAlign w:val="superscript"/>
        </w:rPr>
        <w:t>c</w:t>
      </w:r>
      <w:r w:rsidRPr="007A4E7E">
        <w:t xml:space="preserve"> Mean duration of LINC 4 </w:t>
      </w:r>
      <w:r w:rsidRPr="007A4E7E">
        <w:rPr>
          <w:iCs/>
        </w:rPr>
        <w:t>post-hoc</w:t>
      </w:r>
      <w:r w:rsidRPr="007A4E7E">
        <w:t xml:space="preserve"> analysis for each period was not reported, hence the mean duration of LINC 4 (FAS population) in the overall study period was reported instead </w:t>
      </w:r>
    </w:p>
    <w:p w14:paraId="3EB8ECB4" w14:textId="77777777" w:rsidR="007D00BA" w:rsidRPr="007A4E7E" w:rsidRDefault="007D00BA" w:rsidP="007D00BA">
      <w:pPr>
        <w:pStyle w:val="FooterTableFigure"/>
        <w:keepNext/>
        <w:keepLines/>
      </w:pPr>
      <w:r w:rsidRPr="007A4E7E">
        <w:rPr>
          <w:vertAlign w:val="superscript"/>
        </w:rPr>
        <w:t>d</w:t>
      </w:r>
      <w:r w:rsidRPr="007A4E7E">
        <w:t xml:space="preserve"> Total cost per treatment period for responder or non-responder was calculated by respectively multiplying the mean duration by the cost of each treatment period. The cost per cycles were converted to weeks by dividing by 13.02 weeks (3 months × 4.34 weeks) and were based on effective prices for osilodrostat:</w:t>
      </w:r>
    </w:p>
    <w:p w14:paraId="575D881C" w14:textId="1481F62E" w:rsidR="007D00BA" w:rsidRPr="007A4E7E" w:rsidRDefault="007D00BA" w:rsidP="007D00BA">
      <w:pPr>
        <w:pStyle w:val="FooterTableFigure"/>
        <w:keepNext/>
        <w:keepLines/>
        <w:ind w:left="113"/>
      </w:pPr>
      <w:r w:rsidRPr="007A4E7E">
        <w:t>Initial treatment period – responders = $</w:t>
      </w:r>
      <w:r w:rsidR="00DE6661" w:rsidRPr="00DE6661">
        <w:rPr>
          <w:color w:val="000000"/>
          <w:w w:val="70"/>
          <w:shd w:val="solid" w:color="000000" w:fill="000000"/>
          <w:fitText w:val="167" w:id="-962329344"/>
          <w14:textFill>
            <w14:solidFill>
              <w14:srgbClr w14:val="000000">
                <w14:alpha w14:val="100000"/>
              </w14:srgbClr>
            </w14:solidFill>
          </w14:textFill>
        </w:rPr>
        <w:t>||  |</w:t>
      </w:r>
      <w:r w:rsidR="00DE6661" w:rsidRPr="00DE6661">
        <w:rPr>
          <w:color w:val="000000"/>
          <w:spacing w:val="2"/>
          <w:w w:val="70"/>
          <w:shd w:val="solid" w:color="000000" w:fill="000000"/>
          <w:fitText w:val="167" w:id="-962329344"/>
          <w14:textFill>
            <w14:solidFill>
              <w14:srgbClr w14:val="000000">
                <w14:alpha w14:val="100000"/>
              </w14:srgbClr>
            </w14:solidFill>
          </w14:textFill>
        </w:rPr>
        <w:t>|</w:t>
      </w:r>
      <w:r w:rsidRPr="007A4E7E">
        <w:t xml:space="preserve"> per cycle = $</w:t>
      </w:r>
      <w:r w:rsidR="00DE6661" w:rsidRPr="00DE6661">
        <w:rPr>
          <w:color w:val="000000"/>
          <w:w w:val="70"/>
          <w:shd w:val="solid" w:color="000000" w:fill="000000"/>
          <w:fitText w:val="167" w:id="-962329343"/>
          <w14:textFill>
            <w14:solidFill>
              <w14:srgbClr w14:val="000000">
                <w14:alpha w14:val="100000"/>
              </w14:srgbClr>
            </w14:solidFill>
          </w14:textFill>
        </w:rPr>
        <w:t>||  |</w:t>
      </w:r>
      <w:r w:rsidR="00DE6661" w:rsidRPr="00DE6661">
        <w:rPr>
          <w:color w:val="000000"/>
          <w:spacing w:val="2"/>
          <w:w w:val="70"/>
          <w:shd w:val="solid" w:color="000000" w:fill="000000"/>
          <w:fitText w:val="167" w:id="-962329343"/>
          <w14:textFill>
            <w14:solidFill>
              <w14:srgbClr w14:val="000000">
                <w14:alpha w14:val="100000"/>
              </w14:srgbClr>
            </w14:solidFill>
          </w14:textFill>
        </w:rPr>
        <w:t>|</w:t>
      </w:r>
      <w:r w:rsidRPr="007A4E7E">
        <w:t xml:space="preserve"> per week </w:t>
      </w:r>
    </w:p>
    <w:p w14:paraId="3A3B8864" w14:textId="626FA4F7" w:rsidR="007D00BA" w:rsidRPr="007A4E7E" w:rsidRDefault="007D00BA" w:rsidP="007D00BA">
      <w:pPr>
        <w:pStyle w:val="FooterTableFigure"/>
        <w:keepNext/>
        <w:keepLines/>
        <w:ind w:left="113"/>
      </w:pPr>
      <w:r w:rsidRPr="007A4E7E">
        <w:t>Initial treatment period – non-responders = $</w:t>
      </w:r>
      <w:r w:rsidR="00DE6661" w:rsidRPr="00DE6661">
        <w:rPr>
          <w:color w:val="000000"/>
          <w:w w:val="70"/>
          <w:shd w:val="solid" w:color="000000" w:fill="000000"/>
          <w:fitText w:val="167" w:id="-962329342"/>
          <w14:textFill>
            <w14:solidFill>
              <w14:srgbClr w14:val="000000">
                <w14:alpha w14:val="100000"/>
              </w14:srgbClr>
            </w14:solidFill>
          </w14:textFill>
        </w:rPr>
        <w:t>||  |</w:t>
      </w:r>
      <w:r w:rsidR="00DE6661" w:rsidRPr="00DE6661">
        <w:rPr>
          <w:color w:val="000000"/>
          <w:spacing w:val="2"/>
          <w:w w:val="70"/>
          <w:shd w:val="solid" w:color="000000" w:fill="000000"/>
          <w:fitText w:val="167" w:id="-962329342"/>
          <w14:textFill>
            <w14:solidFill>
              <w14:srgbClr w14:val="000000">
                <w14:alpha w14:val="100000"/>
              </w14:srgbClr>
            </w14:solidFill>
          </w14:textFill>
        </w:rPr>
        <w:t>|</w:t>
      </w:r>
      <w:r w:rsidRPr="007A4E7E">
        <w:t xml:space="preserve"> per cycle = $</w:t>
      </w:r>
      <w:r w:rsidR="00DE6661" w:rsidRPr="00DE6661">
        <w:rPr>
          <w:color w:val="000000"/>
          <w:w w:val="70"/>
          <w:shd w:val="solid" w:color="000000" w:fill="000000"/>
          <w:fitText w:val="167" w:id="-962329341"/>
          <w14:textFill>
            <w14:solidFill>
              <w14:srgbClr w14:val="000000">
                <w14:alpha w14:val="100000"/>
              </w14:srgbClr>
            </w14:solidFill>
          </w14:textFill>
        </w:rPr>
        <w:t>||  |</w:t>
      </w:r>
      <w:r w:rsidR="00DE6661" w:rsidRPr="00DE6661">
        <w:rPr>
          <w:color w:val="000000"/>
          <w:spacing w:val="2"/>
          <w:w w:val="70"/>
          <w:shd w:val="solid" w:color="000000" w:fill="000000"/>
          <w:fitText w:val="167" w:id="-962329341"/>
          <w14:textFill>
            <w14:solidFill>
              <w14:srgbClr w14:val="000000">
                <w14:alpha w14:val="100000"/>
              </w14:srgbClr>
            </w14:solidFill>
          </w14:textFill>
        </w:rPr>
        <w:t>|</w:t>
      </w:r>
      <w:r w:rsidRPr="007A4E7E">
        <w:t xml:space="preserve"> per week</w:t>
      </w:r>
    </w:p>
    <w:p w14:paraId="18EC4596" w14:textId="206E8E4E" w:rsidR="007D00BA" w:rsidRPr="007A4E7E" w:rsidRDefault="007D00BA" w:rsidP="007D00BA">
      <w:pPr>
        <w:pStyle w:val="FooterTableFigure"/>
        <w:keepNext/>
        <w:keepLines/>
        <w:ind w:left="113"/>
      </w:pPr>
      <w:r w:rsidRPr="007A4E7E">
        <w:t>Continuing treatment period – responders = $</w:t>
      </w:r>
      <w:r w:rsidR="00DE6661" w:rsidRPr="00DE6661">
        <w:rPr>
          <w:color w:val="000000"/>
          <w:w w:val="70"/>
          <w:shd w:val="solid" w:color="000000" w:fill="000000"/>
          <w:fitText w:val="167" w:id="-962329340"/>
          <w14:textFill>
            <w14:solidFill>
              <w14:srgbClr w14:val="000000">
                <w14:alpha w14:val="100000"/>
              </w14:srgbClr>
            </w14:solidFill>
          </w14:textFill>
        </w:rPr>
        <w:t>||  |</w:t>
      </w:r>
      <w:r w:rsidR="00DE6661" w:rsidRPr="00DE6661">
        <w:rPr>
          <w:color w:val="000000"/>
          <w:spacing w:val="2"/>
          <w:w w:val="70"/>
          <w:shd w:val="solid" w:color="000000" w:fill="000000"/>
          <w:fitText w:val="167" w:id="-962329340"/>
          <w14:textFill>
            <w14:solidFill>
              <w14:srgbClr w14:val="000000">
                <w14:alpha w14:val="100000"/>
              </w14:srgbClr>
            </w14:solidFill>
          </w14:textFill>
        </w:rPr>
        <w:t>|</w:t>
      </w:r>
      <w:r w:rsidRPr="007A4E7E">
        <w:t xml:space="preserve"> per cycle = $</w:t>
      </w:r>
      <w:r w:rsidR="00DE6661" w:rsidRPr="00DE6661">
        <w:rPr>
          <w:color w:val="000000"/>
          <w:w w:val="71"/>
          <w:shd w:val="solid" w:color="000000" w:fill="000000"/>
          <w:fitText w:val="168" w:id="-962329339"/>
          <w14:textFill>
            <w14:solidFill>
              <w14:srgbClr w14:val="000000">
                <w14:alpha w14:val="100000"/>
              </w14:srgbClr>
            </w14:solidFill>
          </w14:textFill>
        </w:rPr>
        <w:t>||  |</w:t>
      </w:r>
      <w:r w:rsidR="00DE6661" w:rsidRPr="00DE6661">
        <w:rPr>
          <w:color w:val="000000"/>
          <w:spacing w:val="1"/>
          <w:w w:val="71"/>
          <w:shd w:val="solid" w:color="000000" w:fill="000000"/>
          <w:fitText w:val="168" w:id="-962329339"/>
          <w14:textFill>
            <w14:solidFill>
              <w14:srgbClr w14:val="000000">
                <w14:alpha w14:val="100000"/>
              </w14:srgbClr>
            </w14:solidFill>
          </w14:textFill>
        </w:rPr>
        <w:t>|</w:t>
      </w:r>
      <w:r w:rsidRPr="007A4E7E">
        <w:t xml:space="preserve"> per week</w:t>
      </w:r>
    </w:p>
    <w:p w14:paraId="3B365C7E" w14:textId="1B2EBCDA" w:rsidR="007D00BA" w:rsidRPr="007A4E7E" w:rsidRDefault="007D00BA" w:rsidP="007D00BA">
      <w:pPr>
        <w:pStyle w:val="FooterTableFigure"/>
        <w:keepNext/>
        <w:keepLines/>
      </w:pPr>
      <w:r w:rsidRPr="007A4E7E">
        <w:rPr>
          <w:vertAlign w:val="superscript"/>
        </w:rPr>
        <w:t>e</w:t>
      </w:r>
      <w:r w:rsidRPr="007A4E7E">
        <w:t xml:space="preserve"> Year 1 cost for eventual responders = cost during initial treatment period ($</w:t>
      </w:r>
      <w:r w:rsidR="00DE6661" w:rsidRPr="00DE6661">
        <w:rPr>
          <w:color w:val="000000"/>
          <w:spacing w:val="40"/>
          <w:shd w:val="solid" w:color="000000" w:fill="000000"/>
          <w:fitText w:val="279" w:id="-962329338"/>
          <w14:textFill>
            <w14:solidFill>
              <w14:srgbClr w14:val="000000">
                <w14:alpha w14:val="100000"/>
              </w14:srgbClr>
            </w14:solidFill>
          </w14:textFill>
        </w:rPr>
        <w:t xml:space="preserve">|  </w:t>
      </w:r>
      <w:r w:rsidR="00DE6661" w:rsidRPr="00DE6661">
        <w:rPr>
          <w:color w:val="000000"/>
          <w:spacing w:val="1"/>
          <w:shd w:val="solid" w:color="000000" w:fill="000000"/>
          <w:fitText w:val="279" w:id="-962329338"/>
          <w14:textFill>
            <w14:solidFill>
              <w14:srgbClr w14:val="000000">
                <w14:alpha w14:val="100000"/>
              </w14:srgbClr>
            </w14:solidFill>
          </w14:textFill>
        </w:rPr>
        <w:t>|</w:t>
      </w:r>
      <w:r w:rsidRPr="007A4E7E">
        <w:t>) + cost of continuing treatment in 1</w:t>
      </w:r>
      <w:r w:rsidRPr="007A4E7E">
        <w:rPr>
          <w:vertAlign w:val="superscript"/>
        </w:rPr>
        <w:t>st</w:t>
      </w:r>
      <w:r w:rsidRPr="007A4E7E">
        <w:t xml:space="preserve"> subsequent cycle ($</w:t>
      </w:r>
      <w:r w:rsidR="00DE6661" w:rsidRPr="00DE6661">
        <w:rPr>
          <w:color w:val="000000"/>
          <w:spacing w:val="40"/>
          <w:shd w:val="solid" w:color="000000" w:fill="000000"/>
          <w:fitText w:val="280" w:id="-962329337"/>
          <w14:textFill>
            <w14:solidFill>
              <w14:srgbClr w14:val="000000">
                <w14:alpha w14:val="100000"/>
              </w14:srgbClr>
            </w14:solidFill>
          </w14:textFill>
        </w:rPr>
        <w:t xml:space="preserve">|  </w:t>
      </w:r>
      <w:r w:rsidR="00DE6661" w:rsidRPr="00DE6661">
        <w:rPr>
          <w:color w:val="000000"/>
          <w:spacing w:val="2"/>
          <w:shd w:val="solid" w:color="000000" w:fill="000000"/>
          <w:fitText w:val="280" w:id="-962329337"/>
          <w14:textFill>
            <w14:solidFill>
              <w14:srgbClr w14:val="000000">
                <w14:alpha w14:val="100000"/>
              </w14:srgbClr>
            </w14:solidFill>
          </w14:textFill>
        </w:rPr>
        <w:t>|</w:t>
      </w:r>
      <w:r w:rsidRPr="007A4E7E">
        <w:t xml:space="preserve"> over a mean duration 22.06 weeks)</w:t>
      </w:r>
    </w:p>
    <w:p w14:paraId="2F870ED0" w14:textId="20CF3C49" w:rsidR="007D00BA" w:rsidRPr="007A4E7E" w:rsidRDefault="007D00BA" w:rsidP="007D00BA">
      <w:pPr>
        <w:pStyle w:val="FooterTableFigure"/>
        <w:keepNext/>
        <w:keepLines/>
      </w:pPr>
      <w:r w:rsidRPr="007A4E7E">
        <w:rPr>
          <w:vertAlign w:val="superscript"/>
        </w:rPr>
        <w:t>f</w:t>
      </w:r>
      <w:r w:rsidRPr="007A4E7E">
        <w:t xml:space="preserve"> Year 2+ cost for eventual responders = continuing treatment period cost per week ($</w:t>
      </w:r>
      <w:r w:rsidR="00DE6661" w:rsidRPr="00DE6661">
        <w:rPr>
          <w:color w:val="000000"/>
          <w:spacing w:val="40"/>
          <w:shd w:val="solid" w:color="000000" w:fill="000000"/>
          <w:fitText w:val="280" w:id="-962329336"/>
          <w14:textFill>
            <w14:solidFill>
              <w14:srgbClr w14:val="000000">
                <w14:alpha w14:val="100000"/>
              </w14:srgbClr>
            </w14:solidFill>
          </w14:textFill>
        </w:rPr>
        <w:t xml:space="preserve">|  </w:t>
      </w:r>
      <w:r w:rsidR="00DE6661" w:rsidRPr="00DE6661">
        <w:rPr>
          <w:color w:val="000000"/>
          <w:spacing w:val="2"/>
          <w:shd w:val="solid" w:color="000000" w:fill="000000"/>
          <w:fitText w:val="280" w:id="-962329336"/>
          <w14:textFill>
            <w14:solidFill>
              <w14:srgbClr w14:val="000000">
                <w14:alpha w14:val="100000"/>
              </w14:srgbClr>
            </w14:solidFill>
          </w14:textFill>
        </w:rPr>
        <w:t>|</w:t>
      </w:r>
      <w:r w:rsidRPr="007A4E7E">
        <w:t>) × 52 weeks</w:t>
      </w:r>
    </w:p>
    <w:p w14:paraId="6B500E83" w14:textId="29AE9CDF" w:rsidR="007D00BA" w:rsidRPr="007A4E7E" w:rsidRDefault="007D00BA" w:rsidP="004D6AD4">
      <w:pPr>
        <w:pStyle w:val="FooterTableFigure"/>
        <w:keepNext/>
        <w:keepLines/>
      </w:pPr>
      <w:r w:rsidRPr="007A4E7E">
        <w:rPr>
          <w:vertAlign w:val="superscript"/>
        </w:rPr>
        <w:t>g</w:t>
      </w:r>
      <w:r w:rsidRPr="007A4E7E">
        <w:t xml:space="preserve"> Non-responders incurred costs only in the first 26 weeks of treatment as they were not eligible for continuing treatment, therefore the cost is $</w:t>
      </w:r>
      <w:r w:rsidR="00DE6661" w:rsidRPr="00DE6661">
        <w:rPr>
          <w:color w:val="000000"/>
          <w:spacing w:val="33"/>
          <w:shd w:val="solid" w:color="000000" w:fill="000000"/>
          <w:fitText w:val="260" w:id="-962329335"/>
          <w14:textFill>
            <w14:solidFill>
              <w14:srgbClr w14:val="000000">
                <w14:alpha w14:val="100000"/>
              </w14:srgbClr>
            </w14:solidFill>
          </w14:textFill>
        </w:rPr>
        <w:t xml:space="preserve">|  </w:t>
      </w:r>
      <w:r w:rsidR="00DE6661" w:rsidRPr="00DE6661">
        <w:rPr>
          <w:color w:val="000000"/>
          <w:spacing w:val="3"/>
          <w:shd w:val="solid" w:color="000000" w:fill="000000"/>
          <w:fitText w:val="260" w:id="-962329335"/>
          <w14:textFill>
            <w14:solidFill>
              <w14:srgbClr w14:val="000000">
                <w14:alpha w14:val="100000"/>
              </w14:srgbClr>
            </w14:solidFill>
          </w14:textFill>
        </w:rPr>
        <w:t>|</w:t>
      </w:r>
      <w:r w:rsidRPr="007A4E7E">
        <w:t xml:space="preserve"> for completing initial treatment as a non-responder</w:t>
      </w:r>
    </w:p>
    <w:p w14:paraId="7949A655" w14:textId="77777777" w:rsidR="007D00BA" w:rsidRPr="007A4E7E" w:rsidRDefault="007D00BA" w:rsidP="00914C1A">
      <w:pPr>
        <w:pStyle w:val="FooterTableFigure"/>
        <w:keepNext/>
        <w:keepLines/>
        <w:tabs>
          <w:tab w:val="left" w:pos="142"/>
        </w:tabs>
      </w:pPr>
      <w:r w:rsidRPr="007A4E7E">
        <w:rPr>
          <w:vertAlign w:val="superscript"/>
        </w:rPr>
        <w:t>h</w:t>
      </w:r>
      <w:r w:rsidRPr="007A4E7E">
        <w:t xml:space="preserve"> Based on the average annual cost for each dose used and the proportion using each dose in LINC 4 for all patients.</w:t>
      </w:r>
    </w:p>
    <w:p w14:paraId="197EF6B4" w14:textId="77777777" w:rsidR="007D00BA" w:rsidRPr="007A4E7E" w:rsidRDefault="007D00BA" w:rsidP="00914C1A">
      <w:pPr>
        <w:pStyle w:val="FooterTableFigure"/>
      </w:pPr>
      <w:r w:rsidRPr="007A4E7E">
        <w:t xml:space="preserve">Note: the resubmission assumed the drug costs and initial duration of treatment in the financials were assumed the same as the model </w:t>
      </w:r>
    </w:p>
    <w:p w14:paraId="36CB198E" w14:textId="77777777" w:rsidR="007D00BA" w:rsidRPr="007A4E7E" w:rsidRDefault="007D00BA" w:rsidP="007D00BA">
      <w:pPr>
        <w:pStyle w:val="4-SubsectionHeading"/>
      </w:pPr>
      <w:bookmarkStart w:id="59" w:name="_Toc156988662"/>
      <w:r w:rsidRPr="007A4E7E">
        <w:t>Estimated PBS usage &amp; financial implications</w:t>
      </w:r>
      <w:bookmarkEnd w:id="59"/>
    </w:p>
    <w:p w14:paraId="28A01EF9" w14:textId="68865474" w:rsidR="007D00BA" w:rsidRPr="007A4E7E" w:rsidRDefault="007D00BA" w:rsidP="007D00BA">
      <w:pPr>
        <w:pStyle w:val="ExecSumBodyText"/>
        <w:numPr>
          <w:ilvl w:val="1"/>
          <w:numId w:val="1"/>
        </w:numPr>
      </w:pPr>
      <w:r w:rsidRPr="007A4E7E">
        <w:t>This resubmission was not considered by the DUSC.</w:t>
      </w:r>
      <w:r w:rsidR="00C1108E">
        <w:t xml:space="preserve"> The March 2023 submission was considered by the DUSC.</w:t>
      </w:r>
    </w:p>
    <w:p w14:paraId="21D10DC0" w14:textId="77777777" w:rsidR="007D00BA" w:rsidRPr="007A4E7E" w:rsidRDefault="007D00BA" w:rsidP="007D00BA">
      <w:pPr>
        <w:pStyle w:val="ExecSumBodyText"/>
        <w:numPr>
          <w:ilvl w:val="1"/>
          <w:numId w:val="1"/>
        </w:numPr>
      </w:pPr>
      <w:r w:rsidRPr="007A4E7E">
        <w:lastRenderedPageBreak/>
        <w:t>The resubmission adopted an epidemiological approach to estimate the financial impact of osilodrostat. The approach taken to estimate the eligible patient population was the same as the previous submission.</w:t>
      </w:r>
    </w:p>
    <w:p w14:paraId="6C0949AD" w14:textId="0E8A5B0E" w:rsidR="007D00BA" w:rsidRPr="007A4E7E" w:rsidRDefault="007D00BA" w:rsidP="007D00BA">
      <w:pPr>
        <w:pStyle w:val="ExecSumBodyText"/>
        <w:numPr>
          <w:ilvl w:val="1"/>
          <w:numId w:val="1"/>
        </w:numPr>
      </w:pPr>
      <w:r w:rsidRPr="007A4E7E">
        <w:t xml:space="preserve">A summary of the key data sources and parameter values are presented in </w:t>
      </w:r>
      <w:r w:rsidRPr="007A4E7E">
        <w:fldChar w:fldCharType="begin" w:fldLock="1"/>
      </w:r>
      <w:r w:rsidRPr="007A4E7E">
        <w:instrText xml:space="preserve"> REF _Ref153192336 \h  \* MERGEFORMAT </w:instrText>
      </w:r>
      <w:r w:rsidRPr="007A4E7E">
        <w:fldChar w:fldCharType="separate"/>
      </w:r>
      <w:r w:rsidR="00043D39" w:rsidRPr="007A4E7E">
        <w:t xml:space="preserve">Table </w:t>
      </w:r>
      <w:r w:rsidR="00043D39">
        <w:t>17</w:t>
      </w:r>
      <w:r w:rsidRPr="007A4E7E">
        <w:fldChar w:fldCharType="end"/>
      </w:r>
      <w:r w:rsidRPr="007A4E7E">
        <w:t>.</w:t>
      </w:r>
    </w:p>
    <w:p w14:paraId="3B5C6444" w14:textId="664BD812" w:rsidR="007D00BA" w:rsidRPr="007A4E7E" w:rsidRDefault="007D00BA" w:rsidP="007D00BA">
      <w:pPr>
        <w:pStyle w:val="Caption"/>
        <w:rPr>
          <w:rStyle w:val="CommentReference"/>
          <w:b/>
          <w:szCs w:val="24"/>
        </w:rPr>
      </w:pPr>
      <w:bookmarkStart w:id="60" w:name="_Ref153192336"/>
      <w:r w:rsidRPr="007A4E7E">
        <w:t xml:space="preserve">Table </w:t>
      </w:r>
      <w:r w:rsidR="00545EA1">
        <w:fldChar w:fldCharType="begin" w:fldLock="1"/>
      </w:r>
      <w:r w:rsidR="00545EA1">
        <w:instrText xml:space="preserve"> SEQ Table \* ARABIC </w:instrText>
      </w:r>
      <w:r w:rsidR="00545EA1">
        <w:fldChar w:fldCharType="separate"/>
      </w:r>
      <w:r w:rsidR="00043D39">
        <w:rPr>
          <w:noProof/>
        </w:rPr>
        <w:t>17</w:t>
      </w:r>
      <w:r w:rsidR="00545EA1">
        <w:rPr>
          <w:noProof/>
        </w:rPr>
        <w:fldChar w:fldCharType="end"/>
      </w:r>
      <w:bookmarkEnd w:id="60"/>
      <w:r w:rsidRPr="00914C1A">
        <w:rPr>
          <w:b w:val="0"/>
          <w:bCs w:val="0"/>
        </w:rPr>
        <w:t>:</w:t>
      </w:r>
      <w:r w:rsidRPr="00914C1A">
        <w:rPr>
          <w:rStyle w:val="CommentReference"/>
          <w:b/>
          <w:bCs w:val="0"/>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7: Key inputs for financial estimates"/>
      </w:tblPr>
      <w:tblGrid>
        <w:gridCol w:w="1358"/>
        <w:gridCol w:w="4875"/>
        <w:gridCol w:w="2784"/>
      </w:tblGrid>
      <w:tr w:rsidR="007D00BA" w:rsidRPr="00397E6D" w14:paraId="08822A9F" w14:textId="77777777" w:rsidTr="00914C1A">
        <w:trPr>
          <w:cantSplit/>
          <w:trHeight w:val="20"/>
          <w:tblHeader/>
        </w:trPr>
        <w:tc>
          <w:tcPr>
            <w:tcW w:w="753" w:type="pct"/>
            <w:vAlign w:val="center"/>
          </w:tcPr>
          <w:p w14:paraId="627F4643" w14:textId="77777777" w:rsidR="007D00BA" w:rsidRPr="004D6AD4" w:rsidRDefault="007D00BA" w:rsidP="00EA6DFD">
            <w:pPr>
              <w:pStyle w:val="In-tableHeading"/>
              <w:keepLines/>
              <w:rPr>
                <w:szCs w:val="20"/>
                <w:lang w:val="en-AU"/>
              </w:rPr>
            </w:pPr>
            <w:r w:rsidRPr="004D6AD4">
              <w:rPr>
                <w:szCs w:val="20"/>
                <w:lang w:val="en-AU"/>
              </w:rPr>
              <w:t>Data</w:t>
            </w:r>
          </w:p>
        </w:tc>
        <w:tc>
          <w:tcPr>
            <w:tcW w:w="2703" w:type="pct"/>
            <w:vAlign w:val="center"/>
          </w:tcPr>
          <w:p w14:paraId="47B77612" w14:textId="77777777" w:rsidR="007D00BA" w:rsidRPr="004D6AD4" w:rsidRDefault="007D00BA" w:rsidP="00EA6DFD">
            <w:pPr>
              <w:pStyle w:val="In-tableHeading"/>
              <w:keepLines/>
              <w:jc w:val="center"/>
              <w:rPr>
                <w:szCs w:val="20"/>
                <w:lang w:val="en-AU"/>
              </w:rPr>
            </w:pPr>
            <w:r w:rsidRPr="004D6AD4">
              <w:rPr>
                <w:szCs w:val="20"/>
                <w:lang w:val="en-AU"/>
              </w:rPr>
              <w:t>Value and Source</w:t>
            </w:r>
          </w:p>
        </w:tc>
        <w:tc>
          <w:tcPr>
            <w:tcW w:w="1544" w:type="pct"/>
            <w:shd w:val="clear" w:color="auto" w:fill="auto"/>
            <w:vAlign w:val="center"/>
          </w:tcPr>
          <w:p w14:paraId="6439626F" w14:textId="77777777" w:rsidR="007D00BA" w:rsidRPr="004D6AD4" w:rsidRDefault="007D00BA" w:rsidP="00EA6DFD">
            <w:pPr>
              <w:pStyle w:val="In-tableHeading"/>
              <w:keepLines/>
              <w:rPr>
                <w:szCs w:val="20"/>
                <w:lang w:val="en-AU"/>
              </w:rPr>
            </w:pPr>
            <w:r w:rsidRPr="004D6AD4">
              <w:rPr>
                <w:szCs w:val="20"/>
                <w:lang w:val="en-AU"/>
              </w:rPr>
              <w:t>Comment</w:t>
            </w:r>
          </w:p>
        </w:tc>
      </w:tr>
      <w:tr w:rsidR="007D00BA" w:rsidRPr="00397E6D" w14:paraId="02C1E201" w14:textId="77777777" w:rsidTr="00EA6DFD">
        <w:trPr>
          <w:cantSplit/>
          <w:trHeight w:val="20"/>
        </w:trPr>
        <w:tc>
          <w:tcPr>
            <w:tcW w:w="5000" w:type="pct"/>
            <w:gridSpan w:val="3"/>
            <w:shd w:val="clear" w:color="auto" w:fill="auto"/>
            <w:vAlign w:val="center"/>
          </w:tcPr>
          <w:p w14:paraId="04A9D7A1" w14:textId="77777777" w:rsidR="007D00BA" w:rsidRPr="004D6AD4" w:rsidRDefault="007D00BA" w:rsidP="00EA6DFD">
            <w:pPr>
              <w:pStyle w:val="TableText0"/>
              <w:keepLines/>
              <w:rPr>
                <w:b/>
                <w:bCs w:val="0"/>
                <w:szCs w:val="20"/>
              </w:rPr>
            </w:pPr>
            <w:r w:rsidRPr="004D6AD4">
              <w:rPr>
                <w:b/>
                <w:bCs w:val="0"/>
                <w:szCs w:val="20"/>
              </w:rPr>
              <w:t>Eligible population</w:t>
            </w:r>
          </w:p>
        </w:tc>
      </w:tr>
      <w:tr w:rsidR="007D00BA" w:rsidRPr="00397E6D" w14:paraId="245C6705" w14:textId="77777777" w:rsidTr="00914C1A">
        <w:trPr>
          <w:cantSplit/>
          <w:trHeight w:val="20"/>
        </w:trPr>
        <w:tc>
          <w:tcPr>
            <w:tcW w:w="753" w:type="pct"/>
            <w:vAlign w:val="center"/>
          </w:tcPr>
          <w:p w14:paraId="630801C6" w14:textId="77777777" w:rsidR="007D00BA" w:rsidRPr="004D6AD4" w:rsidRDefault="007D00BA" w:rsidP="00EA6DFD">
            <w:pPr>
              <w:pStyle w:val="TableText0"/>
              <w:keepLines/>
              <w:rPr>
                <w:szCs w:val="20"/>
              </w:rPr>
            </w:pPr>
            <w:r w:rsidRPr="004D6AD4">
              <w:rPr>
                <w:szCs w:val="20"/>
              </w:rPr>
              <w:t>Prevalence and incidence of endogenous CS</w:t>
            </w:r>
          </w:p>
        </w:tc>
        <w:tc>
          <w:tcPr>
            <w:tcW w:w="2703" w:type="pct"/>
            <w:shd w:val="clear" w:color="auto" w:fill="D9E2F3" w:themeFill="accent1" w:themeFillTint="33"/>
            <w:vAlign w:val="center"/>
          </w:tcPr>
          <w:p w14:paraId="4538F8BA" w14:textId="77777777" w:rsidR="007D00BA" w:rsidRPr="004D6AD4" w:rsidRDefault="007D00BA" w:rsidP="00EA6DFD">
            <w:pPr>
              <w:pStyle w:val="TableText0"/>
              <w:keepLines/>
              <w:rPr>
                <w:szCs w:val="20"/>
              </w:rPr>
            </w:pPr>
            <w:r w:rsidRPr="004D6AD4">
              <w:rPr>
                <w:szCs w:val="20"/>
              </w:rPr>
              <w:t>Prevalence = 67 per million persons</w:t>
            </w:r>
          </w:p>
          <w:p w14:paraId="35AAC25A" w14:textId="77777777" w:rsidR="007D00BA" w:rsidRPr="004D6AD4" w:rsidRDefault="007D00BA" w:rsidP="00EA6DFD">
            <w:pPr>
              <w:pStyle w:val="TableText0"/>
              <w:keepLines/>
              <w:rPr>
                <w:szCs w:val="20"/>
              </w:rPr>
            </w:pPr>
            <w:r w:rsidRPr="004D6AD4">
              <w:rPr>
                <w:szCs w:val="20"/>
              </w:rPr>
              <w:t xml:space="preserve">Incidence = 2.2 per million persons </w:t>
            </w:r>
          </w:p>
          <w:p w14:paraId="72EEB4CF" w14:textId="77777777" w:rsidR="007D00BA" w:rsidRPr="004D6AD4" w:rsidRDefault="007D00BA" w:rsidP="00EA6DFD">
            <w:pPr>
              <w:pStyle w:val="TableText0"/>
              <w:keepLines/>
              <w:rPr>
                <w:szCs w:val="20"/>
              </w:rPr>
            </w:pPr>
          </w:p>
          <w:p w14:paraId="44BD61E5" w14:textId="3CF930B7" w:rsidR="007D00BA" w:rsidRPr="004D6AD4" w:rsidRDefault="007D00BA" w:rsidP="00EA6DFD">
            <w:pPr>
              <w:pStyle w:val="TableText0"/>
              <w:keepLines/>
              <w:rPr>
                <w:szCs w:val="20"/>
              </w:rPr>
            </w:pPr>
            <w:r w:rsidRPr="004D6AD4">
              <w:rPr>
                <w:szCs w:val="20"/>
              </w:rPr>
              <w:t xml:space="preserve">The resubmission selected four studies from a search of published literature which reported prevalence and/or incidence rates of CS (Bolland 2011; Lindholm 2001; Orphanet 2022; Wengander 2019). </w:t>
            </w:r>
          </w:p>
        </w:tc>
        <w:tc>
          <w:tcPr>
            <w:tcW w:w="1544" w:type="pct"/>
            <w:shd w:val="clear" w:color="auto" w:fill="auto"/>
            <w:vAlign w:val="center"/>
          </w:tcPr>
          <w:p w14:paraId="30616B41" w14:textId="77777777" w:rsidR="007D00BA" w:rsidRPr="004D6AD4" w:rsidRDefault="007D00BA" w:rsidP="00EA6DFD">
            <w:pPr>
              <w:pStyle w:val="TableText0"/>
              <w:keepLines/>
              <w:rPr>
                <w:iCs/>
                <w:szCs w:val="20"/>
              </w:rPr>
            </w:pPr>
            <w:r w:rsidRPr="004D6AD4">
              <w:rPr>
                <w:iCs/>
                <w:szCs w:val="20"/>
              </w:rPr>
              <w:t>The DUSC considered the prevalence and incidence estimates reasonable, however there might be an underestimation of the incident population. The Bolland 2011 study prevalence period of 45 years is possibly too long for a prevalence estimate. The DUSC noted that the previous submission used a higher end average. (Table 19, osilodrostat, March 2023 PBAC meeting)</w:t>
            </w:r>
          </w:p>
        </w:tc>
      </w:tr>
      <w:tr w:rsidR="007D00BA" w:rsidRPr="00397E6D" w14:paraId="3CB68162" w14:textId="77777777" w:rsidTr="00914C1A">
        <w:trPr>
          <w:cantSplit/>
          <w:trHeight w:val="20"/>
        </w:trPr>
        <w:tc>
          <w:tcPr>
            <w:tcW w:w="753" w:type="pct"/>
            <w:vAlign w:val="center"/>
          </w:tcPr>
          <w:p w14:paraId="07E8EC75" w14:textId="77777777" w:rsidR="007D00BA" w:rsidRPr="004D6AD4" w:rsidRDefault="007D00BA" w:rsidP="00EA6DFD">
            <w:pPr>
              <w:pStyle w:val="TableText0"/>
              <w:keepNext w:val="0"/>
              <w:rPr>
                <w:szCs w:val="20"/>
              </w:rPr>
            </w:pPr>
            <w:r w:rsidRPr="004D6AD4">
              <w:rPr>
                <w:szCs w:val="20"/>
              </w:rPr>
              <w:t>Distribution of CS sub-populations</w:t>
            </w:r>
          </w:p>
        </w:tc>
        <w:tc>
          <w:tcPr>
            <w:tcW w:w="2703" w:type="pct"/>
            <w:shd w:val="clear" w:color="auto" w:fill="D9E2F3" w:themeFill="accent1" w:themeFillTint="33"/>
            <w:vAlign w:val="center"/>
          </w:tcPr>
          <w:p w14:paraId="0DC3FC7B" w14:textId="77777777" w:rsidR="007D00BA" w:rsidRPr="004D6AD4" w:rsidRDefault="007D00BA" w:rsidP="00EA6DFD">
            <w:pPr>
              <w:pStyle w:val="TableText0"/>
              <w:keepNext w:val="0"/>
              <w:rPr>
                <w:szCs w:val="20"/>
              </w:rPr>
            </w:pPr>
            <w:r w:rsidRPr="004D6AD4">
              <w:rPr>
                <w:szCs w:val="20"/>
              </w:rPr>
              <w:t>Cushing’s Disease (CD) = 70%</w:t>
            </w:r>
          </w:p>
          <w:p w14:paraId="32B9A219" w14:textId="77777777" w:rsidR="007D00BA" w:rsidRPr="004D6AD4" w:rsidRDefault="007D00BA" w:rsidP="00EA6DFD">
            <w:pPr>
              <w:pStyle w:val="TableText0"/>
              <w:keepNext w:val="0"/>
              <w:rPr>
                <w:szCs w:val="20"/>
              </w:rPr>
            </w:pPr>
            <w:r w:rsidRPr="004D6AD4">
              <w:rPr>
                <w:szCs w:val="20"/>
              </w:rPr>
              <w:t>Other ACTH dependent = 10%</w:t>
            </w:r>
          </w:p>
          <w:p w14:paraId="168C6164" w14:textId="77777777" w:rsidR="007D00BA" w:rsidRPr="004D6AD4" w:rsidRDefault="007D00BA" w:rsidP="00EA6DFD">
            <w:pPr>
              <w:pStyle w:val="TableText0"/>
              <w:keepNext w:val="0"/>
              <w:rPr>
                <w:szCs w:val="20"/>
              </w:rPr>
            </w:pPr>
            <w:r w:rsidRPr="004D6AD4">
              <w:rPr>
                <w:szCs w:val="20"/>
              </w:rPr>
              <w:t>ACTH independent = 20%</w:t>
            </w:r>
          </w:p>
          <w:p w14:paraId="2280F7AC" w14:textId="77777777" w:rsidR="007D00BA" w:rsidRPr="004D6AD4" w:rsidRDefault="007D00BA" w:rsidP="00EA6DFD">
            <w:pPr>
              <w:pStyle w:val="TableText0"/>
              <w:keepNext w:val="0"/>
              <w:rPr>
                <w:szCs w:val="20"/>
              </w:rPr>
            </w:pPr>
          </w:p>
          <w:p w14:paraId="45768AC3" w14:textId="3ECE9F18" w:rsidR="007D00BA" w:rsidRPr="004D6AD4" w:rsidRDefault="007D00BA" w:rsidP="00914C1A">
            <w:pPr>
              <w:widowControl w:val="0"/>
              <w:tabs>
                <w:tab w:val="left" w:pos="768"/>
              </w:tabs>
              <w:jc w:val="left"/>
            </w:pPr>
            <w:r w:rsidRPr="004D6AD4">
              <w:rPr>
                <w:rFonts w:ascii="Arial Narrow" w:hAnsi="Arial Narrow" w:cs="Calibri"/>
                <w:sz w:val="20"/>
                <w:szCs w:val="20"/>
              </w:rPr>
              <w:t>Australian clinicians estimate that endogenous CS is due to CD in 70% of patients, ACTH-dependent ectopic tumours in 10% of patients and ACTH-independent tumours in 20%. Not all clinician surveys reported these values, as the third survey estimated that endogenous CS was due to CD in 45% of patients, ACTH-dependent in 5% and ACTH-independent in 50% of patients.</w:t>
            </w:r>
          </w:p>
        </w:tc>
        <w:tc>
          <w:tcPr>
            <w:tcW w:w="1544" w:type="pct"/>
            <w:shd w:val="clear" w:color="auto" w:fill="auto"/>
            <w:vAlign w:val="center"/>
          </w:tcPr>
          <w:p w14:paraId="6FB63906" w14:textId="77777777" w:rsidR="007D00BA" w:rsidRPr="004D6AD4" w:rsidRDefault="007D00BA" w:rsidP="00EA6DFD">
            <w:pPr>
              <w:pStyle w:val="TableText0"/>
              <w:keepNext w:val="0"/>
              <w:rPr>
                <w:iCs/>
                <w:szCs w:val="20"/>
              </w:rPr>
            </w:pPr>
            <w:r w:rsidRPr="004D6AD4">
              <w:rPr>
                <w:iCs/>
                <w:szCs w:val="20"/>
              </w:rPr>
              <w:t xml:space="preserve">The DUSC commented that the distribution of CS sub-populations was reasonable. The DUSC noted that several published estimates in the international literature better inform CS epidemiology, but in the specific case of CS sub-populations, expert estimates were reasonable </w:t>
            </w:r>
            <w:r w:rsidRPr="004D6AD4">
              <w:rPr>
                <w:szCs w:val="20"/>
              </w:rPr>
              <w:t xml:space="preserve">(Table 19, osilodrostat, March 2023 PBAC meeting). </w:t>
            </w:r>
          </w:p>
        </w:tc>
      </w:tr>
      <w:tr w:rsidR="007D00BA" w:rsidRPr="00397E6D" w14:paraId="7543EC5B" w14:textId="77777777" w:rsidTr="00914C1A">
        <w:trPr>
          <w:cantSplit/>
          <w:trHeight w:val="20"/>
        </w:trPr>
        <w:tc>
          <w:tcPr>
            <w:tcW w:w="753" w:type="pct"/>
            <w:shd w:val="clear" w:color="auto" w:fill="auto"/>
            <w:vAlign w:val="center"/>
          </w:tcPr>
          <w:p w14:paraId="408E5D26" w14:textId="77777777" w:rsidR="007D00BA" w:rsidRPr="004D6AD4" w:rsidRDefault="007D00BA" w:rsidP="00EA6DFD">
            <w:pPr>
              <w:pStyle w:val="TableText0"/>
              <w:keepNext w:val="0"/>
              <w:rPr>
                <w:szCs w:val="20"/>
              </w:rPr>
            </w:pPr>
            <w:r w:rsidRPr="004D6AD4">
              <w:rPr>
                <w:szCs w:val="20"/>
              </w:rPr>
              <w:lastRenderedPageBreak/>
              <w:t xml:space="preserve">Total eligible patients </w:t>
            </w:r>
          </w:p>
        </w:tc>
        <w:tc>
          <w:tcPr>
            <w:tcW w:w="2703" w:type="pct"/>
            <w:shd w:val="clear" w:color="auto" w:fill="auto"/>
            <w:vAlign w:val="center"/>
          </w:tcPr>
          <w:p w14:paraId="60781E27" w14:textId="77777777" w:rsidR="007D00BA" w:rsidRPr="004D6AD4" w:rsidRDefault="007D00BA" w:rsidP="00EA6DFD">
            <w:pPr>
              <w:pStyle w:val="TableText0"/>
              <w:keepNext w:val="0"/>
              <w:shd w:val="clear" w:color="auto" w:fill="D9E2F3" w:themeFill="accent1" w:themeFillTint="33"/>
              <w:rPr>
                <w:rFonts w:cs="Calibri"/>
                <w:szCs w:val="20"/>
              </w:rPr>
            </w:pPr>
            <w:r w:rsidRPr="004D6AD4">
              <w:rPr>
                <w:rFonts w:cs="Calibri"/>
                <w:szCs w:val="20"/>
              </w:rPr>
              <w:t xml:space="preserve">The proportions eligible for surgery and the surgery success rates were sourced from the clinician questionnaires and Palen-Tytko 2020 (single centre study of 24 patients in Poland) </w:t>
            </w:r>
          </w:p>
          <w:p w14:paraId="7B29AAA9" w14:textId="77777777" w:rsidR="007D00BA" w:rsidRPr="004D6AD4" w:rsidRDefault="007D00BA" w:rsidP="00EA6DFD">
            <w:pPr>
              <w:pStyle w:val="TableText0"/>
              <w:keepNext w:val="0"/>
              <w:shd w:val="clear" w:color="auto" w:fill="D9E2F3" w:themeFill="accent1" w:themeFillTint="33"/>
              <w:rPr>
                <w:rFonts w:cs="Calibri"/>
                <w:szCs w:val="20"/>
              </w:rPr>
            </w:pPr>
          </w:p>
          <w:tbl>
            <w:tblPr>
              <w:tblStyle w:val="TableGrid"/>
              <w:tblW w:w="4619" w:type="dxa"/>
              <w:tblLook w:val="04A0" w:firstRow="1" w:lastRow="0" w:firstColumn="1" w:lastColumn="0" w:noHBand="0" w:noVBand="1"/>
            </w:tblPr>
            <w:tblGrid>
              <w:gridCol w:w="1509"/>
              <w:gridCol w:w="842"/>
              <w:gridCol w:w="1134"/>
              <w:gridCol w:w="1134"/>
            </w:tblGrid>
            <w:tr w:rsidR="00F13C82" w:rsidRPr="004D6AD4" w14:paraId="6E861879" w14:textId="77777777" w:rsidTr="00914C1A">
              <w:tc>
                <w:tcPr>
                  <w:tcW w:w="1509" w:type="dxa"/>
                  <w:shd w:val="clear" w:color="auto" w:fill="D9E2F3" w:themeFill="accent1" w:themeFillTint="33"/>
                </w:tcPr>
                <w:p w14:paraId="08851633" w14:textId="77777777" w:rsidR="007D00BA" w:rsidRPr="00914C1A" w:rsidRDefault="007D00BA" w:rsidP="00EA6DFD">
                  <w:pPr>
                    <w:pStyle w:val="TableText0"/>
                    <w:keepNext w:val="0"/>
                    <w:rPr>
                      <w:rFonts w:cs="Calibri"/>
                      <w:sz w:val="18"/>
                      <w:szCs w:val="18"/>
                    </w:rPr>
                  </w:pPr>
                </w:p>
              </w:tc>
              <w:tc>
                <w:tcPr>
                  <w:tcW w:w="842" w:type="dxa"/>
                  <w:shd w:val="clear" w:color="auto" w:fill="D9E2F3" w:themeFill="accent1" w:themeFillTint="33"/>
                  <w:vAlign w:val="center"/>
                </w:tcPr>
                <w:p w14:paraId="7B6A1B3F" w14:textId="5AA60326" w:rsidR="007D00BA" w:rsidRPr="00914C1A" w:rsidRDefault="007D00BA" w:rsidP="004D6AD4">
                  <w:pPr>
                    <w:pStyle w:val="TableText0"/>
                    <w:keepNext w:val="0"/>
                    <w:jc w:val="center"/>
                    <w:rPr>
                      <w:rFonts w:cs="Calibri"/>
                      <w:sz w:val="18"/>
                      <w:szCs w:val="18"/>
                    </w:rPr>
                  </w:pPr>
                  <w:r w:rsidRPr="00914C1A">
                    <w:rPr>
                      <w:rFonts w:cs="Calibri"/>
                      <w:sz w:val="18"/>
                      <w:szCs w:val="18"/>
                    </w:rPr>
                    <w:t>Ineligible</w:t>
                  </w:r>
                  <w:r w:rsidR="004D6AD4" w:rsidRPr="00914C1A">
                    <w:rPr>
                      <w:rFonts w:cs="Calibri"/>
                      <w:sz w:val="18"/>
                      <w:szCs w:val="18"/>
                    </w:rPr>
                    <w:t xml:space="preserve"> </w:t>
                  </w:r>
                  <w:r w:rsidRPr="00914C1A">
                    <w:rPr>
                      <w:rFonts w:cs="Calibri"/>
                      <w:sz w:val="18"/>
                      <w:szCs w:val="18"/>
                    </w:rPr>
                    <w:t>for</w:t>
                  </w:r>
                  <w:r w:rsidR="004D6AD4" w:rsidRPr="00914C1A">
                    <w:rPr>
                      <w:rFonts w:cs="Calibri"/>
                      <w:sz w:val="18"/>
                      <w:szCs w:val="18"/>
                    </w:rPr>
                    <w:t xml:space="preserve"> </w:t>
                  </w:r>
                  <w:r w:rsidRPr="00914C1A">
                    <w:rPr>
                      <w:rFonts w:cs="Calibri"/>
                      <w:sz w:val="18"/>
                      <w:szCs w:val="18"/>
                    </w:rPr>
                    <w:t>surgery</w:t>
                  </w:r>
                </w:p>
              </w:tc>
              <w:tc>
                <w:tcPr>
                  <w:tcW w:w="1134" w:type="dxa"/>
                  <w:shd w:val="clear" w:color="auto" w:fill="D9E2F3" w:themeFill="accent1" w:themeFillTint="33"/>
                  <w:vAlign w:val="center"/>
                </w:tcPr>
                <w:p w14:paraId="30A44A81"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Unsuccessful first surgery</w:t>
                  </w:r>
                </w:p>
              </w:tc>
              <w:tc>
                <w:tcPr>
                  <w:tcW w:w="1134" w:type="dxa"/>
                  <w:shd w:val="clear" w:color="auto" w:fill="D9E2F3" w:themeFill="accent1" w:themeFillTint="33"/>
                  <w:vAlign w:val="center"/>
                </w:tcPr>
                <w:p w14:paraId="29CB1234"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Unsuccessful second surgery</w:t>
                  </w:r>
                </w:p>
              </w:tc>
            </w:tr>
            <w:tr w:rsidR="00F13C82" w:rsidRPr="004D6AD4" w14:paraId="7CA93D1D" w14:textId="77777777" w:rsidTr="00914C1A">
              <w:tc>
                <w:tcPr>
                  <w:tcW w:w="1509" w:type="dxa"/>
                  <w:shd w:val="clear" w:color="auto" w:fill="D9E2F3" w:themeFill="accent1" w:themeFillTint="33"/>
                </w:tcPr>
                <w:p w14:paraId="2965D404" w14:textId="77777777" w:rsidR="007D00BA" w:rsidRPr="00914C1A" w:rsidRDefault="007D00BA" w:rsidP="00EA6DFD">
                  <w:pPr>
                    <w:pStyle w:val="TableText0"/>
                    <w:keepNext w:val="0"/>
                    <w:rPr>
                      <w:rFonts w:cs="Calibri"/>
                      <w:sz w:val="18"/>
                      <w:szCs w:val="18"/>
                    </w:rPr>
                  </w:pPr>
                  <w:r w:rsidRPr="00914C1A">
                    <w:rPr>
                      <w:rFonts w:cs="Calibri"/>
                      <w:sz w:val="18"/>
                      <w:szCs w:val="18"/>
                    </w:rPr>
                    <w:t>Cushing’s disease</w:t>
                  </w:r>
                </w:p>
              </w:tc>
              <w:tc>
                <w:tcPr>
                  <w:tcW w:w="842" w:type="dxa"/>
                  <w:shd w:val="clear" w:color="auto" w:fill="D9E2F3" w:themeFill="accent1" w:themeFillTint="33"/>
                  <w:vAlign w:val="center"/>
                </w:tcPr>
                <w:p w14:paraId="4283733F"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2%</w:t>
                  </w:r>
                </w:p>
              </w:tc>
              <w:tc>
                <w:tcPr>
                  <w:tcW w:w="1134" w:type="dxa"/>
                  <w:shd w:val="clear" w:color="auto" w:fill="D9E2F3" w:themeFill="accent1" w:themeFillTint="33"/>
                  <w:vAlign w:val="center"/>
                </w:tcPr>
                <w:p w14:paraId="47E910E7" w14:textId="77777777" w:rsidR="007D00BA" w:rsidRPr="00914C1A" w:rsidRDefault="007D00BA" w:rsidP="00EA6DFD">
                  <w:pPr>
                    <w:pStyle w:val="TableText0"/>
                    <w:keepNext w:val="0"/>
                    <w:jc w:val="center"/>
                    <w:rPr>
                      <w:rFonts w:cs="Calibri"/>
                      <w:sz w:val="18"/>
                      <w:szCs w:val="18"/>
                      <w:vertAlign w:val="superscript"/>
                    </w:rPr>
                  </w:pPr>
                  <w:r w:rsidRPr="00914C1A">
                    <w:rPr>
                      <w:rFonts w:cs="Calibri"/>
                      <w:sz w:val="18"/>
                      <w:szCs w:val="18"/>
                    </w:rPr>
                    <w:t xml:space="preserve">40% </w:t>
                  </w:r>
                  <w:r w:rsidRPr="00914C1A">
                    <w:rPr>
                      <w:rFonts w:cs="Calibri"/>
                      <w:sz w:val="18"/>
                      <w:szCs w:val="18"/>
                      <w:vertAlign w:val="superscript"/>
                    </w:rPr>
                    <w:t>a</w:t>
                  </w:r>
                </w:p>
              </w:tc>
              <w:tc>
                <w:tcPr>
                  <w:tcW w:w="1134" w:type="dxa"/>
                  <w:shd w:val="clear" w:color="auto" w:fill="D9E2F3" w:themeFill="accent1" w:themeFillTint="33"/>
                  <w:vAlign w:val="center"/>
                </w:tcPr>
                <w:p w14:paraId="533A3FAA"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50%</w:t>
                  </w:r>
                </w:p>
              </w:tc>
            </w:tr>
            <w:tr w:rsidR="00F13C82" w:rsidRPr="004D6AD4" w14:paraId="1D26E9B7" w14:textId="77777777" w:rsidTr="00914C1A">
              <w:tc>
                <w:tcPr>
                  <w:tcW w:w="1509" w:type="dxa"/>
                  <w:shd w:val="clear" w:color="auto" w:fill="D9E2F3" w:themeFill="accent1" w:themeFillTint="33"/>
                </w:tcPr>
                <w:p w14:paraId="039A7202" w14:textId="77777777" w:rsidR="007D00BA" w:rsidRPr="00914C1A" w:rsidRDefault="007D00BA" w:rsidP="00EA6DFD">
                  <w:pPr>
                    <w:pStyle w:val="TableText0"/>
                    <w:keepNext w:val="0"/>
                    <w:rPr>
                      <w:rFonts w:cs="Calibri"/>
                      <w:sz w:val="18"/>
                      <w:szCs w:val="18"/>
                    </w:rPr>
                  </w:pPr>
                  <w:r w:rsidRPr="00914C1A">
                    <w:rPr>
                      <w:rFonts w:cs="Calibri"/>
                      <w:sz w:val="18"/>
                      <w:szCs w:val="18"/>
                    </w:rPr>
                    <w:t>ACTH-dependent</w:t>
                  </w:r>
                </w:p>
              </w:tc>
              <w:tc>
                <w:tcPr>
                  <w:tcW w:w="842" w:type="dxa"/>
                  <w:shd w:val="clear" w:color="auto" w:fill="D9E2F3" w:themeFill="accent1" w:themeFillTint="33"/>
                  <w:vAlign w:val="center"/>
                </w:tcPr>
                <w:p w14:paraId="57145C90"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50%</w:t>
                  </w:r>
                </w:p>
              </w:tc>
              <w:tc>
                <w:tcPr>
                  <w:tcW w:w="1134" w:type="dxa"/>
                  <w:shd w:val="clear" w:color="auto" w:fill="D9E2F3" w:themeFill="accent1" w:themeFillTint="33"/>
                  <w:vAlign w:val="center"/>
                </w:tcPr>
                <w:p w14:paraId="432FF61A"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17%</w:t>
                  </w:r>
                </w:p>
              </w:tc>
              <w:tc>
                <w:tcPr>
                  <w:tcW w:w="1134" w:type="dxa"/>
                  <w:shd w:val="clear" w:color="auto" w:fill="D9E2F3" w:themeFill="accent1" w:themeFillTint="33"/>
                  <w:vAlign w:val="center"/>
                </w:tcPr>
                <w:p w14:paraId="22010B9A"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w:t>
                  </w:r>
                </w:p>
              </w:tc>
            </w:tr>
            <w:tr w:rsidR="00F13C82" w:rsidRPr="004D6AD4" w14:paraId="51860FEC" w14:textId="77777777" w:rsidTr="00914C1A">
              <w:trPr>
                <w:trHeight w:val="58"/>
              </w:trPr>
              <w:tc>
                <w:tcPr>
                  <w:tcW w:w="1509" w:type="dxa"/>
                  <w:shd w:val="clear" w:color="auto" w:fill="D9E2F3" w:themeFill="accent1" w:themeFillTint="33"/>
                </w:tcPr>
                <w:p w14:paraId="78E0D1FE" w14:textId="77777777" w:rsidR="007D00BA" w:rsidRPr="00914C1A" w:rsidRDefault="007D00BA" w:rsidP="00EA6DFD">
                  <w:pPr>
                    <w:pStyle w:val="TableText0"/>
                    <w:keepNext w:val="0"/>
                    <w:rPr>
                      <w:rFonts w:cs="Calibri"/>
                      <w:sz w:val="18"/>
                      <w:szCs w:val="18"/>
                    </w:rPr>
                  </w:pPr>
                  <w:r w:rsidRPr="00914C1A">
                    <w:rPr>
                      <w:rFonts w:cs="Calibri"/>
                      <w:sz w:val="18"/>
                      <w:szCs w:val="18"/>
                    </w:rPr>
                    <w:t>ACTH-independent</w:t>
                  </w:r>
                </w:p>
              </w:tc>
              <w:tc>
                <w:tcPr>
                  <w:tcW w:w="842" w:type="dxa"/>
                  <w:shd w:val="clear" w:color="auto" w:fill="D9E2F3" w:themeFill="accent1" w:themeFillTint="33"/>
                  <w:vAlign w:val="center"/>
                </w:tcPr>
                <w:p w14:paraId="63E4E62C"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5%</w:t>
                  </w:r>
                </w:p>
              </w:tc>
              <w:tc>
                <w:tcPr>
                  <w:tcW w:w="1134" w:type="dxa"/>
                  <w:shd w:val="clear" w:color="auto" w:fill="D9E2F3" w:themeFill="accent1" w:themeFillTint="33"/>
                  <w:vAlign w:val="center"/>
                </w:tcPr>
                <w:p w14:paraId="5F5F0B36"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5%</w:t>
                  </w:r>
                </w:p>
              </w:tc>
              <w:tc>
                <w:tcPr>
                  <w:tcW w:w="1134" w:type="dxa"/>
                  <w:shd w:val="clear" w:color="auto" w:fill="D9E2F3" w:themeFill="accent1" w:themeFillTint="33"/>
                  <w:vAlign w:val="center"/>
                </w:tcPr>
                <w:p w14:paraId="5C3DFFAA" w14:textId="77777777" w:rsidR="007D00BA" w:rsidRPr="00914C1A" w:rsidRDefault="007D00BA" w:rsidP="00EA6DFD">
                  <w:pPr>
                    <w:pStyle w:val="TableText0"/>
                    <w:keepNext w:val="0"/>
                    <w:jc w:val="center"/>
                    <w:rPr>
                      <w:rFonts w:cs="Calibri"/>
                      <w:sz w:val="18"/>
                      <w:szCs w:val="18"/>
                    </w:rPr>
                  </w:pPr>
                  <w:r w:rsidRPr="00914C1A">
                    <w:rPr>
                      <w:rFonts w:cs="Calibri"/>
                      <w:sz w:val="18"/>
                      <w:szCs w:val="18"/>
                    </w:rPr>
                    <w:t>-</w:t>
                  </w:r>
                </w:p>
              </w:tc>
            </w:tr>
          </w:tbl>
          <w:p w14:paraId="1F1DB18B" w14:textId="2DD3BC58" w:rsidR="007D00BA" w:rsidRPr="004D6AD4" w:rsidRDefault="007D00BA" w:rsidP="00EA6DFD">
            <w:pPr>
              <w:pStyle w:val="TableText0"/>
              <w:keepNext w:val="0"/>
              <w:shd w:val="clear" w:color="auto" w:fill="D9E2F3" w:themeFill="accent1" w:themeFillTint="33"/>
              <w:rPr>
                <w:rFonts w:cs="Calibri"/>
                <w:szCs w:val="20"/>
              </w:rPr>
            </w:pPr>
            <w:r w:rsidRPr="004D6AD4">
              <w:rPr>
                <w:rFonts w:cs="Calibri"/>
                <w:szCs w:val="20"/>
                <w:vertAlign w:val="superscript"/>
              </w:rPr>
              <w:t>a</w:t>
            </w:r>
            <w:r w:rsidRPr="004D6AD4">
              <w:rPr>
                <w:rFonts w:cs="Calibri"/>
                <w:szCs w:val="20"/>
              </w:rPr>
              <w:t xml:space="preserve"> 50% of patients with unsuccessful first surgery will not have a second </w:t>
            </w:r>
            <w:r w:rsidR="00F13C82" w:rsidRPr="004D6AD4">
              <w:rPr>
                <w:rFonts w:cs="Calibri"/>
                <w:szCs w:val="20"/>
              </w:rPr>
              <w:t>surgery.</w:t>
            </w:r>
          </w:p>
          <w:p w14:paraId="5D4F791F" w14:textId="77777777" w:rsidR="007D00BA" w:rsidRPr="004D6AD4" w:rsidRDefault="007D00BA" w:rsidP="00EA6DFD">
            <w:pPr>
              <w:pStyle w:val="TableText0"/>
              <w:keepNext w:val="0"/>
              <w:rPr>
                <w:rFonts w:cs="Calibri"/>
                <w:szCs w:val="20"/>
              </w:rPr>
            </w:pPr>
          </w:p>
          <w:tbl>
            <w:tblPr>
              <w:tblStyle w:val="TableGrid"/>
              <w:tblW w:w="4591" w:type="dxa"/>
              <w:tblCellMar>
                <w:left w:w="28" w:type="dxa"/>
                <w:right w:w="28" w:type="dxa"/>
              </w:tblCellMar>
              <w:tblLook w:val="04A0" w:firstRow="1" w:lastRow="0" w:firstColumn="1" w:lastColumn="0" w:noHBand="0" w:noVBand="1"/>
            </w:tblPr>
            <w:tblGrid>
              <w:gridCol w:w="1474"/>
              <w:gridCol w:w="567"/>
              <w:gridCol w:w="510"/>
              <w:gridCol w:w="510"/>
              <w:gridCol w:w="510"/>
              <w:gridCol w:w="510"/>
              <w:gridCol w:w="510"/>
            </w:tblGrid>
            <w:tr w:rsidR="007D00BA" w:rsidRPr="00397E6D" w14:paraId="62A71FC6" w14:textId="77777777" w:rsidTr="00914C1A">
              <w:trPr>
                <w:trHeight w:val="490"/>
              </w:trPr>
              <w:tc>
                <w:tcPr>
                  <w:tcW w:w="1474" w:type="dxa"/>
                  <w:shd w:val="clear" w:color="auto" w:fill="auto"/>
                  <w:vAlign w:val="center"/>
                </w:tcPr>
                <w:p w14:paraId="4CE68B54" w14:textId="77777777" w:rsidR="007D00BA" w:rsidRPr="00914C1A" w:rsidRDefault="007D00BA" w:rsidP="00EA6DFD">
                  <w:pPr>
                    <w:widowControl w:val="0"/>
                    <w:tabs>
                      <w:tab w:val="left" w:pos="101"/>
                    </w:tabs>
                    <w:jc w:val="left"/>
                    <w:rPr>
                      <w:rFonts w:ascii="Arial Narrow" w:hAnsi="Arial Narrow" w:cs="Calibri"/>
                      <w:b/>
                      <w:bCs/>
                      <w:sz w:val="18"/>
                      <w:szCs w:val="18"/>
                    </w:rPr>
                  </w:pPr>
                  <w:r w:rsidRPr="00914C1A">
                    <w:rPr>
                      <w:rFonts w:ascii="Arial Narrow" w:hAnsi="Arial Narrow" w:cs="Calibri"/>
                      <w:b/>
                      <w:bCs/>
                      <w:sz w:val="18"/>
                      <w:szCs w:val="18"/>
                    </w:rPr>
                    <w:t>Eligible patients</w:t>
                  </w:r>
                </w:p>
              </w:tc>
              <w:tc>
                <w:tcPr>
                  <w:tcW w:w="567" w:type="dxa"/>
                  <w:vAlign w:val="center"/>
                </w:tcPr>
                <w:p w14:paraId="437BF307" w14:textId="77777777" w:rsidR="007D00BA" w:rsidRPr="00914C1A" w:rsidRDefault="007D00BA" w:rsidP="00EA6DFD">
                  <w:pPr>
                    <w:widowControl w:val="0"/>
                    <w:jc w:val="center"/>
                    <w:rPr>
                      <w:rFonts w:ascii="Arial Narrow" w:hAnsi="Arial Narrow" w:cs="Calibri"/>
                      <w:b/>
                      <w:bCs/>
                      <w:sz w:val="18"/>
                      <w:szCs w:val="18"/>
                    </w:rPr>
                  </w:pPr>
                  <w:r w:rsidRPr="00914C1A">
                    <w:rPr>
                      <w:rFonts w:ascii="Arial Narrow" w:hAnsi="Arial Narrow" w:cs="Calibri"/>
                      <w:b/>
                      <w:bCs/>
                      <w:sz w:val="18"/>
                      <w:szCs w:val="18"/>
                    </w:rPr>
                    <w:t>Yr 1</w:t>
                  </w:r>
                </w:p>
              </w:tc>
              <w:tc>
                <w:tcPr>
                  <w:tcW w:w="510" w:type="dxa"/>
                  <w:vAlign w:val="center"/>
                </w:tcPr>
                <w:p w14:paraId="05272166" w14:textId="77777777" w:rsidR="007D00BA" w:rsidRPr="00914C1A" w:rsidRDefault="007D00BA" w:rsidP="00EA6DFD">
                  <w:pPr>
                    <w:widowControl w:val="0"/>
                    <w:jc w:val="center"/>
                    <w:rPr>
                      <w:rFonts w:ascii="Arial Narrow" w:hAnsi="Arial Narrow" w:cs="Calibri"/>
                      <w:b/>
                      <w:bCs/>
                      <w:sz w:val="18"/>
                      <w:szCs w:val="18"/>
                    </w:rPr>
                  </w:pPr>
                  <w:r w:rsidRPr="00914C1A">
                    <w:rPr>
                      <w:rFonts w:ascii="Arial Narrow" w:hAnsi="Arial Narrow" w:cs="Calibri"/>
                      <w:b/>
                      <w:bCs/>
                      <w:sz w:val="18"/>
                      <w:szCs w:val="18"/>
                    </w:rPr>
                    <w:t>Yr 2</w:t>
                  </w:r>
                </w:p>
              </w:tc>
              <w:tc>
                <w:tcPr>
                  <w:tcW w:w="510" w:type="dxa"/>
                  <w:vAlign w:val="center"/>
                </w:tcPr>
                <w:p w14:paraId="4938EEF7" w14:textId="77777777" w:rsidR="007D00BA" w:rsidRPr="00914C1A" w:rsidRDefault="007D00BA" w:rsidP="00EA6DFD">
                  <w:pPr>
                    <w:widowControl w:val="0"/>
                    <w:jc w:val="center"/>
                    <w:rPr>
                      <w:rFonts w:ascii="Arial Narrow" w:hAnsi="Arial Narrow" w:cs="Calibri"/>
                      <w:b/>
                      <w:bCs/>
                      <w:sz w:val="18"/>
                      <w:szCs w:val="18"/>
                    </w:rPr>
                  </w:pPr>
                  <w:r w:rsidRPr="00914C1A">
                    <w:rPr>
                      <w:rFonts w:ascii="Arial Narrow" w:hAnsi="Arial Narrow" w:cs="Calibri"/>
                      <w:b/>
                      <w:bCs/>
                      <w:sz w:val="18"/>
                      <w:szCs w:val="18"/>
                    </w:rPr>
                    <w:t>Yr 3</w:t>
                  </w:r>
                </w:p>
              </w:tc>
              <w:tc>
                <w:tcPr>
                  <w:tcW w:w="510" w:type="dxa"/>
                  <w:vAlign w:val="center"/>
                </w:tcPr>
                <w:p w14:paraId="28345A51" w14:textId="77777777" w:rsidR="007D00BA" w:rsidRPr="00914C1A" w:rsidRDefault="007D00BA" w:rsidP="00EA6DFD">
                  <w:pPr>
                    <w:widowControl w:val="0"/>
                    <w:jc w:val="center"/>
                    <w:rPr>
                      <w:rFonts w:ascii="Arial Narrow" w:hAnsi="Arial Narrow" w:cs="Calibri"/>
                      <w:b/>
                      <w:bCs/>
                      <w:sz w:val="18"/>
                      <w:szCs w:val="18"/>
                    </w:rPr>
                  </w:pPr>
                  <w:r w:rsidRPr="00914C1A">
                    <w:rPr>
                      <w:rFonts w:ascii="Arial Narrow" w:hAnsi="Arial Narrow" w:cs="Calibri"/>
                      <w:b/>
                      <w:bCs/>
                      <w:sz w:val="18"/>
                      <w:szCs w:val="18"/>
                    </w:rPr>
                    <w:t>Yr 4</w:t>
                  </w:r>
                </w:p>
              </w:tc>
              <w:tc>
                <w:tcPr>
                  <w:tcW w:w="510" w:type="dxa"/>
                  <w:vAlign w:val="center"/>
                </w:tcPr>
                <w:p w14:paraId="7B798E11" w14:textId="77777777" w:rsidR="007D00BA" w:rsidRPr="00914C1A" w:rsidRDefault="007D00BA" w:rsidP="00EA6DFD">
                  <w:pPr>
                    <w:widowControl w:val="0"/>
                    <w:jc w:val="center"/>
                    <w:rPr>
                      <w:rFonts w:ascii="Arial Narrow" w:hAnsi="Arial Narrow" w:cs="Calibri"/>
                      <w:b/>
                      <w:bCs/>
                      <w:sz w:val="18"/>
                      <w:szCs w:val="18"/>
                    </w:rPr>
                  </w:pPr>
                  <w:r w:rsidRPr="00914C1A">
                    <w:rPr>
                      <w:rFonts w:ascii="Arial Narrow" w:hAnsi="Arial Narrow" w:cs="Calibri"/>
                      <w:b/>
                      <w:bCs/>
                      <w:sz w:val="18"/>
                      <w:szCs w:val="18"/>
                    </w:rPr>
                    <w:t>Yr 5</w:t>
                  </w:r>
                </w:p>
              </w:tc>
              <w:tc>
                <w:tcPr>
                  <w:tcW w:w="510" w:type="dxa"/>
                  <w:vAlign w:val="center"/>
                </w:tcPr>
                <w:p w14:paraId="014C2EAC" w14:textId="77777777" w:rsidR="007D00BA" w:rsidRPr="00914C1A" w:rsidRDefault="007D00BA" w:rsidP="00EA6DFD">
                  <w:pPr>
                    <w:widowControl w:val="0"/>
                    <w:jc w:val="center"/>
                    <w:rPr>
                      <w:rFonts w:ascii="Arial Narrow" w:hAnsi="Arial Narrow" w:cs="Calibri"/>
                      <w:b/>
                      <w:bCs/>
                      <w:sz w:val="18"/>
                      <w:szCs w:val="18"/>
                    </w:rPr>
                  </w:pPr>
                  <w:r w:rsidRPr="00914C1A">
                    <w:rPr>
                      <w:rFonts w:ascii="Arial Narrow" w:hAnsi="Arial Narrow" w:cs="Calibri"/>
                      <w:b/>
                      <w:bCs/>
                      <w:sz w:val="18"/>
                      <w:szCs w:val="18"/>
                    </w:rPr>
                    <w:t>Yr 6</w:t>
                  </w:r>
                </w:p>
              </w:tc>
            </w:tr>
            <w:tr w:rsidR="007D00BA" w:rsidRPr="00397E6D" w14:paraId="0138312F" w14:textId="77777777" w:rsidTr="00914C1A">
              <w:trPr>
                <w:trHeight w:val="245"/>
              </w:trPr>
              <w:tc>
                <w:tcPr>
                  <w:tcW w:w="1474" w:type="dxa"/>
                </w:tcPr>
                <w:p w14:paraId="407ADDFA" w14:textId="77777777" w:rsidR="007D00BA" w:rsidRPr="00914C1A" w:rsidRDefault="007D00BA" w:rsidP="00EA6DFD">
                  <w:pPr>
                    <w:widowControl w:val="0"/>
                    <w:tabs>
                      <w:tab w:val="left" w:pos="101"/>
                    </w:tabs>
                    <w:jc w:val="left"/>
                    <w:rPr>
                      <w:rFonts w:ascii="Arial Narrow" w:hAnsi="Arial Narrow" w:cs="Calibri"/>
                      <w:sz w:val="18"/>
                      <w:szCs w:val="18"/>
                    </w:rPr>
                  </w:pPr>
                  <w:r w:rsidRPr="00914C1A">
                    <w:rPr>
                      <w:rFonts w:ascii="Arial Narrow" w:hAnsi="Arial Narrow" w:cs="Calibri"/>
                      <w:sz w:val="18"/>
                      <w:szCs w:val="18"/>
                    </w:rPr>
                    <w:t>Endogenous CS</w:t>
                  </w:r>
                </w:p>
              </w:tc>
              <w:tc>
                <w:tcPr>
                  <w:tcW w:w="567" w:type="dxa"/>
                  <w:vAlign w:val="center"/>
                </w:tcPr>
                <w:p w14:paraId="44A2861A" w14:textId="212AFE48"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185"/>
                      <w:sz w:val="18"/>
                      <w:szCs w:val="18"/>
                      <w:shd w:val="solid" w:color="000000" w:fill="000000"/>
                      <w:fitText w:val="262" w:id="-962329334"/>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62" w:id="-962329334"/>
                      <w14:textFill>
                        <w14:solidFill>
                          <w14:srgbClr w14:val="000000">
                            <w14:alpha w14:val="100000"/>
                          </w14:srgbClr>
                        </w14:solidFill>
                      </w14:textFill>
                    </w:rPr>
                    <w:t>|</w:t>
                  </w:r>
                  <w:r w:rsidR="00AA101F" w:rsidRPr="00914C1A">
                    <w:rPr>
                      <w:rFonts w:ascii="Arial Narrow" w:hAnsi="Arial Narrow" w:cs="Calibri"/>
                      <w:sz w:val="18"/>
                      <w:szCs w:val="18"/>
                      <w:vertAlign w:val="superscript"/>
                    </w:rPr>
                    <w:t>1</w:t>
                  </w:r>
                </w:p>
              </w:tc>
              <w:tc>
                <w:tcPr>
                  <w:tcW w:w="510" w:type="dxa"/>
                  <w:vAlign w:val="center"/>
                </w:tcPr>
                <w:p w14:paraId="29FF7BD2" w14:textId="110C089E"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33"/>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33"/>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493E021A" w14:textId="6399A03A"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3"/>
                      <w:sz w:val="18"/>
                      <w:szCs w:val="18"/>
                      <w:shd w:val="solid" w:color="000000" w:fill="000000"/>
                      <w:fitText w:val="280" w:id="-962329332"/>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0" w:id="-962329332"/>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6AE37EFA" w14:textId="07E71B48"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31"/>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31"/>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348B2D5D" w14:textId="6718FCB4"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3"/>
                      <w:sz w:val="18"/>
                      <w:szCs w:val="18"/>
                      <w:shd w:val="solid" w:color="000000" w:fill="000000"/>
                      <w:fitText w:val="280" w:id="-962329330"/>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0" w:id="-962329330"/>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5A581C07" w14:textId="3669584B"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29"/>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29"/>
                      <w14:textFill>
                        <w14:solidFill>
                          <w14:srgbClr w14:val="000000">
                            <w14:alpha w14:val="100000"/>
                          </w14:srgbClr>
                        </w14:solidFill>
                      </w14:textFill>
                    </w:rPr>
                    <w:t>|</w:t>
                  </w:r>
                  <w:r w:rsidR="00AA101F">
                    <w:rPr>
                      <w:rFonts w:ascii="Arial Narrow" w:hAnsi="Arial Narrow" w:cs="Calibri"/>
                      <w:sz w:val="18"/>
                      <w:szCs w:val="18"/>
                      <w:vertAlign w:val="superscript"/>
                    </w:rPr>
                    <w:t>2</w:t>
                  </w:r>
                </w:p>
              </w:tc>
            </w:tr>
            <w:tr w:rsidR="007D00BA" w:rsidRPr="00397E6D" w14:paraId="299867F3" w14:textId="77777777" w:rsidTr="00914C1A">
              <w:trPr>
                <w:trHeight w:val="229"/>
              </w:trPr>
              <w:tc>
                <w:tcPr>
                  <w:tcW w:w="1474" w:type="dxa"/>
                </w:tcPr>
                <w:p w14:paraId="63C3761E" w14:textId="77777777" w:rsidR="007D00BA" w:rsidRPr="00914C1A" w:rsidRDefault="007D00BA" w:rsidP="00EA6DFD">
                  <w:pPr>
                    <w:widowControl w:val="0"/>
                    <w:tabs>
                      <w:tab w:val="left" w:pos="101"/>
                    </w:tabs>
                    <w:jc w:val="left"/>
                    <w:rPr>
                      <w:rFonts w:ascii="Arial Narrow" w:hAnsi="Arial Narrow" w:cs="Calibri"/>
                      <w:sz w:val="18"/>
                      <w:szCs w:val="18"/>
                    </w:rPr>
                  </w:pPr>
                  <w:r w:rsidRPr="00914C1A">
                    <w:rPr>
                      <w:rFonts w:ascii="Arial Narrow" w:hAnsi="Arial Narrow" w:cs="Calibri"/>
                      <w:sz w:val="18"/>
                      <w:szCs w:val="18"/>
                    </w:rPr>
                    <w:tab/>
                    <w:t>Cushing’s disease</w:t>
                  </w:r>
                </w:p>
              </w:tc>
              <w:tc>
                <w:tcPr>
                  <w:tcW w:w="567" w:type="dxa"/>
                </w:tcPr>
                <w:p w14:paraId="5C9756E2" w14:textId="4267E24D"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185"/>
                      <w:sz w:val="18"/>
                      <w:szCs w:val="18"/>
                      <w:shd w:val="solid" w:color="000000" w:fill="000000"/>
                      <w:fitText w:val="262" w:id="-962329328"/>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62" w:id="-962329328"/>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34ECF651" w14:textId="4B45C263"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44"/>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44"/>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01B24F95" w14:textId="6818D073"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3"/>
                      <w:sz w:val="18"/>
                      <w:szCs w:val="18"/>
                      <w:shd w:val="solid" w:color="000000" w:fill="000000"/>
                      <w:fitText w:val="280" w:id="-962329343"/>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0" w:id="-962329343"/>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30A3A58D" w14:textId="636ABD70"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42"/>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42"/>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1112E254" w14:textId="634EECE0"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3"/>
                      <w:sz w:val="18"/>
                      <w:szCs w:val="18"/>
                      <w:shd w:val="solid" w:color="000000" w:fill="000000"/>
                      <w:fitText w:val="280" w:id="-962329341"/>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0" w:id="-962329341"/>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1C815B4D" w14:textId="5C10584E"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40"/>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40"/>
                      <w14:textFill>
                        <w14:solidFill>
                          <w14:srgbClr w14:val="000000">
                            <w14:alpha w14:val="100000"/>
                          </w14:srgbClr>
                        </w14:solidFill>
                      </w14:textFill>
                    </w:rPr>
                    <w:t>|</w:t>
                  </w:r>
                  <w:r w:rsidR="00AA101F">
                    <w:rPr>
                      <w:rFonts w:ascii="Arial Narrow" w:hAnsi="Arial Narrow" w:cs="Calibri"/>
                      <w:sz w:val="18"/>
                      <w:szCs w:val="18"/>
                      <w:vertAlign w:val="superscript"/>
                    </w:rPr>
                    <w:t>2</w:t>
                  </w:r>
                </w:p>
              </w:tc>
            </w:tr>
            <w:tr w:rsidR="007D00BA" w:rsidRPr="00397E6D" w14:paraId="73C2BA71" w14:textId="77777777" w:rsidTr="00914C1A">
              <w:trPr>
                <w:trHeight w:val="245"/>
              </w:trPr>
              <w:tc>
                <w:tcPr>
                  <w:tcW w:w="1474" w:type="dxa"/>
                </w:tcPr>
                <w:p w14:paraId="56D899FC" w14:textId="77777777" w:rsidR="007D00BA" w:rsidRPr="00914C1A" w:rsidRDefault="007D00BA" w:rsidP="00EA6DFD">
                  <w:pPr>
                    <w:widowControl w:val="0"/>
                    <w:tabs>
                      <w:tab w:val="left" w:pos="101"/>
                    </w:tabs>
                    <w:jc w:val="left"/>
                    <w:rPr>
                      <w:rFonts w:ascii="Arial Narrow" w:hAnsi="Arial Narrow" w:cs="Calibri"/>
                      <w:sz w:val="18"/>
                      <w:szCs w:val="18"/>
                    </w:rPr>
                  </w:pPr>
                  <w:r w:rsidRPr="00914C1A">
                    <w:rPr>
                      <w:rFonts w:ascii="Arial Narrow" w:hAnsi="Arial Narrow" w:cs="Calibri"/>
                      <w:sz w:val="18"/>
                      <w:szCs w:val="18"/>
                    </w:rPr>
                    <w:tab/>
                    <w:t>ACTH-dependent</w:t>
                  </w:r>
                </w:p>
              </w:tc>
              <w:tc>
                <w:tcPr>
                  <w:tcW w:w="567" w:type="dxa"/>
                </w:tcPr>
                <w:p w14:paraId="4E98480A" w14:textId="232A1126"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185"/>
                      <w:sz w:val="18"/>
                      <w:szCs w:val="18"/>
                      <w:shd w:val="solid" w:color="000000" w:fill="000000"/>
                      <w:fitText w:val="262" w:id="-962329339"/>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62" w:id="-962329339"/>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43108C43" w14:textId="61673BBB"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38"/>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38"/>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6CE1BE01" w14:textId="5F10A728"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3"/>
                      <w:sz w:val="18"/>
                      <w:szCs w:val="18"/>
                      <w:shd w:val="solid" w:color="000000" w:fill="000000"/>
                      <w:fitText w:val="280" w:id="-962329337"/>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0" w:id="-962329337"/>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2B431A23" w14:textId="0D866633"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36"/>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36"/>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484E683D" w14:textId="56A784C5"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3"/>
                      <w:sz w:val="18"/>
                      <w:szCs w:val="18"/>
                      <w:shd w:val="solid" w:color="000000" w:fill="000000"/>
                      <w:fitText w:val="280" w:id="-962329335"/>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0" w:id="-962329335"/>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0301B67E" w14:textId="0999F398"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204"/>
                      <w:sz w:val="18"/>
                      <w:szCs w:val="18"/>
                      <w:shd w:val="solid" w:color="000000" w:fill="000000"/>
                      <w:fitText w:val="281" w:id="-962329334"/>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81" w:id="-962329334"/>
                      <w14:textFill>
                        <w14:solidFill>
                          <w14:srgbClr w14:val="000000">
                            <w14:alpha w14:val="100000"/>
                          </w14:srgbClr>
                        </w14:solidFill>
                      </w14:textFill>
                    </w:rPr>
                    <w:t>|</w:t>
                  </w:r>
                  <w:r w:rsidR="00AA101F">
                    <w:rPr>
                      <w:rFonts w:ascii="Arial Narrow" w:hAnsi="Arial Narrow" w:cs="Calibri"/>
                      <w:sz w:val="18"/>
                      <w:szCs w:val="18"/>
                      <w:vertAlign w:val="superscript"/>
                    </w:rPr>
                    <w:t>2</w:t>
                  </w:r>
                </w:p>
              </w:tc>
            </w:tr>
            <w:tr w:rsidR="007D00BA" w:rsidRPr="00397E6D" w14:paraId="4BC8DBD7" w14:textId="77777777" w:rsidTr="00914C1A">
              <w:trPr>
                <w:trHeight w:val="245"/>
              </w:trPr>
              <w:tc>
                <w:tcPr>
                  <w:tcW w:w="1474" w:type="dxa"/>
                </w:tcPr>
                <w:p w14:paraId="10776383" w14:textId="77777777" w:rsidR="007D00BA" w:rsidRPr="00914C1A" w:rsidRDefault="007D00BA" w:rsidP="00EA6DFD">
                  <w:pPr>
                    <w:widowControl w:val="0"/>
                    <w:tabs>
                      <w:tab w:val="left" w:pos="101"/>
                    </w:tabs>
                    <w:jc w:val="left"/>
                    <w:rPr>
                      <w:rFonts w:ascii="Arial Narrow" w:hAnsi="Arial Narrow" w:cs="Calibri"/>
                      <w:sz w:val="18"/>
                      <w:szCs w:val="18"/>
                    </w:rPr>
                  </w:pPr>
                  <w:r w:rsidRPr="00914C1A">
                    <w:rPr>
                      <w:rFonts w:ascii="Arial Narrow" w:hAnsi="Arial Narrow" w:cs="Calibri"/>
                      <w:sz w:val="18"/>
                      <w:szCs w:val="18"/>
                    </w:rPr>
                    <w:tab/>
                    <w:t>ACTH-independent</w:t>
                  </w:r>
                </w:p>
              </w:tc>
              <w:tc>
                <w:tcPr>
                  <w:tcW w:w="567" w:type="dxa"/>
                </w:tcPr>
                <w:p w14:paraId="4F3156B4" w14:textId="7A95127C"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s="Calibri"/>
                      <w:color w:val="000000"/>
                      <w:spacing w:val="185"/>
                      <w:sz w:val="18"/>
                      <w:szCs w:val="18"/>
                      <w:shd w:val="solid" w:color="000000" w:fill="000000"/>
                      <w:fitText w:val="262" w:id="-962329333"/>
                      <w14:textFill>
                        <w14:solidFill>
                          <w14:srgbClr w14:val="000000">
                            <w14:alpha w14:val="100000"/>
                          </w14:srgbClr>
                        </w14:solidFill>
                      </w14:textFill>
                    </w:rPr>
                    <w:t>|</w:t>
                  </w:r>
                  <w:r w:rsidRPr="00DE6661">
                    <w:rPr>
                      <w:rFonts w:ascii="Arial Narrow" w:hAnsi="Arial Narrow" w:cs="Calibri"/>
                      <w:color w:val="000000"/>
                      <w:spacing w:val="1"/>
                      <w:sz w:val="18"/>
                      <w:szCs w:val="18"/>
                      <w:shd w:val="solid" w:color="000000" w:fill="000000"/>
                      <w:fitText w:val="262" w:id="-962329333"/>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32D8277C" w14:textId="397B3B71"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olor w:val="000000"/>
                      <w:spacing w:val="204"/>
                      <w:sz w:val="18"/>
                      <w:szCs w:val="18"/>
                      <w:shd w:val="solid" w:color="000000" w:fill="000000"/>
                      <w:fitText w:val="281" w:id="-962329332"/>
                      <w14:textFill>
                        <w14:solidFill>
                          <w14:srgbClr w14:val="000000">
                            <w14:alpha w14:val="100000"/>
                          </w14:srgbClr>
                        </w14:solidFill>
                      </w14:textFill>
                    </w:rPr>
                    <w:t>|</w:t>
                  </w:r>
                  <w:r w:rsidRPr="00DE6661">
                    <w:rPr>
                      <w:rFonts w:ascii="Arial Narrow" w:hAnsi="Arial Narrow"/>
                      <w:color w:val="000000"/>
                      <w:spacing w:val="1"/>
                      <w:sz w:val="18"/>
                      <w:szCs w:val="18"/>
                      <w:shd w:val="solid" w:color="000000" w:fill="000000"/>
                      <w:fitText w:val="281" w:id="-962329332"/>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296F8FB3" w14:textId="08C947B0"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olor w:val="000000"/>
                      <w:spacing w:val="203"/>
                      <w:sz w:val="18"/>
                      <w:szCs w:val="18"/>
                      <w:shd w:val="solid" w:color="000000" w:fill="000000"/>
                      <w:fitText w:val="280" w:id="-962329331"/>
                      <w14:textFill>
                        <w14:solidFill>
                          <w14:srgbClr w14:val="000000">
                            <w14:alpha w14:val="100000"/>
                          </w14:srgbClr>
                        </w14:solidFill>
                      </w14:textFill>
                    </w:rPr>
                    <w:t>|</w:t>
                  </w:r>
                  <w:r w:rsidRPr="00DE6661">
                    <w:rPr>
                      <w:rFonts w:ascii="Arial Narrow" w:hAnsi="Arial Narrow"/>
                      <w:color w:val="000000"/>
                      <w:spacing w:val="1"/>
                      <w:sz w:val="18"/>
                      <w:szCs w:val="18"/>
                      <w:shd w:val="solid" w:color="000000" w:fill="000000"/>
                      <w:fitText w:val="280" w:id="-962329331"/>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37E87CBA" w14:textId="06A9F1A7"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olor w:val="000000"/>
                      <w:spacing w:val="204"/>
                      <w:sz w:val="18"/>
                      <w:szCs w:val="18"/>
                      <w:shd w:val="solid" w:color="000000" w:fill="000000"/>
                      <w:fitText w:val="281" w:id="-962329330"/>
                      <w14:textFill>
                        <w14:solidFill>
                          <w14:srgbClr w14:val="000000">
                            <w14:alpha w14:val="100000"/>
                          </w14:srgbClr>
                        </w14:solidFill>
                      </w14:textFill>
                    </w:rPr>
                    <w:t>|</w:t>
                  </w:r>
                  <w:r w:rsidRPr="00DE6661">
                    <w:rPr>
                      <w:rFonts w:ascii="Arial Narrow" w:hAnsi="Arial Narrow"/>
                      <w:color w:val="000000"/>
                      <w:spacing w:val="1"/>
                      <w:sz w:val="18"/>
                      <w:szCs w:val="18"/>
                      <w:shd w:val="solid" w:color="000000" w:fill="000000"/>
                      <w:fitText w:val="281" w:id="-962329330"/>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6D05B5F9" w14:textId="04CC89CE"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olor w:val="000000"/>
                      <w:spacing w:val="203"/>
                      <w:sz w:val="18"/>
                      <w:szCs w:val="18"/>
                      <w:shd w:val="solid" w:color="000000" w:fill="000000"/>
                      <w:fitText w:val="280" w:id="-962329329"/>
                      <w14:textFill>
                        <w14:solidFill>
                          <w14:srgbClr w14:val="000000">
                            <w14:alpha w14:val="100000"/>
                          </w14:srgbClr>
                        </w14:solidFill>
                      </w14:textFill>
                    </w:rPr>
                    <w:t>|</w:t>
                  </w:r>
                  <w:r w:rsidRPr="00DE6661">
                    <w:rPr>
                      <w:rFonts w:ascii="Arial Narrow" w:hAnsi="Arial Narrow"/>
                      <w:color w:val="000000"/>
                      <w:spacing w:val="1"/>
                      <w:sz w:val="18"/>
                      <w:szCs w:val="18"/>
                      <w:shd w:val="solid" w:color="000000" w:fill="000000"/>
                      <w:fitText w:val="280" w:id="-962329329"/>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vAlign w:val="center"/>
                </w:tcPr>
                <w:p w14:paraId="0F22F976" w14:textId="1DE5A294" w:rsidR="007D00BA" w:rsidRPr="00914C1A" w:rsidRDefault="00DE6661" w:rsidP="00EA6DFD">
                  <w:pPr>
                    <w:widowControl w:val="0"/>
                    <w:jc w:val="center"/>
                    <w:rPr>
                      <w:rFonts w:ascii="Arial Narrow" w:hAnsi="Arial Narrow" w:cs="Calibri"/>
                      <w:sz w:val="18"/>
                      <w:szCs w:val="18"/>
                      <w:highlight w:val="lightGray"/>
                    </w:rPr>
                  </w:pPr>
                  <w:r w:rsidRPr="00DE6661">
                    <w:rPr>
                      <w:rFonts w:ascii="Arial Narrow" w:hAnsi="Arial Narrow"/>
                      <w:color w:val="000000"/>
                      <w:spacing w:val="204"/>
                      <w:sz w:val="18"/>
                      <w:szCs w:val="18"/>
                      <w:shd w:val="solid" w:color="000000" w:fill="000000"/>
                      <w:fitText w:val="281" w:id="-962329328"/>
                      <w14:textFill>
                        <w14:solidFill>
                          <w14:srgbClr w14:val="000000">
                            <w14:alpha w14:val="100000"/>
                          </w14:srgbClr>
                        </w14:solidFill>
                      </w14:textFill>
                    </w:rPr>
                    <w:t>|</w:t>
                  </w:r>
                  <w:r w:rsidRPr="00DE6661">
                    <w:rPr>
                      <w:rFonts w:ascii="Arial Narrow" w:hAnsi="Arial Narrow"/>
                      <w:color w:val="000000"/>
                      <w:spacing w:val="1"/>
                      <w:sz w:val="18"/>
                      <w:szCs w:val="18"/>
                      <w:shd w:val="solid" w:color="000000" w:fill="000000"/>
                      <w:fitText w:val="281" w:id="-962329328"/>
                      <w14:textFill>
                        <w14:solidFill>
                          <w14:srgbClr w14:val="000000">
                            <w14:alpha w14:val="100000"/>
                          </w14:srgbClr>
                        </w14:solidFill>
                      </w14:textFill>
                    </w:rPr>
                    <w:t>|</w:t>
                  </w:r>
                  <w:r w:rsidR="00AA101F">
                    <w:rPr>
                      <w:rFonts w:ascii="Arial Narrow" w:hAnsi="Arial Narrow" w:cs="Calibri"/>
                      <w:sz w:val="18"/>
                      <w:szCs w:val="18"/>
                      <w:vertAlign w:val="superscript"/>
                    </w:rPr>
                    <w:t>2</w:t>
                  </w:r>
                </w:p>
              </w:tc>
            </w:tr>
            <w:tr w:rsidR="007D00BA" w:rsidRPr="00397E6D" w14:paraId="10D0918C" w14:textId="77777777" w:rsidTr="00914C1A">
              <w:trPr>
                <w:trHeight w:val="245"/>
              </w:trPr>
              <w:tc>
                <w:tcPr>
                  <w:tcW w:w="1474" w:type="dxa"/>
                </w:tcPr>
                <w:p w14:paraId="73A694E1" w14:textId="77777777" w:rsidR="007D00BA" w:rsidRPr="00914C1A" w:rsidRDefault="007D00BA" w:rsidP="00EA6DFD">
                  <w:pPr>
                    <w:widowControl w:val="0"/>
                    <w:tabs>
                      <w:tab w:val="left" w:pos="101"/>
                    </w:tabs>
                    <w:jc w:val="left"/>
                    <w:rPr>
                      <w:rFonts w:ascii="Arial Narrow" w:hAnsi="Arial Narrow" w:cs="Calibri"/>
                      <w:b/>
                      <w:bCs/>
                      <w:sz w:val="18"/>
                      <w:szCs w:val="18"/>
                    </w:rPr>
                  </w:pPr>
                  <w:r w:rsidRPr="00914C1A">
                    <w:rPr>
                      <w:rFonts w:ascii="Arial Narrow" w:hAnsi="Arial Narrow" w:cs="Calibri"/>
                      <w:b/>
                      <w:bCs/>
                      <w:sz w:val="18"/>
                      <w:szCs w:val="18"/>
                    </w:rPr>
                    <w:t>Total eligible</w:t>
                  </w:r>
                </w:p>
              </w:tc>
              <w:tc>
                <w:tcPr>
                  <w:tcW w:w="567" w:type="dxa"/>
                </w:tcPr>
                <w:p w14:paraId="58AA6A68" w14:textId="3A3962D4" w:rsidR="007D00BA" w:rsidRPr="00914C1A" w:rsidRDefault="00DE6661" w:rsidP="00EA6DFD">
                  <w:pPr>
                    <w:widowControl w:val="0"/>
                    <w:jc w:val="center"/>
                    <w:rPr>
                      <w:rFonts w:ascii="Arial Narrow" w:hAnsi="Arial Narrow" w:cs="Calibri"/>
                      <w:b/>
                      <w:bCs/>
                      <w:sz w:val="18"/>
                      <w:szCs w:val="18"/>
                      <w:highlight w:val="lightGray"/>
                    </w:rPr>
                  </w:pPr>
                  <w:r w:rsidRPr="00DE6661">
                    <w:rPr>
                      <w:rFonts w:ascii="Arial Narrow" w:hAnsi="Arial Narrow"/>
                      <w:b/>
                      <w:bCs/>
                      <w:color w:val="000000"/>
                      <w:spacing w:val="216"/>
                      <w:sz w:val="18"/>
                      <w:szCs w:val="18"/>
                      <w:shd w:val="solid" w:color="000000" w:fill="000000"/>
                      <w:fitText w:val="299" w:id="-962329344"/>
                      <w14:textFill>
                        <w14:solidFill>
                          <w14:srgbClr w14:val="000000">
                            <w14:alpha w14:val="100000"/>
                          </w14:srgbClr>
                        </w14:solidFill>
                      </w14:textFill>
                    </w:rPr>
                    <w:t>|</w:t>
                  </w:r>
                  <w:r w:rsidRPr="00DE6661">
                    <w:rPr>
                      <w:rFonts w:ascii="Arial Narrow" w:hAnsi="Arial Narrow"/>
                      <w:b/>
                      <w:bCs/>
                      <w:color w:val="000000"/>
                      <w:spacing w:val="1"/>
                      <w:sz w:val="18"/>
                      <w:szCs w:val="18"/>
                      <w:shd w:val="solid" w:color="000000" w:fill="000000"/>
                      <w:fitText w:val="299" w:id="-962329344"/>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1CC0FC90" w14:textId="1E40BA85" w:rsidR="007D00BA" w:rsidRPr="00914C1A" w:rsidRDefault="00DE6661" w:rsidP="00EA6DFD">
                  <w:pPr>
                    <w:widowControl w:val="0"/>
                    <w:jc w:val="center"/>
                    <w:rPr>
                      <w:rFonts w:ascii="Arial Narrow" w:hAnsi="Arial Narrow" w:cs="Calibri"/>
                      <w:b/>
                      <w:bCs/>
                      <w:sz w:val="18"/>
                      <w:szCs w:val="18"/>
                      <w:highlight w:val="lightGray"/>
                    </w:rPr>
                  </w:pPr>
                  <w:r w:rsidRPr="00DE6661">
                    <w:rPr>
                      <w:rFonts w:ascii="Arial Narrow" w:hAnsi="Arial Narrow"/>
                      <w:b/>
                      <w:bCs/>
                      <w:color w:val="000000"/>
                      <w:spacing w:val="216"/>
                      <w:sz w:val="18"/>
                      <w:szCs w:val="18"/>
                      <w:shd w:val="solid" w:color="000000" w:fill="000000"/>
                      <w:fitText w:val="299" w:id="-962329343"/>
                      <w14:textFill>
                        <w14:solidFill>
                          <w14:srgbClr w14:val="000000">
                            <w14:alpha w14:val="100000"/>
                          </w14:srgbClr>
                        </w14:solidFill>
                      </w14:textFill>
                    </w:rPr>
                    <w:t>|</w:t>
                  </w:r>
                  <w:r w:rsidRPr="00DE6661">
                    <w:rPr>
                      <w:rFonts w:ascii="Arial Narrow" w:hAnsi="Arial Narrow"/>
                      <w:b/>
                      <w:bCs/>
                      <w:color w:val="000000"/>
                      <w:spacing w:val="1"/>
                      <w:sz w:val="18"/>
                      <w:szCs w:val="18"/>
                      <w:shd w:val="solid" w:color="000000" w:fill="000000"/>
                      <w:fitText w:val="299" w:id="-962329343"/>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32A5DF8E" w14:textId="14927EAC" w:rsidR="007D00BA" w:rsidRPr="00914C1A" w:rsidRDefault="00DE6661" w:rsidP="00EA6DFD">
                  <w:pPr>
                    <w:widowControl w:val="0"/>
                    <w:jc w:val="center"/>
                    <w:rPr>
                      <w:rFonts w:ascii="Arial Narrow" w:hAnsi="Arial Narrow" w:cs="Calibri"/>
                      <w:b/>
                      <w:bCs/>
                      <w:sz w:val="18"/>
                      <w:szCs w:val="18"/>
                      <w:highlight w:val="lightGray"/>
                    </w:rPr>
                  </w:pPr>
                  <w:r w:rsidRPr="00DE6661">
                    <w:rPr>
                      <w:rFonts w:ascii="Arial Narrow" w:hAnsi="Arial Narrow"/>
                      <w:b/>
                      <w:bCs/>
                      <w:color w:val="000000"/>
                      <w:spacing w:val="216"/>
                      <w:sz w:val="18"/>
                      <w:szCs w:val="18"/>
                      <w:shd w:val="solid" w:color="000000" w:fill="000000"/>
                      <w:fitText w:val="299" w:id="-962329342"/>
                      <w14:textFill>
                        <w14:solidFill>
                          <w14:srgbClr w14:val="000000">
                            <w14:alpha w14:val="100000"/>
                          </w14:srgbClr>
                        </w14:solidFill>
                      </w14:textFill>
                    </w:rPr>
                    <w:t>|</w:t>
                  </w:r>
                  <w:r w:rsidRPr="00DE6661">
                    <w:rPr>
                      <w:rFonts w:ascii="Arial Narrow" w:hAnsi="Arial Narrow"/>
                      <w:b/>
                      <w:bCs/>
                      <w:color w:val="000000"/>
                      <w:spacing w:val="1"/>
                      <w:sz w:val="18"/>
                      <w:szCs w:val="18"/>
                      <w:shd w:val="solid" w:color="000000" w:fill="000000"/>
                      <w:fitText w:val="299" w:id="-962329342"/>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207E09C1" w14:textId="023E44FB" w:rsidR="007D00BA" w:rsidRPr="00914C1A" w:rsidRDefault="00DE6661" w:rsidP="00EA6DFD">
                  <w:pPr>
                    <w:widowControl w:val="0"/>
                    <w:jc w:val="center"/>
                    <w:rPr>
                      <w:rFonts w:ascii="Arial Narrow" w:hAnsi="Arial Narrow" w:cs="Calibri"/>
                      <w:b/>
                      <w:bCs/>
                      <w:sz w:val="18"/>
                      <w:szCs w:val="18"/>
                      <w:highlight w:val="lightGray"/>
                      <w:vertAlign w:val="superscript"/>
                    </w:rPr>
                  </w:pPr>
                  <w:r w:rsidRPr="00DE6661">
                    <w:rPr>
                      <w:rFonts w:ascii="Arial Narrow" w:hAnsi="Arial Narrow"/>
                      <w:b/>
                      <w:bCs/>
                      <w:color w:val="000000"/>
                      <w:spacing w:val="216"/>
                      <w:sz w:val="18"/>
                      <w:szCs w:val="18"/>
                      <w:shd w:val="solid" w:color="000000" w:fill="000000"/>
                      <w:fitText w:val="299" w:id="-962329341"/>
                      <w14:textFill>
                        <w14:solidFill>
                          <w14:srgbClr w14:val="000000">
                            <w14:alpha w14:val="100000"/>
                          </w14:srgbClr>
                        </w14:solidFill>
                      </w14:textFill>
                    </w:rPr>
                    <w:t>|</w:t>
                  </w:r>
                  <w:r w:rsidRPr="00DE6661">
                    <w:rPr>
                      <w:rFonts w:ascii="Arial Narrow" w:hAnsi="Arial Narrow"/>
                      <w:b/>
                      <w:bCs/>
                      <w:color w:val="000000"/>
                      <w:spacing w:val="1"/>
                      <w:sz w:val="18"/>
                      <w:szCs w:val="18"/>
                      <w:shd w:val="solid" w:color="000000" w:fill="000000"/>
                      <w:fitText w:val="299" w:id="-962329341"/>
                      <w14:textFill>
                        <w14:solidFill>
                          <w14:srgbClr w14:val="000000">
                            <w14:alpha w14:val="100000"/>
                          </w14:srgbClr>
                        </w14:solidFill>
                      </w14:textFill>
                    </w:rPr>
                    <w:t>|</w:t>
                  </w:r>
                  <w:r w:rsidRPr="00DE6661">
                    <w:rPr>
                      <w:rFonts w:ascii="Arial Narrow" w:hAnsi="Arial Narrow"/>
                      <w:b/>
                      <w:bCs/>
                      <w:sz w:val="18"/>
                      <w:szCs w:val="18"/>
                    </w:rPr>
                    <w:t xml:space="preserve"> </w:t>
                  </w:r>
                  <w:r w:rsidR="00AA101F">
                    <w:rPr>
                      <w:rFonts w:ascii="Arial Narrow" w:hAnsi="Arial Narrow" w:cs="Calibri"/>
                      <w:sz w:val="18"/>
                      <w:szCs w:val="18"/>
                      <w:vertAlign w:val="superscript"/>
                    </w:rPr>
                    <w:t>2</w:t>
                  </w:r>
                  <w:r w:rsidR="007D00BA" w:rsidRPr="00914C1A">
                    <w:rPr>
                      <w:rFonts w:ascii="Arial Narrow" w:hAnsi="Arial Narrow"/>
                      <w:b/>
                      <w:bCs/>
                      <w:sz w:val="18"/>
                      <w:szCs w:val="18"/>
                      <w:vertAlign w:val="superscript"/>
                    </w:rPr>
                    <w:t>a</w:t>
                  </w:r>
                </w:p>
              </w:tc>
              <w:tc>
                <w:tcPr>
                  <w:tcW w:w="510" w:type="dxa"/>
                </w:tcPr>
                <w:p w14:paraId="1E48E950" w14:textId="0AF04235" w:rsidR="007D00BA" w:rsidRPr="00914C1A" w:rsidRDefault="00DE6661" w:rsidP="00EA6DFD">
                  <w:pPr>
                    <w:widowControl w:val="0"/>
                    <w:jc w:val="center"/>
                    <w:rPr>
                      <w:rFonts w:ascii="Arial Narrow" w:hAnsi="Arial Narrow" w:cs="Calibri"/>
                      <w:b/>
                      <w:bCs/>
                      <w:sz w:val="18"/>
                      <w:szCs w:val="18"/>
                      <w:highlight w:val="lightGray"/>
                    </w:rPr>
                  </w:pPr>
                  <w:r w:rsidRPr="00DE6661">
                    <w:rPr>
                      <w:rFonts w:ascii="Arial Narrow" w:hAnsi="Arial Narrow"/>
                      <w:b/>
                      <w:bCs/>
                      <w:color w:val="000000"/>
                      <w:spacing w:val="216"/>
                      <w:sz w:val="18"/>
                      <w:szCs w:val="18"/>
                      <w:shd w:val="solid" w:color="000000" w:fill="000000"/>
                      <w:fitText w:val="299" w:id="-962329340"/>
                      <w14:textFill>
                        <w14:solidFill>
                          <w14:srgbClr w14:val="000000">
                            <w14:alpha w14:val="100000"/>
                          </w14:srgbClr>
                        </w14:solidFill>
                      </w14:textFill>
                    </w:rPr>
                    <w:t>|</w:t>
                  </w:r>
                  <w:r w:rsidRPr="00DE6661">
                    <w:rPr>
                      <w:rFonts w:ascii="Arial Narrow" w:hAnsi="Arial Narrow"/>
                      <w:b/>
                      <w:bCs/>
                      <w:color w:val="000000"/>
                      <w:spacing w:val="1"/>
                      <w:sz w:val="18"/>
                      <w:szCs w:val="18"/>
                      <w:shd w:val="solid" w:color="000000" w:fill="000000"/>
                      <w:fitText w:val="299" w:id="-962329340"/>
                      <w14:textFill>
                        <w14:solidFill>
                          <w14:srgbClr w14:val="000000">
                            <w14:alpha w14:val="100000"/>
                          </w14:srgbClr>
                        </w14:solidFill>
                      </w14:textFill>
                    </w:rPr>
                    <w:t>|</w:t>
                  </w:r>
                  <w:r w:rsidR="00AA101F">
                    <w:rPr>
                      <w:rFonts w:ascii="Arial Narrow" w:hAnsi="Arial Narrow" w:cs="Calibri"/>
                      <w:sz w:val="18"/>
                      <w:szCs w:val="18"/>
                      <w:vertAlign w:val="superscript"/>
                    </w:rPr>
                    <w:t>2</w:t>
                  </w:r>
                </w:p>
              </w:tc>
              <w:tc>
                <w:tcPr>
                  <w:tcW w:w="510" w:type="dxa"/>
                </w:tcPr>
                <w:p w14:paraId="6E2B5E61" w14:textId="02594471" w:rsidR="007D00BA" w:rsidRPr="00914C1A" w:rsidRDefault="00DE6661" w:rsidP="00EA6DFD">
                  <w:pPr>
                    <w:widowControl w:val="0"/>
                    <w:jc w:val="center"/>
                    <w:rPr>
                      <w:rFonts w:ascii="Arial Narrow" w:hAnsi="Arial Narrow" w:cs="Calibri"/>
                      <w:b/>
                      <w:bCs/>
                      <w:sz w:val="18"/>
                      <w:szCs w:val="18"/>
                      <w:highlight w:val="lightGray"/>
                    </w:rPr>
                  </w:pPr>
                  <w:r w:rsidRPr="00DE6661">
                    <w:rPr>
                      <w:rFonts w:ascii="Arial Narrow" w:hAnsi="Arial Narrow"/>
                      <w:b/>
                      <w:bCs/>
                      <w:color w:val="000000"/>
                      <w:spacing w:val="216"/>
                      <w:sz w:val="18"/>
                      <w:szCs w:val="18"/>
                      <w:shd w:val="solid" w:color="000000" w:fill="000000"/>
                      <w:fitText w:val="299" w:id="-962329339"/>
                      <w14:textFill>
                        <w14:solidFill>
                          <w14:srgbClr w14:val="000000">
                            <w14:alpha w14:val="100000"/>
                          </w14:srgbClr>
                        </w14:solidFill>
                      </w14:textFill>
                    </w:rPr>
                    <w:t>|</w:t>
                  </w:r>
                  <w:r w:rsidRPr="00DE6661">
                    <w:rPr>
                      <w:rFonts w:ascii="Arial Narrow" w:hAnsi="Arial Narrow"/>
                      <w:b/>
                      <w:bCs/>
                      <w:color w:val="000000"/>
                      <w:spacing w:val="1"/>
                      <w:sz w:val="18"/>
                      <w:szCs w:val="18"/>
                      <w:shd w:val="solid" w:color="000000" w:fill="000000"/>
                      <w:fitText w:val="299" w:id="-962329339"/>
                      <w14:textFill>
                        <w14:solidFill>
                          <w14:srgbClr w14:val="000000">
                            <w14:alpha w14:val="100000"/>
                          </w14:srgbClr>
                        </w14:solidFill>
                      </w14:textFill>
                    </w:rPr>
                    <w:t>|</w:t>
                  </w:r>
                  <w:r w:rsidR="00AA101F">
                    <w:rPr>
                      <w:rFonts w:ascii="Arial Narrow" w:hAnsi="Arial Narrow" w:cs="Calibri"/>
                      <w:sz w:val="18"/>
                      <w:szCs w:val="18"/>
                      <w:vertAlign w:val="superscript"/>
                    </w:rPr>
                    <w:t>2</w:t>
                  </w:r>
                </w:p>
              </w:tc>
            </w:tr>
          </w:tbl>
          <w:p w14:paraId="2C6C6753" w14:textId="2EED5941" w:rsidR="007D00BA" w:rsidRPr="004D6AD4" w:rsidRDefault="007D00BA" w:rsidP="00EA6DFD">
            <w:pPr>
              <w:pStyle w:val="TableText0"/>
              <w:keepNext w:val="0"/>
              <w:rPr>
                <w:sz w:val="18"/>
                <w:szCs w:val="18"/>
              </w:rPr>
            </w:pPr>
            <w:r w:rsidRPr="004D6AD4">
              <w:rPr>
                <w:sz w:val="18"/>
                <w:szCs w:val="18"/>
              </w:rPr>
              <w:t>Source: Table 4.3-1 of the resubmission</w:t>
            </w:r>
          </w:p>
          <w:p w14:paraId="55C4AF39" w14:textId="77777777" w:rsidR="007D00BA" w:rsidRPr="004D6AD4" w:rsidRDefault="007D00BA" w:rsidP="00EA6DFD">
            <w:pPr>
              <w:pStyle w:val="TableText0"/>
              <w:keepNext w:val="0"/>
              <w:rPr>
                <w:sz w:val="18"/>
                <w:szCs w:val="18"/>
              </w:rPr>
            </w:pPr>
            <w:r w:rsidRPr="004D6AD4">
              <w:rPr>
                <w:sz w:val="18"/>
                <w:szCs w:val="18"/>
              </w:rPr>
              <w:t>Yr = year</w:t>
            </w:r>
          </w:p>
          <w:p w14:paraId="7582EFE7" w14:textId="04570E65" w:rsidR="00CD1087" w:rsidRPr="00914C1A" w:rsidRDefault="007D00BA" w:rsidP="00914C1A">
            <w:pPr>
              <w:pStyle w:val="TableText0"/>
              <w:rPr>
                <w:rFonts w:eastAsia="Times New Roman" w:cstheme="minorHAnsi"/>
                <w:i/>
                <w:iCs/>
                <w:sz w:val="18"/>
                <w:szCs w:val="18"/>
              </w:rPr>
            </w:pPr>
            <w:proofErr w:type="spellStart"/>
            <w:r w:rsidRPr="004D6AD4">
              <w:rPr>
                <w:sz w:val="18"/>
                <w:szCs w:val="18"/>
              </w:rPr>
              <w:t>a</w:t>
            </w:r>
            <w:proofErr w:type="spellEnd"/>
            <w:r w:rsidRPr="004D6AD4">
              <w:rPr>
                <w:sz w:val="18"/>
                <w:szCs w:val="18"/>
              </w:rPr>
              <w:t xml:space="preserve"> The total eligible patients in Year 4 = </w:t>
            </w:r>
            <w:r w:rsidR="00DE6661" w:rsidRPr="00DE6661">
              <w:rPr>
                <w:color w:val="000000"/>
                <w:spacing w:val="222"/>
                <w:sz w:val="18"/>
                <w:szCs w:val="18"/>
                <w:shd w:val="solid" w:color="000000" w:fill="000000"/>
                <w:fitText w:val="299" w:id="-962329338"/>
                <w14:textFill>
                  <w14:solidFill>
                    <w14:srgbClr w14:val="000000">
                      <w14:alpha w14:val="100000"/>
                    </w14:srgbClr>
                  </w14:solidFill>
                </w14:textFill>
              </w:rPr>
              <w:t>|</w:t>
            </w:r>
            <w:r w:rsidR="00DE6661" w:rsidRPr="00DE6661">
              <w:rPr>
                <w:color w:val="000000"/>
                <w:spacing w:val="1"/>
                <w:sz w:val="18"/>
                <w:szCs w:val="18"/>
                <w:shd w:val="solid" w:color="000000" w:fill="000000"/>
                <w:fitText w:val="299" w:id="-962329338"/>
                <w14:textFill>
                  <w14:solidFill>
                    <w14:srgbClr w14:val="000000">
                      <w14:alpha w14:val="100000"/>
                    </w14:srgbClr>
                  </w14:solidFill>
                </w14:textFill>
              </w:rPr>
              <w:t>|</w:t>
            </w:r>
            <w:r w:rsidRPr="004D6AD4">
              <w:rPr>
                <w:sz w:val="18"/>
                <w:szCs w:val="18"/>
              </w:rPr>
              <w:t xml:space="preserve"> = </w:t>
            </w:r>
            <w:r w:rsidR="00DE6661" w:rsidRPr="00DE6661">
              <w:rPr>
                <w:color w:val="000000"/>
                <w:spacing w:val="222"/>
                <w:sz w:val="18"/>
                <w:szCs w:val="18"/>
                <w:shd w:val="solid" w:color="000000" w:fill="000000"/>
                <w:fitText w:val="299" w:id="-962329337"/>
                <w14:textFill>
                  <w14:solidFill>
                    <w14:srgbClr w14:val="000000">
                      <w14:alpha w14:val="100000"/>
                    </w14:srgbClr>
                  </w14:solidFill>
                </w14:textFill>
              </w:rPr>
              <w:t>|</w:t>
            </w:r>
            <w:r w:rsidR="00DE6661" w:rsidRPr="00DE6661">
              <w:rPr>
                <w:color w:val="000000"/>
                <w:spacing w:val="1"/>
                <w:sz w:val="18"/>
                <w:szCs w:val="18"/>
                <w:shd w:val="solid" w:color="000000" w:fill="000000"/>
                <w:fitText w:val="299" w:id="-962329337"/>
                <w14:textFill>
                  <w14:solidFill>
                    <w14:srgbClr w14:val="000000">
                      <w14:alpha w14:val="100000"/>
                    </w14:srgbClr>
                  </w14:solidFill>
                </w14:textFill>
              </w:rPr>
              <w:t>|</w:t>
            </w:r>
            <w:r w:rsidR="00AA101F">
              <w:rPr>
                <w:rFonts w:cs="Calibri"/>
                <w:sz w:val="18"/>
                <w:szCs w:val="18"/>
                <w:vertAlign w:val="superscript"/>
              </w:rPr>
              <w:t>2</w:t>
            </w:r>
            <w:r w:rsidRPr="004D6AD4">
              <w:rPr>
                <w:sz w:val="18"/>
                <w:szCs w:val="18"/>
              </w:rPr>
              <w:t xml:space="preserve">, however, when rounded up the eligible patients = </w:t>
            </w:r>
            <w:r w:rsidR="00DE6661" w:rsidRPr="00DE6661">
              <w:rPr>
                <w:color w:val="000000"/>
                <w:spacing w:val="223"/>
                <w:sz w:val="18"/>
                <w:szCs w:val="18"/>
                <w:shd w:val="solid" w:color="000000" w:fill="000000"/>
                <w:fitText w:val="300" w:id="-962329336"/>
                <w14:textFill>
                  <w14:solidFill>
                    <w14:srgbClr w14:val="000000">
                      <w14:alpha w14:val="100000"/>
                    </w14:srgbClr>
                  </w14:solidFill>
                </w14:textFill>
              </w:rPr>
              <w:t>|</w:t>
            </w:r>
            <w:r w:rsidR="00DE6661" w:rsidRPr="00DE6661">
              <w:rPr>
                <w:color w:val="000000"/>
                <w:spacing w:val="1"/>
                <w:sz w:val="18"/>
                <w:szCs w:val="18"/>
                <w:shd w:val="solid" w:color="000000" w:fill="000000"/>
                <w:fitText w:val="300" w:id="-962329336"/>
                <w14:textFill>
                  <w14:solidFill>
                    <w14:srgbClr w14:val="000000">
                      <w14:alpha w14:val="100000"/>
                    </w14:srgbClr>
                  </w14:solidFill>
                </w14:textFill>
              </w:rPr>
              <w:t>|</w:t>
            </w:r>
            <w:r w:rsidRPr="004D6AD4">
              <w:rPr>
                <w:sz w:val="18"/>
                <w:szCs w:val="18"/>
              </w:rPr>
              <w:t>=</w:t>
            </w:r>
            <w:r w:rsidR="00DE6661" w:rsidRPr="00DE6661">
              <w:rPr>
                <w:color w:val="000000"/>
                <w:spacing w:val="204"/>
                <w:sz w:val="18"/>
                <w:szCs w:val="18"/>
                <w:shd w:val="solid" w:color="000000" w:fill="000000"/>
                <w:fitText w:val="281" w:id="-962329335"/>
                <w14:textFill>
                  <w14:solidFill>
                    <w14:srgbClr w14:val="000000">
                      <w14:alpha w14:val="100000"/>
                    </w14:srgbClr>
                  </w14:solidFill>
                </w14:textFill>
              </w:rPr>
              <w:t>|</w:t>
            </w:r>
            <w:r w:rsidR="00DE6661" w:rsidRPr="00DE6661">
              <w:rPr>
                <w:color w:val="000000"/>
                <w:spacing w:val="1"/>
                <w:sz w:val="18"/>
                <w:szCs w:val="18"/>
                <w:shd w:val="solid" w:color="000000" w:fill="000000"/>
                <w:fitText w:val="281" w:id="-962329335"/>
                <w14:textFill>
                  <w14:solidFill>
                    <w14:srgbClr w14:val="000000">
                      <w14:alpha w14:val="100000"/>
                    </w14:srgbClr>
                  </w14:solidFill>
                </w14:textFill>
              </w:rPr>
              <w:t>|</w:t>
            </w:r>
            <w:r w:rsidR="00AA101F">
              <w:rPr>
                <w:rFonts w:cs="Calibri"/>
                <w:sz w:val="18"/>
                <w:szCs w:val="18"/>
                <w:vertAlign w:val="superscript"/>
              </w:rPr>
              <w:t>2</w:t>
            </w:r>
          </w:p>
        </w:tc>
        <w:tc>
          <w:tcPr>
            <w:tcW w:w="1544" w:type="pct"/>
            <w:shd w:val="clear" w:color="auto" w:fill="auto"/>
            <w:vAlign w:val="center"/>
          </w:tcPr>
          <w:p w14:paraId="3B3A54B9" w14:textId="77777777" w:rsidR="007D00BA" w:rsidRPr="004D6AD4" w:rsidRDefault="007D00BA" w:rsidP="00EA6DFD">
            <w:pPr>
              <w:pStyle w:val="TableText0"/>
              <w:keepNext w:val="0"/>
              <w:rPr>
                <w:iCs/>
                <w:szCs w:val="20"/>
              </w:rPr>
            </w:pPr>
            <w:r w:rsidRPr="004D6AD4">
              <w:rPr>
                <w:iCs/>
                <w:szCs w:val="20"/>
              </w:rPr>
              <w:t>The DUSC considered surgical eligibility and success might be informed by reports in the literature</w:t>
            </w:r>
            <w:r w:rsidRPr="004D6AD4">
              <w:rPr>
                <w:rStyle w:val="FootnoteReference"/>
                <w:rFonts w:cs="Calibri"/>
                <w:iCs/>
              </w:rPr>
              <w:footnoteReference w:id="8"/>
            </w:r>
            <w:r w:rsidRPr="004D6AD4">
              <w:rPr>
                <w:iCs/>
                <w:szCs w:val="20"/>
              </w:rPr>
              <w:t xml:space="preserve">, with many estimates of surgical success substantially higher than those utilised by the submission, which would lead to substantial underestimation. Lower surgical success rates, particularly outside of specialised centres, can be a substantive source of uncertainty in the utilisation and financial estimates, (Table 19, osilodrostat, March 2023 PBAC meeting). </w:t>
            </w:r>
          </w:p>
          <w:p w14:paraId="47D114F3" w14:textId="77777777" w:rsidR="007D00BA" w:rsidRPr="004D6AD4" w:rsidRDefault="007D00BA" w:rsidP="00EA6DFD">
            <w:pPr>
              <w:pStyle w:val="TableText0"/>
              <w:keepNext w:val="0"/>
              <w:rPr>
                <w:iCs/>
                <w:szCs w:val="20"/>
              </w:rPr>
            </w:pPr>
          </w:p>
          <w:p w14:paraId="3B1D7CA7" w14:textId="77777777" w:rsidR="007D00BA" w:rsidRPr="004D6AD4" w:rsidRDefault="007D00BA" w:rsidP="00EA6DFD">
            <w:pPr>
              <w:pStyle w:val="TableText0"/>
              <w:keepNext w:val="0"/>
              <w:rPr>
                <w:i/>
                <w:iCs/>
                <w:szCs w:val="20"/>
              </w:rPr>
            </w:pPr>
            <w:r w:rsidRPr="004D6AD4">
              <w:rPr>
                <w:rFonts w:cs="Calibri"/>
                <w:iCs/>
                <w:szCs w:val="20"/>
              </w:rPr>
              <w:t>The DUSC noted the possibility of leakage to patients before and during radiotherapy and surgery might result in the estimates from the previous submission being underestimated</w:t>
            </w:r>
            <w:r w:rsidRPr="004D6AD4">
              <w:rPr>
                <w:iCs/>
                <w:szCs w:val="20"/>
              </w:rPr>
              <w:t xml:space="preserve"> (Table 19, osilodrostat, March 2023 PBAC meeting)</w:t>
            </w:r>
            <w:r w:rsidRPr="004D6AD4">
              <w:rPr>
                <w:rFonts w:cs="Calibri"/>
                <w:iCs/>
                <w:szCs w:val="20"/>
              </w:rPr>
              <w:t>.</w:t>
            </w:r>
          </w:p>
        </w:tc>
      </w:tr>
      <w:tr w:rsidR="007D00BA" w:rsidRPr="00397E6D" w14:paraId="3036652A" w14:textId="77777777" w:rsidTr="00EA6DFD">
        <w:trPr>
          <w:cantSplit/>
          <w:trHeight w:val="20"/>
        </w:trPr>
        <w:tc>
          <w:tcPr>
            <w:tcW w:w="5000" w:type="pct"/>
            <w:gridSpan w:val="3"/>
            <w:shd w:val="clear" w:color="auto" w:fill="auto"/>
            <w:vAlign w:val="center"/>
          </w:tcPr>
          <w:p w14:paraId="49CF4928" w14:textId="77777777" w:rsidR="007D00BA" w:rsidRPr="004D6AD4" w:rsidRDefault="007D00BA" w:rsidP="00EA6DFD">
            <w:pPr>
              <w:pStyle w:val="TableText0"/>
              <w:keepLines/>
              <w:rPr>
                <w:b/>
                <w:bCs w:val="0"/>
                <w:szCs w:val="20"/>
              </w:rPr>
            </w:pPr>
            <w:r w:rsidRPr="004D6AD4">
              <w:rPr>
                <w:b/>
                <w:bCs w:val="0"/>
                <w:szCs w:val="20"/>
              </w:rPr>
              <w:t>Treatment utilisation</w:t>
            </w:r>
          </w:p>
        </w:tc>
      </w:tr>
      <w:tr w:rsidR="007D00BA" w:rsidRPr="00397E6D" w14:paraId="17C13CD6" w14:textId="77777777" w:rsidTr="00914C1A">
        <w:trPr>
          <w:cantSplit/>
          <w:trHeight w:val="20"/>
        </w:trPr>
        <w:tc>
          <w:tcPr>
            <w:tcW w:w="753" w:type="pct"/>
            <w:vAlign w:val="center"/>
          </w:tcPr>
          <w:p w14:paraId="31D3C9BC" w14:textId="77777777" w:rsidR="007D00BA" w:rsidRPr="004D6AD4" w:rsidRDefault="007D00BA" w:rsidP="00EA6DFD">
            <w:pPr>
              <w:pStyle w:val="TableText0"/>
              <w:keepNext w:val="0"/>
              <w:rPr>
                <w:szCs w:val="20"/>
              </w:rPr>
            </w:pPr>
            <w:r w:rsidRPr="004D6AD4">
              <w:rPr>
                <w:szCs w:val="20"/>
              </w:rPr>
              <w:t>Uptake rate</w:t>
            </w:r>
          </w:p>
        </w:tc>
        <w:tc>
          <w:tcPr>
            <w:tcW w:w="2703" w:type="pct"/>
            <w:vAlign w:val="center"/>
          </w:tcPr>
          <w:p w14:paraId="24EF0418" w14:textId="77777777" w:rsidR="007D00BA" w:rsidRPr="004D6AD4" w:rsidRDefault="007D00BA" w:rsidP="00EA6DFD">
            <w:pPr>
              <w:pStyle w:val="TableText0"/>
              <w:keepNext w:val="0"/>
              <w:rPr>
                <w:szCs w:val="20"/>
              </w:rPr>
            </w:pPr>
            <w:r w:rsidRPr="004D6AD4">
              <w:rPr>
                <w:szCs w:val="20"/>
              </w:rPr>
              <w:t xml:space="preserve">Based on the number of patients that are currently enrolled in the patient access program and the conservative approach to adopting new medicines by endocrinologist. </w:t>
            </w:r>
          </w:p>
          <w:p w14:paraId="007CDB8C" w14:textId="77777777" w:rsidR="007D00BA" w:rsidRPr="004D6AD4" w:rsidRDefault="007D00BA" w:rsidP="00EA6DFD">
            <w:pPr>
              <w:pStyle w:val="TableText0"/>
              <w:keepNext w:val="0"/>
              <w:rPr>
                <w:szCs w:val="20"/>
              </w:rPr>
            </w:pPr>
          </w:p>
          <w:tbl>
            <w:tblPr>
              <w:tblStyle w:val="Summarybox77"/>
              <w:tblW w:w="4593" w:type="dxa"/>
              <w:tblLook w:val="04A0" w:firstRow="1" w:lastRow="0" w:firstColumn="1" w:lastColumn="0" w:noHBand="0" w:noVBand="1"/>
            </w:tblPr>
            <w:tblGrid>
              <w:gridCol w:w="1191"/>
              <w:gridCol w:w="567"/>
              <w:gridCol w:w="567"/>
              <w:gridCol w:w="567"/>
              <w:gridCol w:w="567"/>
              <w:gridCol w:w="567"/>
              <w:gridCol w:w="567"/>
            </w:tblGrid>
            <w:tr w:rsidR="004D6AD4" w:rsidRPr="004D6AD4" w14:paraId="496BF748" w14:textId="77777777" w:rsidTr="00DE6661">
              <w:trPr>
                <w:trHeight w:val="236"/>
              </w:trPr>
              <w:tc>
                <w:tcPr>
                  <w:tcW w:w="1191" w:type="dxa"/>
                  <w:shd w:val="clear" w:color="auto" w:fill="auto"/>
                  <w:vAlign w:val="center"/>
                </w:tcPr>
                <w:p w14:paraId="50FF40A2" w14:textId="77777777" w:rsidR="007D00BA" w:rsidRPr="00914C1A" w:rsidRDefault="007D00BA" w:rsidP="00EA6DFD">
                  <w:pPr>
                    <w:pStyle w:val="TableText0"/>
                    <w:keepNext w:val="0"/>
                    <w:rPr>
                      <w:sz w:val="18"/>
                      <w:szCs w:val="18"/>
                    </w:rPr>
                  </w:pPr>
                </w:p>
              </w:tc>
              <w:tc>
                <w:tcPr>
                  <w:tcW w:w="567" w:type="dxa"/>
                  <w:tcBorders>
                    <w:bottom w:val="single" w:sz="4" w:space="0" w:color="auto"/>
                  </w:tcBorders>
                  <w:shd w:val="clear" w:color="auto" w:fill="auto"/>
                  <w:vAlign w:val="center"/>
                </w:tcPr>
                <w:p w14:paraId="6B5F5839" w14:textId="77777777" w:rsidR="007D00BA" w:rsidRPr="00914C1A" w:rsidRDefault="007D00BA" w:rsidP="00EA6DFD">
                  <w:pPr>
                    <w:pStyle w:val="TableText0"/>
                    <w:keepNext w:val="0"/>
                    <w:jc w:val="center"/>
                    <w:rPr>
                      <w:b/>
                      <w:bCs w:val="0"/>
                      <w:sz w:val="18"/>
                      <w:szCs w:val="18"/>
                    </w:rPr>
                  </w:pPr>
                  <w:r w:rsidRPr="00914C1A">
                    <w:rPr>
                      <w:b/>
                      <w:bCs w:val="0"/>
                      <w:sz w:val="18"/>
                      <w:szCs w:val="18"/>
                    </w:rPr>
                    <w:t>Yr 1</w:t>
                  </w:r>
                </w:p>
              </w:tc>
              <w:tc>
                <w:tcPr>
                  <w:tcW w:w="567" w:type="dxa"/>
                  <w:tcBorders>
                    <w:bottom w:val="single" w:sz="4" w:space="0" w:color="auto"/>
                  </w:tcBorders>
                  <w:shd w:val="clear" w:color="auto" w:fill="auto"/>
                  <w:vAlign w:val="center"/>
                </w:tcPr>
                <w:p w14:paraId="43C8720D" w14:textId="77777777" w:rsidR="007D00BA" w:rsidRPr="00914C1A" w:rsidRDefault="007D00BA" w:rsidP="00EA6DFD">
                  <w:pPr>
                    <w:pStyle w:val="TableText0"/>
                    <w:keepNext w:val="0"/>
                    <w:jc w:val="center"/>
                    <w:rPr>
                      <w:b/>
                      <w:bCs w:val="0"/>
                      <w:sz w:val="18"/>
                      <w:szCs w:val="18"/>
                    </w:rPr>
                  </w:pPr>
                  <w:r w:rsidRPr="00914C1A">
                    <w:rPr>
                      <w:b/>
                      <w:bCs w:val="0"/>
                      <w:sz w:val="18"/>
                      <w:szCs w:val="18"/>
                    </w:rPr>
                    <w:t>Yr 2</w:t>
                  </w:r>
                </w:p>
              </w:tc>
              <w:tc>
                <w:tcPr>
                  <w:tcW w:w="567" w:type="dxa"/>
                  <w:tcBorders>
                    <w:bottom w:val="single" w:sz="4" w:space="0" w:color="auto"/>
                  </w:tcBorders>
                  <w:shd w:val="clear" w:color="auto" w:fill="auto"/>
                  <w:vAlign w:val="center"/>
                </w:tcPr>
                <w:p w14:paraId="7BCC3390" w14:textId="77777777" w:rsidR="007D00BA" w:rsidRPr="00914C1A" w:rsidRDefault="007D00BA" w:rsidP="00EA6DFD">
                  <w:pPr>
                    <w:pStyle w:val="TableText0"/>
                    <w:keepNext w:val="0"/>
                    <w:jc w:val="center"/>
                    <w:rPr>
                      <w:b/>
                      <w:bCs w:val="0"/>
                      <w:sz w:val="18"/>
                      <w:szCs w:val="18"/>
                    </w:rPr>
                  </w:pPr>
                  <w:r w:rsidRPr="00914C1A">
                    <w:rPr>
                      <w:b/>
                      <w:bCs w:val="0"/>
                      <w:sz w:val="18"/>
                      <w:szCs w:val="18"/>
                    </w:rPr>
                    <w:t>Yr 3</w:t>
                  </w:r>
                </w:p>
              </w:tc>
              <w:tc>
                <w:tcPr>
                  <w:tcW w:w="567" w:type="dxa"/>
                  <w:tcBorders>
                    <w:bottom w:val="single" w:sz="4" w:space="0" w:color="auto"/>
                  </w:tcBorders>
                  <w:shd w:val="clear" w:color="auto" w:fill="auto"/>
                  <w:vAlign w:val="center"/>
                </w:tcPr>
                <w:p w14:paraId="63E30928" w14:textId="77777777" w:rsidR="007D00BA" w:rsidRPr="00914C1A" w:rsidRDefault="007D00BA" w:rsidP="00EA6DFD">
                  <w:pPr>
                    <w:pStyle w:val="TableText0"/>
                    <w:keepNext w:val="0"/>
                    <w:jc w:val="center"/>
                    <w:rPr>
                      <w:b/>
                      <w:bCs w:val="0"/>
                      <w:sz w:val="18"/>
                      <w:szCs w:val="18"/>
                    </w:rPr>
                  </w:pPr>
                  <w:r w:rsidRPr="00914C1A">
                    <w:rPr>
                      <w:b/>
                      <w:bCs w:val="0"/>
                      <w:sz w:val="18"/>
                      <w:szCs w:val="18"/>
                    </w:rPr>
                    <w:t>Yr 4</w:t>
                  </w:r>
                </w:p>
              </w:tc>
              <w:tc>
                <w:tcPr>
                  <w:tcW w:w="567" w:type="dxa"/>
                  <w:tcBorders>
                    <w:bottom w:val="single" w:sz="4" w:space="0" w:color="auto"/>
                  </w:tcBorders>
                  <w:shd w:val="clear" w:color="auto" w:fill="auto"/>
                  <w:vAlign w:val="center"/>
                </w:tcPr>
                <w:p w14:paraId="17E32876" w14:textId="77777777" w:rsidR="007D00BA" w:rsidRPr="00914C1A" w:rsidRDefault="007D00BA" w:rsidP="00EA6DFD">
                  <w:pPr>
                    <w:pStyle w:val="TableText0"/>
                    <w:keepNext w:val="0"/>
                    <w:jc w:val="center"/>
                    <w:rPr>
                      <w:b/>
                      <w:bCs w:val="0"/>
                      <w:sz w:val="18"/>
                      <w:szCs w:val="18"/>
                    </w:rPr>
                  </w:pPr>
                  <w:r w:rsidRPr="00914C1A">
                    <w:rPr>
                      <w:b/>
                      <w:bCs w:val="0"/>
                      <w:sz w:val="18"/>
                      <w:szCs w:val="18"/>
                    </w:rPr>
                    <w:t>Yr 5</w:t>
                  </w:r>
                </w:p>
              </w:tc>
              <w:tc>
                <w:tcPr>
                  <w:tcW w:w="567" w:type="dxa"/>
                  <w:tcBorders>
                    <w:bottom w:val="single" w:sz="4" w:space="0" w:color="auto"/>
                  </w:tcBorders>
                  <w:shd w:val="clear" w:color="auto" w:fill="auto"/>
                  <w:vAlign w:val="center"/>
                </w:tcPr>
                <w:p w14:paraId="0094040C" w14:textId="77777777" w:rsidR="007D00BA" w:rsidRPr="00914C1A" w:rsidRDefault="007D00BA" w:rsidP="00EA6DFD">
                  <w:pPr>
                    <w:pStyle w:val="TableText0"/>
                    <w:keepNext w:val="0"/>
                    <w:jc w:val="center"/>
                    <w:rPr>
                      <w:b/>
                      <w:bCs w:val="0"/>
                      <w:sz w:val="18"/>
                      <w:szCs w:val="18"/>
                    </w:rPr>
                  </w:pPr>
                  <w:r w:rsidRPr="00914C1A">
                    <w:rPr>
                      <w:b/>
                      <w:bCs w:val="0"/>
                      <w:sz w:val="18"/>
                      <w:szCs w:val="18"/>
                    </w:rPr>
                    <w:t>Yr 6</w:t>
                  </w:r>
                </w:p>
              </w:tc>
            </w:tr>
            <w:tr w:rsidR="00DE6661" w:rsidRPr="004D6AD4" w14:paraId="5029D057" w14:textId="77777777" w:rsidTr="00DE6661">
              <w:trPr>
                <w:trHeight w:val="472"/>
              </w:trPr>
              <w:tc>
                <w:tcPr>
                  <w:tcW w:w="1191" w:type="dxa"/>
                  <w:shd w:val="clear" w:color="auto" w:fill="auto"/>
                  <w:vAlign w:val="center"/>
                </w:tcPr>
                <w:p w14:paraId="4DFA6477" w14:textId="53DD9E6C" w:rsidR="007D00BA" w:rsidRPr="00914C1A" w:rsidRDefault="007D00BA" w:rsidP="00EA6DFD">
                  <w:pPr>
                    <w:pStyle w:val="TableText0"/>
                    <w:keepNext w:val="0"/>
                    <w:rPr>
                      <w:sz w:val="18"/>
                      <w:szCs w:val="18"/>
                    </w:rPr>
                  </w:pPr>
                  <w:r w:rsidRPr="00914C1A">
                    <w:rPr>
                      <w:sz w:val="18"/>
                      <w:szCs w:val="18"/>
                    </w:rPr>
                    <w:t>Prevalent population</w:t>
                  </w:r>
                  <w:r w:rsidR="00A97B47" w:rsidRPr="00914C1A">
                    <w:rPr>
                      <w:sz w:val="18"/>
                      <w:szCs w:val="18"/>
                    </w:rPr>
                    <w:t xml:space="preserve"> cumulative uptake</w:t>
                  </w:r>
                  <w:r w:rsidR="00DE6DE1">
                    <w:rPr>
                      <w:sz w:val="18"/>
                      <w:szCs w:val="18"/>
                    </w:rPr>
                    <w:t xml:space="preserve"> (%)</w:t>
                  </w:r>
                </w:p>
              </w:tc>
              <w:tc>
                <w:tcPr>
                  <w:tcW w:w="567" w:type="dxa"/>
                  <w:shd w:val="solid" w:color="000000" w:fill="000000"/>
                  <w:vAlign w:val="center"/>
                </w:tcPr>
                <w:p w14:paraId="19ED1056" w14:textId="43FEED4C" w:rsidR="007D00BA" w:rsidRPr="00914C1A" w:rsidRDefault="00DE6661" w:rsidP="00EA6DFD">
                  <w:pPr>
                    <w:pStyle w:val="TableText0"/>
                    <w:keepNext w:val="0"/>
                    <w:jc w:val="center"/>
                    <w:rPr>
                      <w:sz w:val="18"/>
                      <w:szCs w:val="18"/>
                      <w:highlight w:val="lightGray"/>
                    </w:rPr>
                  </w:pPr>
                  <w:r w:rsidRPr="00DE6661">
                    <w:rPr>
                      <w:color w:val="000000"/>
                      <w:spacing w:val="204"/>
                      <w:sz w:val="18"/>
                      <w:szCs w:val="18"/>
                      <w:fitText w:val="281" w:id="-962329334"/>
                      <w14:textFill>
                        <w14:solidFill>
                          <w14:srgbClr w14:val="000000">
                            <w14:alpha w14:val="100000"/>
                          </w14:srgbClr>
                        </w14:solidFill>
                      </w14:textFill>
                    </w:rPr>
                    <w:t>|</w:t>
                  </w:r>
                  <w:r w:rsidRPr="00DE6661">
                    <w:rPr>
                      <w:color w:val="000000"/>
                      <w:sz w:val="18"/>
                      <w:szCs w:val="18"/>
                      <w:fitText w:val="281" w:id="-962329334"/>
                      <w14:textFill>
                        <w14:solidFill>
                          <w14:srgbClr w14:val="000000">
                            <w14:alpha w14:val="100000"/>
                          </w14:srgbClr>
                        </w14:solidFill>
                      </w14:textFill>
                    </w:rPr>
                    <w:t>|</w:t>
                  </w:r>
                </w:p>
              </w:tc>
              <w:tc>
                <w:tcPr>
                  <w:tcW w:w="567" w:type="dxa"/>
                  <w:tcBorders>
                    <w:bottom w:val="single" w:sz="4" w:space="0" w:color="auto"/>
                  </w:tcBorders>
                  <w:shd w:val="solid" w:color="000000" w:fill="000000"/>
                  <w:vAlign w:val="center"/>
                </w:tcPr>
                <w:p w14:paraId="36986452" w14:textId="218A9FA5" w:rsidR="007D00BA" w:rsidRPr="00914C1A" w:rsidRDefault="00DE6661" w:rsidP="00EA6DFD">
                  <w:pPr>
                    <w:pStyle w:val="TableText0"/>
                    <w:keepNext w:val="0"/>
                    <w:jc w:val="center"/>
                    <w:rPr>
                      <w:sz w:val="18"/>
                      <w:szCs w:val="18"/>
                      <w:highlight w:val="lightGray"/>
                    </w:rPr>
                  </w:pPr>
                  <w:r w:rsidRPr="00DE6661">
                    <w:rPr>
                      <w:color w:val="000000"/>
                      <w:spacing w:val="204"/>
                      <w:sz w:val="18"/>
                      <w:szCs w:val="18"/>
                      <w:fitText w:val="281" w:id="-962329333"/>
                      <w14:textFill>
                        <w14:solidFill>
                          <w14:srgbClr w14:val="000000">
                            <w14:alpha w14:val="100000"/>
                          </w14:srgbClr>
                        </w14:solidFill>
                      </w14:textFill>
                    </w:rPr>
                    <w:t>|</w:t>
                  </w:r>
                  <w:r w:rsidRPr="00DE6661">
                    <w:rPr>
                      <w:color w:val="000000"/>
                      <w:sz w:val="18"/>
                      <w:szCs w:val="18"/>
                      <w:fitText w:val="281" w:id="-962329333"/>
                      <w14:textFill>
                        <w14:solidFill>
                          <w14:srgbClr w14:val="000000">
                            <w14:alpha w14:val="100000"/>
                          </w14:srgbClr>
                        </w14:solidFill>
                      </w14:textFill>
                    </w:rPr>
                    <w:t>|</w:t>
                  </w:r>
                </w:p>
              </w:tc>
              <w:tc>
                <w:tcPr>
                  <w:tcW w:w="567" w:type="dxa"/>
                  <w:tcBorders>
                    <w:bottom w:val="single" w:sz="4" w:space="0" w:color="auto"/>
                  </w:tcBorders>
                  <w:shd w:val="solid" w:color="000000" w:fill="000000"/>
                  <w:vAlign w:val="center"/>
                </w:tcPr>
                <w:p w14:paraId="0F4D76A8" w14:textId="16849E82" w:rsidR="007D00BA" w:rsidRPr="00914C1A" w:rsidRDefault="00DE6661" w:rsidP="00EA6DFD">
                  <w:pPr>
                    <w:pStyle w:val="TableText0"/>
                    <w:keepNext w:val="0"/>
                    <w:jc w:val="center"/>
                    <w:rPr>
                      <w:sz w:val="18"/>
                      <w:szCs w:val="18"/>
                      <w:highlight w:val="lightGray"/>
                    </w:rPr>
                  </w:pPr>
                  <w:r w:rsidRPr="00DE6661">
                    <w:rPr>
                      <w:color w:val="000000"/>
                      <w:spacing w:val="203"/>
                      <w:sz w:val="18"/>
                      <w:szCs w:val="18"/>
                      <w:fitText w:val="280" w:id="-962329332"/>
                      <w14:textFill>
                        <w14:solidFill>
                          <w14:srgbClr w14:val="000000">
                            <w14:alpha w14:val="100000"/>
                          </w14:srgbClr>
                        </w14:solidFill>
                      </w14:textFill>
                    </w:rPr>
                    <w:t>|</w:t>
                  </w:r>
                  <w:r w:rsidRPr="00DE6661">
                    <w:rPr>
                      <w:color w:val="000000"/>
                      <w:sz w:val="18"/>
                      <w:szCs w:val="18"/>
                      <w:fitText w:val="280" w:id="-962329332"/>
                      <w14:textFill>
                        <w14:solidFill>
                          <w14:srgbClr w14:val="000000">
                            <w14:alpha w14:val="100000"/>
                          </w14:srgbClr>
                        </w14:solidFill>
                      </w14:textFill>
                    </w:rPr>
                    <w:t>|</w:t>
                  </w:r>
                </w:p>
              </w:tc>
              <w:tc>
                <w:tcPr>
                  <w:tcW w:w="567" w:type="dxa"/>
                  <w:tcBorders>
                    <w:bottom w:val="single" w:sz="4" w:space="0" w:color="auto"/>
                  </w:tcBorders>
                  <w:shd w:val="solid" w:color="000000" w:fill="000000"/>
                  <w:vAlign w:val="center"/>
                </w:tcPr>
                <w:p w14:paraId="29CDCED8" w14:textId="6FDDDD2C" w:rsidR="007D00BA" w:rsidRPr="00914C1A" w:rsidRDefault="00DE6661" w:rsidP="00EA6DFD">
                  <w:pPr>
                    <w:pStyle w:val="TableText0"/>
                    <w:keepNext w:val="0"/>
                    <w:jc w:val="center"/>
                    <w:rPr>
                      <w:sz w:val="18"/>
                      <w:szCs w:val="18"/>
                      <w:highlight w:val="lightGray"/>
                    </w:rPr>
                  </w:pPr>
                  <w:r w:rsidRPr="00DE6661">
                    <w:rPr>
                      <w:color w:val="000000"/>
                      <w:spacing w:val="203"/>
                      <w:sz w:val="18"/>
                      <w:szCs w:val="18"/>
                      <w:fitText w:val="280" w:id="-962329331"/>
                      <w14:textFill>
                        <w14:solidFill>
                          <w14:srgbClr w14:val="000000">
                            <w14:alpha w14:val="100000"/>
                          </w14:srgbClr>
                        </w14:solidFill>
                      </w14:textFill>
                    </w:rPr>
                    <w:t>|</w:t>
                  </w:r>
                  <w:r w:rsidRPr="00DE6661">
                    <w:rPr>
                      <w:color w:val="000000"/>
                      <w:sz w:val="18"/>
                      <w:szCs w:val="18"/>
                      <w:fitText w:val="280" w:id="-962329331"/>
                      <w14:textFill>
                        <w14:solidFill>
                          <w14:srgbClr w14:val="000000">
                            <w14:alpha w14:val="100000"/>
                          </w14:srgbClr>
                        </w14:solidFill>
                      </w14:textFill>
                    </w:rPr>
                    <w:t>|</w:t>
                  </w:r>
                </w:p>
              </w:tc>
              <w:tc>
                <w:tcPr>
                  <w:tcW w:w="567" w:type="dxa"/>
                  <w:tcBorders>
                    <w:bottom w:val="single" w:sz="4" w:space="0" w:color="auto"/>
                  </w:tcBorders>
                  <w:shd w:val="solid" w:color="000000" w:fill="000000"/>
                  <w:vAlign w:val="center"/>
                </w:tcPr>
                <w:p w14:paraId="5784F6B4" w14:textId="36D08BFA" w:rsidR="007D00BA" w:rsidRPr="00914C1A" w:rsidRDefault="00DE6661" w:rsidP="00EA6DFD">
                  <w:pPr>
                    <w:pStyle w:val="TableText0"/>
                    <w:keepNext w:val="0"/>
                    <w:jc w:val="center"/>
                    <w:rPr>
                      <w:sz w:val="18"/>
                      <w:szCs w:val="18"/>
                      <w:highlight w:val="lightGray"/>
                    </w:rPr>
                  </w:pPr>
                  <w:r w:rsidRPr="00DE6661">
                    <w:rPr>
                      <w:color w:val="000000"/>
                      <w:spacing w:val="204"/>
                      <w:sz w:val="18"/>
                      <w:szCs w:val="18"/>
                      <w:fitText w:val="281" w:id="-962329330"/>
                      <w14:textFill>
                        <w14:solidFill>
                          <w14:srgbClr w14:val="000000">
                            <w14:alpha w14:val="100000"/>
                          </w14:srgbClr>
                        </w14:solidFill>
                      </w14:textFill>
                    </w:rPr>
                    <w:t>|</w:t>
                  </w:r>
                  <w:r w:rsidRPr="00DE6661">
                    <w:rPr>
                      <w:color w:val="000000"/>
                      <w:sz w:val="18"/>
                      <w:szCs w:val="18"/>
                      <w:fitText w:val="281" w:id="-962329330"/>
                      <w14:textFill>
                        <w14:solidFill>
                          <w14:srgbClr w14:val="000000">
                            <w14:alpha w14:val="100000"/>
                          </w14:srgbClr>
                        </w14:solidFill>
                      </w14:textFill>
                    </w:rPr>
                    <w:t>|</w:t>
                  </w:r>
                </w:p>
              </w:tc>
              <w:tc>
                <w:tcPr>
                  <w:tcW w:w="567" w:type="dxa"/>
                  <w:tcBorders>
                    <w:bottom w:val="single" w:sz="4" w:space="0" w:color="auto"/>
                  </w:tcBorders>
                  <w:shd w:val="solid" w:color="000000" w:fill="000000"/>
                  <w:vAlign w:val="center"/>
                </w:tcPr>
                <w:p w14:paraId="22F9471C" w14:textId="383CCD54" w:rsidR="007D00BA" w:rsidRPr="00914C1A" w:rsidRDefault="00DE6661" w:rsidP="00EA6DFD">
                  <w:pPr>
                    <w:pStyle w:val="TableText0"/>
                    <w:keepNext w:val="0"/>
                    <w:jc w:val="center"/>
                    <w:rPr>
                      <w:sz w:val="18"/>
                      <w:szCs w:val="18"/>
                      <w:highlight w:val="lightGray"/>
                    </w:rPr>
                  </w:pPr>
                  <w:r w:rsidRPr="00DE6661">
                    <w:rPr>
                      <w:color w:val="000000"/>
                      <w:spacing w:val="204"/>
                      <w:sz w:val="18"/>
                      <w:szCs w:val="18"/>
                      <w:fitText w:val="281" w:id="-962329329"/>
                      <w14:textFill>
                        <w14:solidFill>
                          <w14:srgbClr w14:val="000000">
                            <w14:alpha w14:val="100000"/>
                          </w14:srgbClr>
                        </w14:solidFill>
                      </w14:textFill>
                    </w:rPr>
                    <w:t>|</w:t>
                  </w:r>
                  <w:r w:rsidRPr="00DE6661">
                    <w:rPr>
                      <w:color w:val="000000"/>
                      <w:sz w:val="18"/>
                      <w:szCs w:val="18"/>
                      <w:fitText w:val="281" w:id="-962329329"/>
                      <w14:textFill>
                        <w14:solidFill>
                          <w14:srgbClr w14:val="000000">
                            <w14:alpha w14:val="100000"/>
                          </w14:srgbClr>
                        </w14:solidFill>
                      </w14:textFill>
                    </w:rPr>
                    <w:t>|</w:t>
                  </w:r>
                </w:p>
              </w:tc>
            </w:tr>
            <w:tr w:rsidR="00DE6661" w:rsidRPr="004D6AD4" w14:paraId="4A84A14E" w14:textId="77777777" w:rsidTr="00DE6661">
              <w:trPr>
                <w:trHeight w:val="458"/>
              </w:trPr>
              <w:tc>
                <w:tcPr>
                  <w:tcW w:w="1191" w:type="dxa"/>
                  <w:shd w:val="clear" w:color="auto" w:fill="auto"/>
                  <w:vAlign w:val="center"/>
                </w:tcPr>
                <w:p w14:paraId="6F2A8B45" w14:textId="5C7CF562" w:rsidR="007D00BA" w:rsidRPr="00914C1A" w:rsidRDefault="007D00BA" w:rsidP="00EA6DFD">
                  <w:pPr>
                    <w:pStyle w:val="TableText0"/>
                    <w:keepNext w:val="0"/>
                    <w:rPr>
                      <w:sz w:val="18"/>
                      <w:szCs w:val="18"/>
                    </w:rPr>
                  </w:pPr>
                  <w:r w:rsidRPr="00914C1A">
                    <w:rPr>
                      <w:sz w:val="18"/>
                      <w:szCs w:val="18"/>
                    </w:rPr>
                    <w:t>Incidence population</w:t>
                  </w:r>
                  <w:r w:rsidR="00A97B47" w:rsidRPr="00914C1A">
                    <w:rPr>
                      <w:sz w:val="18"/>
                      <w:szCs w:val="18"/>
                    </w:rPr>
                    <w:t xml:space="preserve"> annual uptake</w:t>
                  </w:r>
                  <w:r w:rsidR="00DE6DE1">
                    <w:rPr>
                      <w:sz w:val="18"/>
                      <w:szCs w:val="18"/>
                    </w:rPr>
                    <w:t xml:space="preserve"> (%)</w:t>
                  </w:r>
                </w:p>
              </w:tc>
              <w:tc>
                <w:tcPr>
                  <w:tcW w:w="567" w:type="dxa"/>
                  <w:shd w:val="clear" w:color="auto" w:fill="auto"/>
                  <w:vAlign w:val="center"/>
                </w:tcPr>
                <w:p w14:paraId="4E2DC4F6" w14:textId="77777777" w:rsidR="007D00BA" w:rsidRPr="00914C1A" w:rsidRDefault="007D00BA" w:rsidP="00EA6DFD">
                  <w:pPr>
                    <w:pStyle w:val="TableText0"/>
                    <w:keepNext w:val="0"/>
                    <w:jc w:val="center"/>
                    <w:rPr>
                      <w:sz w:val="18"/>
                      <w:szCs w:val="18"/>
                    </w:rPr>
                  </w:pPr>
                  <w:r w:rsidRPr="00914C1A">
                    <w:rPr>
                      <w:sz w:val="18"/>
                      <w:szCs w:val="18"/>
                    </w:rPr>
                    <w:t>-</w:t>
                  </w:r>
                </w:p>
              </w:tc>
              <w:tc>
                <w:tcPr>
                  <w:tcW w:w="567" w:type="dxa"/>
                  <w:shd w:val="solid" w:color="000000" w:fill="000000"/>
                  <w:vAlign w:val="center"/>
                </w:tcPr>
                <w:p w14:paraId="4CE9E49D" w14:textId="74719581" w:rsidR="007D00BA" w:rsidRPr="00914C1A" w:rsidRDefault="00DE6661" w:rsidP="00EA6DFD">
                  <w:pPr>
                    <w:pStyle w:val="TableText0"/>
                    <w:keepNext w:val="0"/>
                    <w:jc w:val="center"/>
                    <w:rPr>
                      <w:sz w:val="18"/>
                      <w:szCs w:val="18"/>
                      <w:highlight w:val="lightGray"/>
                    </w:rPr>
                  </w:pPr>
                  <w:r w:rsidRPr="00DE6661">
                    <w:rPr>
                      <w:color w:val="000000"/>
                      <w:spacing w:val="204"/>
                      <w:sz w:val="18"/>
                      <w:szCs w:val="18"/>
                      <w:fitText w:val="281" w:id="-962329328"/>
                      <w14:textFill>
                        <w14:solidFill>
                          <w14:srgbClr w14:val="000000">
                            <w14:alpha w14:val="100000"/>
                          </w14:srgbClr>
                        </w14:solidFill>
                      </w14:textFill>
                    </w:rPr>
                    <w:t>|</w:t>
                  </w:r>
                  <w:r w:rsidRPr="00DE6661">
                    <w:rPr>
                      <w:color w:val="000000"/>
                      <w:sz w:val="18"/>
                      <w:szCs w:val="18"/>
                      <w:fitText w:val="281" w:id="-962329328"/>
                      <w14:textFill>
                        <w14:solidFill>
                          <w14:srgbClr w14:val="000000">
                            <w14:alpha w14:val="100000"/>
                          </w14:srgbClr>
                        </w14:solidFill>
                      </w14:textFill>
                    </w:rPr>
                    <w:t>|</w:t>
                  </w:r>
                </w:p>
              </w:tc>
              <w:tc>
                <w:tcPr>
                  <w:tcW w:w="567" w:type="dxa"/>
                  <w:shd w:val="solid" w:color="000000" w:fill="000000"/>
                  <w:vAlign w:val="center"/>
                </w:tcPr>
                <w:p w14:paraId="43F42D4E" w14:textId="262FF0AE" w:rsidR="007D00BA" w:rsidRPr="00914C1A" w:rsidRDefault="00DE6661" w:rsidP="00EA6DFD">
                  <w:pPr>
                    <w:pStyle w:val="TableText0"/>
                    <w:keepNext w:val="0"/>
                    <w:jc w:val="center"/>
                    <w:rPr>
                      <w:sz w:val="18"/>
                      <w:szCs w:val="18"/>
                      <w:highlight w:val="lightGray"/>
                    </w:rPr>
                  </w:pPr>
                  <w:r w:rsidRPr="00DE6661">
                    <w:rPr>
                      <w:color w:val="000000"/>
                      <w:spacing w:val="203"/>
                      <w:sz w:val="18"/>
                      <w:szCs w:val="18"/>
                      <w:fitText w:val="280" w:id="-962329344"/>
                      <w14:textFill>
                        <w14:solidFill>
                          <w14:srgbClr w14:val="000000">
                            <w14:alpha w14:val="100000"/>
                          </w14:srgbClr>
                        </w14:solidFill>
                      </w14:textFill>
                    </w:rPr>
                    <w:t>|</w:t>
                  </w:r>
                  <w:r w:rsidRPr="00DE6661">
                    <w:rPr>
                      <w:color w:val="000000"/>
                      <w:sz w:val="18"/>
                      <w:szCs w:val="18"/>
                      <w:fitText w:val="280" w:id="-962329344"/>
                      <w14:textFill>
                        <w14:solidFill>
                          <w14:srgbClr w14:val="000000">
                            <w14:alpha w14:val="100000"/>
                          </w14:srgbClr>
                        </w14:solidFill>
                      </w14:textFill>
                    </w:rPr>
                    <w:t>|</w:t>
                  </w:r>
                </w:p>
              </w:tc>
              <w:tc>
                <w:tcPr>
                  <w:tcW w:w="567" w:type="dxa"/>
                  <w:shd w:val="solid" w:color="000000" w:fill="000000"/>
                  <w:vAlign w:val="center"/>
                </w:tcPr>
                <w:p w14:paraId="097AF41D" w14:textId="0C74E93E" w:rsidR="007D00BA" w:rsidRPr="00914C1A" w:rsidRDefault="00DE6661" w:rsidP="00EA6DFD">
                  <w:pPr>
                    <w:pStyle w:val="TableText0"/>
                    <w:keepNext w:val="0"/>
                    <w:jc w:val="center"/>
                    <w:rPr>
                      <w:sz w:val="18"/>
                      <w:szCs w:val="18"/>
                      <w:highlight w:val="lightGray"/>
                    </w:rPr>
                  </w:pPr>
                  <w:r w:rsidRPr="00DE6661">
                    <w:rPr>
                      <w:color w:val="000000"/>
                      <w:spacing w:val="203"/>
                      <w:sz w:val="18"/>
                      <w:szCs w:val="18"/>
                      <w:fitText w:val="280" w:id="-962329343"/>
                      <w14:textFill>
                        <w14:solidFill>
                          <w14:srgbClr w14:val="000000">
                            <w14:alpha w14:val="100000"/>
                          </w14:srgbClr>
                        </w14:solidFill>
                      </w14:textFill>
                    </w:rPr>
                    <w:t>|</w:t>
                  </w:r>
                  <w:r w:rsidRPr="00DE6661">
                    <w:rPr>
                      <w:color w:val="000000"/>
                      <w:sz w:val="18"/>
                      <w:szCs w:val="18"/>
                      <w:fitText w:val="280" w:id="-962329343"/>
                      <w14:textFill>
                        <w14:solidFill>
                          <w14:srgbClr w14:val="000000">
                            <w14:alpha w14:val="100000"/>
                          </w14:srgbClr>
                        </w14:solidFill>
                      </w14:textFill>
                    </w:rPr>
                    <w:t>|</w:t>
                  </w:r>
                </w:p>
              </w:tc>
              <w:tc>
                <w:tcPr>
                  <w:tcW w:w="567" w:type="dxa"/>
                  <w:shd w:val="solid" w:color="000000" w:fill="000000"/>
                  <w:vAlign w:val="center"/>
                </w:tcPr>
                <w:p w14:paraId="4CF3A9CB" w14:textId="6BEA9DD9" w:rsidR="007D00BA" w:rsidRPr="00914C1A" w:rsidRDefault="00DE6661" w:rsidP="00EA6DFD">
                  <w:pPr>
                    <w:pStyle w:val="TableText0"/>
                    <w:keepNext w:val="0"/>
                    <w:jc w:val="center"/>
                    <w:rPr>
                      <w:sz w:val="18"/>
                      <w:szCs w:val="18"/>
                      <w:highlight w:val="lightGray"/>
                    </w:rPr>
                  </w:pPr>
                  <w:r w:rsidRPr="00DE6661">
                    <w:rPr>
                      <w:color w:val="000000"/>
                      <w:spacing w:val="204"/>
                      <w:sz w:val="18"/>
                      <w:szCs w:val="18"/>
                      <w:fitText w:val="281" w:id="-962329342"/>
                      <w14:textFill>
                        <w14:solidFill>
                          <w14:srgbClr w14:val="000000">
                            <w14:alpha w14:val="100000"/>
                          </w14:srgbClr>
                        </w14:solidFill>
                      </w14:textFill>
                    </w:rPr>
                    <w:t>|</w:t>
                  </w:r>
                  <w:r w:rsidRPr="00DE6661">
                    <w:rPr>
                      <w:color w:val="000000"/>
                      <w:sz w:val="18"/>
                      <w:szCs w:val="18"/>
                      <w:fitText w:val="281" w:id="-962329342"/>
                      <w14:textFill>
                        <w14:solidFill>
                          <w14:srgbClr w14:val="000000">
                            <w14:alpha w14:val="100000"/>
                          </w14:srgbClr>
                        </w14:solidFill>
                      </w14:textFill>
                    </w:rPr>
                    <w:t>|</w:t>
                  </w:r>
                </w:p>
              </w:tc>
              <w:tc>
                <w:tcPr>
                  <w:tcW w:w="567" w:type="dxa"/>
                  <w:shd w:val="solid" w:color="000000" w:fill="000000"/>
                  <w:vAlign w:val="center"/>
                </w:tcPr>
                <w:p w14:paraId="3AC59F7F" w14:textId="1DB8B8AC" w:rsidR="007D00BA" w:rsidRPr="00914C1A" w:rsidRDefault="00DE6661" w:rsidP="00EA6DFD">
                  <w:pPr>
                    <w:pStyle w:val="TableText0"/>
                    <w:keepNext w:val="0"/>
                    <w:jc w:val="center"/>
                    <w:rPr>
                      <w:sz w:val="18"/>
                      <w:szCs w:val="18"/>
                      <w:highlight w:val="lightGray"/>
                    </w:rPr>
                  </w:pPr>
                  <w:r w:rsidRPr="00DE6661">
                    <w:rPr>
                      <w:color w:val="000000"/>
                      <w:spacing w:val="204"/>
                      <w:sz w:val="18"/>
                      <w:szCs w:val="18"/>
                      <w:fitText w:val="281" w:id="-962329341"/>
                      <w14:textFill>
                        <w14:solidFill>
                          <w14:srgbClr w14:val="000000">
                            <w14:alpha w14:val="100000"/>
                          </w14:srgbClr>
                        </w14:solidFill>
                      </w14:textFill>
                    </w:rPr>
                    <w:t>|</w:t>
                  </w:r>
                  <w:r w:rsidRPr="00DE6661">
                    <w:rPr>
                      <w:color w:val="000000"/>
                      <w:sz w:val="18"/>
                      <w:szCs w:val="18"/>
                      <w:fitText w:val="281" w:id="-962329341"/>
                      <w14:textFill>
                        <w14:solidFill>
                          <w14:srgbClr w14:val="000000">
                            <w14:alpha w14:val="100000"/>
                          </w14:srgbClr>
                        </w14:solidFill>
                      </w14:textFill>
                    </w:rPr>
                    <w:t>|</w:t>
                  </w:r>
                </w:p>
              </w:tc>
            </w:tr>
          </w:tbl>
          <w:p w14:paraId="5D2D02D4" w14:textId="77777777" w:rsidR="007D00BA" w:rsidRPr="004D6AD4" w:rsidRDefault="007D00BA" w:rsidP="00EA6DFD">
            <w:pPr>
              <w:pStyle w:val="FooterTableFigure"/>
            </w:pPr>
            <w:r w:rsidRPr="004D6AD4">
              <w:t>Source: Sponsor estimates</w:t>
            </w:r>
          </w:p>
          <w:p w14:paraId="22D26286" w14:textId="77777777" w:rsidR="007D00BA" w:rsidRPr="004D6AD4" w:rsidRDefault="007D00BA" w:rsidP="00EA6DFD">
            <w:pPr>
              <w:pStyle w:val="TableText0"/>
              <w:keepNext w:val="0"/>
              <w:rPr>
                <w:szCs w:val="20"/>
              </w:rPr>
            </w:pPr>
            <w:r w:rsidRPr="004D6AD4">
              <w:rPr>
                <w:szCs w:val="20"/>
              </w:rPr>
              <w:t>Grandfathered patients: From the sponsor’s managed access program, the resubmission estimated 16 patients will require grandfathering, and this estimate would be updated as part of the pre-PBAC response. All grandfathered patients were assumed to be incorporated in the estimated prevalent population.</w:t>
            </w:r>
          </w:p>
        </w:tc>
        <w:tc>
          <w:tcPr>
            <w:tcW w:w="1544" w:type="pct"/>
            <w:shd w:val="clear" w:color="auto" w:fill="auto"/>
            <w:vAlign w:val="center"/>
          </w:tcPr>
          <w:p w14:paraId="7C1A6A8B" w14:textId="234DA0EF" w:rsidR="007D00BA" w:rsidRPr="004D6AD4" w:rsidRDefault="007D00BA" w:rsidP="00EA6DFD">
            <w:pPr>
              <w:pStyle w:val="TableText0"/>
              <w:keepNext w:val="0"/>
              <w:rPr>
                <w:iCs/>
                <w:szCs w:val="20"/>
              </w:rPr>
            </w:pPr>
            <w:r w:rsidRPr="004D6AD4">
              <w:rPr>
                <w:iCs/>
                <w:szCs w:val="20"/>
              </w:rPr>
              <w:t xml:space="preserve">Uptake has increased from </w:t>
            </w:r>
            <w:r w:rsidR="00DE6661" w:rsidRPr="00DE6661">
              <w:rPr>
                <w:iCs/>
                <w:color w:val="000000"/>
                <w:spacing w:val="49"/>
                <w:szCs w:val="20"/>
                <w:shd w:val="solid" w:color="000000" w:fill="000000"/>
                <w:fitText w:val="318" w:id="-962329340"/>
                <w14:textFill>
                  <w14:solidFill>
                    <w14:srgbClr w14:val="000000">
                      <w14:alpha w14:val="100000"/>
                    </w14:srgbClr>
                  </w14:solidFill>
                </w14:textFill>
              </w:rPr>
              <w:t>|||</w:t>
            </w:r>
            <w:r w:rsidR="00DE6661" w:rsidRPr="00DE6661">
              <w:rPr>
                <w:iCs/>
                <w:color w:val="000000"/>
                <w:spacing w:val="1"/>
                <w:szCs w:val="20"/>
                <w:shd w:val="solid" w:color="000000" w:fill="000000"/>
                <w:fitText w:val="318" w:id="-962329340"/>
                <w14:textFill>
                  <w14:solidFill>
                    <w14:srgbClr w14:val="000000">
                      <w14:alpha w14:val="100000"/>
                    </w14:srgbClr>
                  </w14:solidFill>
                </w14:textFill>
              </w:rPr>
              <w:t>|</w:t>
            </w:r>
            <w:r w:rsidRPr="004D6AD4">
              <w:rPr>
                <w:iCs/>
                <w:szCs w:val="20"/>
              </w:rPr>
              <w:t xml:space="preserve">% in Year 1 in the previous submission to </w:t>
            </w:r>
            <w:r w:rsidR="00DE6661" w:rsidRPr="00DE6661">
              <w:rPr>
                <w:iCs/>
                <w:color w:val="000000"/>
                <w:spacing w:val="49"/>
                <w:szCs w:val="20"/>
                <w:shd w:val="solid" w:color="000000" w:fill="000000"/>
                <w:fitText w:val="318" w:id="-962329339"/>
                <w14:textFill>
                  <w14:solidFill>
                    <w14:srgbClr w14:val="000000">
                      <w14:alpha w14:val="100000"/>
                    </w14:srgbClr>
                  </w14:solidFill>
                </w14:textFill>
              </w:rPr>
              <w:t>|||</w:t>
            </w:r>
            <w:r w:rsidR="00DE6661" w:rsidRPr="00DE6661">
              <w:rPr>
                <w:iCs/>
                <w:color w:val="000000"/>
                <w:spacing w:val="1"/>
                <w:szCs w:val="20"/>
                <w:shd w:val="solid" w:color="000000" w:fill="000000"/>
                <w:fitText w:val="318" w:id="-962329339"/>
                <w14:textFill>
                  <w14:solidFill>
                    <w14:srgbClr w14:val="000000">
                      <w14:alpha w14:val="100000"/>
                    </w14:srgbClr>
                  </w14:solidFill>
                </w14:textFill>
              </w:rPr>
              <w:t>|</w:t>
            </w:r>
            <w:r w:rsidRPr="004D6AD4">
              <w:rPr>
                <w:iCs/>
                <w:szCs w:val="20"/>
              </w:rPr>
              <w:t xml:space="preserve">% in Year 1 in the prevalent population and from </w:t>
            </w:r>
            <w:r w:rsidR="00DE6661" w:rsidRPr="00DE6661">
              <w:rPr>
                <w:iCs/>
                <w:color w:val="000000"/>
                <w:spacing w:val="49"/>
                <w:szCs w:val="20"/>
                <w:shd w:val="solid" w:color="000000" w:fill="000000"/>
                <w:fitText w:val="318" w:id="-962329338"/>
                <w14:textFill>
                  <w14:solidFill>
                    <w14:srgbClr w14:val="000000">
                      <w14:alpha w14:val="100000"/>
                    </w14:srgbClr>
                  </w14:solidFill>
                </w14:textFill>
              </w:rPr>
              <w:t>|||</w:t>
            </w:r>
            <w:r w:rsidR="00DE6661" w:rsidRPr="00DE6661">
              <w:rPr>
                <w:iCs/>
                <w:color w:val="000000"/>
                <w:spacing w:val="1"/>
                <w:szCs w:val="20"/>
                <w:shd w:val="solid" w:color="000000" w:fill="000000"/>
                <w:fitText w:val="318" w:id="-962329338"/>
                <w14:textFill>
                  <w14:solidFill>
                    <w14:srgbClr w14:val="000000">
                      <w14:alpha w14:val="100000"/>
                    </w14:srgbClr>
                  </w14:solidFill>
                </w14:textFill>
              </w:rPr>
              <w:t>|</w:t>
            </w:r>
            <w:r w:rsidRPr="004D6AD4">
              <w:rPr>
                <w:iCs/>
                <w:szCs w:val="20"/>
              </w:rPr>
              <w:t xml:space="preserve">% to </w:t>
            </w:r>
            <w:r w:rsidR="00DE6661" w:rsidRPr="00DE6661">
              <w:rPr>
                <w:iCs/>
                <w:color w:val="000000"/>
                <w:spacing w:val="49"/>
                <w:szCs w:val="20"/>
                <w:shd w:val="solid" w:color="000000" w:fill="000000"/>
                <w:fitText w:val="318" w:id="-962329337"/>
                <w14:textFill>
                  <w14:solidFill>
                    <w14:srgbClr w14:val="000000">
                      <w14:alpha w14:val="100000"/>
                    </w14:srgbClr>
                  </w14:solidFill>
                </w14:textFill>
              </w:rPr>
              <w:t>|||</w:t>
            </w:r>
            <w:r w:rsidR="00DE6661" w:rsidRPr="00DE6661">
              <w:rPr>
                <w:iCs/>
                <w:color w:val="000000"/>
                <w:spacing w:val="1"/>
                <w:szCs w:val="20"/>
                <w:shd w:val="solid" w:color="000000" w:fill="000000"/>
                <w:fitText w:val="318" w:id="-962329337"/>
                <w14:textFill>
                  <w14:solidFill>
                    <w14:srgbClr w14:val="000000">
                      <w14:alpha w14:val="100000"/>
                    </w14:srgbClr>
                  </w14:solidFill>
                </w14:textFill>
              </w:rPr>
              <w:t>|</w:t>
            </w:r>
            <w:r w:rsidRPr="004D6AD4">
              <w:rPr>
                <w:iCs/>
                <w:szCs w:val="20"/>
              </w:rPr>
              <w:t>% in Year 2 onward in the incident population.</w:t>
            </w:r>
          </w:p>
          <w:p w14:paraId="1C765BB9" w14:textId="77777777" w:rsidR="007D00BA" w:rsidRPr="004D6AD4" w:rsidRDefault="007D00BA" w:rsidP="00EA6DFD">
            <w:pPr>
              <w:widowControl w:val="0"/>
              <w:jc w:val="left"/>
              <w:rPr>
                <w:rFonts w:ascii="Arial Narrow" w:hAnsi="Arial Narrow" w:cs="Calibri"/>
                <w:iCs/>
                <w:sz w:val="20"/>
                <w:szCs w:val="20"/>
              </w:rPr>
            </w:pPr>
          </w:p>
          <w:p w14:paraId="03A97A30" w14:textId="5195FACF" w:rsidR="007D00BA" w:rsidRPr="004D6AD4" w:rsidRDefault="007D00BA" w:rsidP="00EA6DFD">
            <w:pPr>
              <w:widowControl w:val="0"/>
              <w:jc w:val="left"/>
              <w:rPr>
                <w:rFonts w:ascii="Arial Narrow" w:hAnsi="Arial Narrow" w:cs="Calibri"/>
                <w:i/>
                <w:iCs/>
                <w:sz w:val="20"/>
                <w:szCs w:val="20"/>
              </w:rPr>
            </w:pPr>
            <w:r w:rsidRPr="004D6AD4">
              <w:rPr>
                <w:rFonts w:ascii="Arial Narrow" w:hAnsi="Arial Narrow" w:cs="Calibri"/>
                <w:iCs/>
                <w:sz w:val="20"/>
                <w:szCs w:val="20"/>
              </w:rPr>
              <w:t xml:space="preserve">The DUSC considered that </w:t>
            </w:r>
            <w:r w:rsidR="00DE6661" w:rsidRPr="00DE6661">
              <w:rPr>
                <w:rFonts w:ascii="Arial Narrow" w:hAnsi="Arial Narrow" w:cs="Calibri"/>
                <w:iCs/>
                <w:color w:val="000000"/>
                <w:spacing w:val="49"/>
                <w:sz w:val="20"/>
                <w:szCs w:val="20"/>
                <w:shd w:val="solid" w:color="000000" w:fill="000000"/>
                <w:fitText w:val="318" w:id="-962329336"/>
                <w14:textFill>
                  <w14:solidFill>
                    <w14:srgbClr w14:val="000000">
                      <w14:alpha w14:val="100000"/>
                    </w14:srgbClr>
                  </w14:solidFill>
                </w14:textFill>
              </w:rPr>
              <w:t>|||</w:t>
            </w:r>
            <w:r w:rsidR="00DE6661" w:rsidRPr="00DE6661">
              <w:rPr>
                <w:rFonts w:ascii="Arial Narrow" w:hAnsi="Arial Narrow" w:cs="Calibri"/>
                <w:iCs/>
                <w:color w:val="000000"/>
                <w:spacing w:val="1"/>
                <w:sz w:val="20"/>
                <w:szCs w:val="20"/>
                <w:shd w:val="solid" w:color="000000" w:fill="000000"/>
                <w:fitText w:val="318" w:id="-962329336"/>
                <w14:textFill>
                  <w14:solidFill>
                    <w14:srgbClr w14:val="000000">
                      <w14:alpha w14:val="100000"/>
                    </w14:srgbClr>
                  </w14:solidFill>
                </w14:textFill>
              </w:rPr>
              <w:t>|</w:t>
            </w:r>
            <w:r w:rsidRPr="004D6AD4">
              <w:rPr>
                <w:rFonts w:ascii="Arial Narrow" w:hAnsi="Arial Narrow" w:cs="Calibri"/>
                <w:iCs/>
                <w:sz w:val="20"/>
                <w:szCs w:val="20"/>
              </w:rPr>
              <w:t xml:space="preserve">% uptake in Year 1 was an underestimate and recommended that an initial uptake rate of 60% would be more appropriate </w:t>
            </w:r>
            <w:r w:rsidRPr="004D6AD4">
              <w:rPr>
                <w:rFonts w:ascii="Arial Narrow" w:hAnsi="Arial Narrow"/>
                <w:sz w:val="20"/>
                <w:szCs w:val="20"/>
              </w:rPr>
              <w:t xml:space="preserve">(Table 19, osilodrostat, March 2023 PBAC meeting). </w:t>
            </w:r>
          </w:p>
        </w:tc>
      </w:tr>
      <w:tr w:rsidR="007D00BA" w:rsidRPr="00397E6D" w14:paraId="39729B4B" w14:textId="77777777" w:rsidTr="00914C1A">
        <w:trPr>
          <w:cantSplit/>
          <w:trHeight w:val="20"/>
        </w:trPr>
        <w:tc>
          <w:tcPr>
            <w:tcW w:w="753" w:type="pct"/>
            <w:vAlign w:val="center"/>
          </w:tcPr>
          <w:p w14:paraId="6B479676" w14:textId="77777777" w:rsidR="007D00BA" w:rsidRPr="004D6AD4" w:rsidRDefault="007D00BA" w:rsidP="00EA6DFD">
            <w:pPr>
              <w:pStyle w:val="TableText0"/>
              <w:keepNext w:val="0"/>
              <w:rPr>
                <w:szCs w:val="20"/>
              </w:rPr>
            </w:pPr>
            <w:r w:rsidRPr="004D6AD4">
              <w:rPr>
                <w:szCs w:val="20"/>
              </w:rPr>
              <w:lastRenderedPageBreak/>
              <w:t>Dosage of osilodrostat</w:t>
            </w:r>
          </w:p>
        </w:tc>
        <w:tc>
          <w:tcPr>
            <w:tcW w:w="2703" w:type="pct"/>
            <w:vAlign w:val="center"/>
          </w:tcPr>
          <w:p w14:paraId="346419F7" w14:textId="77777777" w:rsidR="007D00BA" w:rsidRPr="004D6AD4" w:rsidRDefault="007D00BA" w:rsidP="00EA6DFD">
            <w:pPr>
              <w:pStyle w:val="TableText0"/>
              <w:keepNext w:val="0"/>
              <w:rPr>
                <w:szCs w:val="20"/>
              </w:rPr>
            </w:pPr>
            <w:r w:rsidRPr="004D6AD4">
              <w:rPr>
                <w:szCs w:val="20"/>
              </w:rPr>
              <w:t>Average doses were based on patients from the LINC 4 post-hoc analysis:</w:t>
            </w:r>
          </w:p>
          <w:p w14:paraId="7F44DE2F" w14:textId="77777777" w:rsidR="007D00BA" w:rsidRPr="004D6AD4" w:rsidRDefault="007D00BA" w:rsidP="00EA6DFD">
            <w:pPr>
              <w:pStyle w:val="TableText0"/>
              <w:keepNext w:val="0"/>
              <w:rPr>
                <w:szCs w:val="20"/>
              </w:rPr>
            </w:pPr>
            <w:r w:rsidRPr="004D6AD4">
              <w:rPr>
                <w:szCs w:val="20"/>
              </w:rPr>
              <w:t>Initiating period – responders = 7.53 mg/day</w:t>
            </w:r>
          </w:p>
          <w:p w14:paraId="100CBFE4" w14:textId="77777777" w:rsidR="007D00BA" w:rsidRPr="004D6AD4" w:rsidRDefault="007D00BA" w:rsidP="00EA6DFD">
            <w:pPr>
              <w:pStyle w:val="TableText0"/>
              <w:keepNext w:val="0"/>
              <w:rPr>
                <w:szCs w:val="20"/>
              </w:rPr>
            </w:pPr>
            <w:r w:rsidRPr="004D6AD4">
              <w:rPr>
                <w:szCs w:val="20"/>
              </w:rPr>
              <w:t xml:space="preserve">Initiating period – non-responders = 7.99 mg/day </w:t>
            </w:r>
          </w:p>
          <w:p w14:paraId="542A4965" w14:textId="77777777" w:rsidR="007D00BA" w:rsidRPr="004D6AD4" w:rsidRDefault="007D00BA" w:rsidP="00EA6DFD">
            <w:pPr>
              <w:pStyle w:val="TableText0"/>
              <w:keepNext w:val="0"/>
              <w:rPr>
                <w:szCs w:val="20"/>
              </w:rPr>
            </w:pPr>
            <w:r w:rsidRPr="004D6AD4">
              <w:rPr>
                <w:szCs w:val="20"/>
              </w:rPr>
              <w:t xml:space="preserve">Continuing period – responders = 9.65 mg/day </w:t>
            </w:r>
          </w:p>
          <w:p w14:paraId="754E910A" w14:textId="77777777" w:rsidR="007D00BA" w:rsidRPr="004D6AD4" w:rsidRDefault="007D00BA" w:rsidP="00EA6DFD">
            <w:pPr>
              <w:pStyle w:val="TableText0"/>
              <w:keepNext w:val="0"/>
              <w:rPr>
                <w:szCs w:val="20"/>
              </w:rPr>
            </w:pPr>
          </w:p>
          <w:p w14:paraId="621F154E" w14:textId="77777777" w:rsidR="007D00BA" w:rsidRPr="004D6AD4" w:rsidRDefault="007D00BA" w:rsidP="00EA6DFD">
            <w:pPr>
              <w:pStyle w:val="TableText0"/>
              <w:keepNext w:val="0"/>
              <w:rPr>
                <w:szCs w:val="20"/>
              </w:rPr>
            </w:pPr>
          </w:p>
          <w:p w14:paraId="5D814819" w14:textId="77777777" w:rsidR="007D00BA" w:rsidRPr="004D6AD4" w:rsidRDefault="007D00BA" w:rsidP="00EA6DFD">
            <w:pPr>
              <w:pStyle w:val="TableText0"/>
              <w:keepNext w:val="0"/>
              <w:rPr>
                <w:szCs w:val="20"/>
              </w:rPr>
            </w:pPr>
          </w:p>
          <w:p w14:paraId="43B7BD1A" w14:textId="46B84EE2" w:rsidR="007D00BA" w:rsidRPr="004D6AD4" w:rsidRDefault="007D00BA" w:rsidP="00EA6DFD">
            <w:pPr>
              <w:pStyle w:val="TableText0"/>
              <w:keepNext w:val="0"/>
              <w:rPr>
                <w:szCs w:val="20"/>
              </w:rPr>
            </w:pPr>
            <w:r w:rsidRPr="004D6AD4">
              <w:rPr>
                <w:szCs w:val="20"/>
              </w:rPr>
              <w:t>In Appendix 18 to the resubmission, the average daily doses (for days exposed to osilodrostat) for 26</w:t>
            </w:r>
            <w:r w:rsidRPr="004D6AD4">
              <w:rPr>
                <w:szCs w:val="20"/>
              </w:rPr>
              <w:noBreakHyphen/>
              <w:t>week responders and non-responders were 7.71 mg/day and 8.09 mg/day, respectively.</w:t>
            </w:r>
          </w:p>
        </w:tc>
        <w:tc>
          <w:tcPr>
            <w:tcW w:w="1544" w:type="pct"/>
            <w:shd w:val="clear" w:color="auto" w:fill="auto"/>
            <w:vAlign w:val="center"/>
          </w:tcPr>
          <w:p w14:paraId="7ADE5600" w14:textId="049CFBE3" w:rsidR="007D00BA" w:rsidRPr="004D6AD4" w:rsidRDefault="007D00BA" w:rsidP="00EA6DFD">
            <w:pPr>
              <w:pStyle w:val="TableText0"/>
              <w:keepNext w:val="0"/>
              <w:rPr>
                <w:szCs w:val="20"/>
              </w:rPr>
            </w:pPr>
            <w:r w:rsidRPr="004D6AD4">
              <w:rPr>
                <w:szCs w:val="20"/>
              </w:rPr>
              <w:t xml:space="preserve">As discussed in paragraph </w:t>
            </w:r>
            <w:r w:rsidRPr="004D6AD4">
              <w:rPr>
                <w:szCs w:val="20"/>
              </w:rPr>
              <w:fldChar w:fldCharType="begin" w:fldLock="1"/>
            </w:r>
            <w:r w:rsidRPr="004D6AD4">
              <w:rPr>
                <w:szCs w:val="20"/>
              </w:rPr>
              <w:instrText xml:space="preserve"> REF _Ref153246570 \r \h </w:instrText>
            </w:r>
            <w:r w:rsidR="004D6AD4">
              <w:rPr>
                <w:szCs w:val="20"/>
              </w:rPr>
              <w:instrText xml:space="preserve"> \* MERGEFORMAT </w:instrText>
            </w:r>
            <w:r w:rsidRPr="004D6AD4">
              <w:rPr>
                <w:szCs w:val="20"/>
              </w:rPr>
            </w:r>
            <w:r w:rsidRPr="004D6AD4">
              <w:rPr>
                <w:szCs w:val="20"/>
              </w:rPr>
              <w:fldChar w:fldCharType="separate"/>
            </w:r>
            <w:r w:rsidR="00043D39" w:rsidRPr="004D6AD4">
              <w:rPr>
                <w:szCs w:val="20"/>
              </w:rPr>
              <w:t>6.65</w:t>
            </w:r>
            <w:r w:rsidRPr="004D6AD4">
              <w:rPr>
                <w:szCs w:val="20"/>
              </w:rPr>
              <w:fldChar w:fldCharType="end"/>
            </w:r>
            <w:r w:rsidRPr="004D6AD4">
              <w:rPr>
                <w:szCs w:val="20"/>
              </w:rPr>
              <w:t>, the dose of osilodrostat for non-response in the initial treatment period was potentially underestimated due to a longer initiation period</w:t>
            </w:r>
            <w:r w:rsidR="007A4E7E" w:rsidRPr="004D6AD4">
              <w:rPr>
                <w:szCs w:val="20"/>
              </w:rPr>
              <w:t xml:space="preserve">. </w:t>
            </w:r>
          </w:p>
          <w:p w14:paraId="3E9629BF" w14:textId="77777777" w:rsidR="007D00BA" w:rsidRPr="004D6AD4" w:rsidRDefault="007D00BA" w:rsidP="00EA6DFD">
            <w:pPr>
              <w:pStyle w:val="TableText0"/>
              <w:keepNext w:val="0"/>
              <w:rPr>
                <w:szCs w:val="20"/>
              </w:rPr>
            </w:pPr>
          </w:p>
          <w:p w14:paraId="21CC6605" w14:textId="77777777" w:rsidR="007D00BA" w:rsidRPr="004D6AD4" w:rsidRDefault="007D00BA" w:rsidP="00EA6DFD">
            <w:pPr>
              <w:pStyle w:val="TableText0"/>
              <w:keepNext w:val="0"/>
              <w:rPr>
                <w:i/>
                <w:szCs w:val="20"/>
              </w:rPr>
            </w:pPr>
            <w:r w:rsidRPr="004D6AD4">
              <w:rPr>
                <w:szCs w:val="20"/>
              </w:rPr>
              <w:t xml:space="preserve">The DUSC also noted </w:t>
            </w:r>
            <w:r w:rsidRPr="004D6AD4">
              <w:rPr>
                <w:rFonts w:cs="Calibri"/>
                <w:szCs w:val="20"/>
              </w:rPr>
              <w:t xml:space="preserve">that wastage was possible, with up titration using tablets of varying strengths and waste due to missed or lost tablets were not considered </w:t>
            </w:r>
            <w:r w:rsidRPr="004D6AD4">
              <w:rPr>
                <w:szCs w:val="20"/>
              </w:rPr>
              <w:t>(Table 19, osilodrostat, March 2023 PBAC meeting)</w:t>
            </w:r>
          </w:p>
        </w:tc>
      </w:tr>
      <w:tr w:rsidR="007D00BA" w:rsidRPr="00397E6D" w14:paraId="715304B7" w14:textId="77777777" w:rsidTr="00914C1A">
        <w:trPr>
          <w:cantSplit/>
          <w:trHeight w:val="20"/>
        </w:trPr>
        <w:tc>
          <w:tcPr>
            <w:tcW w:w="753" w:type="pct"/>
            <w:vAlign w:val="center"/>
          </w:tcPr>
          <w:p w14:paraId="7CBC5F0A" w14:textId="77777777" w:rsidR="007D00BA" w:rsidRPr="004D6AD4" w:rsidRDefault="007D00BA" w:rsidP="00EA6DFD">
            <w:pPr>
              <w:pStyle w:val="TableText0"/>
              <w:keepNext w:val="0"/>
              <w:rPr>
                <w:szCs w:val="20"/>
              </w:rPr>
            </w:pPr>
            <w:r w:rsidRPr="004D6AD4">
              <w:rPr>
                <w:szCs w:val="20"/>
              </w:rPr>
              <w:t>Treatment duration</w:t>
            </w:r>
          </w:p>
        </w:tc>
        <w:tc>
          <w:tcPr>
            <w:tcW w:w="2703" w:type="pct"/>
          </w:tcPr>
          <w:p w14:paraId="6196F7D2" w14:textId="77777777" w:rsidR="007D00BA" w:rsidRPr="004D6AD4" w:rsidRDefault="007D00BA" w:rsidP="00EA6DFD">
            <w:pPr>
              <w:pStyle w:val="TableText0"/>
              <w:keepNext w:val="0"/>
              <w:rPr>
                <w:szCs w:val="20"/>
              </w:rPr>
            </w:pPr>
            <w:r w:rsidRPr="004D6AD4">
              <w:rPr>
                <w:szCs w:val="20"/>
              </w:rPr>
              <w:t xml:space="preserve">Treatment duration was informed by the duration of response from the economic model (mean 240.4 weeks/ 4.62 years) and the resubmission estimated the persistence rate each year based on the proportion of patients remaining on treatment in the economic model. </w:t>
            </w:r>
          </w:p>
          <w:p w14:paraId="77AE106C" w14:textId="77777777" w:rsidR="007D00BA" w:rsidRPr="004D6AD4" w:rsidRDefault="007D00BA" w:rsidP="00EA6DFD">
            <w:pPr>
              <w:pStyle w:val="TableText0"/>
              <w:keepNext w:val="0"/>
              <w:rPr>
                <w:szCs w:val="20"/>
              </w:rPr>
            </w:pPr>
          </w:p>
          <w:tbl>
            <w:tblPr>
              <w:tblStyle w:val="TableGrid"/>
              <w:tblW w:w="4535" w:type="dxa"/>
              <w:tblLook w:val="04A0" w:firstRow="1" w:lastRow="0" w:firstColumn="1" w:lastColumn="0" w:noHBand="0" w:noVBand="1"/>
            </w:tblPr>
            <w:tblGrid>
              <w:gridCol w:w="1587"/>
              <w:gridCol w:w="1304"/>
              <w:gridCol w:w="1644"/>
            </w:tblGrid>
            <w:tr w:rsidR="004D6AD4" w:rsidRPr="004D6AD4" w14:paraId="298A0587" w14:textId="77777777" w:rsidTr="00397E6D">
              <w:tc>
                <w:tcPr>
                  <w:tcW w:w="1587" w:type="dxa"/>
                  <w:shd w:val="clear" w:color="auto" w:fill="auto"/>
                </w:tcPr>
                <w:p w14:paraId="6BB8F6F8" w14:textId="77777777" w:rsidR="007D00BA" w:rsidRPr="00914C1A" w:rsidRDefault="007D00BA" w:rsidP="00EA6DFD">
                  <w:pPr>
                    <w:pStyle w:val="TableText0"/>
                    <w:keepNext w:val="0"/>
                    <w:rPr>
                      <w:b/>
                      <w:sz w:val="18"/>
                      <w:szCs w:val="18"/>
                    </w:rPr>
                  </w:pPr>
                  <w:r w:rsidRPr="00914C1A">
                    <w:rPr>
                      <w:b/>
                      <w:sz w:val="18"/>
                      <w:szCs w:val="18"/>
                    </w:rPr>
                    <w:t>Treatment period</w:t>
                  </w:r>
                </w:p>
              </w:tc>
              <w:tc>
                <w:tcPr>
                  <w:tcW w:w="1304" w:type="dxa"/>
                  <w:shd w:val="clear" w:color="auto" w:fill="auto"/>
                  <w:vAlign w:val="center"/>
                </w:tcPr>
                <w:p w14:paraId="31E76C20" w14:textId="77777777" w:rsidR="007D00BA" w:rsidRPr="00914C1A" w:rsidRDefault="007D00BA" w:rsidP="00EA6DFD">
                  <w:pPr>
                    <w:pStyle w:val="TableText0"/>
                    <w:keepNext w:val="0"/>
                    <w:jc w:val="center"/>
                    <w:rPr>
                      <w:b/>
                      <w:sz w:val="18"/>
                      <w:szCs w:val="18"/>
                    </w:rPr>
                  </w:pPr>
                  <w:r w:rsidRPr="00914C1A">
                    <w:rPr>
                      <w:b/>
                      <w:sz w:val="18"/>
                      <w:szCs w:val="18"/>
                    </w:rPr>
                    <w:t>% on treatment</w:t>
                  </w:r>
                </w:p>
              </w:tc>
              <w:tc>
                <w:tcPr>
                  <w:tcW w:w="1644" w:type="dxa"/>
                  <w:shd w:val="clear" w:color="auto" w:fill="auto"/>
                  <w:vAlign w:val="center"/>
                </w:tcPr>
                <w:p w14:paraId="162BCDFC" w14:textId="77777777" w:rsidR="007D00BA" w:rsidRPr="00914C1A" w:rsidRDefault="007D00BA" w:rsidP="00EA6DFD">
                  <w:pPr>
                    <w:pStyle w:val="TableText0"/>
                    <w:keepNext w:val="0"/>
                    <w:jc w:val="center"/>
                    <w:rPr>
                      <w:b/>
                      <w:sz w:val="18"/>
                      <w:szCs w:val="18"/>
                    </w:rPr>
                  </w:pPr>
                  <w:r w:rsidRPr="00914C1A">
                    <w:rPr>
                      <w:b/>
                      <w:sz w:val="18"/>
                      <w:szCs w:val="18"/>
                    </w:rPr>
                    <w:t>Duration (weeks)</w:t>
                  </w:r>
                </w:p>
              </w:tc>
            </w:tr>
            <w:tr w:rsidR="004D6AD4" w:rsidRPr="004D6AD4" w14:paraId="0B952080" w14:textId="77777777" w:rsidTr="00397E6D">
              <w:tc>
                <w:tcPr>
                  <w:tcW w:w="1587" w:type="dxa"/>
                  <w:shd w:val="clear" w:color="auto" w:fill="auto"/>
                </w:tcPr>
                <w:p w14:paraId="2F02E2BD" w14:textId="77777777" w:rsidR="007D00BA" w:rsidRPr="00914C1A" w:rsidRDefault="007D00BA" w:rsidP="00EA6DFD">
                  <w:pPr>
                    <w:pStyle w:val="TableText0"/>
                    <w:keepNext w:val="0"/>
                    <w:rPr>
                      <w:sz w:val="18"/>
                      <w:szCs w:val="18"/>
                    </w:rPr>
                  </w:pPr>
                  <w:r w:rsidRPr="00914C1A">
                    <w:rPr>
                      <w:sz w:val="18"/>
                      <w:szCs w:val="18"/>
                    </w:rPr>
                    <w:t>Year 1</w:t>
                  </w:r>
                </w:p>
              </w:tc>
              <w:tc>
                <w:tcPr>
                  <w:tcW w:w="1304" w:type="dxa"/>
                  <w:shd w:val="clear" w:color="auto" w:fill="auto"/>
                  <w:vAlign w:val="center"/>
                </w:tcPr>
                <w:p w14:paraId="1CC12635" w14:textId="77777777" w:rsidR="007D00BA" w:rsidRPr="00914C1A" w:rsidRDefault="007D00BA" w:rsidP="00EA6DFD">
                  <w:pPr>
                    <w:pStyle w:val="TableText0"/>
                    <w:keepNext w:val="0"/>
                    <w:jc w:val="center"/>
                    <w:rPr>
                      <w:sz w:val="18"/>
                      <w:szCs w:val="18"/>
                    </w:rPr>
                  </w:pPr>
                  <w:r w:rsidRPr="00914C1A">
                    <w:rPr>
                      <w:sz w:val="18"/>
                      <w:szCs w:val="18"/>
                    </w:rPr>
                    <w:t>-</w:t>
                  </w:r>
                </w:p>
              </w:tc>
              <w:tc>
                <w:tcPr>
                  <w:tcW w:w="1644" w:type="dxa"/>
                  <w:shd w:val="clear" w:color="auto" w:fill="auto"/>
                  <w:vAlign w:val="center"/>
                </w:tcPr>
                <w:p w14:paraId="38E385E9" w14:textId="77777777" w:rsidR="007D00BA" w:rsidRPr="00914C1A" w:rsidRDefault="007D00BA" w:rsidP="00EA6DFD">
                  <w:pPr>
                    <w:pStyle w:val="TableText0"/>
                    <w:keepNext w:val="0"/>
                    <w:jc w:val="center"/>
                    <w:rPr>
                      <w:sz w:val="18"/>
                      <w:szCs w:val="18"/>
                    </w:rPr>
                  </w:pPr>
                  <w:r w:rsidRPr="00914C1A">
                    <w:rPr>
                      <w:sz w:val="18"/>
                      <w:szCs w:val="18"/>
                    </w:rPr>
                    <w:t>-</w:t>
                  </w:r>
                </w:p>
              </w:tc>
            </w:tr>
            <w:tr w:rsidR="004D6AD4" w:rsidRPr="004D6AD4" w14:paraId="6C8B682C" w14:textId="77777777" w:rsidTr="00397E6D">
              <w:tc>
                <w:tcPr>
                  <w:tcW w:w="1587" w:type="dxa"/>
                  <w:shd w:val="clear" w:color="auto" w:fill="auto"/>
                </w:tcPr>
                <w:p w14:paraId="730C94B4" w14:textId="77777777" w:rsidR="007D00BA" w:rsidRPr="00914C1A" w:rsidRDefault="007D00BA" w:rsidP="00EA6DFD">
                  <w:pPr>
                    <w:pStyle w:val="TableText0"/>
                    <w:keepNext w:val="0"/>
                    <w:ind w:right="-197"/>
                    <w:rPr>
                      <w:sz w:val="18"/>
                      <w:szCs w:val="18"/>
                    </w:rPr>
                  </w:pPr>
                  <w:r w:rsidRPr="00914C1A">
                    <w:rPr>
                      <w:sz w:val="18"/>
                      <w:szCs w:val="18"/>
                    </w:rPr>
                    <w:t>Initiating treatment</w:t>
                  </w:r>
                </w:p>
              </w:tc>
              <w:tc>
                <w:tcPr>
                  <w:tcW w:w="1304" w:type="dxa"/>
                  <w:shd w:val="clear" w:color="auto" w:fill="auto"/>
                  <w:vAlign w:val="center"/>
                </w:tcPr>
                <w:p w14:paraId="44B1C529" w14:textId="77777777" w:rsidR="007D00BA" w:rsidRPr="00914C1A" w:rsidRDefault="007D00BA" w:rsidP="00EA6DFD">
                  <w:pPr>
                    <w:pStyle w:val="TableText0"/>
                    <w:keepNext w:val="0"/>
                    <w:jc w:val="center"/>
                    <w:rPr>
                      <w:sz w:val="18"/>
                      <w:szCs w:val="18"/>
                    </w:rPr>
                  </w:pPr>
                  <w:r w:rsidRPr="00914C1A">
                    <w:rPr>
                      <w:sz w:val="18"/>
                      <w:szCs w:val="18"/>
                    </w:rPr>
                    <w:t>100.0%</w:t>
                  </w:r>
                </w:p>
              </w:tc>
              <w:tc>
                <w:tcPr>
                  <w:tcW w:w="1644" w:type="dxa"/>
                  <w:shd w:val="clear" w:color="auto" w:fill="auto"/>
                  <w:vAlign w:val="center"/>
                </w:tcPr>
                <w:p w14:paraId="72E594D3" w14:textId="77777777" w:rsidR="007D00BA" w:rsidRPr="00914C1A" w:rsidRDefault="007D00BA" w:rsidP="00EA6DFD">
                  <w:pPr>
                    <w:pStyle w:val="TableText0"/>
                    <w:keepNext w:val="0"/>
                    <w:jc w:val="center"/>
                    <w:rPr>
                      <w:sz w:val="18"/>
                      <w:szCs w:val="18"/>
                    </w:rPr>
                  </w:pPr>
                  <w:r w:rsidRPr="00914C1A">
                    <w:rPr>
                      <w:sz w:val="18"/>
                      <w:szCs w:val="18"/>
                    </w:rPr>
                    <w:t>25.99</w:t>
                  </w:r>
                </w:p>
              </w:tc>
            </w:tr>
            <w:tr w:rsidR="004D6AD4" w:rsidRPr="004D6AD4" w14:paraId="6F40E5FC" w14:textId="77777777" w:rsidTr="00397E6D">
              <w:tc>
                <w:tcPr>
                  <w:tcW w:w="1587" w:type="dxa"/>
                  <w:shd w:val="clear" w:color="auto" w:fill="auto"/>
                </w:tcPr>
                <w:p w14:paraId="3B285433" w14:textId="77777777" w:rsidR="007D00BA" w:rsidRPr="00914C1A" w:rsidRDefault="007D00BA" w:rsidP="00EA6DFD">
                  <w:pPr>
                    <w:pStyle w:val="TableText0"/>
                    <w:keepNext w:val="0"/>
                    <w:ind w:right="-197"/>
                    <w:rPr>
                      <w:sz w:val="18"/>
                      <w:szCs w:val="18"/>
                    </w:rPr>
                  </w:pPr>
                  <w:r w:rsidRPr="00914C1A">
                    <w:rPr>
                      <w:sz w:val="18"/>
                      <w:szCs w:val="18"/>
                    </w:rPr>
                    <w:t>Continuing treatment</w:t>
                  </w:r>
                </w:p>
              </w:tc>
              <w:tc>
                <w:tcPr>
                  <w:tcW w:w="1304" w:type="dxa"/>
                  <w:shd w:val="clear" w:color="auto" w:fill="auto"/>
                  <w:vAlign w:val="center"/>
                </w:tcPr>
                <w:p w14:paraId="1532F7E1" w14:textId="77777777" w:rsidR="007D00BA" w:rsidRPr="00914C1A" w:rsidRDefault="007D00BA" w:rsidP="00EA6DFD">
                  <w:pPr>
                    <w:pStyle w:val="TableText0"/>
                    <w:keepNext w:val="0"/>
                    <w:jc w:val="center"/>
                    <w:rPr>
                      <w:sz w:val="18"/>
                      <w:szCs w:val="18"/>
                    </w:rPr>
                  </w:pPr>
                  <w:r w:rsidRPr="00914C1A">
                    <w:rPr>
                      <w:sz w:val="18"/>
                      <w:szCs w:val="18"/>
                    </w:rPr>
                    <w:t>84.8%</w:t>
                  </w:r>
                </w:p>
              </w:tc>
              <w:tc>
                <w:tcPr>
                  <w:tcW w:w="1644" w:type="dxa"/>
                  <w:shd w:val="clear" w:color="auto" w:fill="auto"/>
                  <w:vAlign w:val="center"/>
                </w:tcPr>
                <w:p w14:paraId="5F5C33ED" w14:textId="77777777" w:rsidR="007D00BA" w:rsidRPr="00914C1A" w:rsidRDefault="007D00BA" w:rsidP="00EA6DFD">
                  <w:pPr>
                    <w:pStyle w:val="TableText0"/>
                    <w:keepNext w:val="0"/>
                    <w:jc w:val="center"/>
                    <w:rPr>
                      <w:sz w:val="18"/>
                      <w:szCs w:val="18"/>
                    </w:rPr>
                  </w:pPr>
                  <w:r w:rsidRPr="00914C1A">
                    <w:rPr>
                      <w:sz w:val="18"/>
                      <w:szCs w:val="18"/>
                    </w:rPr>
                    <w:t>22.06</w:t>
                  </w:r>
                </w:p>
              </w:tc>
            </w:tr>
            <w:tr w:rsidR="004D6AD4" w:rsidRPr="004D6AD4" w14:paraId="03378DCE" w14:textId="77777777" w:rsidTr="00397E6D">
              <w:tc>
                <w:tcPr>
                  <w:tcW w:w="1587" w:type="dxa"/>
                  <w:shd w:val="clear" w:color="auto" w:fill="auto"/>
                </w:tcPr>
                <w:p w14:paraId="27C3DB0D" w14:textId="77777777" w:rsidR="007D00BA" w:rsidRPr="00914C1A" w:rsidRDefault="007D00BA" w:rsidP="00EA6DFD">
                  <w:pPr>
                    <w:pStyle w:val="TableText0"/>
                    <w:keepNext w:val="0"/>
                    <w:rPr>
                      <w:bCs w:val="0"/>
                      <w:sz w:val="18"/>
                      <w:szCs w:val="18"/>
                    </w:rPr>
                  </w:pPr>
                  <w:r w:rsidRPr="00914C1A">
                    <w:rPr>
                      <w:bCs w:val="0"/>
                      <w:sz w:val="18"/>
                      <w:szCs w:val="18"/>
                    </w:rPr>
                    <w:t>Year</w:t>
                  </w:r>
                </w:p>
              </w:tc>
              <w:tc>
                <w:tcPr>
                  <w:tcW w:w="1304" w:type="dxa"/>
                  <w:shd w:val="clear" w:color="auto" w:fill="auto"/>
                  <w:vAlign w:val="center"/>
                </w:tcPr>
                <w:p w14:paraId="1FB747C8" w14:textId="77777777" w:rsidR="007D00BA" w:rsidRPr="00914C1A" w:rsidRDefault="007D00BA" w:rsidP="00EA6DFD">
                  <w:pPr>
                    <w:pStyle w:val="TableText0"/>
                    <w:keepNext w:val="0"/>
                    <w:jc w:val="center"/>
                    <w:rPr>
                      <w:bCs w:val="0"/>
                      <w:sz w:val="18"/>
                      <w:szCs w:val="18"/>
                    </w:rPr>
                  </w:pPr>
                  <w:r w:rsidRPr="00914C1A">
                    <w:rPr>
                      <w:bCs w:val="0"/>
                      <w:sz w:val="18"/>
                      <w:szCs w:val="18"/>
                    </w:rPr>
                    <w:t>% on treatment</w:t>
                  </w:r>
                </w:p>
              </w:tc>
              <w:tc>
                <w:tcPr>
                  <w:tcW w:w="1644" w:type="dxa"/>
                  <w:shd w:val="clear" w:color="auto" w:fill="auto"/>
                  <w:vAlign w:val="center"/>
                </w:tcPr>
                <w:p w14:paraId="55499720" w14:textId="77777777" w:rsidR="007D00BA" w:rsidRPr="00914C1A" w:rsidRDefault="007D00BA" w:rsidP="00EA6DFD">
                  <w:pPr>
                    <w:pStyle w:val="TableText0"/>
                    <w:keepNext w:val="0"/>
                    <w:jc w:val="center"/>
                    <w:rPr>
                      <w:bCs w:val="0"/>
                      <w:sz w:val="18"/>
                      <w:szCs w:val="18"/>
                    </w:rPr>
                  </w:pPr>
                  <w:r w:rsidRPr="00914C1A">
                    <w:rPr>
                      <w:bCs w:val="0"/>
                      <w:sz w:val="18"/>
                      <w:szCs w:val="18"/>
                    </w:rPr>
                    <w:t>Persistence rate (%)</w:t>
                  </w:r>
                </w:p>
              </w:tc>
            </w:tr>
            <w:tr w:rsidR="004D6AD4" w:rsidRPr="004D6AD4" w14:paraId="26FBECDB" w14:textId="77777777" w:rsidTr="00397E6D">
              <w:tc>
                <w:tcPr>
                  <w:tcW w:w="1587" w:type="dxa"/>
                  <w:shd w:val="clear" w:color="auto" w:fill="auto"/>
                </w:tcPr>
                <w:p w14:paraId="0547CFE3" w14:textId="77777777" w:rsidR="007D00BA" w:rsidRPr="00914C1A" w:rsidRDefault="007D00BA" w:rsidP="00EA6DFD">
                  <w:pPr>
                    <w:pStyle w:val="TableText0"/>
                    <w:keepNext w:val="0"/>
                    <w:rPr>
                      <w:sz w:val="18"/>
                      <w:szCs w:val="18"/>
                    </w:rPr>
                  </w:pPr>
                  <w:r w:rsidRPr="00914C1A">
                    <w:rPr>
                      <w:sz w:val="18"/>
                      <w:szCs w:val="18"/>
                    </w:rPr>
                    <w:t>Year 2</w:t>
                  </w:r>
                </w:p>
              </w:tc>
              <w:tc>
                <w:tcPr>
                  <w:tcW w:w="1304" w:type="dxa"/>
                  <w:shd w:val="clear" w:color="auto" w:fill="auto"/>
                  <w:vAlign w:val="center"/>
                </w:tcPr>
                <w:p w14:paraId="2EFEE5D9" w14:textId="77777777" w:rsidR="007D00BA" w:rsidRPr="00914C1A" w:rsidRDefault="007D00BA" w:rsidP="00EA6DFD">
                  <w:pPr>
                    <w:pStyle w:val="TableText0"/>
                    <w:keepNext w:val="0"/>
                    <w:jc w:val="center"/>
                    <w:rPr>
                      <w:sz w:val="18"/>
                      <w:szCs w:val="18"/>
                    </w:rPr>
                  </w:pPr>
                  <w:r w:rsidRPr="00914C1A">
                    <w:rPr>
                      <w:sz w:val="18"/>
                      <w:szCs w:val="18"/>
                    </w:rPr>
                    <w:t>67.0%</w:t>
                  </w:r>
                </w:p>
              </w:tc>
              <w:tc>
                <w:tcPr>
                  <w:tcW w:w="1644" w:type="dxa"/>
                  <w:shd w:val="clear" w:color="auto" w:fill="auto"/>
                  <w:vAlign w:val="center"/>
                </w:tcPr>
                <w:p w14:paraId="03C49104" w14:textId="77777777" w:rsidR="007D00BA" w:rsidRPr="00914C1A" w:rsidRDefault="007D00BA" w:rsidP="00EA6DFD">
                  <w:pPr>
                    <w:pStyle w:val="TableText0"/>
                    <w:keepNext w:val="0"/>
                    <w:jc w:val="center"/>
                    <w:rPr>
                      <w:sz w:val="18"/>
                      <w:szCs w:val="18"/>
                    </w:rPr>
                  </w:pPr>
                  <w:r w:rsidRPr="00914C1A">
                    <w:rPr>
                      <w:sz w:val="18"/>
                      <w:szCs w:val="18"/>
                    </w:rPr>
                    <w:t>79.0%</w:t>
                  </w:r>
                </w:p>
              </w:tc>
            </w:tr>
            <w:tr w:rsidR="004D6AD4" w:rsidRPr="004D6AD4" w14:paraId="55B74E26" w14:textId="77777777" w:rsidTr="00397E6D">
              <w:tc>
                <w:tcPr>
                  <w:tcW w:w="1587" w:type="dxa"/>
                  <w:shd w:val="clear" w:color="auto" w:fill="auto"/>
                </w:tcPr>
                <w:p w14:paraId="29BA57B4" w14:textId="77777777" w:rsidR="007D00BA" w:rsidRPr="00914C1A" w:rsidRDefault="007D00BA" w:rsidP="00EA6DFD">
                  <w:pPr>
                    <w:pStyle w:val="TableText0"/>
                    <w:keepNext w:val="0"/>
                    <w:rPr>
                      <w:sz w:val="18"/>
                      <w:szCs w:val="18"/>
                    </w:rPr>
                  </w:pPr>
                  <w:r w:rsidRPr="00914C1A">
                    <w:rPr>
                      <w:sz w:val="18"/>
                      <w:szCs w:val="18"/>
                    </w:rPr>
                    <w:t>Year 3</w:t>
                  </w:r>
                </w:p>
              </w:tc>
              <w:tc>
                <w:tcPr>
                  <w:tcW w:w="1304" w:type="dxa"/>
                  <w:shd w:val="clear" w:color="auto" w:fill="auto"/>
                  <w:vAlign w:val="center"/>
                </w:tcPr>
                <w:p w14:paraId="6CC350D1" w14:textId="77777777" w:rsidR="007D00BA" w:rsidRPr="00914C1A" w:rsidRDefault="007D00BA" w:rsidP="00EA6DFD">
                  <w:pPr>
                    <w:pStyle w:val="TableText0"/>
                    <w:keepNext w:val="0"/>
                    <w:jc w:val="center"/>
                    <w:rPr>
                      <w:sz w:val="18"/>
                      <w:szCs w:val="18"/>
                    </w:rPr>
                  </w:pPr>
                  <w:r w:rsidRPr="00914C1A">
                    <w:rPr>
                      <w:sz w:val="18"/>
                      <w:szCs w:val="18"/>
                    </w:rPr>
                    <w:t>47.8%</w:t>
                  </w:r>
                </w:p>
              </w:tc>
              <w:tc>
                <w:tcPr>
                  <w:tcW w:w="1644" w:type="dxa"/>
                  <w:shd w:val="clear" w:color="auto" w:fill="auto"/>
                  <w:vAlign w:val="center"/>
                </w:tcPr>
                <w:p w14:paraId="1C0061DE" w14:textId="77777777" w:rsidR="007D00BA" w:rsidRPr="00914C1A" w:rsidRDefault="007D00BA" w:rsidP="00EA6DFD">
                  <w:pPr>
                    <w:pStyle w:val="TableText0"/>
                    <w:keepNext w:val="0"/>
                    <w:jc w:val="center"/>
                    <w:rPr>
                      <w:sz w:val="18"/>
                      <w:szCs w:val="18"/>
                    </w:rPr>
                  </w:pPr>
                  <w:r w:rsidRPr="00914C1A">
                    <w:rPr>
                      <w:sz w:val="18"/>
                      <w:szCs w:val="18"/>
                    </w:rPr>
                    <w:t>71.3%</w:t>
                  </w:r>
                </w:p>
              </w:tc>
            </w:tr>
            <w:tr w:rsidR="004D6AD4" w:rsidRPr="004D6AD4" w14:paraId="2B226AF1" w14:textId="77777777" w:rsidTr="00397E6D">
              <w:tc>
                <w:tcPr>
                  <w:tcW w:w="1587" w:type="dxa"/>
                  <w:shd w:val="clear" w:color="auto" w:fill="auto"/>
                </w:tcPr>
                <w:p w14:paraId="743DF319" w14:textId="77777777" w:rsidR="007D00BA" w:rsidRPr="00914C1A" w:rsidRDefault="007D00BA" w:rsidP="00EA6DFD">
                  <w:pPr>
                    <w:pStyle w:val="TableText0"/>
                    <w:keepNext w:val="0"/>
                    <w:rPr>
                      <w:sz w:val="18"/>
                      <w:szCs w:val="18"/>
                    </w:rPr>
                  </w:pPr>
                  <w:r w:rsidRPr="00914C1A">
                    <w:rPr>
                      <w:sz w:val="18"/>
                      <w:szCs w:val="18"/>
                    </w:rPr>
                    <w:t>Year 4</w:t>
                  </w:r>
                </w:p>
              </w:tc>
              <w:tc>
                <w:tcPr>
                  <w:tcW w:w="1304" w:type="dxa"/>
                  <w:shd w:val="clear" w:color="auto" w:fill="auto"/>
                  <w:vAlign w:val="center"/>
                </w:tcPr>
                <w:p w14:paraId="07A40A7C" w14:textId="77777777" w:rsidR="007D00BA" w:rsidRPr="00914C1A" w:rsidRDefault="007D00BA" w:rsidP="00EA6DFD">
                  <w:pPr>
                    <w:pStyle w:val="TableText0"/>
                    <w:keepNext w:val="0"/>
                    <w:jc w:val="center"/>
                    <w:rPr>
                      <w:sz w:val="18"/>
                      <w:szCs w:val="18"/>
                    </w:rPr>
                  </w:pPr>
                  <w:r w:rsidRPr="00914C1A">
                    <w:rPr>
                      <w:sz w:val="18"/>
                      <w:szCs w:val="18"/>
                    </w:rPr>
                    <w:t>36.3%</w:t>
                  </w:r>
                </w:p>
              </w:tc>
              <w:tc>
                <w:tcPr>
                  <w:tcW w:w="1644" w:type="dxa"/>
                  <w:shd w:val="clear" w:color="auto" w:fill="auto"/>
                  <w:vAlign w:val="center"/>
                </w:tcPr>
                <w:p w14:paraId="3B32E906" w14:textId="77777777" w:rsidR="007D00BA" w:rsidRPr="00914C1A" w:rsidRDefault="007D00BA" w:rsidP="00EA6DFD">
                  <w:pPr>
                    <w:pStyle w:val="TableText0"/>
                    <w:keepNext w:val="0"/>
                    <w:jc w:val="center"/>
                    <w:rPr>
                      <w:sz w:val="18"/>
                      <w:szCs w:val="18"/>
                    </w:rPr>
                  </w:pPr>
                  <w:r w:rsidRPr="00914C1A">
                    <w:rPr>
                      <w:sz w:val="18"/>
                      <w:szCs w:val="18"/>
                    </w:rPr>
                    <w:t>76.1%</w:t>
                  </w:r>
                </w:p>
              </w:tc>
            </w:tr>
            <w:tr w:rsidR="004D6AD4" w:rsidRPr="004D6AD4" w14:paraId="54D040EE" w14:textId="77777777" w:rsidTr="00397E6D">
              <w:tc>
                <w:tcPr>
                  <w:tcW w:w="1587" w:type="dxa"/>
                  <w:shd w:val="clear" w:color="auto" w:fill="auto"/>
                </w:tcPr>
                <w:p w14:paraId="626D5845" w14:textId="77777777" w:rsidR="007D00BA" w:rsidRPr="00914C1A" w:rsidRDefault="007D00BA" w:rsidP="00EA6DFD">
                  <w:pPr>
                    <w:pStyle w:val="TableText0"/>
                    <w:keepNext w:val="0"/>
                    <w:rPr>
                      <w:sz w:val="18"/>
                      <w:szCs w:val="18"/>
                    </w:rPr>
                  </w:pPr>
                  <w:r w:rsidRPr="00914C1A">
                    <w:rPr>
                      <w:sz w:val="18"/>
                      <w:szCs w:val="18"/>
                    </w:rPr>
                    <w:t>Year 5</w:t>
                  </w:r>
                </w:p>
              </w:tc>
              <w:tc>
                <w:tcPr>
                  <w:tcW w:w="1304" w:type="dxa"/>
                  <w:shd w:val="clear" w:color="auto" w:fill="auto"/>
                  <w:vAlign w:val="center"/>
                </w:tcPr>
                <w:p w14:paraId="17E03C2A" w14:textId="77777777" w:rsidR="007D00BA" w:rsidRPr="00914C1A" w:rsidRDefault="007D00BA" w:rsidP="00EA6DFD">
                  <w:pPr>
                    <w:pStyle w:val="TableText0"/>
                    <w:keepNext w:val="0"/>
                    <w:jc w:val="center"/>
                    <w:rPr>
                      <w:sz w:val="18"/>
                      <w:szCs w:val="18"/>
                    </w:rPr>
                  </w:pPr>
                  <w:r w:rsidRPr="00914C1A">
                    <w:rPr>
                      <w:sz w:val="18"/>
                      <w:szCs w:val="18"/>
                    </w:rPr>
                    <w:t>28.2%</w:t>
                  </w:r>
                </w:p>
              </w:tc>
              <w:tc>
                <w:tcPr>
                  <w:tcW w:w="1644" w:type="dxa"/>
                  <w:shd w:val="clear" w:color="auto" w:fill="auto"/>
                  <w:vAlign w:val="center"/>
                </w:tcPr>
                <w:p w14:paraId="1070DCB8" w14:textId="77777777" w:rsidR="007D00BA" w:rsidRPr="00914C1A" w:rsidRDefault="007D00BA" w:rsidP="00EA6DFD">
                  <w:pPr>
                    <w:pStyle w:val="TableText0"/>
                    <w:keepNext w:val="0"/>
                    <w:jc w:val="center"/>
                    <w:rPr>
                      <w:sz w:val="18"/>
                      <w:szCs w:val="18"/>
                    </w:rPr>
                  </w:pPr>
                  <w:r w:rsidRPr="00914C1A">
                    <w:rPr>
                      <w:sz w:val="18"/>
                      <w:szCs w:val="18"/>
                    </w:rPr>
                    <w:t>78.3%</w:t>
                  </w:r>
                </w:p>
              </w:tc>
            </w:tr>
            <w:tr w:rsidR="004D6AD4" w:rsidRPr="004D6AD4" w14:paraId="52506E99" w14:textId="77777777" w:rsidTr="00397E6D">
              <w:tc>
                <w:tcPr>
                  <w:tcW w:w="1587" w:type="dxa"/>
                  <w:shd w:val="clear" w:color="auto" w:fill="auto"/>
                </w:tcPr>
                <w:p w14:paraId="5457CC3E" w14:textId="77777777" w:rsidR="007D00BA" w:rsidRPr="00914C1A" w:rsidRDefault="007D00BA" w:rsidP="00EA6DFD">
                  <w:pPr>
                    <w:pStyle w:val="TableText0"/>
                    <w:keepNext w:val="0"/>
                    <w:rPr>
                      <w:sz w:val="18"/>
                      <w:szCs w:val="18"/>
                    </w:rPr>
                  </w:pPr>
                  <w:r w:rsidRPr="00914C1A">
                    <w:rPr>
                      <w:sz w:val="18"/>
                      <w:szCs w:val="18"/>
                    </w:rPr>
                    <w:t>Year 6</w:t>
                  </w:r>
                </w:p>
              </w:tc>
              <w:tc>
                <w:tcPr>
                  <w:tcW w:w="1304" w:type="dxa"/>
                  <w:shd w:val="clear" w:color="auto" w:fill="auto"/>
                  <w:vAlign w:val="center"/>
                </w:tcPr>
                <w:p w14:paraId="474341F0" w14:textId="77777777" w:rsidR="007D00BA" w:rsidRPr="00914C1A" w:rsidRDefault="007D00BA" w:rsidP="00EA6DFD">
                  <w:pPr>
                    <w:pStyle w:val="TableText0"/>
                    <w:keepNext w:val="0"/>
                    <w:jc w:val="center"/>
                    <w:rPr>
                      <w:sz w:val="18"/>
                      <w:szCs w:val="18"/>
                    </w:rPr>
                  </w:pPr>
                  <w:r w:rsidRPr="00914C1A">
                    <w:rPr>
                      <w:sz w:val="18"/>
                      <w:szCs w:val="18"/>
                    </w:rPr>
                    <w:t>23.2%</w:t>
                  </w:r>
                </w:p>
              </w:tc>
              <w:tc>
                <w:tcPr>
                  <w:tcW w:w="1644" w:type="dxa"/>
                  <w:shd w:val="clear" w:color="auto" w:fill="auto"/>
                  <w:vAlign w:val="center"/>
                </w:tcPr>
                <w:p w14:paraId="7A455EBD" w14:textId="77777777" w:rsidR="007D00BA" w:rsidRPr="00914C1A" w:rsidRDefault="007D00BA" w:rsidP="00EA6DFD">
                  <w:pPr>
                    <w:pStyle w:val="TableText0"/>
                    <w:keepNext w:val="0"/>
                    <w:jc w:val="center"/>
                    <w:rPr>
                      <w:sz w:val="18"/>
                      <w:szCs w:val="18"/>
                    </w:rPr>
                  </w:pPr>
                  <w:r w:rsidRPr="00914C1A">
                    <w:rPr>
                      <w:sz w:val="18"/>
                      <w:szCs w:val="18"/>
                    </w:rPr>
                    <w:t>81.4%</w:t>
                  </w:r>
                </w:p>
              </w:tc>
            </w:tr>
          </w:tbl>
          <w:p w14:paraId="72AFB9D2" w14:textId="77777777" w:rsidR="007D00BA" w:rsidRPr="004D6AD4" w:rsidRDefault="007D00BA" w:rsidP="00EA6DFD">
            <w:pPr>
              <w:pStyle w:val="FooterTableFigure"/>
              <w:jc w:val="left"/>
              <w:rPr>
                <w:szCs w:val="18"/>
              </w:rPr>
            </w:pPr>
            <w:r w:rsidRPr="004D6AD4">
              <w:rPr>
                <w:szCs w:val="18"/>
              </w:rPr>
              <w:t>Source: ‘Figures’ worksheet from the economic model</w:t>
            </w:r>
          </w:p>
          <w:p w14:paraId="5A78B01D" w14:textId="77777777" w:rsidR="007D00BA" w:rsidRPr="004D6AD4" w:rsidRDefault="007D00BA" w:rsidP="00EA6DFD">
            <w:pPr>
              <w:pStyle w:val="FooterTableFigure"/>
              <w:rPr>
                <w:szCs w:val="20"/>
              </w:rPr>
            </w:pPr>
            <w:r w:rsidRPr="004D6AD4">
              <w:rPr>
                <w:szCs w:val="18"/>
              </w:rPr>
              <w:t>Note: persistence rate based on previous year</w:t>
            </w:r>
          </w:p>
        </w:tc>
        <w:tc>
          <w:tcPr>
            <w:tcW w:w="1544" w:type="pct"/>
            <w:shd w:val="clear" w:color="auto" w:fill="auto"/>
            <w:vAlign w:val="center"/>
          </w:tcPr>
          <w:p w14:paraId="63092811" w14:textId="55FE5470" w:rsidR="007D00BA" w:rsidRPr="004D6AD4" w:rsidRDefault="007D00BA" w:rsidP="00EA6DFD">
            <w:pPr>
              <w:pStyle w:val="TableText0"/>
              <w:keepNext w:val="0"/>
              <w:rPr>
                <w:szCs w:val="20"/>
              </w:rPr>
            </w:pPr>
            <w:r w:rsidRPr="004D6AD4">
              <w:rPr>
                <w:szCs w:val="20"/>
              </w:rPr>
              <w:t>The DUSC previously considered treatment duration (169.5 weeks/3.25 years) was underestimated in the prevalent population with some people potentially needing longer or lifetime treatment</w:t>
            </w:r>
            <w:r w:rsidRPr="004D6AD4">
              <w:rPr>
                <w:iCs/>
                <w:szCs w:val="20"/>
              </w:rPr>
              <w:t xml:space="preserve"> (Table 19, osilodrostat, March 2023 PBAC meeting)</w:t>
            </w:r>
            <w:r w:rsidRPr="004D6AD4">
              <w:rPr>
                <w:szCs w:val="20"/>
              </w:rPr>
              <w:t xml:space="preserve">. The resubmission applied a persistence rate based on the economic model that extended the duration of use beyond ~3 years as compared to the previous submission. The PBAC </w:t>
            </w:r>
            <w:r w:rsidR="006C5A05" w:rsidRPr="004D6AD4">
              <w:rPr>
                <w:szCs w:val="20"/>
              </w:rPr>
              <w:t xml:space="preserve">previously </w:t>
            </w:r>
            <w:r w:rsidRPr="004D6AD4">
              <w:rPr>
                <w:szCs w:val="20"/>
              </w:rPr>
              <w:t xml:space="preserve">“considered ongoing use for all responding patients would be more appropriate for what is expected to be lifelong treatment. Some discontinuation that aligns with a future economic evaluation may be considered, but only 50% continuation beyond year 3, … was not reasonable” (paragraph 7.12, osilodrostat, PSD, March 2023 PBAC meeting). As such, the mean treatment duration of 4.62 years in the model may also be underestimated. </w:t>
            </w:r>
          </w:p>
        </w:tc>
      </w:tr>
      <w:tr w:rsidR="007D00BA" w:rsidRPr="00397E6D" w14:paraId="37FDB6F6" w14:textId="77777777" w:rsidTr="00EA6DFD">
        <w:trPr>
          <w:cantSplit/>
          <w:trHeight w:val="20"/>
        </w:trPr>
        <w:tc>
          <w:tcPr>
            <w:tcW w:w="5000" w:type="pct"/>
            <w:gridSpan w:val="3"/>
            <w:shd w:val="clear" w:color="auto" w:fill="auto"/>
          </w:tcPr>
          <w:p w14:paraId="18E8D9F1" w14:textId="77777777" w:rsidR="007D00BA" w:rsidRPr="004D6AD4" w:rsidRDefault="007D00BA" w:rsidP="00EA6DFD">
            <w:pPr>
              <w:pStyle w:val="TableText0"/>
              <w:keepNext w:val="0"/>
              <w:rPr>
                <w:szCs w:val="20"/>
              </w:rPr>
            </w:pPr>
            <w:r w:rsidRPr="004D6AD4">
              <w:rPr>
                <w:b/>
                <w:bCs w:val="0"/>
                <w:szCs w:val="20"/>
              </w:rPr>
              <w:t>Costs</w:t>
            </w:r>
          </w:p>
        </w:tc>
      </w:tr>
      <w:tr w:rsidR="007D00BA" w:rsidRPr="00397E6D" w14:paraId="032A9E16" w14:textId="77777777" w:rsidTr="00914C1A">
        <w:trPr>
          <w:cantSplit/>
          <w:trHeight w:val="20"/>
        </w:trPr>
        <w:tc>
          <w:tcPr>
            <w:tcW w:w="753" w:type="pct"/>
            <w:vAlign w:val="center"/>
          </w:tcPr>
          <w:p w14:paraId="1B60CEFD" w14:textId="77777777" w:rsidR="007D00BA" w:rsidRPr="004D6AD4" w:rsidRDefault="007D00BA" w:rsidP="00EA6DFD">
            <w:pPr>
              <w:pStyle w:val="TableText0"/>
              <w:keepNext w:val="0"/>
              <w:rPr>
                <w:szCs w:val="20"/>
              </w:rPr>
            </w:pPr>
            <w:r w:rsidRPr="004D6AD4">
              <w:rPr>
                <w:szCs w:val="20"/>
              </w:rPr>
              <w:t>Cost of medicines</w:t>
            </w:r>
          </w:p>
        </w:tc>
        <w:tc>
          <w:tcPr>
            <w:tcW w:w="2703" w:type="pct"/>
            <w:vAlign w:val="center"/>
          </w:tcPr>
          <w:p w14:paraId="6BF18EA8" w14:textId="51C8A04E" w:rsidR="007D00BA" w:rsidRPr="004D6AD4" w:rsidRDefault="007D00BA" w:rsidP="00EA6DFD">
            <w:pPr>
              <w:pStyle w:val="TableText0"/>
              <w:keepNext w:val="0"/>
              <w:rPr>
                <w:szCs w:val="20"/>
              </w:rPr>
            </w:pPr>
            <w:r w:rsidRPr="004D6AD4">
              <w:rPr>
                <w:szCs w:val="20"/>
              </w:rPr>
              <w:t>1 mg tablet, 60 pack = $2,400 published and $</w:t>
            </w:r>
            <w:r w:rsidR="00DE6661" w:rsidRPr="00DE6661">
              <w:rPr>
                <w:color w:val="000000"/>
                <w:spacing w:val="55"/>
                <w:szCs w:val="20"/>
                <w:shd w:val="solid" w:color="000000" w:fill="000000"/>
                <w:fitText w:val="336" w:id="-962329335"/>
                <w14:textFill>
                  <w14:solidFill>
                    <w14:srgbClr w14:val="000000">
                      <w14:alpha w14:val="100000"/>
                    </w14:srgbClr>
                  </w14:solidFill>
                </w14:textFill>
              </w:rPr>
              <w:t>|||</w:t>
            </w:r>
            <w:r w:rsidR="00DE6661" w:rsidRPr="00DE6661">
              <w:rPr>
                <w:color w:val="000000"/>
                <w:spacing w:val="1"/>
                <w:szCs w:val="20"/>
                <w:shd w:val="solid" w:color="000000" w:fill="000000"/>
                <w:fitText w:val="336" w:id="-962329335"/>
                <w14:textFill>
                  <w14:solidFill>
                    <w14:srgbClr w14:val="000000">
                      <w14:alpha w14:val="100000"/>
                    </w14:srgbClr>
                  </w14:solidFill>
                </w14:textFill>
              </w:rPr>
              <w:t>|</w:t>
            </w:r>
            <w:r w:rsidRPr="004D6AD4">
              <w:rPr>
                <w:szCs w:val="20"/>
              </w:rPr>
              <w:t xml:space="preserve"> effective 5 mg tablet, 60 pack = $9,660 published and $</w:t>
            </w:r>
            <w:r w:rsidR="00DE6661" w:rsidRPr="00DE6661">
              <w:rPr>
                <w:color w:val="000000"/>
                <w:spacing w:val="55"/>
                <w:szCs w:val="20"/>
                <w:shd w:val="solid" w:color="000000" w:fill="000000"/>
                <w:fitText w:val="336" w:id="-962329334"/>
                <w14:textFill>
                  <w14:solidFill>
                    <w14:srgbClr w14:val="000000">
                      <w14:alpha w14:val="100000"/>
                    </w14:srgbClr>
                  </w14:solidFill>
                </w14:textFill>
              </w:rPr>
              <w:t>|||</w:t>
            </w:r>
            <w:r w:rsidR="00DE6661" w:rsidRPr="00DE6661">
              <w:rPr>
                <w:color w:val="000000"/>
                <w:spacing w:val="1"/>
                <w:szCs w:val="20"/>
                <w:shd w:val="solid" w:color="000000" w:fill="000000"/>
                <w:fitText w:val="336" w:id="-962329334"/>
                <w14:textFill>
                  <w14:solidFill>
                    <w14:srgbClr w14:val="000000">
                      <w14:alpha w14:val="100000"/>
                    </w14:srgbClr>
                  </w14:solidFill>
                </w14:textFill>
              </w:rPr>
              <w:t>|</w:t>
            </w:r>
            <w:r w:rsidRPr="004D6AD4">
              <w:rPr>
                <w:szCs w:val="20"/>
              </w:rPr>
              <w:t xml:space="preserve"> effective</w:t>
            </w:r>
          </w:p>
          <w:p w14:paraId="2CFABF90" w14:textId="77777777" w:rsidR="007D00BA" w:rsidRPr="004D6AD4" w:rsidRDefault="007D00BA" w:rsidP="00EA6DFD">
            <w:pPr>
              <w:pStyle w:val="TableText0"/>
              <w:keepNext w:val="0"/>
              <w:rPr>
                <w:szCs w:val="20"/>
              </w:rPr>
            </w:pPr>
            <w:r w:rsidRPr="004D6AD4">
              <w:rPr>
                <w:szCs w:val="20"/>
              </w:rPr>
              <w:t>Nil cost for placebo comparator</w:t>
            </w:r>
          </w:p>
        </w:tc>
        <w:tc>
          <w:tcPr>
            <w:tcW w:w="1544" w:type="pct"/>
            <w:shd w:val="clear" w:color="auto" w:fill="auto"/>
            <w:vAlign w:val="center"/>
          </w:tcPr>
          <w:p w14:paraId="2A93CCF5" w14:textId="1577EB5D" w:rsidR="007D00BA" w:rsidRPr="004D6AD4" w:rsidRDefault="007D00BA" w:rsidP="00EA6DFD">
            <w:pPr>
              <w:pStyle w:val="TableText0"/>
              <w:keepNext w:val="0"/>
              <w:rPr>
                <w:iCs/>
                <w:szCs w:val="20"/>
              </w:rPr>
            </w:pPr>
            <w:r w:rsidRPr="004D6AD4">
              <w:rPr>
                <w:iCs/>
                <w:szCs w:val="20"/>
              </w:rPr>
              <w:t xml:space="preserve">Osilodrostat price reduced compared to the previous submission (paragraph </w:t>
            </w:r>
            <w:r w:rsidRPr="004D6AD4">
              <w:rPr>
                <w:iCs/>
                <w:szCs w:val="20"/>
              </w:rPr>
              <w:fldChar w:fldCharType="begin" w:fldLock="1"/>
            </w:r>
            <w:r w:rsidRPr="004D6AD4">
              <w:rPr>
                <w:iCs/>
                <w:szCs w:val="20"/>
              </w:rPr>
              <w:instrText xml:space="preserve"> REF _Ref153246762 \r \h </w:instrText>
            </w:r>
            <w:r w:rsidR="004D6AD4">
              <w:rPr>
                <w:iCs/>
                <w:szCs w:val="20"/>
              </w:rPr>
              <w:instrText xml:space="preserve"> \* MERGEFORMAT </w:instrText>
            </w:r>
            <w:r w:rsidRPr="004D6AD4">
              <w:rPr>
                <w:iCs/>
                <w:szCs w:val="20"/>
              </w:rPr>
            </w:r>
            <w:r w:rsidRPr="004D6AD4">
              <w:rPr>
                <w:iCs/>
                <w:szCs w:val="20"/>
              </w:rPr>
              <w:fldChar w:fldCharType="separate"/>
            </w:r>
            <w:r w:rsidR="00043D39" w:rsidRPr="004D6AD4">
              <w:rPr>
                <w:iCs/>
                <w:szCs w:val="20"/>
              </w:rPr>
              <w:t>3.2</w:t>
            </w:r>
            <w:r w:rsidRPr="004D6AD4">
              <w:rPr>
                <w:iCs/>
                <w:szCs w:val="20"/>
              </w:rPr>
              <w:fldChar w:fldCharType="end"/>
            </w:r>
            <w:r w:rsidRPr="004D6AD4">
              <w:rPr>
                <w:iCs/>
                <w:szCs w:val="20"/>
              </w:rPr>
              <w:t>)</w:t>
            </w:r>
          </w:p>
        </w:tc>
      </w:tr>
      <w:tr w:rsidR="007D00BA" w:rsidRPr="00397E6D" w14:paraId="27E179F3" w14:textId="77777777" w:rsidTr="00914C1A">
        <w:trPr>
          <w:cantSplit/>
          <w:trHeight w:val="20"/>
        </w:trPr>
        <w:tc>
          <w:tcPr>
            <w:tcW w:w="753" w:type="pct"/>
            <w:vAlign w:val="center"/>
          </w:tcPr>
          <w:p w14:paraId="14FF659F" w14:textId="77777777" w:rsidR="007D00BA" w:rsidRPr="004D6AD4" w:rsidRDefault="007D00BA" w:rsidP="00EA6DFD">
            <w:pPr>
              <w:pStyle w:val="TableText0"/>
              <w:keepNext w:val="0"/>
              <w:rPr>
                <w:szCs w:val="20"/>
              </w:rPr>
            </w:pPr>
            <w:r w:rsidRPr="004D6AD4">
              <w:rPr>
                <w:szCs w:val="20"/>
              </w:rPr>
              <w:lastRenderedPageBreak/>
              <w:t>MBS costs</w:t>
            </w:r>
          </w:p>
        </w:tc>
        <w:tc>
          <w:tcPr>
            <w:tcW w:w="2703" w:type="pct"/>
            <w:vAlign w:val="center"/>
          </w:tcPr>
          <w:p w14:paraId="24EA3E03" w14:textId="77777777" w:rsidR="007D00BA" w:rsidRPr="004D6AD4" w:rsidRDefault="007D00BA" w:rsidP="00EA6DFD">
            <w:pPr>
              <w:pStyle w:val="TableText0"/>
              <w:keepNext w:val="0"/>
              <w:rPr>
                <w:szCs w:val="20"/>
              </w:rPr>
            </w:pPr>
            <w:r w:rsidRPr="004D6AD4">
              <w:rPr>
                <w:szCs w:val="20"/>
              </w:rPr>
              <w:t>The resubmission assumed that patients would require:</w:t>
            </w:r>
          </w:p>
          <w:p w14:paraId="4959BAE0" w14:textId="77777777" w:rsidR="007D00BA" w:rsidRPr="004D6AD4" w:rsidRDefault="007D00BA" w:rsidP="00EA6DFD">
            <w:pPr>
              <w:pStyle w:val="ListBullet"/>
              <w:rPr>
                <w:rFonts w:ascii="Arial Narrow" w:hAnsi="Arial Narrow"/>
                <w:sz w:val="20"/>
                <w:szCs w:val="20"/>
              </w:rPr>
            </w:pPr>
            <w:r w:rsidRPr="004D6AD4">
              <w:rPr>
                <w:rFonts w:ascii="Arial Narrow" w:hAnsi="Arial Narrow"/>
                <w:sz w:val="20"/>
                <w:szCs w:val="20"/>
              </w:rPr>
              <w:t>26 UFC tests and 13 endocrinologist visits in the dose titration period (initial) and</w:t>
            </w:r>
          </w:p>
          <w:p w14:paraId="12630FA6" w14:textId="77777777" w:rsidR="007D00BA" w:rsidRPr="004D6AD4" w:rsidRDefault="007D00BA" w:rsidP="00EA6DFD">
            <w:pPr>
              <w:pStyle w:val="ListBullet"/>
              <w:rPr>
                <w:rFonts w:ascii="Arial Narrow" w:hAnsi="Arial Narrow"/>
                <w:sz w:val="20"/>
                <w:szCs w:val="20"/>
              </w:rPr>
            </w:pPr>
            <w:r w:rsidRPr="004D6AD4">
              <w:rPr>
                <w:rFonts w:ascii="Arial Narrow" w:hAnsi="Arial Narrow"/>
                <w:sz w:val="20"/>
                <w:szCs w:val="20"/>
              </w:rPr>
              <w:t>Two UFC tests and one endocrinologist visit every continuing treatment period</w:t>
            </w:r>
          </w:p>
          <w:p w14:paraId="7D5C18D6" w14:textId="77777777" w:rsidR="007D00BA" w:rsidRPr="004D6AD4" w:rsidRDefault="007D00BA" w:rsidP="00EA6DFD">
            <w:pPr>
              <w:pStyle w:val="TableText0"/>
              <w:keepNext w:val="0"/>
              <w:rPr>
                <w:szCs w:val="20"/>
              </w:rPr>
            </w:pPr>
            <w:r w:rsidRPr="004D6AD4">
              <w:rPr>
                <w:szCs w:val="20"/>
              </w:rPr>
              <w:t>The MBS items for UFC testing and endocrinologist visits are:</w:t>
            </w:r>
          </w:p>
          <w:p w14:paraId="5131B929" w14:textId="77777777" w:rsidR="007D00BA" w:rsidRPr="004D6AD4" w:rsidRDefault="007D00BA" w:rsidP="00EA6DFD">
            <w:pPr>
              <w:pStyle w:val="ListBullet"/>
              <w:rPr>
                <w:rFonts w:ascii="Arial Narrow" w:hAnsi="Arial Narrow"/>
                <w:sz w:val="20"/>
                <w:szCs w:val="20"/>
              </w:rPr>
            </w:pPr>
            <w:r w:rsidRPr="004D6AD4">
              <w:rPr>
                <w:rFonts w:ascii="Arial Narrow" w:hAnsi="Arial Narrow"/>
                <w:sz w:val="20"/>
                <w:szCs w:val="20"/>
              </w:rPr>
              <w:t>MBS Item 66707 ($83.35)</w:t>
            </w:r>
          </w:p>
          <w:p w14:paraId="7B9937A0" w14:textId="77777777" w:rsidR="007D00BA" w:rsidRPr="00914C1A" w:rsidRDefault="007D00BA" w:rsidP="00EA6DFD">
            <w:pPr>
              <w:pStyle w:val="ListBullet"/>
              <w:rPr>
                <w:rFonts w:ascii="Arial Narrow" w:hAnsi="Arial Narrow"/>
                <w:sz w:val="20"/>
                <w:szCs w:val="20"/>
              </w:rPr>
            </w:pPr>
            <w:r w:rsidRPr="004D6AD4">
              <w:rPr>
                <w:rFonts w:ascii="Arial Narrow" w:hAnsi="Arial Narrow"/>
                <w:sz w:val="20"/>
                <w:szCs w:val="20"/>
              </w:rPr>
              <w:t>MBS Item 116 ($83.35)</w:t>
            </w:r>
          </w:p>
        </w:tc>
        <w:tc>
          <w:tcPr>
            <w:tcW w:w="1544" w:type="pct"/>
            <w:shd w:val="clear" w:color="auto" w:fill="auto"/>
            <w:vAlign w:val="center"/>
          </w:tcPr>
          <w:p w14:paraId="3FF7FE3E" w14:textId="77777777" w:rsidR="007D00BA" w:rsidRPr="004D6AD4" w:rsidRDefault="007D00BA" w:rsidP="00EA6DFD">
            <w:pPr>
              <w:pStyle w:val="TableText0"/>
              <w:keepNext w:val="0"/>
              <w:rPr>
                <w:iCs/>
                <w:szCs w:val="20"/>
              </w:rPr>
            </w:pPr>
            <w:r w:rsidRPr="004D6AD4">
              <w:rPr>
                <w:iCs/>
                <w:szCs w:val="20"/>
              </w:rPr>
              <w:t>MBS item 66707 included both UFC and serum cortisol testing and both costing the same, hence it was unclear how conservative the measurements based on urine samples would be in relation to serum cortisol measurements.</w:t>
            </w:r>
          </w:p>
        </w:tc>
      </w:tr>
    </w:tbl>
    <w:p w14:paraId="1010288F" w14:textId="27B7197B" w:rsidR="007D00BA" w:rsidRPr="007A4E7E" w:rsidRDefault="007D00BA" w:rsidP="007D00BA">
      <w:pPr>
        <w:pStyle w:val="FooterTableFigure"/>
      </w:pPr>
      <w:r w:rsidRPr="007A4E7E">
        <w:t>Source: Tables 4.2-1 to 4.2-8 of the resubmission</w:t>
      </w:r>
    </w:p>
    <w:p w14:paraId="56F0C226" w14:textId="77777777" w:rsidR="007D00BA" w:rsidRDefault="007D00BA" w:rsidP="00914C1A">
      <w:pPr>
        <w:pStyle w:val="FooterTableFigure"/>
        <w:spacing w:after="0"/>
        <w:rPr>
          <w:szCs w:val="20"/>
        </w:rPr>
      </w:pPr>
      <w:r w:rsidRPr="007A4E7E">
        <w:rPr>
          <w:szCs w:val="20"/>
        </w:rPr>
        <w:t xml:space="preserve">ABS = Australian Bureau of Statistics; ACTH = adrenocorticotropic hormone; CD = Cushing’s disease; CS = Cushing’s syndrome; AEMP = approved ex-manufacturer price; DoH = Department of Health; KOL = key opinion leader; MBS = Medicare Benefits Schedule; PBS = Pharmaceutical Benefits Scheme; RPBS = Repatriation Pharmaceutical Benefits Scheme; UFC = urinary free cortisol </w:t>
      </w:r>
    </w:p>
    <w:p w14:paraId="5F5D5BD1" w14:textId="77777777" w:rsidR="00F13C82" w:rsidRPr="001E3E58" w:rsidRDefault="00F13C82" w:rsidP="00F13C82">
      <w:pPr>
        <w:jc w:val="left"/>
        <w:rPr>
          <w:rFonts w:ascii="Arial Narrow" w:hAnsi="Arial Narrow" w:cstheme="minorHAnsi"/>
          <w:bCs/>
          <w:i/>
          <w:iCs/>
          <w:sz w:val="18"/>
          <w:szCs w:val="18"/>
        </w:rPr>
      </w:pPr>
      <w:r w:rsidRPr="001E3E58">
        <w:rPr>
          <w:rFonts w:ascii="Arial Narrow" w:hAnsi="Arial Narrow" w:cstheme="minorHAnsi"/>
          <w:bCs/>
          <w:i/>
          <w:iCs/>
          <w:sz w:val="18"/>
          <w:szCs w:val="18"/>
        </w:rPr>
        <w:t xml:space="preserve">The redacted values correspond to the following ranges: </w:t>
      </w:r>
    </w:p>
    <w:p w14:paraId="1B98555E" w14:textId="77777777" w:rsidR="00F13C82" w:rsidRPr="001E3E58" w:rsidRDefault="00F13C82" w:rsidP="00F13C82">
      <w:pPr>
        <w:jc w:val="left"/>
        <w:rPr>
          <w:rFonts w:ascii="Arial Narrow" w:hAnsi="Arial Narrow" w:cstheme="minorHAnsi"/>
          <w:bCs/>
          <w:i/>
          <w:iCs/>
          <w:sz w:val="18"/>
          <w:szCs w:val="18"/>
        </w:rPr>
      </w:pPr>
      <w:r w:rsidRPr="001E3E58">
        <w:rPr>
          <w:rFonts w:ascii="Arial Narrow" w:hAnsi="Arial Narrow" w:cstheme="minorHAnsi"/>
          <w:bCs/>
          <w:i/>
          <w:iCs/>
          <w:sz w:val="18"/>
          <w:szCs w:val="18"/>
          <w:vertAlign w:val="superscript"/>
        </w:rPr>
        <w:t>1</w:t>
      </w:r>
      <w:r w:rsidRPr="001E3E58">
        <w:rPr>
          <w:rFonts w:ascii="Arial Narrow" w:hAnsi="Arial Narrow" w:cstheme="minorHAnsi"/>
          <w:bCs/>
          <w:i/>
          <w:iCs/>
          <w:sz w:val="18"/>
          <w:szCs w:val="18"/>
        </w:rPr>
        <w:t xml:space="preserve"> </w:t>
      </w:r>
      <w:r w:rsidRPr="00AA101F">
        <w:rPr>
          <w:rFonts w:ascii="Arial Narrow" w:hAnsi="Arial Narrow" w:cstheme="minorHAnsi"/>
          <w:bCs/>
          <w:i/>
          <w:iCs/>
          <w:sz w:val="18"/>
          <w:szCs w:val="18"/>
        </w:rPr>
        <w:t>500 to &lt; 5,000</w:t>
      </w:r>
    </w:p>
    <w:p w14:paraId="2407E1AD" w14:textId="3E0FB4F7" w:rsidR="00F13C82" w:rsidRPr="007A4E7E" w:rsidRDefault="00F13C82" w:rsidP="00F13C82">
      <w:pPr>
        <w:pStyle w:val="FooterTableFigure"/>
        <w:contextualSpacing w:val="0"/>
      </w:pPr>
      <w:r w:rsidRPr="001E3E58">
        <w:rPr>
          <w:rFonts w:cstheme="minorHAnsi"/>
          <w:bCs/>
          <w:i/>
          <w:iCs/>
          <w:szCs w:val="18"/>
          <w:vertAlign w:val="superscript"/>
        </w:rPr>
        <w:t>2</w:t>
      </w:r>
      <w:r w:rsidRPr="001E3E58">
        <w:rPr>
          <w:rFonts w:cstheme="minorHAnsi"/>
          <w:bCs/>
          <w:i/>
          <w:iCs/>
          <w:szCs w:val="18"/>
        </w:rPr>
        <w:t xml:space="preserve"> </w:t>
      </w:r>
      <w:r>
        <w:rPr>
          <w:rFonts w:cstheme="minorHAnsi"/>
          <w:bCs/>
          <w:i/>
          <w:iCs/>
          <w:szCs w:val="18"/>
        </w:rPr>
        <w:t>&lt; 500</w:t>
      </w:r>
    </w:p>
    <w:p w14:paraId="6D552197" w14:textId="38C2D9C1" w:rsidR="007D00BA" w:rsidRPr="007A4E7E" w:rsidRDefault="007D00BA" w:rsidP="007D00BA">
      <w:pPr>
        <w:pStyle w:val="ExecSumBodyText"/>
        <w:numPr>
          <w:ilvl w:val="1"/>
          <w:numId w:val="1"/>
        </w:numPr>
      </w:pPr>
      <w:r w:rsidRPr="007A4E7E">
        <w:t xml:space="preserve">The total eligible patients, scripts dispensed, and the net financial implications to the R/PBS is presented in </w:t>
      </w:r>
      <w:r w:rsidRPr="007A4E7E">
        <w:fldChar w:fldCharType="begin" w:fldLock="1"/>
      </w:r>
      <w:r w:rsidRPr="007A4E7E">
        <w:instrText xml:space="preserve"> REF _Ref153192496 \h </w:instrText>
      </w:r>
      <w:r w:rsidRPr="007A4E7E">
        <w:fldChar w:fldCharType="separate"/>
      </w:r>
      <w:r w:rsidR="00043D39" w:rsidRPr="007A4E7E">
        <w:t xml:space="preserve">Table </w:t>
      </w:r>
      <w:r w:rsidR="00043D39">
        <w:rPr>
          <w:noProof/>
        </w:rPr>
        <w:t>18</w:t>
      </w:r>
      <w:r w:rsidRPr="007A4E7E">
        <w:fldChar w:fldCharType="end"/>
      </w:r>
      <w:r w:rsidRPr="007A4E7E">
        <w:t>.</w:t>
      </w:r>
    </w:p>
    <w:p w14:paraId="75F68C5F" w14:textId="599B0B8F" w:rsidR="007D00BA" w:rsidRPr="003D0B06" w:rsidRDefault="007D00BA" w:rsidP="007D00BA">
      <w:pPr>
        <w:pStyle w:val="Caption"/>
      </w:pPr>
      <w:bookmarkStart w:id="61" w:name="_Ref153192496"/>
      <w:r w:rsidRPr="007A4E7E">
        <w:lastRenderedPageBreak/>
        <w:t xml:space="preserve">Table </w:t>
      </w:r>
      <w:r w:rsidR="00545EA1">
        <w:fldChar w:fldCharType="begin" w:fldLock="1"/>
      </w:r>
      <w:r w:rsidR="00545EA1">
        <w:instrText xml:space="preserve"> SEQ Table \* ARABIC </w:instrText>
      </w:r>
      <w:r w:rsidR="00545EA1">
        <w:fldChar w:fldCharType="separate"/>
      </w:r>
      <w:r w:rsidR="00043D39" w:rsidRPr="003D0B06">
        <w:rPr>
          <w:noProof/>
        </w:rPr>
        <w:t>18</w:t>
      </w:r>
      <w:r w:rsidR="00545EA1">
        <w:rPr>
          <w:noProof/>
        </w:rPr>
        <w:fldChar w:fldCharType="end"/>
      </w:r>
      <w:bookmarkEnd w:id="61"/>
      <w:r w:rsidRPr="003D0B06">
        <w:t>:</w:t>
      </w:r>
      <w:r w:rsidRPr="00914C1A">
        <w:rPr>
          <w:rStyle w:val="CommentReference"/>
          <w:b/>
          <w:szCs w:val="24"/>
        </w:rPr>
        <w:t xml:space="preserve"> Estimated use and financial implications</w:t>
      </w:r>
    </w:p>
    <w:tbl>
      <w:tblPr>
        <w:tblStyle w:val="TableGrid"/>
        <w:tblW w:w="5000" w:type="pct"/>
        <w:tblLook w:val="04A0" w:firstRow="1" w:lastRow="0" w:firstColumn="1" w:lastColumn="0" w:noHBand="0" w:noVBand="1"/>
        <w:tblCaption w:val="Table 18: Estimated use and financial implications"/>
      </w:tblPr>
      <w:tblGrid>
        <w:gridCol w:w="1462"/>
        <w:gridCol w:w="1258"/>
        <w:gridCol w:w="1259"/>
        <w:gridCol w:w="1259"/>
        <w:gridCol w:w="1259"/>
        <w:gridCol w:w="1259"/>
        <w:gridCol w:w="1261"/>
      </w:tblGrid>
      <w:tr w:rsidR="007D00BA" w:rsidRPr="007A4E7E" w14:paraId="483868CC" w14:textId="77777777" w:rsidTr="00EA6DFD">
        <w:tc>
          <w:tcPr>
            <w:tcW w:w="811" w:type="pct"/>
            <w:shd w:val="clear" w:color="auto" w:fill="auto"/>
          </w:tcPr>
          <w:p w14:paraId="0E7415B8" w14:textId="77777777" w:rsidR="007D00BA" w:rsidRPr="007A4E7E" w:rsidRDefault="007D00BA" w:rsidP="00EA6DFD">
            <w:pPr>
              <w:keepNext/>
              <w:rPr>
                <w:rFonts w:ascii="Arial Narrow" w:hAnsi="Arial Narrow" w:cstheme="minorHAnsi"/>
                <w:b/>
                <w:bCs/>
              </w:rPr>
            </w:pPr>
          </w:p>
        </w:tc>
        <w:tc>
          <w:tcPr>
            <w:tcW w:w="698" w:type="pct"/>
            <w:shd w:val="clear" w:color="auto" w:fill="auto"/>
            <w:vAlign w:val="center"/>
          </w:tcPr>
          <w:p w14:paraId="1671FB67" w14:textId="77777777" w:rsidR="007D00BA" w:rsidRPr="007A4E7E" w:rsidRDefault="007D00BA" w:rsidP="00EA6DFD">
            <w:pPr>
              <w:keepNext/>
              <w:jc w:val="center"/>
              <w:rPr>
                <w:rFonts w:ascii="Arial Narrow" w:hAnsi="Arial Narrow" w:cstheme="minorHAnsi"/>
                <w:b/>
                <w:bCs/>
              </w:rPr>
            </w:pPr>
            <w:r w:rsidRPr="007A4E7E">
              <w:rPr>
                <w:rFonts w:ascii="Arial Narrow" w:hAnsi="Arial Narrow" w:cstheme="minorHAnsi"/>
                <w:b/>
                <w:bCs/>
              </w:rPr>
              <w:t>Year 1</w:t>
            </w:r>
          </w:p>
        </w:tc>
        <w:tc>
          <w:tcPr>
            <w:tcW w:w="698" w:type="pct"/>
            <w:shd w:val="clear" w:color="auto" w:fill="auto"/>
            <w:vAlign w:val="center"/>
          </w:tcPr>
          <w:p w14:paraId="2DC663CE" w14:textId="77777777" w:rsidR="007D00BA" w:rsidRPr="007A4E7E" w:rsidRDefault="007D00BA" w:rsidP="00EA6DFD">
            <w:pPr>
              <w:keepNext/>
              <w:jc w:val="center"/>
              <w:rPr>
                <w:rFonts w:ascii="Arial Narrow" w:hAnsi="Arial Narrow" w:cstheme="minorHAnsi"/>
                <w:b/>
                <w:bCs/>
              </w:rPr>
            </w:pPr>
            <w:r w:rsidRPr="007A4E7E">
              <w:rPr>
                <w:rFonts w:ascii="Arial Narrow" w:hAnsi="Arial Narrow" w:cstheme="minorHAnsi"/>
                <w:b/>
                <w:bCs/>
              </w:rPr>
              <w:t>Year 2</w:t>
            </w:r>
          </w:p>
        </w:tc>
        <w:tc>
          <w:tcPr>
            <w:tcW w:w="698" w:type="pct"/>
            <w:shd w:val="clear" w:color="auto" w:fill="auto"/>
            <w:vAlign w:val="center"/>
          </w:tcPr>
          <w:p w14:paraId="2EEF90F5" w14:textId="77777777" w:rsidR="007D00BA" w:rsidRPr="007A4E7E" w:rsidRDefault="007D00BA" w:rsidP="00EA6DFD">
            <w:pPr>
              <w:keepNext/>
              <w:jc w:val="center"/>
              <w:rPr>
                <w:rFonts w:ascii="Arial Narrow" w:hAnsi="Arial Narrow" w:cstheme="minorHAnsi"/>
                <w:b/>
                <w:bCs/>
              </w:rPr>
            </w:pPr>
            <w:r w:rsidRPr="007A4E7E">
              <w:rPr>
                <w:rFonts w:ascii="Arial Narrow" w:hAnsi="Arial Narrow" w:cstheme="minorHAnsi"/>
                <w:b/>
                <w:bCs/>
              </w:rPr>
              <w:t>Year 3</w:t>
            </w:r>
          </w:p>
        </w:tc>
        <w:tc>
          <w:tcPr>
            <w:tcW w:w="698" w:type="pct"/>
            <w:shd w:val="clear" w:color="auto" w:fill="auto"/>
            <w:vAlign w:val="center"/>
          </w:tcPr>
          <w:p w14:paraId="3798C68B" w14:textId="77777777" w:rsidR="007D00BA" w:rsidRPr="007A4E7E" w:rsidRDefault="007D00BA" w:rsidP="00EA6DFD">
            <w:pPr>
              <w:keepNext/>
              <w:jc w:val="center"/>
              <w:rPr>
                <w:rFonts w:ascii="Arial Narrow" w:hAnsi="Arial Narrow" w:cstheme="minorHAnsi"/>
                <w:b/>
                <w:bCs/>
              </w:rPr>
            </w:pPr>
            <w:r w:rsidRPr="007A4E7E">
              <w:rPr>
                <w:rFonts w:ascii="Arial Narrow" w:hAnsi="Arial Narrow" w:cstheme="minorHAnsi"/>
                <w:b/>
                <w:bCs/>
              </w:rPr>
              <w:t>Year 4</w:t>
            </w:r>
          </w:p>
        </w:tc>
        <w:tc>
          <w:tcPr>
            <w:tcW w:w="698" w:type="pct"/>
            <w:shd w:val="clear" w:color="auto" w:fill="auto"/>
            <w:vAlign w:val="center"/>
          </w:tcPr>
          <w:p w14:paraId="7B059D88" w14:textId="77777777" w:rsidR="007D00BA" w:rsidRPr="007A4E7E" w:rsidRDefault="007D00BA" w:rsidP="00EA6DFD">
            <w:pPr>
              <w:keepNext/>
              <w:jc w:val="center"/>
              <w:rPr>
                <w:rFonts w:ascii="Arial Narrow" w:hAnsi="Arial Narrow" w:cstheme="minorHAnsi"/>
                <w:b/>
                <w:bCs/>
              </w:rPr>
            </w:pPr>
            <w:r w:rsidRPr="007A4E7E">
              <w:rPr>
                <w:rFonts w:ascii="Arial Narrow" w:hAnsi="Arial Narrow" w:cstheme="minorHAnsi"/>
                <w:b/>
                <w:bCs/>
              </w:rPr>
              <w:t>Year 5</w:t>
            </w:r>
          </w:p>
        </w:tc>
        <w:tc>
          <w:tcPr>
            <w:tcW w:w="699" w:type="pct"/>
            <w:shd w:val="clear" w:color="auto" w:fill="auto"/>
            <w:vAlign w:val="center"/>
          </w:tcPr>
          <w:p w14:paraId="21795ED9" w14:textId="77777777" w:rsidR="007D00BA" w:rsidRPr="007A4E7E" w:rsidRDefault="007D00BA" w:rsidP="00EA6DFD">
            <w:pPr>
              <w:keepNext/>
              <w:jc w:val="center"/>
              <w:rPr>
                <w:rFonts w:ascii="Arial Narrow" w:hAnsi="Arial Narrow" w:cstheme="minorHAnsi"/>
                <w:b/>
                <w:bCs/>
              </w:rPr>
            </w:pPr>
            <w:r w:rsidRPr="007A4E7E">
              <w:rPr>
                <w:rFonts w:ascii="Arial Narrow" w:hAnsi="Arial Narrow" w:cstheme="minorHAnsi"/>
                <w:b/>
                <w:bCs/>
              </w:rPr>
              <w:t>Year 6</w:t>
            </w:r>
          </w:p>
        </w:tc>
      </w:tr>
      <w:tr w:rsidR="007D00BA" w:rsidRPr="007A4E7E" w14:paraId="5E29D498" w14:textId="77777777" w:rsidTr="00EA6DFD">
        <w:tc>
          <w:tcPr>
            <w:tcW w:w="5000" w:type="pct"/>
            <w:gridSpan w:val="7"/>
            <w:shd w:val="clear" w:color="auto" w:fill="auto"/>
          </w:tcPr>
          <w:p w14:paraId="37193C44" w14:textId="77777777" w:rsidR="007D00BA" w:rsidRPr="007A4E7E" w:rsidRDefault="007D00BA" w:rsidP="00EA6DFD">
            <w:pPr>
              <w:keepNext/>
              <w:rPr>
                <w:rFonts w:ascii="Arial Narrow" w:hAnsi="Arial Narrow" w:cstheme="minorHAnsi"/>
                <w:b/>
                <w:bCs/>
              </w:rPr>
            </w:pPr>
            <w:r w:rsidRPr="007A4E7E">
              <w:rPr>
                <w:rFonts w:ascii="Arial Narrow" w:hAnsi="Arial Narrow" w:cstheme="minorHAnsi"/>
                <w:b/>
                <w:bCs/>
              </w:rPr>
              <w:t>Total eligible patients</w:t>
            </w:r>
          </w:p>
        </w:tc>
      </w:tr>
      <w:tr w:rsidR="007D00BA" w:rsidRPr="007A4E7E" w14:paraId="6543A319" w14:textId="77777777" w:rsidTr="00EA6DFD">
        <w:tc>
          <w:tcPr>
            <w:tcW w:w="811" w:type="pct"/>
            <w:shd w:val="clear" w:color="auto" w:fill="auto"/>
          </w:tcPr>
          <w:p w14:paraId="05CDA789" w14:textId="77777777" w:rsidR="007D00BA" w:rsidRPr="007A4E7E" w:rsidRDefault="007D00BA" w:rsidP="00EA6DFD">
            <w:pPr>
              <w:keepNext/>
              <w:rPr>
                <w:rFonts w:ascii="Arial Narrow" w:hAnsi="Arial Narrow" w:cstheme="minorHAnsi"/>
              </w:rPr>
            </w:pPr>
            <w:r w:rsidRPr="007A4E7E">
              <w:rPr>
                <w:rFonts w:ascii="Arial Narrow" w:hAnsi="Arial Narrow" w:cstheme="minorHAnsi"/>
              </w:rPr>
              <w:t xml:space="preserve">Prevalent </w:t>
            </w:r>
          </w:p>
        </w:tc>
        <w:tc>
          <w:tcPr>
            <w:tcW w:w="698" w:type="pct"/>
            <w:shd w:val="clear" w:color="auto" w:fill="auto"/>
            <w:vAlign w:val="center"/>
          </w:tcPr>
          <w:p w14:paraId="3DA0DDDB" w14:textId="73D21193" w:rsidR="007D00BA" w:rsidRPr="007A4E7E" w:rsidRDefault="00DE6661" w:rsidP="00EA6DFD">
            <w:pPr>
              <w:keepNext/>
              <w:jc w:val="center"/>
              <w:rPr>
                <w:rFonts w:ascii="Arial Narrow" w:hAnsi="Arial Narrow" w:cstheme="minorHAnsi"/>
              </w:rPr>
            </w:pPr>
            <w:r w:rsidRPr="00DE6661">
              <w:rPr>
                <w:rFonts w:ascii="Arial Narrow" w:hAnsi="Arial Narrow" w:cstheme="minorHAnsi" w:hint="eastAsia"/>
                <w:color w:val="000000"/>
                <w:w w:val="21"/>
                <w:shd w:val="solid" w:color="000000" w:fill="000000"/>
                <w:fitText w:val="94" w:id="-962329333"/>
                <w14:textFill>
                  <w14:solidFill>
                    <w14:srgbClr w14:val="000000">
                      <w14:alpha w14:val="100000"/>
                    </w14:srgbClr>
                  </w14:solidFill>
                </w14:textFill>
              </w:rPr>
              <w:t xml:space="preserve">　</w:t>
            </w:r>
            <w:r w:rsidRPr="00DE6661">
              <w:rPr>
                <w:rFonts w:ascii="Arial Narrow" w:hAnsi="Arial Narrow" w:cstheme="minorHAnsi"/>
                <w:color w:val="000000"/>
                <w:w w:val="21"/>
                <w:shd w:val="solid" w:color="000000" w:fill="000000"/>
                <w:fitText w:val="94" w:id="-962329333"/>
                <w14:textFill>
                  <w14:solidFill>
                    <w14:srgbClr w14:val="000000">
                      <w14:alpha w14:val="100000"/>
                    </w14:srgbClr>
                  </w14:solidFill>
                </w14:textFill>
              </w:rPr>
              <w:t>|</w:t>
            </w:r>
            <w:r w:rsidRPr="00DE6661">
              <w:rPr>
                <w:rFonts w:ascii="Arial Narrow" w:hAnsi="Arial Narrow" w:cstheme="minorHAnsi" w:hint="eastAsia"/>
                <w:color w:val="000000"/>
                <w:spacing w:val="3"/>
                <w:w w:val="21"/>
                <w:shd w:val="solid" w:color="000000" w:fill="000000"/>
                <w:fitText w:val="94" w:id="-962329333"/>
                <w14:textFill>
                  <w14:solidFill>
                    <w14:srgbClr w14:val="000000">
                      <w14:alpha w14:val="100000"/>
                    </w14:srgbClr>
                  </w14:solidFill>
                </w14:textFill>
              </w:rPr>
              <w:t xml:space="preserve">　</w:t>
            </w:r>
            <w:r w:rsidR="006F00CC">
              <w:rPr>
                <w:rFonts w:ascii="Arial Narrow" w:hAnsi="Arial Narrow" w:cstheme="minorHAnsi"/>
              </w:rPr>
              <w:t xml:space="preserve"> </w:t>
            </w:r>
            <w:r w:rsidR="006F00CC" w:rsidRPr="00914C1A">
              <w:rPr>
                <w:rFonts w:ascii="Arial Narrow" w:hAnsi="Arial Narrow" w:cstheme="minorHAnsi"/>
                <w:vertAlign w:val="superscript"/>
              </w:rPr>
              <w:t>1</w:t>
            </w:r>
          </w:p>
        </w:tc>
        <w:tc>
          <w:tcPr>
            <w:tcW w:w="698" w:type="pct"/>
            <w:shd w:val="clear" w:color="auto" w:fill="auto"/>
            <w:vAlign w:val="center"/>
          </w:tcPr>
          <w:p w14:paraId="5F6BDF0B" w14:textId="77777777" w:rsidR="007D00BA" w:rsidRPr="007A4E7E" w:rsidRDefault="007D00BA" w:rsidP="00EA6DFD">
            <w:pPr>
              <w:keepNext/>
              <w:jc w:val="center"/>
              <w:rPr>
                <w:rFonts w:ascii="Arial Narrow" w:hAnsi="Arial Narrow" w:cstheme="minorHAnsi"/>
              </w:rPr>
            </w:pPr>
            <w:r w:rsidRPr="007A4E7E">
              <w:rPr>
                <w:rFonts w:ascii="Arial Narrow" w:hAnsi="Arial Narrow" w:cstheme="minorHAnsi"/>
              </w:rPr>
              <w:t>-</w:t>
            </w:r>
          </w:p>
        </w:tc>
        <w:tc>
          <w:tcPr>
            <w:tcW w:w="698" w:type="pct"/>
            <w:shd w:val="clear" w:color="auto" w:fill="auto"/>
            <w:vAlign w:val="center"/>
          </w:tcPr>
          <w:p w14:paraId="48588396" w14:textId="77777777" w:rsidR="007D00BA" w:rsidRPr="007A4E7E" w:rsidRDefault="007D00BA" w:rsidP="00EA6DFD">
            <w:pPr>
              <w:keepNext/>
              <w:jc w:val="center"/>
              <w:rPr>
                <w:rFonts w:ascii="Arial Narrow" w:hAnsi="Arial Narrow" w:cstheme="minorHAnsi"/>
              </w:rPr>
            </w:pPr>
            <w:r w:rsidRPr="007A4E7E">
              <w:rPr>
                <w:rFonts w:ascii="Arial Narrow" w:hAnsi="Arial Narrow" w:cstheme="minorHAnsi"/>
              </w:rPr>
              <w:t>-</w:t>
            </w:r>
          </w:p>
        </w:tc>
        <w:tc>
          <w:tcPr>
            <w:tcW w:w="698" w:type="pct"/>
            <w:shd w:val="clear" w:color="auto" w:fill="auto"/>
            <w:vAlign w:val="center"/>
          </w:tcPr>
          <w:p w14:paraId="06BCDC20" w14:textId="77777777" w:rsidR="007D00BA" w:rsidRPr="007A4E7E" w:rsidRDefault="007D00BA" w:rsidP="00EA6DFD">
            <w:pPr>
              <w:keepNext/>
              <w:jc w:val="center"/>
              <w:rPr>
                <w:rFonts w:ascii="Arial Narrow" w:hAnsi="Arial Narrow" w:cstheme="minorHAnsi"/>
              </w:rPr>
            </w:pPr>
            <w:r w:rsidRPr="007A4E7E">
              <w:rPr>
                <w:rFonts w:ascii="Arial Narrow" w:hAnsi="Arial Narrow" w:cstheme="minorHAnsi"/>
              </w:rPr>
              <w:t>-</w:t>
            </w:r>
          </w:p>
        </w:tc>
        <w:tc>
          <w:tcPr>
            <w:tcW w:w="698" w:type="pct"/>
            <w:shd w:val="clear" w:color="auto" w:fill="auto"/>
            <w:vAlign w:val="center"/>
          </w:tcPr>
          <w:p w14:paraId="165567CF" w14:textId="77777777" w:rsidR="007D00BA" w:rsidRPr="007A4E7E" w:rsidRDefault="007D00BA" w:rsidP="00EA6DFD">
            <w:pPr>
              <w:keepNext/>
              <w:jc w:val="center"/>
              <w:rPr>
                <w:rFonts w:ascii="Arial Narrow" w:hAnsi="Arial Narrow" w:cstheme="minorHAnsi"/>
              </w:rPr>
            </w:pPr>
            <w:r w:rsidRPr="007A4E7E">
              <w:rPr>
                <w:rFonts w:ascii="Arial Narrow" w:hAnsi="Arial Narrow" w:cstheme="minorHAnsi"/>
              </w:rPr>
              <w:t>-</w:t>
            </w:r>
          </w:p>
        </w:tc>
        <w:tc>
          <w:tcPr>
            <w:tcW w:w="699" w:type="pct"/>
            <w:shd w:val="clear" w:color="auto" w:fill="auto"/>
            <w:vAlign w:val="center"/>
          </w:tcPr>
          <w:p w14:paraId="657C1BCE" w14:textId="77777777" w:rsidR="007D00BA" w:rsidRPr="007A4E7E" w:rsidRDefault="007D00BA" w:rsidP="00EA6DFD">
            <w:pPr>
              <w:keepNext/>
              <w:jc w:val="center"/>
              <w:rPr>
                <w:rFonts w:ascii="Arial Narrow" w:hAnsi="Arial Narrow" w:cstheme="minorHAnsi"/>
              </w:rPr>
            </w:pPr>
            <w:r w:rsidRPr="007A4E7E">
              <w:rPr>
                <w:rFonts w:ascii="Arial Narrow" w:hAnsi="Arial Narrow" w:cstheme="minorHAnsi"/>
              </w:rPr>
              <w:t>-</w:t>
            </w:r>
          </w:p>
        </w:tc>
      </w:tr>
      <w:tr w:rsidR="007D00BA" w:rsidRPr="007A4E7E" w14:paraId="3686884A" w14:textId="77777777" w:rsidTr="00EA6DFD">
        <w:tc>
          <w:tcPr>
            <w:tcW w:w="811" w:type="pct"/>
            <w:shd w:val="clear" w:color="auto" w:fill="auto"/>
          </w:tcPr>
          <w:p w14:paraId="6ED4DA2F" w14:textId="77777777" w:rsidR="007D00BA" w:rsidRPr="007A4E7E" w:rsidRDefault="007D00BA" w:rsidP="00EA6DFD">
            <w:pPr>
              <w:keepNext/>
              <w:rPr>
                <w:rFonts w:ascii="Arial Narrow" w:hAnsi="Arial Narrow" w:cstheme="minorHAnsi"/>
              </w:rPr>
            </w:pPr>
            <w:r w:rsidRPr="007A4E7E">
              <w:rPr>
                <w:rFonts w:ascii="Arial Narrow" w:hAnsi="Arial Narrow" w:cstheme="minorHAnsi"/>
              </w:rPr>
              <w:t xml:space="preserve">Incident </w:t>
            </w:r>
          </w:p>
        </w:tc>
        <w:tc>
          <w:tcPr>
            <w:tcW w:w="698" w:type="pct"/>
            <w:shd w:val="clear" w:color="auto" w:fill="auto"/>
            <w:vAlign w:val="center"/>
          </w:tcPr>
          <w:p w14:paraId="76C330B0" w14:textId="77777777" w:rsidR="007D00BA" w:rsidRPr="007A4E7E" w:rsidRDefault="007D00BA" w:rsidP="00EA6DFD">
            <w:pPr>
              <w:keepNext/>
              <w:jc w:val="center"/>
              <w:rPr>
                <w:rFonts w:ascii="Arial Narrow" w:hAnsi="Arial Narrow" w:cstheme="minorHAnsi"/>
              </w:rPr>
            </w:pPr>
            <w:r w:rsidRPr="007A4E7E">
              <w:rPr>
                <w:rFonts w:ascii="Arial Narrow" w:hAnsi="Arial Narrow" w:cstheme="minorHAnsi"/>
              </w:rPr>
              <w:t>-</w:t>
            </w:r>
          </w:p>
        </w:tc>
        <w:tc>
          <w:tcPr>
            <w:tcW w:w="698" w:type="pct"/>
            <w:shd w:val="clear" w:color="auto" w:fill="auto"/>
            <w:vAlign w:val="center"/>
          </w:tcPr>
          <w:p w14:paraId="392FB444" w14:textId="73B9DD1E"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2"/>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2"/>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2"/>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762376EE" w14:textId="0C9E2A02"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1"/>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1"/>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1"/>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49968DAF" w14:textId="76584C99"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0"/>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0"/>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2FC64AEA" w14:textId="179A9D22"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2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29"/>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29"/>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9" w:type="pct"/>
            <w:shd w:val="clear" w:color="auto" w:fill="auto"/>
            <w:vAlign w:val="center"/>
          </w:tcPr>
          <w:p w14:paraId="6534D2C4" w14:textId="08204F6A"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37" w:id="-962329328"/>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28"/>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28"/>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r>
      <w:tr w:rsidR="007D00BA" w:rsidRPr="007A4E7E" w14:paraId="17A683DC" w14:textId="77777777" w:rsidTr="00EA6DFD">
        <w:tc>
          <w:tcPr>
            <w:tcW w:w="5000" w:type="pct"/>
            <w:gridSpan w:val="7"/>
            <w:shd w:val="clear" w:color="auto" w:fill="auto"/>
          </w:tcPr>
          <w:p w14:paraId="6227459D" w14:textId="77777777" w:rsidR="007D00BA" w:rsidRPr="007A4E7E" w:rsidRDefault="007D00BA" w:rsidP="00EA6DFD">
            <w:pPr>
              <w:keepNext/>
              <w:rPr>
                <w:rFonts w:ascii="Arial Narrow" w:hAnsi="Arial Narrow" w:cstheme="minorHAnsi"/>
                <w:b/>
                <w:bCs/>
                <w:color w:val="000000"/>
                <w:vertAlign w:val="superscript"/>
              </w:rPr>
            </w:pPr>
            <w:r w:rsidRPr="007A4E7E">
              <w:rPr>
                <w:rFonts w:ascii="Arial Narrow" w:hAnsi="Arial Narrow" w:cstheme="minorHAnsi"/>
                <w:b/>
                <w:bCs/>
              </w:rPr>
              <w:t xml:space="preserve">Uptake of osilodrostat </w:t>
            </w:r>
            <w:r w:rsidRPr="007A4E7E">
              <w:rPr>
                <w:rFonts w:ascii="Arial Narrow" w:hAnsi="Arial Narrow" w:cstheme="minorHAnsi"/>
                <w:b/>
                <w:bCs/>
                <w:vertAlign w:val="superscript"/>
              </w:rPr>
              <w:t>a</w:t>
            </w:r>
          </w:p>
        </w:tc>
      </w:tr>
      <w:tr w:rsidR="007D00BA" w:rsidRPr="007A4E7E" w14:paraId="40490007" w14:textId="77777777" w:rsidTr="00EA6DFD">
        <w:tc>
          <w:tcPr>
            <w:tcW w:w="811" w:type="pct"/>
            <w:shd w:val="clear" w:color="auto" w:fill="auto"/>
          </w:tcPr>
          <w:p w14:paraId="6A1D5102" w14:textId="77777777" w:rsidR="007D00BA" w:rsidRPr="007A4E7E" w:rsidRDefault="007D00BA" w:rsidP="00EA6DFD">
            <w:pPr>
              <w:keepNext/>
              <w:rPr>
                <w:rFonts w:ascii="Arial Narrow" w:hAnsi="Arial Narrow" w:cstheme="minorHAnsi"/>
              </w:rPr>
            </w:pPr>
            <w:r w:rsidRPr="007A4E7E">
              <w:rPr>
                <w:rFonts w:ascii="Arial Narrow" w:hAnsi="Arial Narrow" w:cstheme="minorHAnsi"/>
              </w:rPr>
              <w:t xml:space="preserve">Prevalent </w:t>
            </w:r>
          </w:p>
        </w:tc>
        <w:tc>
          <w:tcPr>
            <w:tcW w:w="698" w:type="pct"/>
            <w:shd w:val="clear" w:color="auto" w:fill="auto"/>
            <w:vAlign w:val="center"/>
          </w:tcPr>
          <w:p w14:paraId="01B99B83" w14:textId="4C086EB2"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4"/>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4"/>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4"/>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488FA5A4" w14:textId="49E24A33"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3"/>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3"/>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3"/>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49D24F22" w14:textId="28B97865"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2"/>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2"/>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2"/>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2432B1EE" w14:textId="02EED46F"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1"/>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1"/>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1"/>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47E0C47D" w14:textId="0C321282"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0"/>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0"/>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9" w:type="pct"/>
            <w:shd w:val="clear" w:color="auto" w:fill="auto"/>
            <w:vAlign w:val="center"/>
          </w:tcPr>
          <w:p w14:paraId="14DEBEC3" w14:textId="2B2DEAE8"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37" w:id="-96232933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39"/>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39"/>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r>
      <w:tr w:rsidR="007D00BA" w:rsidRPr="007A4E7E" w14:paraId="668F2683" w14:textId="77777777" w:rsidTr="00EA6DFD">
        <w:tc>
          <w:tcPr>
            <w:tcW w:w="811" w:type="pct"/>
            <w:shd w:val="clear" w:color="auto" w:fill="auto"/>
          </w:tcPr>
          <w:p w14:paraId="4B92E76E" w14:textId="77777777" w:rsidR="007D00BA" w:rsidRPr="007A4E7E" w:rsidRDefault="007D00BA" w:rsidP="00EA6DFD">
            <w:pPr>
              <w:keepNext/>
              <w:rPr>
                <w:rFonts w:ascii="Arial Narrow" w:hAnsi="Arial Narrow" w:cstheme="minorHAnsi"/>
              </w:rPr>
            </w:pPr>
            <w:r w:rsidRPr="007A4E7E">
              <w:rPr>
                <w:rFonts w:ascii="Arial Narrow" w:hAnsi="Arial Narrow" w:cstheme="minorHAnsi"/>
              </w:rPr>
              <w:t xml:space="preserve">Incident </w:t>
            </w:r>
          </w:p>
        </w:tc>
        <w:tc>
          <w:tcPr>
            <w:tcW w:w="698" w:type="pct"/>
            <w:shd w:val="clear" w:color="auto" w:fill="auto"/>
            <w:vAlign w:val="center"/>
          </w:tcPr>
          <w:p w14:paraId="5DC54D76" w14:textId="7EC04361"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8"/>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8"/>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8"/>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75399449" w14:textId="4FDF6E0B"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7"/>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7"/>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7"/>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3CFAAE5A" w14:textId="64DBA18D"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6"/>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6"/>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6"/>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77FF9A05" w14:textId="3B1B47EF"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5"/>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5"/>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5"/>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23C49E2A" w14:textId="2B23AC13"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4"/>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4"/>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4"/>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9" w:type="pct"/>
            <w:shd w:val="clear" w:color="auto" w:fill="auto"/>
            <w:vAlign w:val="center"/>
          </w:tcPr>
          <w:p w14:paraId="48F47DE9" w14:textId="289DBF94"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37" w:id="-962329333"/>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33"/>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33"/>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r>
      <w:tr w:rsidR="007D00BA" w:rsidRPr="007A4E7E" w14:paraId="36D38436" w14:textId="77777777" w:rsidTr="00EA6DFD">
        <w:tc>
          <w:tcPr>
            <w:tcW w:w="811" w:type="pct"/>
            <w:shd w:val="clear" w:color="auto" w:fill="auto"/>
          </w:tcPr>
          <w:p w14:paraId="1CC56BC0" w14:textId="77777777" w:rsidR="007D00BA" w:rsidRPr="007A4E7E" w:rsidRDefault="007D00BA" w:rsidP="00EA6DFD">
            <w:pPr>
              <w:keepNext/>
              <w:jc w:val="left"/>
              <w:rPr>
                <w:rFonts w:ascii="Arial Narrow" w:hAnsi="Arial Narrow" w:cstheme="minorHAnsi"/>
              </w:rPr>
            </w:pPr>
            <w:r w:rsidRPr="007A4E7E">
              <w:rPr>
                <w:rFonts w:ascii="Arial Narrow" w:hAnsi="Arial Narrow" w:cstheme="minorHAnsi"/>
              </w:rPr>
              <w:t xml:space="preserve">Total initiating </w:t>
            </w:r>
          </w:p>
        </w:tc>
        <w:tc>
          <w:tcPr>
            <w:tcW w:w="698" w:type="pct"/>
            <w:shd w:val="clear" w:color="auto" w:fill="auto"/>
            <w:vAlign w:val="center"/>
          </w:tcPr>
          <w:p w14:paraId="5CC35766" w14:textId="536A49E7"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2"/>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2"/>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2"/>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4CFCDC2A" w14:textId="20F070A4"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1"/>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1"/>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1"/>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1B97179E" w14:textId="041325E3"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0"/>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0"/>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0E71D282" w14:textId="509C8B92"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2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29"/>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29"/>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3FA56AFE" w14:textId="3A489309"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28"/>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28"/>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28"/>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9" w:type="pct"/>
            <w:shd w:val="clear" w:color="auto" w:fill="auto"/>
            <w:vAlign w:val="center"/>
          </w:tcPr>
          <w:p w14:paraId="48065ABB" w14:textId="31A5EDB2"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37" w:id="-962329344"/>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44"/>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44"/>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r>
      <w:tr w:rsidR="007D00BA" w:rsidRPr="007A4E7E" w14:paraId="3D825120" w14:textId="77777777" w:rsidTr="00EA6DFD">
        <w:tc>
          <w:tcPr>
            <w:tcW w:w="5000" w:type="pct"/>
            <w:gridSpan w:val="7"/>
            <w:shd w:val="clear" w:color="auto" w:fill="auto"/>
          </w:tcPr>
          <w:p w14:paraId="6B83E202" w14:textId="77777777" w:rsidR="007D00BA" w:rsidRPr="007A4E7E" w:rsidRDefault="007D00BA" w:rsidP="00EA6DFD">
            <w:pPr>
              <w:keepNext/>
              <w:rPr>
                <w:rFonts w:ascii="Arial Narrow" w:hAnsi="Arial Narrow" w:cstheme="minorHAnsi"/>
                <w:b/>
                <w:bCs/>
                <w:color w:val="000000"/>
              </w:rPr>
            </w:pPr>
            <w:r w:rsidRPr="007A4E7E">
              <w:rPr>
                <w:rFonts w:ascii="Arial Narrow" w:hAnsi="Arial Narrow" w:cstheme="minorHAnsi"/>
                <w:b/>
                <w:bCs/>
                <w:color w:val="000000"/>
              </w:rPr>
              <w:t>Newly initiating and continuing treatment patients</w:t>
            </w:r>
          </w:p>
        </w:tc>
      </w:tr>
      <w:tr w:rsidR="007D00BA" w:rsidRPr="007A4E7E" w14:paraId="13ABF04F" w14:textId="77777777" w:rsidTr="00EA6DFD">
        <w:tc>
          <w:tcPr>
            <w:tcW w:w="811" w:type="pct"/>
            <w:shd w:val="clear" w:color="auto" w:fill="auto"/>
          </w:tcPr>
          <w:p w14:paraId="4B6F0FC4" w14:textId="77777777" w:rsidR="007D00BA" w:rsidRPr="007A4E7E" w:rsidRDefault="007D00BA" w:rsidP="00EA6DFD">
            <w:pPr>
              <w:keepNext/>
              <w:rPr>
                <w:rFonts w:ascii="Arial Narrow" w:hAnsi="Arial Narrow" w:cstheme="minorHAnsi"/>
              </w:rPr>
            </w:pPr>
            <w:r w:rsidRPr="007A4E7E">
              <w:rPr>
                <w:rFonts w:ascii="Arial Narrow" w:hAnsi="Arial Narrow" w:cstheme="minorHAnsi"/>
              </w:rPr>
              <w:t xml:space="preserve">Initiating </w:t>
            </w:r>
          </w:p>
        </w:tc>
        <w:tc>
          <w:tcPr>
            <w:tcW w:w="698" w:type="pct"/>
            <w:shd w:val="clear" w:color="auto" w:fill="auto"/>
            <w:vAlign w:val="center"/>
          </w:tcPr>
          <w:p w14:paraId="7EBCB58E" w14:textId="45E50510"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3"/>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3"/>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3"/>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288E033F" w14:textId="39FAD8DA"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2"/>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2"/>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2"/>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6B1F48B3" w14:textId="337A9C4D"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1"/>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1"/>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1"/>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2A34D970" w14:textId="0D41C723"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4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0"/>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0"/>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4886726E" w14:textId="4C842D1F"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56" w:id="-96232933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9"/>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9"/>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c>
          <w:tcPr>
            <w:tcW w:w="699" w:type="pct"/>
            <w:shd w:val="clear" w:color="auto" w:fill="auto"/>
            <w:vAlign w:val="center"/>
          </w:tcPr>
          <w:p w14:paraId="68E0D082" w14:textId="29D372F4"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15"/>
                <w:shd w:val="solid" w:color="000000" w:fill="000000"/>
                <w:fitText w:val="37" w:id="-962329338"/>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38"/>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38"/>
                <w14:textFill>
                  <w14:solidFill>
                    <w14:srgbClr w14:val="000000">
                      <w14:alpha w14:val="100000"/>
                    </w14:srgbClr>
                  </w14:solidFill>
                </w14:textFill>
              </w:rPr>
              <w:t xml:space="preserve">　</w:t>
            </w:r>
            <w:r w:rsidR="006F00CC" w:rsidRPr="00162C9D">
              <w:rPr>
                <w:rFonts w:ascii="Arial Narrow" w:hAnsi="Arial Narrow" w:cstheme="minorHAnsi"/>
                <w:vertAlign w:val="superscript"/>
              </w:rPr>
              <w:t>1</w:t>
            </w:r>
          </w:p>
        </w:tc>
      </w:tr>
      <w:tr w:rsidR="007D00BA" w:rsidRPr="007A4E7E" w14:paraId="4EC3D1F0" w14:textId="77777777" w:rsidTr="00EA6DFD">
        <w:tc>
          <w:tcPr>
            <w:tcW w:w="811" w:type="pct"/>
            <w:shd w:val="clear" w:color="auto" w:fill="auto"/>
          </w:tcPr>
          <w:p w14:paraId="462EBB73" w14:textId="77777777" w:rsidR="007D00BA" w:rsidRPr="007A4E7E" w:rsidRDefault="007D00BA" w:rsidP="00EA6DFD">
            <w:pPr>
              <w:keepNext/>
              <w:rPr>
                <w:rFonts w:ascii="Arial Narrow" w:hAnsi="Arial Narrow" w:cstheme="minorHAnsi"/>
                <w:vertAlign w:val="superscript"/>
              </w:rPr>
            </w:pPr>
            <w:r w:rsidRPr="007A4E7E">
              <w:rPr>
                <w:rFonts w:ascii="Arial Narrow" w:hAnsi="Arial Narrow" w:cstheme="minorHAnsi"/>
              </w:rPr>
              <w:t xml:space="preserve">Continuing </w:t>
            </w:r>
            <w:r w:rsidRPr="007A4E7E">
              <w:rPr>
                <w:rFonts w:ascii="Arial Narrow" w:hAnsi="Arial Narrow" w:cstheme="minorHAnsi"/>
                <w:vertAlign w:val="superscript"/>
              </w:rPr>
              <w:t>b</w:t>
            </w:r>
          </w:p>
        </w:tc>
        <w:tc>
          <w:tcPr>
            <w:tcW w:w="698" w:type="pct"/>
            <w:shd w:val="clear" w:color="auto" w:fill="auto"/>
            <w:vAlign w:val="center"/>
          </w:tcPr>
          <w:p w14:paraId="09D9FFD3" w14:textId="2A405DA5"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21"/>
                <w:shd w:val="solid" w:color="000000" w:fill="000000"/>
                <w:fitText w:val="94" w:id="-962329337"/>
                <w14:textFill>
                  <w14:solidFill>
                    <w14:srgbClr w14:val="000000">
                      <w14:alpha w14:val="100000"/>
                    </w14:srgbClr>
                  </w14:solidFill>
                </w14:textFill>
              </w:rPr>
              <w:t xml:space="preserve">　</w:t>
            </w:r>
            <w:r w:rsidRPr="00DE6661">
              <w:rPr>
                <w:rFonts w:ascii="Arial Narrow" w:hAnsi="Arial Narrow" w:cstheme="minorHAnsi"/>
                <w:color w:val="000000"/>
                <w:w w:val="21"/>
                <w:shd w:val="solid" w:color="000000" w:fill="000000"/>
                <w:fitText w:val="94" w:id="-962329337"/>
                <w14:textFill>
                  <w14:solidFill>
                    <w14:srgbClr w14:val="000000">
                      <w14:alpha w14:val="100000"/>
                    </w14:srgbClr>
                  </w14:solidFill>
                </w14:textFill>
              </w:rPr>
              <w:t>|</w:t>
            </w:r>
            <w:r w:rsidRPr="00DE6661">
              <w:rPr>
                <w:rFonts w:ascii="Arial Narrow" w:hAnsi="Arial Narrow" w:cstheme="minorHAnsi" w:hint="eastAsia"/>
                <w:color w:val="000000"/>
                <w:spacing w:val="3"/>
                <w:w w:val="21"/>
                <w:shd w:val="solid" w:color="000000" w:fill="000000"/>
                <w:fitText w:val="94" w:id="-962329337"/>
                <w14:textFill>
                  <w14:solidFill>
                    <w14:srgbClr w14:val="000000">
                      <w14:alpha w14:val="100000"/>
                    </w14:srgbClr>
                  </w14:solidFill>
                </w14:textFill>
              </w:rPr>
              <w:t xml:space="preserve">　</w:t>
            </w:r>
            <w:r w:rsidRPr="00DE6661">
              <w:rPr>
                <w:rFonts w:ascii="Arial Narrow" w:hAnsi="Arial Narrow" w:cstheme="minorHAnsi"/>
                <w:color w:val="000000"/>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0B37FB5A" w14:textId="63C6B034"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21"/>
                <w:shd w:val="solid" w:color="000000" w:fill="000000"/>
                <w:fitText w:val="94" w:id="-962329336"/>
                <w14:textFill>
                  <w14:solidFill>
                    <w14:srgbClr w14:val="000000">
                      <w14:alpha w14:val="100000"/>
                    </w14:srgbClr>
                  </w14:solidFill>
                </w14:textFill>
              </w:rPr>
              <w:t xml:space="preserve">　</w:t>
            </w:r>
            <w:r w:rsidRPr="00DE6661">
              <w:rPr>
                <w:rFonts w:ascii="Arial Narrow" w:hAnsi="Arial Narrow" w:cstheme="minorHAnsi"/>
                <w:color w:val="000000"/>
                <w:w w:val="21"/>
                <w:shd w:val="solid" w:color="000000" w:fill="000000"/>
                <w:fitText w:val="94" w:id="-962329336"/>
                <w14:textFill>
                  <w14:solidFill>
                    <w14:srgbClr w14:val="000000">
                      <w14:alpha w14:val="100000"/>
                    </w14:srgbClr>
                  </w14:solidFill>
                </w14:textFill>
              </w:rPr>
              <w:t>|</w:t>
            </w:r>
            <w:r w:rsidRPr="00DE6661">
              <w:rPr>
                <w:rFonts w:ascii="Arial Narrow" w:hAnsi="Arial Narrow" w:cstheme="minorHAnsi" w:hint="eastAsia"/>
                <w:color w:val="000000"/>
                <w:spacing w:val="3"/>
                <w:w w:val="21"/>
                <w:shd w:val="solid" w:color="000000" w:fill="000000"/>
                <w:fitText w:val="94" w:id="-962329336"/>
                <w14:textFill>
                  <w14:solidFill>
                    <w14:srgbClr w14:val="000000">
                      <w14:alpha w14:val="100000"/>
                    </w14:srgbClr>
                  </w14:solidFill>
                </w14:textFill>
              </w:rPr>
              <w:t xml:space="preserve">　</w:t>
            </w:r>
            <w:r w:rsidRPr="00DE6661">
              <w:rPr>
                <w:rFonts w:ascii="Arial Narrow" w:hAnsi="Arial Narrow" w:cstheme="minorHAnsi"/>
                <w:color w:val="000000"/>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7DB259EC" w14:textId="4A8B88D3" w:rsidR="007D00BA" w:rsidRPr="00914C1A" w:rsidRDefault="00DE6661" w:rsidP="00EA6DFD">
            <w:pPr>
              <w:keepNext/>
              <w:jc w:val="center"/>
              <w:rPr>
                <w:rFonts w:ascii="Arial Narrow" w:hAnsi="Arial Narrow" w:cstheme="minorHAnsi"/>
                <w:highlight w:val="lightGray"/>
              </w:rPr>
            </w:pPr>
            <w:r w:rsidRPr="00DE6661">
              <w:rPr>
                <w:rFonts w:ascii="Arial Narrow" w:hAnsi="Arial Narrow" w:cstheme="minorHAnsi" w:hint="eastAsia"/>
                <w:color w:val="000000"/>
                <w:w w:val="21"/>
                <w:shd w:val="solid" w:color="000000" w:fill="000000"/>
                <w:fitText w:val="93" w:id="-962329335"/>
                <w14:textFill>
                  <w14:solidFill>
                    <w14:srgbClr w14:val="000000">
                      <w14:alpha w14:val="100000"/>
                    </w14:srgbClr>
                  </w14:solidFill>
                </w14:textFill>
              </w:rPr>
              <w:t xml:space="preserve">　</w:t>
            </w:r>
            <w:r w:rsidRPr="00DE6661">
              <w:rPr>
                <w:rFonts w:ascii="Arial Narrow" w:hAnsi="Arial Narrow" w:cstheme="minorHAnsi"/>
                <w:color w:val="000000"/>
                <w:w w:val="21"/>
                <w:shd w:val="solid" w:color="000000" w:fill="000000"/>
                <w:fitText w:val="93" w:id="-962329335"/>
                <w14:textFill>
                  <w14:solidFill>
                    <w14:srgbClr w14:val="000000">
                      <w14:alpha w14:val="100000"/>
                    </w14:srgbClr>
                  </w14:solidFill>
                </w14:textFill>
              </w:rPr>
              <w:t>|</w:t>
            </w:r>
            <w:r w:rsidRPr="00DE6661">
              <w:rPr>
                <w:rFonts w:ascii="Arial Narrow" w:hAnsi="Arial Narrow" w:cstheme="minorHAnsi" w:hint="eastAsia"/>
                <w:color w:val="000000"/>
                <w:spacing w:val="2"/>
                <w:w w:val="21"/>
                <w:shd w:val="solid" w:color="000000" w:fill="000000"/>
                <w:fitText w:val="93" w:id="-962329335"/>
                <w14:textFill>
                  <w14:solidFill>
                    <w14:srgbClr w14:val="000000">
                      <w14:alpha w14:val="100000"/>
                    </w14:srgbClr>
                  </w14:solidFill>
                </w14:textFill>
              </w:rPr>
              <w:t xml:space="preserve">　</w:t>
            </w:r>
            <w:r w:rsidRPr="00DE6661">
              <w:rPr>
                <w:rFonts w:ascii="Arial Narrow" w:hAnsi="Arial Narrow" w:cstheme="minorHAnsi"/>
                <w:color w:val="000000"/>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3E30B5B6" w14:textId="494DCBCA"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21"/>
                <w:shd w:val="solid" w:color="000000" w:fill="000000"/>
                <w:fitText w:val="93" w:id="-962329334"/>
                <w14:textFill>
                  <w14:solidFill>
                    <w14:srgbClr w14:val="000000">
                      <w14:alpha w14:val="100000"/>
                    </w14:srgbClr>
                  </w14:solidFill>
                </w14:textFill>
              </w:rPr>
              <w:t xml:space="preserve">　</w:t>
            </w:r>
            <w:r w:rsidRPr="00DE6661">
              <w:rPr>
                <w:rFonts w:ascii="Arial Narrow" w:hAnsi="Arial Narrow" w:cstheme="minorHAnsi"/>
                <w:color w:val="000000"/>
                <w:w w:val="21"/>
                <w:shd w:val="solid" w:color="000000" w:fill="000000"/>
                <w:fitText w:val="93" w:id="-962329334"/>
                <w14:textFill>
                  <w14:solidFill>
                    <w14:srgbClr w14:val="000000">
                      <w14:alpha w14:val="100000"/>
                    </w14:srgbClr>
                  </w14:solidFill>
                </w14:textFill>
              </w:rPr>
              <w:t>|</w:t>
            </w:r>
            <w:r w:rsidRPr="00DE6661">
              <w:rPr>
                <w:rFonts w:ascii="Arial Narrow" w:hAnsi="Arial Narrow" w:cstheme="minorHAnsi" w:hint="eastAsia"/>
                <w:color w:val="000000"/>
                <w:spacing w:val="2"/>
                <w:w w:val="21"/>
                <w:shd w:val="solid" w:color="000000" w:fill="000000"/>
                <w:fitText w:val="93" w:id="-962329334"/>
                <w14:textFill>
                  <w14:solidFill>
                    <w14:srgbClr w14:val="000000">
                      <w14:alpha w14:val="100000"/>
                    </w14:srgbClr>
                  </w14:solidFill>
                </w14:textFill>
              </w:rPr>
              <w:t xml:space="preserve">　</w:t>
            </w:r>
            <w:r w:rsidRPr="00DE6661">
              <w:rPr>
                <w:rFonts w:ascii="Arial Narrow" w:hAnsi="Arial Narrow" w:cstheme="minorHAnsi"/>
                <w:color w:val="000000"/>
              </w:rPr>
              <w:t xml:space="preserve"> </w:t>
            </w:r>
            <w:r w:rsidR="006F00CC" w:rsidRPr="00162C9D">
              <w:rPr>
                <w:rFonts w:ascii="Arial Narrow" w:hAnsi="Arial Narrow" w:cstheme="minorHAnsi"/>
                <w:vertAlign w:val="superscript"/>
              </w:rPr>
              <w:t>1</w:t>
            </w:r>
          </w:p>
        </w:tc>
        <w:tc>
          <w:tcPr>
            <w:tcW w:w="698" w:type="pct"/>
            <w:shd w:val="clear" w:color="auto" w:fill="auto"/>
            <w:vAlign w:val="center"/>
          </w:tcPr>
          <w:p w14:paraId="6DB7CE12" w14:textId="11F5BCB3"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21"/>
                <w:shd w:val="solid" w:color="000000" w:fill="000000"/>
                <w:fitText w:val="93" w:id="-962329333"/>
                <w14:textFill>
                  <w14:solidFill>
                    <w14:srgbClr w14:val="000000">
                      <w14:alpha w14:val="100000"/>
                    </w14:srgbClr>
                  </w14:solidFill>
                </w14:textFill>
              </w:rPr>
              <w:t xml:space="preserve">　</w:t>
            </w:r>
            <w:r w:rsidRPr="00DE6661">
              <w:rPr>
                <w:rFonts w:ascii="Arial Narrow" w:hAnsi="Arial Narrow" w:cstheme="minorHAnsi"/>
                <w:color w:val="000000"/>
                <w:w w:val="21"/>
                <w:shd w:val="solid" w:color="000000" w:fill="000000"/>
                <w:fitText w:val="93" w:id="-962329333"/>
                <w14:textFill>
                  <w14:solidFill>
                    <w14:srgbClr w14:val="000000">
                      <w14:alpha w14:val="100000"/>
                    </w14:srgbClr>
                  </w14:solidFill>
                </w14:textFill>
              </w:rPr>
              <w:t>|</w:t>
            </w:r>
            <w:r w:rsidRPr="00DE6661">
              <w:rPr>
                <w:rFonts w:ascii="Arial Narrow" w:hAnsi="Arial Narrow" w:cstheme="minorHAnsi" w:hint="eastAsia"/>
                <w:color w:val="000000"/>
                <w:spacing w:val="2"/>
                <w:w w:val="21"/>
                <w:shd w:val="solid" w:color="000000" w:fill="000000"/>
                <w:fitText w:val="93" w:id="-962329333"/>
                <w14:textFill>
                  <w14:solidFill>
                    <w14:srgbClr w14:val="000000">
                      <w14:alpha w14:val="100000"/>
                    </w14:srgbClr>
                  </w14:solidFill>
                </w14:textFill>
              </w:rPr>
              <w:t xml:space="preserve">　</w:t>
            </w:r>
            <w:r w:rsidRPr="00DE6661">
              <w:rPr>
                <w:rFonts w:ascii="Arial Narrow" w:hAnsi="Arial Narrow" w:cstheme="minorHAnsi"/>
                <w:color w:val="000000"/>
              </w:rPr>
              <w:t xml:space="preserve"> </w:t>
            </w:r>
            <w:r w:rsidR="006F00CC" w:rsidRPr="00162C9D">
              <w:rPr>
                <w:rFonts w:ascii="Arial Narrow" w:hAnsi="Arial Narrow" w:cstheme="minorHAnsi"/>
                <w:vertAlign w:val="superscript"/>
              </w:rPr>
              <w:t>1</w:t>
            </w:r>
          </w:p>
        </w:tc>
        <w:tc>
          <w:tcPr>
            <w:tcW w:w="699" w:type="pct"/>
            <w:shd w:val="clear" w:color="auto" w:fill="auto"/>
            <w:vAlign w:val="center"/>
          </w:tcPr>
          <w:p w14:paraId="3F698944" w14:textId="309A72D8"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21"/>
                <w:shd w:val="solid" w:color="000000" w:fill="000000"/>
                <w:fitText w:val="93" w:id="-962329332"/>
                <w14:textFill>
                  <w14:solidFill>
                    <w14:srgbClr w14:val="000000">
                      <w14:alpha w14:val="100000"/>
                    </w14:srgbClr>
                  </w14:solidFill>
                </w14:textFill>
              </w:rPr>
              <w:t xml:space="preserve">　</w:t>
            </w:r>
            <w:r w:rsidRPr="00DE6661">
              <w:rPr>
                <w:rFonts w:ascii="Arial Narrow" w:hAnsi="Arial Narrow" w:cstheme="minorHAnsi"/>
                <w:color w:val="000000"/>
                <w:w w:val="21"/>
                <w:shd w:val="solid" w:color="000000" w:fill="000000"/>
                <w:fitText w:val="93" w:id="-962329332"/>
                <w14:textFill>
                  <w14:solidFill>
                    <w14:srgbClr w14:val="000000">
                      <w14:alpha w14:val="100000"/>
                    </w14:srgbClr>
                  </w14:solidFill>
                </w14:textFill>
              </w:rPr>
              <w:t>|</w:t>
            </w:r>
            <w:r w:rsidRPr="00DE6661">
              <w:rPr>
                <w:rFonts w:ascii="Arial Narrow" w:hAnsi="Arial Narrow" w:cstheme="minorHAnsi" w:hint="eastAsia"/>
                <w:color w:val="000000"/>
                <w:spacing w:val="2"/>
                <w:w w:val="21"/>
                <w:shd w:val="solid" w:color="000000" w:fill="000000"/>
                <w:fitText w:val="93" w:id="-962329332"/>
                <w14:textFill>
                  <w14:solidFill>
                    <w14:srgbClr w14:val="000000">
                      <w14:alpha w14:val="100000"/>
                    </w14:srgbClr>
                  </w14:solidFill>
                </w14:textFill>
              </w:rPr>
              <w:t xml:space="preserve">　</w:t>
            </w:r>
            <w:r w:rsidRPr="00DE6661">
              <w:rPr>
                <w:rFonts w:ascii="Arial Narrow" w:hAnsi="Arial Narrow" w:cstheme="minorHAnsi"/>
                <w:color w:val="000000"/>
              </w:rPr>
              <w:t xml:space="preserve"> </w:t>
            </w:r>
            <w:r w:rsidR="006F00CC" w:rsidRPr="00162C9D">
              <w:rPr>
                <w:rFonts w:ascii="Arial Narrow" w:hAnsi="Arial Narrow" w:cstheme="minorHAnsi"/>
                <w:vertAlign w:val="superscript"/>
              </w:rPr>
              <w:t>1</w:t>
            </w:r>
          </w:p>
        </w:tc>
      </w:tr>
      <w:tr w:rsidR="007D00BA" w:rsidRPr="007A4E7E" w14:paraId="164E5C84" w14:textId="77777777" w:rsidTr="00EA6DFD">
        <w:tc>
          <w:tcPr>
            <w:tcW w:w="5000" w:type="pct"/>
            <w:gridSpan w:val="7"/>
            <w:shd w:val="clear" w:color="auto" w:fill="auto"/>
          </w:tcPr>
          <w:p w14:paraId="4959D507" w14:textId="77777777" w:rsidR="007D00BA" w:rsidRPr="007A4E7E" w:rsidRDefault="007D00BA" w:rsidP="00EA6DFD">
            <w:pPr>
              <w:keepNext/>
              <w:rPr>
                <w:rFonts w:ascii="Arial Narrow" w:hAnsi="Arial Narrow" w:cstheme="minorHAnsi"/>
                <w:b/>
                <w:bCs/>
                <w:color w:val="000000"/>
                <w:vertAlign w:val="superscript"/>
              </w:rPr>
            </w:pPr>
            <w:r w:rsidRPr="007A4E7E">
              <w:rPr>
                <w:rFonts w:ascii="Arial Narrow" w:hAnsi="Arial Narrow" w:cstheme="minorHAnsi"/>
                <w:b/>
                <w:bCs/>
                <w:color w:val="000000"/>
              </w:rPr>
              <w:t xml:space="preserve">Persistent continuing patients </w:t>
            </w:r>
            <w:r w:rsidRPr="007A4E7E">
              <w:rPr>
                <w:rFonts w:ascii="Arial Narrow" w:hAnsi="Arial Narrow" w:cstheme="minorHAnsi"/>
                <w:b/>
                <w:bCs/>
                <w:color w:val="000000"/>
                <w:vertAlign w:val="superscript"/>
              </w:rPr>
              <w:t>c</w:t>
            </w:r>
          </w:p>
        </w:tc>
      </w:tr>
      <w:tr w:rsidR="007D00BA" w:rsidRPr="007A4E7E" w14:paraId="787A3623" w14:textId="77777777" w:rsidTr="00EA6DFD">
        <w:tc>
          <w:tcPr>
            <w:tcW w:w="811" w:type="pct"/>
            <w:shd w:val="clear" w:color="auto" w:fill="auto"/>
          </w:tcPr>
          <w:p w14:paraId="573FE7CD" w14:textId="77777777" w:rsidR="007D00BA" w:rsidRPr="007A4E7E" w:rsidRDefault="007D00BA" w:rsidP="00EA6DFD">
            <w:pPr>
              <w:keepNext/>
              <w:rPr>
                <w:rFonts w:ascii="Arial Narrow" w:hAnsi="Arial Narrow" w:cstheme="minorHAnsi"/>
              </w:rPr>
            </w:pPr>
            <w:r w:rsidRPr="007A4E7E">
              <w:rPr>
                <w:rFonts w:ascii="Arial Narrow" w:hAnsi="Arial Narrow" w:cstheme="minorHAnsi"/>
              </w:rPr>
              <w:t>Continuing</w:t>
            </w:r>
          </w:p>
        </w:tc>
        <w:tc>
          <w:tcPr>
            <w:tcW w:w="698" w:type="pct"/>
            <w:shd w:val="clear" w:color="auto" w:fill="auto"/>
          </w:tcPr>
          <w:p w14:paraId="49AC97FC" w14:textId="2FBADC01"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21"/>
                <w:shd w:val="solid" w:color="000000" w:fill="000000"/>
                <w:fitText w:val="94" w:id="-962329331"/>
                <w14:textFill>
                  <w14:solidFill>
                    <w14:srgbClr w14:val="000000">
                      <w14:alpha w14:val="100000"/>
                    </w14:srgbClr>
                  </w14:solidFill>
                </w14:textFill>
              </w:rPr>
              <w:t xml:space="preserve">　</w:t>
            </w:r>
            <w:r w:rsidRPr="00DE6661">
              <w:rPr>
                <w:rFonts w:ascii="Arial Narrow" w:hAnsi="Arial Narrow"/>
                <w:color w:val="000000"/>
                <w:w w:val="21"/>
                <w:shd w:val="solid" w:color="000000" w:fill="000000"/>
                <w:fitText w:val="94" w:id="-962329331"/>
                <w14:textFill>
                  <w14:solidFill>
                    <w14:srgbClr w14:val="000000">
                      <w14:alpha w14:val="100000"/>
                    </w14:srgbClr>
                  </w14:solidFill>
                </w14:textFill>
              </w:rPr>
              <w:t>|</w:t>
            </w:r>
            <w:r w:rsidRPr="00DE6661">
              <w:rPr>
                <w:rFonts w:ascii="Arial Narrow" w:hAnsi="Arial Narrow" w:hint="eastAsia"/>
                <w:color w:val="000000"/>
                <w:spacing w:val="3"/>
                <w:w w:val="21"/>
                <w:shd w:val="solid" w:color="000000" w:fill="000000"/>
                <w:fitText w:val="94" w:id="-962329331"/>
                <w14:textFill>
                  <w14:solidFill>
                    <w14:srgbClr w14:val="000000">
                      <w14:alpha w14:val="100000"/>
                    </w14:srgbClr>
                  </w14:solidFill>
                </w14:textFill>
              </w:rPr>
              <w:t xml:space="preserve">　</w:t>
            </w:r>
            <w:r w:rsidRPr="00DE6661">
              <w:rPr>
                <w:rFonts w:ascii="Arial Narrow" w:hAnsi="Arial Narrow"/>
              </w:rPr>
              <w:t xml:space="preserve"> </w:t>
            </w:r>
            <w:r w:rsidR="006F00CC" w:rsidRPr="00162C9D">
              <w:rPr>
                <w:rFonts w:ascii="Arial Narrow" w:hAnsi="Arial Narrow" w:cstheme="minorHAnsi"/>
                <w:vertAlign w:val="superscript"/>
              </w:rPr>
              <w:t>1</w:t>
            </w:r>
          </w:p>
        </w:tc>
        <w:tc>
          <w:tcPr>
            <w:tcW w:w="698" w:type="pct"/>
            <w:shd w:val="clear" w:color="auto" w:fill="auto"/>
          </w:tcPr>
          <w:p w14:paraId="7D4F89B1" w14:textId="3BEA9E92"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21"/>
                <w:shd w:val="solid" w:color="000000" w:fill="000000"/>
                <w:fitText w:val="94" w:id="-962329330"/>
                <w14:textFill>
                  <w14:solidFill>
                    <w14:srgbClr w14:val="000000">
                      <w14:alpha w14:val="100000"/>
                    </w14:srgbClr>
                  </w14:solidFill>
                </w14:textFill>
              </w:rPr>
              <w:t xml:space="preserve">　</w:t>
            </w:r>
            <w:r w:rsidRPr="00DE6661">
              <w:rPr>
                <w:rFonts w:ascii="Arial Narrow" w:hAnsi="Arial Narrow"/>
                <w:color w:val="000000"/>
                <w:w w:val="21"/>
                <w:shd w:val="solid" w:color="000000" w:fill="000000"/>
                <w:fitText w:val="94" w:id="-962329330"/>
                <w14:textFill>
                  <w14:solidFill>
                    <w14:srgbClr w14:val="000000">
                      <w14:alpha w14:val="100000"/>
                    </w14:srgbClr>
                  </w14:solidFill>
                </w14:textFill>
              </w:rPr>
              <w:t>|</w:t>
            </w:r>
            <w:r w:rsidRPr="00DE6661">
              <w:rPr>
                <w:rFonts w:ascii="Arial Narrow" w:hAnsi="Arial Narrow" w:hint="eastAsia"/>
                <w:color w:val="000000"/>
                <w:spacing w:val="3"/>
                <w:w w:val="21"/>
                <w:shd w:val="solid" w:color="000000" w:fill="000000"/>
                <w:fitText w:val="94" w:id="-962329330"/>
                <w14:textFill>
                  <w14:solidFill>
                    <w14:srgbClr w14:val="000000">
                      <w14:alpha w14:val="100000"/>
                    </w14:srgbClr>
                  </w14:solidFill>
                </w14:textFill>
              </w:rPr>
              <w:t xml:space="preserve">　</w:t>
            </w:r>
            <w:r w:rsidRPr="00DE6661">
              <w:rPr>
                <w:rFonts w:ascii="Arial Narrow" w:hAnsi="Arial Narrow"/>
              </w:rPr>
              <w:t xml:space="preserve"> </w:t>
            </w:r>
            <w:r w:rsidR="006F00CC" w:rsidRPr="00162C9D">
              <w:rPr>
                <w:rFonts w:ascii="Arial Narrow" w:hAnsi="Arial Narrow" w:cstheme="minorHAnsi"/>
                <w:vertAlign w:val="superscript"/>
              </w:rPr>
              <w:t>1</w:t>
            </w:r>
          </w:p>
        </w:tc>
        <w:tc>
          <w:tcPr>
            <w:tcW w:w="698" w:type="pct"/>
            <w:shd w:val="clear" w:color="auto" w:fill="auto"/>
          </w:tcPr>
          <w:p w14:paraId="6F6241C3" w14:textId="34E6FA8E"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21"/>
                <w:shd w:val="solid" w:color="000000" w:fill="000000"/>
                <w:fitText w:val="93" w:id="-962329329"/>
                <w14:textFill>
                  <w14:solidFill>
                    <w14:srgbClr w14:val="000000">
                      <w14:alpha w14:val="100000"/>
                    </w14:srgbClr>
                  </w14:solidFill>
                </w14:textFill>
              </w:rPr>
              <w:t xml:space="preserve">　</w:t>
            </w:r>
            <w:r w:rsidRPr="00DE6661">
              <w:rPr>
                <w:rFonts w:ascii="Arial Narrow" w:hAnsi="Arial Narrow"/>
                <w:color w:val="000000"/>
                <w:w w:val="21"/>
                <w:shd w:val="solid" w:color="000000" w:fill="000000"/>
                <w:fitText w:val="93" w:id="-962329329"/>
                <w14:textFill>
                  <w14:solidFill>
                    <w14:srgbClr w14:val="000000">
                      <w14:alpha w14:val="100000"/>
                    </w14:srgbClr>
                  </w14:solidFill>
                </w14:textFill>
              </w:rPr>
              <w:t>|</w:t>
            </w:r>
            <w:r w:rsidRPr="00DE6661">
              <w:rPr>
                <w:rFonts w:ascii="Arial Narrow" w:hAnsi="Arial Narrow" w:hint="eastAsia"/>
                <w:color w:val="000000"/>
                <w:spacing w:val="2"/>
                <w:w w:val="21"/>
                <w:shd w:val="solid" w:color="000000" w:fill="000000"/>
                <w:fitText w:val="93" w:id="-962329329"/>
                <w14:textFill>
                  <w14:solidFill>
                    <w14:srgbClr w14:val="000000">
                      <w14:alpha w14:val="100000"/>
                    </w14:srgbClr>
                  </w14:solidFill>
                </w14:textFill>
              </w:rPr>
              <w:t xml:space="preserve">　</w:t>
            </w:r>
            <w:r w:rsidRPr="00DE6661">
              <w:rPr>
                <w:rFonts w:ascii="Arial Narrow" w:hAnsi="Arial Narrow"/>
              </w:rPr>
              <w:t xml:space="preserve"> </w:t>
            </w:r>
            <w:r w:rsidR="006F00CC" w:rsidRPr="00162C9D">
              <w:rPr>
                <w:rFonts w:ascii="Arial Narrow" w:hAnsi="Arial Narrow" w:cstheme="minorHAnsi"/>
                <w:vertAlign w:val="superscript"/>
              </w:rPr>
              <w:t>1</w:t>
            </w:r>
          </w:p>
        </w:tc>
        <w:tc>
          <w:tcPr>
            <w:tcW w:w="698" w:type="pct"/>
            <w:shd w:val="clear" w:color="auto" w:fill="auto"/>
          </w:tcPr>
          <w:p w14:paraId="2781B66D" w14:textId="629B8CA5"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21"/>
                <w:shd w:val="solid" w:color="000000" w:fill="000000"/>
                <w:fitText w:val="93" w:id="-962329328"/>
                <w14:textFill>
                  <w14:solidFill>
                    <w14:srgbClr w14:val="000000">
                      <w14:alpha w14:val="100000"/>
                    </w14:srgbClr>
                  </w14:solidFill>
                </w14:textFill>
              </w:rPr>
              <w:t xml:space="preserve">　</w:t>
            </w:r>
            <w:r w:rsidRPr="00DE6661">
              <w:rPr>
                <w:rFonts w:ascii="Arial Narrow" w:hAnsi="Arial Narrow"/>
                <w:color w:val="000000"/>
                <w:w w:val="21"/>
                <w:shd w:val="solid" w:color="000000" w:fill="000000"/>
                <w:fitText w:val="93" w:id="-962329328"/>
                <w14:textFill>
                  <w14:solidFill>
                    <w14:srgbClr w14:val="000000">
                      <w14:alpha w14:val="100000"/>
                    </w14:srgbClr>
                  </w14:solidFill>
                </w14:textFill>
              </w:rPr>
              <w:t>|</w:t>
            </w:r>
            <w:r w:rsidRPr="00DE6661">
              <w:rPr>
                <w:rFonts w:ascii="Arial Narrow" w:hAnsi="Arial Narrow" w:hint="eastAsia"/>
                <w:color w:val="000000"/>
                <w:spacing w:val="2"/>
                <w:w w:val="21"/>
                <w:shd w:val="solid" w:color="000000" w:fill="000000"/>
                <w:fitText w:val="93" w:id="-962329328"/>
                <w14:textFill>
                  <w14:solidFill>
                    <w14:srgbClr w14:val="000000">
                      <w14:alpha w14:val="100000"/>
                    </w14:srgbClr>
                  </w14:solidFill>
                </w14:textFill>
              </w:rPr>
              <w:t xml:space="preserve">　</w:t>
            </w:r>
            <w:r w:rsidRPr="00DE6661">
              <w:rPr>
                <w:rFonts w:ascii="Arial Narrow" w:hAnsi="Arial Narrow"/>
              </w:rPr>
              <w:t xml:space="preserve"> </w:t>
            </w:r>
            <w:r w:rsidR="006F00CC" w:rsidRPr="00162C9D">
              <w:rPr>
                <w:rFonts w:ascii="Arial Narrow" w:hAnsi="Arial Narrow" w:cstheme="minorHAnsi"/>
                <w:vertAlign w:val="superscript"/>
              </w:rPr>
              <w:t>1</w:t>
            </w:r>
          </w:p>
        </w:tc>
        <w:tc>
          <w:tcPr>
            <w:tcW w:w="698" w:type="pct"/>
            <w:shd w:val="clear" w:color="auto" w:fill="auto"/>
          </w:tcPr>
          <w:p w14:paraId="36402C52" w14:textId="6C8CC29B"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21"/>
                <w:shd w:val="solid" w:color="000000" w:fill="000000"/>
                <w:fitText w:val="93" w:id="-962329344"/>
                <w14:textFill>
                  <w14:solidFill>
                    <w14:srgbClr w14:val="000000">
                      <w14:alpha w14:val="100000"/>
                    </w14:srgbClr>
                  </w14:solidFill>
                </w14:textFill>
              </w:rPr>
              <w:t xml:space="preserve">　</w:t>
            </w:r>
            <w:r w:rsidRPr="00DE6661">
              <w:rPr>
                <w:rFonts w:ascii="Arial Narrow" w:hAnsi="Arial Narrow"/>
                <w:color w:val="000000"/>
                <w:w w:val="21"/>
                <w:shd w:val="solid" w:color="000000" w:fill="000000"/>
                <w:fitText w:val="93" w:id="-962329344"/>
                <w14:textFill>
                  <w14:solidFill>
                    <w14:srgbClr w14:val="000000">
                      <w14:alpha w14:val="100000"/>
                    </w14:srgbClr>
                  </w14:solidFill>
                </w14:textFill>
              </w:rPr>
              <w:t>|</w:t>
            </w:r>
            <w:r w:rsidRPr="00DE6661">
              <w:rPr>
                <w:rFonts w:ascii="Arial Narrow" w:hAnsi="Arial Narrow" w:hint="eastAsia"/>
                <w:color w:val="000000"/>
                <w:spacing w:val="2"/>
                <w:w w:val="21"/>
                <w:shd w:val="solid" w:color="000000" w:fill="000000"/>
                <w:fitText w:val="93" w:id="-962329344"/>
                <w14:textFill>
                  <w14:solidFill>
                    <w14:srgbClr w14:val="000000">
                      <w14:alpha w14:val="100000"/>
                    </w14:srgbClr>
                  </w14:solidFill>
                </w14:textFill>
              </w:rPr>
              <w:t xml:space="preserve">　</w:t>
            </w:r>
            <w:r w:rsidRPr="00DE6661">
              <w:rPr>
                <w:rFonts w:ascii="Arial Narrow" w:hAnsi="Arial Narrow"/>
              </w:rPr>
              <w:t xml:space="preserve"> </w:t>
            </w:r>
            <w:r w:rsidR="006F00CC" w:rsidRPr="00162C9D">
              <w:rPr>
                <w:rFonts w:ascii="Arial Narrow" w:hAnsi="Arial Narrow" w:cstheme="minorHAnsi"/>
                <w:vertAlign w:val="superscript"/>
              </w:rPr>
              <w:t>1</w:t>
            </w:r>
          </w:p>
        </w:tc>
        <w:tc>
          <w:tcPr>
            <w:tcW w:w="699" w:type="pct"/>
            <w:shd w:val="clear" w:color="auto" w:fill="auto"/>
          </w:tcPr>
          <w:p w14:paraId="56F10C85" w14:textId="40FED97E"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21"/>
                <w:shd w:val="solid" w:color="000000" w:fill="000000"/>
                <w:fitText w:val="93" w:id="-962329343"/>
                <w14:textFill>
                  <w14:solidFill>
                    <w14:srgbClr w14:val="000000">
                      <w14:alpha w14:val="100000"/>
                    </w14:srgbClr>
                  </w14:solidFill>
                </w14:textFill>
              </w:rPr>
              <w:t xml:space="preserve">　</w:t>
            </w:r>
            <w:r w:rsidRPr="00DE6661">
              <w:rPr>
                <w:rFonts w:ascii="Arial Narrow" w:hAnsi="Arial Narrow"/>
                <w:color w:val="000000"/>
                <w:w w:val="21"/>
                <w:shd w:val="solid" w:color="000000" w:fill="000000"/>
                <w:fitText w:val="93" w:id="-962329343"/>
                <w14:textFill>
                  <w14:solidFill>
                    <w14:srgbClr w14:val="000000">
                      <w14:alpha w14:val="100000"/>
                    </w14:srgbClr>
                  </w14:solidFill>
                </w14:textFill>
              </w:rPr>
              <w:t>|</w:t>
            </w:r>
            <w:r w:rsidRPr="00DE6661">
              <w:rPr>
                <w:rFonts w:ascii="Arial Narrow" w:hAnsi="Arial Narrow" w:hint="eastAsia"/>
                <w:color w:val="000000"/>
                <w:spacing w:val="2"/>
                <w:w w:val="21"/>
                <w:shd w:val="solid" w:color="000000" w:fill="000000"/>
                <w:fitText w:val="93" w:id="-962329343"/>
                <w14:textFill>
                  <w14:solidFill>
                    <w14:srgbClr w14:val="000000">
                      <w14:alpha w14:val="100000"/>
                    </w14:srgbClr>
                  </w14:solidFill>
                </w14:textFill>
              </w:rPr>
              <w:t xml:space="preserve">　</w:t>
            </w:r>
            <w:r w:rsidRPr="00DE6661">
              <w:rPr>
                <w:rFonts w:ascii="Arial Narrow" w:hAnsi="Arial Narrow"/>
              </w:rPr>
              <w:t xml:space="preserve"> </w:t>
            </w:r>
            <w:r w:rsidR="006F00CC" w:rsidRPr="00162C9D">
              <w:rPr>
                <w:rFonts w:ascii="Arial Narrow" w:hAnsi="Arial Narrow" w:cstheme="minorHAnsi"/>
                <w:vertAlign w:val="superscript"/>
              </w:rPr>
              <w:t>1</w:t>
            </w:r>
          </w:p>
        </w:tc>
      </w:tr>
      <w:tr w:rsidR="007D00BA" w:rsidRPr="007A4E7E" w14:paraId="3E47BE31" w14:textId="77777777" w:rsidTr="00EA6DFD">
        <w:tc>
          <w:tcPr>
            <w:tcW w:w="5000" w:type="pct"/>
            <w:gridSpan w:val="7"/>
            <w:shd w:val="clear" w:color="auto" w:fill="auto"/>
          </w:tcPr>
          <w:p w14:paraId="037BC52B" w14:textId="77777777" w:rsidR="007D00BA" w:rsidRPr="007A4E7E" w:rsidRDefault="007D00BA" w:rsidP="00EA6DFD">
            <w:pPr>
              <w:keepNext/>
              <w:rPr>
                <w:rFonts w:ascii="Arial Narrow" w:hAnsi="Arial Narrow"/>
                <w:b/>
                <w:bCs/>
                <w:vertAlign w:val="superscript"/>
              </w:rPr>
            </w:pPr>
            <w:r w:rsidRPr="007A4E7E">
              <w:rPr>
                <w:rFonts w:ascii="Arial Narrow" w:hAnsi="Arial Narrow"/>
                <w:b/>
                <w:bCs/>
              </w:rPr>
              <w:t xml:space="preserve">Total scripts </w:t>
            </w:r>
            <w:r w:rsidRPr="007A4E7E">
              <w:rPr>
                <w:rFonts w:ascii="Arial Narrow" w:hAnsi="Arial Narrow"/>
                <w:b/>
                <w:bCs/>
                <w:vertAlign w:val="superscript"/>
              </w:rPr>
              <w:t>d</w:t>
            </w:r>
          </w:p>
        </w:tc>
      </w:tr>
      <w:tr w:rsidR="007D00BA" w:rsidRPr="007A4E7E" w14:paraId="37AB5450" w14:textId="77777777" w:rsidTr="00EA6DFD">
        <w:tc>
          <w:tcPr>
            <w:tcW w:w="811" w:type="pct"/>
            <w:shd w:val="clear" w:color="auto" w:fill="auto"/>
            <w:vAlign w:val="center"/>
          </w:tcPr>
          <w:p w14:paraId="615820C9" w14:textId="77777777" w:rsidR="007D00BA" w:rsidRPr="007A4E7E" w:rsidRDefault="007D00BA" w:rsidP="00EA6DFD">
            <w:pPr>
              <w:keepNext/>
              <w:rPr>
                <w:rFonts w:ascii="Arial Narrow" w:hAnsi="Arial Narrow" w:cstheme="minorHAnsi"/>
                <w:bCs/>
              </w:rPr>
            </w:pPr>
            <w:r w:rsidRPr="007A4E7E">
              <w:rPr>
                <w:rFonts w:ascii="Arial Narrow" w:hAnsi="Arial Narrow" w:cstheme="minorHAnsi"/>
                <w:bCs/>
                <w:color w:val="000000"/>
              </w:rPr>
              <w:t>Total R/PBS</w:t>
            </w:r>
          </w:p>
        </w:tc>
        <w:tc>
          <w:tcPr>
            <w:tcW w:w="698" w:type="pct"/>
            <w:shd w:val="clear" w:color="auto" w:fill="auto"/>
            <w:vAlign w:val="center"/>
          </w:tcPr>
          <w:p w14:paraId="0CEEA7B3" w14:textId="2BC760DB"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bCs/>
                <w:color w:val="000000"/>
                <w:w w:val="21"/>
                <w:shd w:val="solid" w:color="000000" w:fill="000000"/>
                <w:fitText w:val="94" w:id="-962329342"/>
                <w14:textFill>
                  <w14:solidFill>
                    <w14:srgbClr w14:val="000000">
                      <w14:alpha w14:val="100000"/>
                    </w14:srgbClr>
                  </w14:solidFill>
                </w14:textFill>
              </w:rPr>
              <w:t xml:space="preserve">　</w:t>
            </w:r>
            <w:r w:rsidRPr="00DE6661">
              <w:rPr>
                <w:rFonts w:ascii="Arial Narrow" w:hAnsi="Arial Narrow" w:cstheme="minorHAnsi"/>
                <w:bCs/>
                <w:color w:val="000000"/>
                <w:w w:val="21"/>
                <w:shd w:val="solid" w:color="000000" w:fill="000000"/>
                <w:fitText w:val="94" w:id="-962329342"/>
                <w14:textFill>
                  <w14:solidFill>
                    <w14:srgbClr w14:val="000000">
                      <w14:alpha w14:val="100000"/>
                    </w14:srgbClr>
                  </w14:solidFill>
                </w14:textFill>
              </w:rPr>
              <w:t>|</w:t>
            </w:r>
            <w:r w:rsidRPr="00DE6661">
              <w:rPr>
                <w:rFonts w:ascii="Arial Narrow" w:hAnsi="Arial Narrow" w:cstheme="minorHAnsi" w:hint="eastAsia"/>
                <w:bCs/>
                <w:color w:val="000000"/>
                <w:spacing w:val="3"/>
                <w:w w:val="21"/>
                <w:shd w:val="solid" w:color="000000" w:fill="000000"/>
                <w:fitText w:val="94" w:id="-962329342"/>
                <w14:textFill>
                  <w14:solidFill>
                    <w14:srgbClr w14:val="000000">
                      <w14:alpha w14:val="100000"/>
                    </w14:srgbClr>
                  </w14:solidFill>
                </w14:textFill>
              </w:rPr>
              <w:t xml:space="preserve">　</w:t>
            </w:r>
            <w:r w:rsidRPr="00DE6661">
              <w:rPr>
                <w:rFonts w:ascii="Arial Narrow" w:hAnsi="Arial Narrow" w:cstheme="minorHAnsi"/>
                <w:bCs/>
                <w:color w:val="000000"/>
              </w:rPr>
              <w:t xml:space="preserve"> </w:t>
            </w:r>
            <w:r w:rsidR="00A27151">
              <w:rPr>
                <w:rFonts w:ascii="Arial Narrow" w:hAnsi="Arial Narrow" w:cstheme="minorHAnsi"/>
                <w:vertAlign w:val="superscript"/>
              </w:rPr>
              <w:t>2</w:t>
            </w:r>
          </w:p>
        </w:tc>
        <w:tc>
          <w:tcPr>
            <w:tcW w:w="698" w:type="pct"/>
            <w:shd w:val="clear" w:color="auto" w:fill="auto"/>
            <w:vAlign w:val="center"/>
          </w:tcPr>
          <w:p w14:paraId="3AA427FD" w14:textId="0D8929DA"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bCs/>
                <w:color w:val="000000"/>
                <w:w w:val="21"/>
                <w:shd w:val="solid" w:color="000000" w:fill="000000"/>
                <w:fitText w:val="94" w:id="-962329341"/>
                <w14:textFill>
                  <w14:solidFill>
                    <w14:srgbClr w14:val="000000">
                      <w14:alpha w14:val="100000"/>
                    </w14:srgbClr>
                  </w14:solidFill>
                </w14:textFill>
              </w:rPr>
              <w:t xml:space="preserve">　</w:t>
            </w:r>
            <w:r w:rsidRPr="00DE6661">
              <w:rPr>
                <w:rFonts w:ascii="Arial Narrow" w:hAnsi="Arial Narrow" w:cstheme="minorHAnsi"/>
                <w:bCs/>
                <w:color w:val="000000"/>
                <w:w w:val="21"/>
                <w:shd w:val="solid" w:color="000000" w:fill="000000"/>
                <w:fitText w:val="94" w:id="-962329341"/>
                <w14:textFill>
                  <w14:solidFill>
                    <w14:srgbClr w14:val="000000">
                      <w14:alpha w14:val="100000"/>
                    </w14:srgbClr>
                  </w14:solidFill>
                </w14:textFill>
              </w:rPr>
              <w:t>|</w:t>
            </w:r>
            <w:r w:rsidRPr="00DE6661">
              <w:rPr>
                <w:rFonts w:ascii="Arial Narrow" w:hAnsi="Arial Narrow" w:cstheme="minorHAnsi" w:hint="eastAsia"/>
                <w:bCs/>
                <w:color w:val="000000"/>
                <w:spacing w:val="3"/>
                <w:w w:val="21"/>
                <w:shd w:val="solid" w:color="000000" w:fill="000000"/>
                <w:fitText w:val="94" w:id="-962329341"/>
                <w14:textFill>
                  <w14:solidFill>
                    <w14:srgbClr w14:val="000000">
                      <w14:alpha w14:val="100000"/>
                    </w14:srgbClr>
                  </w14:solidFill>
                </w14:textFill>
              </w:rPr>
              <w:t xml:space="preserve">　</w:t>
            </w:r>
            <w:r w:rsidRPr="00DE6661">
              <w:rPr>
                <w:rFonts w:ascii="Arial Narrow" w:hAnsi="Arial Narrow" w:cstheme="minorHAnsi"/>
                <w:bCs/>
                <w:color w:val="000000"/>
              </w:rPr>
              <w:t xml:space="preserve"> </w:t>
            </w:r>
            <w:r w:rsidR="00A27151">
              <w:rPr>
                <w:rFonts w:ascii="Arial Narrow" w:hAnsi="Arial Narrow" w:cstheme="minorHAnsi"/>
                <w:vertAlign w:val="superscript"/>
              </w:rPr>
              <w:t>2</w:t>
            </w:r>
          </w:p>
        </w:tc>
        <w:tc>
          <w:tcPr>
            <w:tcW w:w="698" w:type="pct"/>
            <w:shd w:val="clear" w:color="auto" w:fill="auto"/>
            <w:vAlign w:val="center"/>
          </w:tcPr>
          <w:p w14:paraId="469EE3F6" w14:textId="434CBA4C"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bCs/>
                <w:color w:val="000000"/>
                <w:w w:val="21"/>
                <w:shd w:val="solid" w:color="000000" w:fill="000000"/>
                <w:fitText w:val="93" w:id="-962329340"/>
                <w14:textFill>
                  <w14:solidFill>
                    <w14:srgbClr w14:val="000000">
                      <w14:alpha w14:val="100000"/>
                    </w14:srgbClr>
                  </w14:solidFill>
                </w14:textFill>
              </w:rPr>
              <w:t xml:space="preserve">　</w:t>
            </w:r>
            <w:r w:rsidRPr="00DE6661">
              <w:rPr>
                <w:rFonts w:ascii="Arial Narrow" w:hAnsi="Arial Narrow" w:cstheme="minorHAnsi"/>
                <w:bCs/>
                <w:color w:val="000000"/>
                <w:w w:val="21"/>
                <w:shd w:val="solid" w:color="000000" w:fill="000000"/>
                <w:fitText w:val="93" w:id="-962329340"/>
                <w14:textFill>
                  <w14:solidFill>
                    <w14:srgbClr w14:val="000000">
                      <w14:alpha w14:val="100000"/>
                    </w14:srgbClr>
                  </w14:solidFill>
                </w14:textFill>
              </w:rPr>
              <w:t>|</w:t>
            </w:r>
            <w:r w:rsidRPr="00DE6661">
              <w:rPr>
                <w:rFonts w:ascii="Arial Narrow" w:hAnsi="Arial Narrow" w:cstheme="minorHAnsi" w:hint="eastAsia"/>
                <w:bCs/>
                <w:color w:val="000000"/>
                <w:spacing w:val="2"/>
                <w:w w:val="21"/>
                <w:shd w:val="solid" w:color="000000" w:fill="000000"/>
                <w:fitText w:val="93" w:id="-962329340"/>
                <w14:textFill>
                  <w14:solidFill>
                    <w14:srgbClr w14:val="000000">
                      <w14:alpha w14:val="100000"/>
                    </w14:srgbClr>
                  </w14:solidFill>
                </w14:textFill>
              </w:rPr>
              <w:t xml:space="preserve">　</w:t>
            </w:r>
            <w:r w:rsidRPr="00DE6661">
              <w:rPr>
                <w:rFonts w:ascii="Arial Narrow" w:hAnsi="Arial Narrow" w:cstheme="minorHAnsi"/>
                <w:bCs/>
                <w:color w:val="000000"/>
              </w:rPr>
              <w:t xml:space="preserve"> </w:t>
            </w:r>
            <w:r w:rsidR="00A27151">
              <w:rPr>
                <w:rFonts w:ascii="Arial Narrow" w:hAnsi="Arial Narrow" w:cstheme="minorHAnsi"/>
                <w:vertAlign w:val="superscript"/>
              </w:rPr>
              <w:t>2</w:t>
            </w:r>
          </w:p>
        </w:tc>
        <w:tc>
          <w:tcPr>
            <w:tcW w:w="698" w:type="pct"/>
            <w:shd w:val="clear" w:color="auto" w:fill="auto"/>
            <w:vAlign w:val="center"/>
          </w:tcPr>
          <w:p w14:paraId="589C200B" w14:textId="45FB83FE"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bCs/>
                <w:color w:val="000000"/>
                <w:w w:val="21"/>
                <w:shd w:val="solid" w:color="000000" w:fill="000000"/>
                <w:fitText w:val="93" w:id="-962329339"/>
                <w14:textFill>
                  <w14:solidFill>
                    <w14:srgbClr w14:val="000000">
                      <w14:alpha w14:val="100000"/>
                    </w14:srgbClr>
                  </w14:solidFill>
                </w14:textFill>
              </w:rPr>
              <w:t xml:space="preserve">　</w:t>
            </w:r>
            <w:r w:rsidRPr="00DE6661">
              <w:rPr>
                <w:rFonts w:ascii="Arial Narrow" w:hAnsi="Arial Narrow" w:cstheme="minorHAnsi"/>
                <w:bCs/>
                <w:color w:val="000000"/>
                <w:w w:val="21"/>
                <w:shd w:val="solid" w:color="000000" w:fill="000000"/>
                <w:fitText w:val="93" w:id="-962329339"/>
                <w14:textFill>
                  <w14:solidFill>
                    <w14:srgbClr w14:val="000000">
                      <w14:alpha w14:val="100000"/>
                    </w14:srgbClr>
                  </w14:solidFill>
                </w14:textFill>
              </w:rPr>
              <w:t>|</w:t>
            </w:r>
            <w:r w:rsidRPr="00DE6661">
              <w:rPr>
                <w:rFonts w:ascii="Arial Narrow" w:hAnsi="Arial Narrow" w:cstheme="minorHAnsi" w:hint="eastAsia"/>
                <w:bCs/>
                <w:color w:val="000000"/>
                <w:spacing w:val="2"/>
                <w:w w:val="21"/>
                <w:shd w:val="solid" w:color="000000" w:fill="000000"/>
                <w:fitText w:val="93" w:id="-962329339"/>
                <w14:textFill>
                  <w14:solidFill>
                    <w14:srgbClr w14:val="000000">
                      <w14:alpha w14:val="100000"/>
                    </w14:srgbClr>
                  </w14:solidFill>
                </w14:textFill>
              </w:rPr>
              <w:t xml:space="preserve">　</w:t>
            </w:r>
            <w:r w:rsidRPr="00DE6661">
              <w:rPr>
                <w:rFonts w:ascii="Arial Narrow" w:hAnsi="Arial Narrow" w:cstheme="minorHAnsi"/>
                <w:bCs/>
                <w:color w:val="000000"/>
              </w:rPr>
              <w:t xml:space="preserve"> </w:t>
            </w:r>
            <w:r w:rsidR="00A27151">
              <w:rPr>
                <w:rFonts w:ascii="Arial Narrow" w:hAnsi="Arial Narrow" w:cstheme="minorHAnsi"/>
                <w:vertAlign w:val="superscript"/>
              </w:rPr>
              <w:t>2</w:t>
            </w:r>
          </w:p>
        </w:tc>
        <w:tc>
          <w:tcPr>
            <w:tcW w:w="698" w:type="pct"/>
            <w:shd w:val="clear" w:color="auto" w:fill="auto"/>
            <w:vAlign w:val="center"/>
          </w:tcPr>
          <w:p w14:paraId="7886315D" w14:textId="111E4E03"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bCs/>
                <w:color w:val="000000"/>
                <w:w w:val="21"/>
                <w:shd w:val="solid" w:color="000000" w:fill="000000"/>
                <w:fitText w:val="93" w:id="-962329338"/>
                <w14:textFill>
                  <w14:solidFill>
                    <w14:srgbClr w14:val="000000">
                      <w14:alpha w14:val="100000"/>
                    </w14:srgbClr>
                  </w14:solidFill>
                </w14:textFill>
              </w:rPr>
              <w:t xml:space="preserve">　</w:t>
            </w:r>
            <w:r w:rsidRPr="00DE6661">
              <w:rPr>
                <w:rFonts w:ascii="Arial Narrow" w:hAnsi="Arial Narrow" w:cstheme="minorHAnsi"/>
                <w:bCs/>
                <w:color w:val="000000"/>
                <w:w w:val="21"/>
                <w:shd w:val="solid" w:color="000000" w:fill="000000"/>
                <w:fitText w:val="93" w:id="-962329338"/>
                <w14:textFill>
                  <w14:solidFill>
                    <w14:srgbClr w14:val="000000">
                      <w14:alpha w14:val="100000"/>
                    </w14:srgbClr>
                  </w14:solidFill>
                </w14:textFill>
              </w:rPr>
              <w:t>|</w:t>
            </w:r>
            <w:r w:rsidRPr="00DE6661">
              <w:rPr>
                <w:rFonts w:ascii="Arial Narrow" w:hAnsi="Arial Narrow" w:cstheme="minorHAnsi" w:hint="eastAsia"/>
                <w:bCs/>
                <w:color w:val="000000"/>
                <w:spacing w:val="2"/>
                <w:w w:val="21"/>
                <w:shd w:val="solid" w:color="000000" w:fill="000000"/>
                <w:fitText w:val="93" w:id="-962329338"/>
                <w14:textFill>
                  <w14:solidFill>
                    <w14:srgbClr w14:val="000000">
                      <w14:alpha w14:val="100000"/>
                    </w14:srgbClr>
                  </w14:solidFill>
                </w14:textFill>
              </w:rPr>
              <w:t xml:space="preserve">　</w:t>
            </w:r>
            <w:r w:rsidRPr="00DE6661">
              <w:rPr>
                <w:rFonts w:ascii="Arial Narrow" w:hAnsi="Arial Narrow" w:cstheme="minorHAnsi"/>
                <w:bCs/>
                <w:color w:val="000000"/>
              </w:rPr>
              <w:t xml:space="preserve"> </w:t>
            </w:r>
            <w:r w:rsidR="00A27151">
              <w:rPr>
                <w:rFonts w:ascii="Arial Narrow" w:hAnsi="Arial Narrow" w:cstheme="minorHAnsi"/>
                <w:vertAlign w:val="superscript"/>
              </w:rPr>
              <w:t>2</w:t>
            </w:r>
          </w:p>
        </w:tc>
        <w:tc>
          <w:tcPr>
            <w:tcW w:w="699" w:type="pct"/>
            <w:shd w:val="clear" w:color="auto" w:fill="auto"/>
            <w:vAlign w:val="center"/>
          </w:tcPr>
          <w:p w14:paraId="4F20C827" w14:textId="44F40EA1"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bCs/>
                <w:color w:val="000000"/>
                <w:w w:val="21"/>
                <w:shd w:val="solid" w:color="000000" w:fill="000000"/>
                <w:fitText w:val="93" w:id="-962329337"/>
                <w14:textFill>
                  <w14:solidFill>
                    <w14:srgbClr w14:val="000000">
                      <w14:alpha w14:val="100000"/>
                    </w14:srgbClr>
                  </w14:solidFill>
                </w14:textFill>
              </w:rPr>
              <w:t xml:space="preserve">　</w:t>
            </w:r>
            <w:r w:rsidRPr="00DE6661">
              <w:rPr>
                <w:rFonts w:ascii="Arial Narrow" w:hAnsi="Arial Narrow" w:cstheme="minorHAnsi"/>
                <w:bCs/>
                <w:color w:val="000000"/>
                <w:w w:val="21"/>
                <w:shd w:val="solid" w:color="000000" w:fill="000000"/>
                <w:fitText w:val="93" w:id="-962329337"/>
                <w14:textFill>
                  <w14:solidFill>
                    <w14:srgbClr w14:val="000000">
                      <w14:alpha w14:val="100000"/>
                    </w14:srgbClr>
                  </w14:solidFill>
                </w14:textFill>
              </w:rPr>
              <w:t>|</w:t>
            </w:r>
            <w:r w:rsidRPr="00DE6661">
              <w:rPr>
                <w:rFonts w:ascii="Arial Narrow" w:hAnsi="Arial Narrow" w:cstheme="minorHAnsi" w:hint="eastAsia"/>
                <w:bCs/>
                <w:color w:val="000000"/>
                <w:spacing w:val="2"/>
                <w:w w:val="21"/>
                <w:shd w:val="solid" w:color="000000" w:fill="000000"/>
                <w:fitText w:val="93" w:id="-962329337"/>
                <w14:textFill>
                  <w14:solidFill>
                    <w14:srgbClr w14:val="000000">
                      <w14:alpha w14:val="100000"/>
                    </w14:srgbClr>
                  </w14:solidFill>
                </w14:textFill>
              </w:rPr>
              <w:t xml:space="preserve">　</w:t>
            </w:r>
            <w:r w:rsidRPr="00DE6661">
              <w:rPr>
                <w:rFonts w:ascii="Arial Narrow" w:hAnsi="Arial Narrow" w:cstheme="minorHAnsi"/>
                <w:bCs/>
                <w:color w:val="000000"/>
              </w:rPr>
              <w:t xml:space="preserve"> </w:t>
            </w:r>
            <w:r w:rsidR="00A27151">
              <w:rPr>
                <w:rFonts w:ascii="Arial Narrow" w:hAnsi="Arial Narrow" w:cstheme="minorHAnsi"/>
                <w:vertAlign w:val="superscript"/>
              </w:rPr>
              <w:t>2</w:t>
            </w:r>
          </w:p>
        </w:tc>
      </w:tr>
      <w:tr w:rsidR="007D00BA" w:rsidRPr="007A4E7E" w14:paraId="016842C2" w14:textId="77777777" w:rsidTr="00EA6DFD">
        <w:tc>
          <w:tcPr>
            <w:tcW w:w="5000" w:type="pct"/>
            <w:gridSpan w:val="7"/>
            <w:shd w:val="clear" w:color="auto" w:fill="auto"/>
            <w:vAlign w:val="center"/>
          </w:tcPr>
          <w:p w14:paraId="42CE5A3A" w14:textId="589702B8" w:rsidR="007D00BA" w:rsidRPr="007A4E7E" w:rsidRDefault="007D00BA" w:rsidP="00EA6DFD">
            <w:pPr>
              <w:keepNext/>
              <w:rPr>
                <w:rFonts w:ascii="Arial Narrow" w:hAnsi="Arial Narrow" w:cstheme="minorHAnsi"/>
                <w:bCs/>
                <w:color w:val="000000"/>
                <w:vertAlign w:val="superscript"/>
              </w:rPr>
            </w:pPr>
            <w:r w:rsidRPr="007A4E7E">
              <w:rPr>
                <w:rFonts w:ascii="Arial Narrow" w:hAnsi="Arial Narrow" w:cstheme="minorHAnsi"/>
                <w:b/>
                <w:color w:val="000000"/>
              </w:rPr>
              <w:t>Financial implications</w:t>
            </w:r>
            <w:r w:rsidR="006F00CC">
              <w:rPr>
                <w:rFonts w:ascii="Arial Narrow" w:hAnsi="Arial Narrow" w:cstheme="minorHAnsi"/>
                <w:b/>
                <w:color w:val="000000"/>
              </w:rPr>
              <w:t xml:space="preserve"> ($)</w:t>
            </w:r>
            <w:r w:rsidRPr="007A4E7E">
              <w:rPr>
                <w:rFonts w:ascii="Arial Narrow" w:hAnsi="Arial Narrow" w:cstheme="minorHAnsi"/>
                <w:b/>
                <w:color w:val="000000"/>
              </w:rPr>
              <w:t xml:space="preserve"> </w:t>
            </w:r>
            <w:r w:rsidRPr="007A4E7E">
              <w:rPr>
                <w:rFonts w:ascii="Arial Narrow" w:hAnsi="Arial Narrow" w:cstheme="minorHAnsi"/>
                <w:b/>
                <w:color w:val="000000"/>
                <w:vertAlign w:val="superscript"/>
              </w:rPr>
              <w:t>e</w:t>
            </w:r>
          </w:p>
        </w:tc>
      </w:tr>
      <w:tr w:rsidR="007D00BA" w:rsidRPr="007A4E7E" w14:paraId="043A8938" w14:textId="77777777" w:rsidTr="00EA6DFD">
        <w:tc>
          <w:tcPr>
            <w:tcW w:w="811" w:type="pct"/>
            <w:shd w:val="clear" w:color="auto" w:fill="auto"/>
            <w:vAlign w:val="center"/>
          </w:tcPr>
          <w:p w14:paraId="17D5BE3B" w14:textId="77777777" w:rsidR="007D00BA" w:rsidRPr="007A4E7E" w:rsidRDefault="007D00BA" w:rsidP="00EA6DFD">
            <w:pPr>
              <w:keepNext/>
              <w:jc w:val="left"/>
              <w:rPr>
                <w:rFonts w:ascii="Arial Narrow" w:hAnsi="Arial Narrow" w:cstheme="minorHAnsi"/>
                <w:bCs/>
                <w:color w:val="000000"/>
              </w:rPr>
            </w:pPr>
            <w:r w:rsidRPr="007A4E7E">
              <w:rPr>
                <w:rFonts w:ascii="Arial Narrow" w:hAnsi="Arial Narrow"/>
              </w:rPr>
              <w:t xml:space="preserve">R/PBS cost </w:t>
            </w:r>
          </w:p>
        </w:tc>
        <w:tc>
          <w:tcPr>
            <w:tcW w:w="698" w:type="pct"/>
            <w:shd w:val="clear" w:color="auto" w:fill="auto"/>
          </w:tcPr>
          <w:p w14:paraId="7DEFA849" w14:textId="5ED9804D"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hint="eastAsia"/>
                <w:color w:val="000000"/>
                <w:w w:val="15"/>
                <w:shd w:val="solid" w:color="000000" w:fill="000000"/>
                <w:fitText w:val="56" w:id="-962329336"/>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36"/>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36"/>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tcPr>
          <w:p w14:paraId="6E17EF77" w14:textId="73806C1A"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hint="eastAsia"/>
                <w:color w:val="000000"/>
                <w:w w:val="15"/>
                <w:shd w:val="solid" w:color="000000" w:fill="000000"/>
                <w:fitText w:val="56" w:id="-962329335"/>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35"/>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35"/>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tcPr>
          <w:p w14:paraId="274AA2E4" w14:textId="26796245"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hint="eastAsia"/>
                <w:color w:val="000000"/>
                <w:w w:val="15"/>
                <w:shd w:val="solid" w:color="000000" w:fill="000000"/>
                <w:fitText w:val="56" w:id="-962329334"/>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34"/>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34"/>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tcPr>
          <w:p w14:paraId="7557C5A3" w14:textId="77EFFDDC"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hint="eastAsia"/>
                <w:color w:val="000000"/>
                <w:w w:val="15"/>
                <w:shd w:val="solid" w:color="000000" w:fill="000000"/>
                <w:fitText w:val="56" w:id="-962329333"/>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33"/>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33"/>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tcPr>
          <w:p w14:paraId="434602FD" w14:textId="3B593DF2"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hint="eastAsia"/>
                <w:color w:val="000000"/>
                <w:w w:val="15"/>
                <w:shd w:val="solid" w:color="000000" w:fill="000000"/>
                <w:fitText w:val="56" w:id="-962329332"/>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32"/>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32"/>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9" w:type="pct"/>
            <w:shd w:val="clear" w:color="auto" w:fill="auto"/>
          </w:tcPr>
          <w:p w14:paraId="6FED78A7" w14:textId="043D0C15"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hint="eastAsia"/>
                <w:color w:val="000000"/>
                <w:w w:val="15"/>
                <w:shd w:val="solid" w:color="000000" w:fill="000000"/>
                <w:fitText w:val="37" w:id="-962329331"/>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37" w:id="-962329331"/>
                <w14:textFill>
                  <w14:solidFill>
                    <w14:srgbClr w14:val="000000">
                      <w14:alpha w14:val="100000"/>
                    </w14:srgbClr>
                  </w14:solidFill>
                </w14:textFill>
              </w:rPr>
              <w:t>|</w:t>
            </w:r>
            <w:r w:rsidRPr="00DE6661">
              <w:rPr>
                <w:rFonts w:ascii="Arial Narrow" w:hAnsi="Arial Narrow" w:hint="eastAsia"/>
                <w:color w:val="000000"/>
                <w:spacing w:val="-28"/>
                <w:w w:val="15"/>
                <w:shd w:val="solid" w:color="000000" w:fill="000000"/>
                <w:fitText w:val="37" w:id="-962329331"/>
                <w14:textFill>
                  <w14:solidFill>
                    <w14:srgbClr w14:val="000000">
                      <w14:alpha w14:val="100000"/>
                    </w14:srgbClr>
                  </w14:solidFill>
                </w14:textFill>
              </w:rPr>
              <w:t xml:space="preserve">　</w:t>
            </w:r>
            <w:r w:rsidR="00A27151">
              <w:rPr>
                <w:rFonts w:ascii="Arial Narrow" w:hAnsi="Arial Narrow" w:cstheme="minorHAnsi"/>
                <w:vertAlign w:val="superscript"/>
              </w:rPr>
              <w:t>4</w:t>
            </w:r>
          </w:p>
        </w:tc>
      </w:tr>
      <w:tr w:rsidR="007D00BA" w:rsidRPr="007A4E7E" w14:paraId="5EBBC4F1" w14:textId="77777777" w:rsidTr="00EA6DFD">
        <w:tc>
          <w:tcPr>
            <w:tcW w:w="811" w:type="pct"/>
            <w:shd w:val="clear" w:color="auto" w:fill="auto"/>
            <w:vAlign w:val="center"/>
          </w:tcPr>
          <w:p w14:paraId="54AEE835" w14:textId="77777777" w:rsidR="007D00BA" w:rsidRPr="007A4E7E" w:rsidRDefault="007D00BA" w:rsidP="00EA6DFD">
            <w:pPr>
              <w:keepNext/>
              <w:jc w:val="left"/>
              <w:rPr>
                <w:rFonts w:ascii="Arial Narrow" w:hAnsi="Arial Narrow" w:cstheme="minorHAnsi"/>
                <w:bCs/>
                <w:color w:val="000000"/>
              </w:rPr>
            </w:pPr>
            <w:r w:rsidRPr="007A4E7E">
              <w:rPr>
                <w:rFonts w:ascii="Arial Narrow" w:hAnsi="Arial Narrow"/>
              </w:rPr>
              <w:t>Co-payment</w:t>
            </w:r>
          </w:p>
        </w:tc>
        <w:tc>
          <w:tcPr>
            <w:tcW w:w="698" w:type="pct"/>
            <w:shd w:val="clear" w:color="auto" w:fill="auto"/>
            <w:vAlign w:val="center"/>
          </w:tcPr>
          <w:p w14:paraId="550F224D" w14:textId="7816AE78"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3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0"/>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0"/>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40A3D723" w14:textId="6951A810"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2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29"/>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29"/>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68813A85" w14:textId="5D6E1AA3"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28"/>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28"/>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28"/>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40AEF43B" w14:textId="713F38A1"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44"/>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4"/>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4"/>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12DC5533" w14:textId="6B9E7939"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43"/>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3"/>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3"/>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9" w:type="pct"/>
            <w:shd w:val="clear" w:color="auto" w:fill="auto"/>
            <w:vAlign w:val="center"/>
          </w:tcPr>
          <w:p w14:paraId="29BD503C" w14:textId="28697BEF"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37" w:id="-962329342"/>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42"/>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42"/>
                <w14:textFill>
                  <w14:solidFill>
                    <w14:srgbClr w14:val="000000">
                      <w14:alpha w14:val="100000"/>
                    </w14:srgbClr>
                  </w14:solidFill>
                </w14:textFill>
              </w:rPr>
              <w:t xml:space="preserve">　</w:t>
            </w:r>
            <w:r w:rsidR="00A27151">
              <w:rPr>
                <w:rFonts w:ascii="Arial Narrow" w:hAnsi="Arial Narrow" w:cstheme="minorHAnsi"/>
                <w:vertAlign w:val="superscript"/>
              </w:rPr>
              <w:t>3</w:t>
            </w:r>
          </w:p>
        </w:tc>
      </w:tr>
      <w:tr w:rsidR="007D00BA" w:rsidRPr="007A4E7E" w14:paraId="7C93E499" w14:textId="77777777" w:rsidTr="00EA6DFD">
        <w:tc>
          <w:tcPr>
            <w:tcW w:w="811" w:type="pct"/>
            <w:shd w:val="clear" w:color="auto" w:fill="auto"/>
            <w:vAlign w:val="center"/>
          </w:tcPr>
          <w:p w14:paraId="647F45C3" w14:textId="77777777" w:rsidR="007D00BA" w:rsidRPr="007A4E7E" w:rsidRDefault="007D00BA" w:rsidP="00EA6DFD">
            <w:pPr>
              <w:keepNext/>
              <w:jc w:val="left"/>
              <w:rPr>
                <w:rFonts w:ascii="Arial Narrow" w:hAnsi="Arial Narrow" w:cstheme="minorHAnsi"/>
                <w:bCs/>
                <w:color w:val="000000"/>
              </w:rPr>
            </w:pPr>
            <w:r w:rsidRPr="007A4E7E">
              <w:rPr>
                <w:rFonts w:ascii="Arial Narrow" w:hAnsi="Arial Narrow"/>
              </w:rPr>
              <w:t xml:space="preserve">Net R/PBS cost </w:t>
            </w:r>
          </w:p>
        </w:tc>
        <w:tc>
          <w:tcPr>
            <w:tcW w:w="698" w:type="pct"/>
            <w:shd w:val="clear" w:color="auto" w:fill="auto"/>
            <w:vAlign w:val="center"/>
          </w:tcPr>
          <w:p w14:paraId="01A43F7B" w14:textId="5F6CEBE0"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41"/>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1"/>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1"/>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15240BE8" w14:textId="06EF772E"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4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0"/>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0"/>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22E97BEE" w14:textId="087A52E4"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3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9"/>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9"/>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vAlign w:val="center"/>
          </w:tcPr>
          <w:p w14:paraId="724424B9" w14:textId="5836ABF5"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38"/>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8"/>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8"/>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vAlign w:val="center"/>
          </w:tcPr>
          <w:p w14:paraId="3B41CBCD" w14:textId="6ED7FD3F"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56" w:id="-962329337"/>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7"/>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7"/>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9" w:type="pct"/>
            <w:shd w:val="clear" w:color="auto" w:fill="auto"/>
            <w:vAlign w:val="center"/>
          </w:tcPr>
          <w:p w14:paraId="663439A2" w14:textId="61F79721" w:rsidR="007D00BA" w:rsidRPr="00914C1A" w:rsidRDefault="00DE6661" w:rsidP="00EA6DFD">
            <w:pPr>
              <w:keepNext/>
              <w:jc w:val="center"/>
              <w:rPr>
                <w:rFonts w:ascii="Arial Narrow" w:hAnsi="Arial Narrow" w:cstheme="minorHAnsi"/>
                <w:bCs/>
                <w:color w:val="000000"/>
                <w:highlight w:val="lightGray"/>
              </w:rPr>
            </w:pPr>
            <w:r w:rsidRPr="00DE6661">
              <w:rPr>
                <w:rFonts w:ascii="Arial Narrow" w:hAnsi="Arial Narrow" w:cstheme="minorHAnsi" w:hint="eastAsia"/>
                <w:color w:val="000000"/>
                <w:w w:val="15"/>
                <w:shd w:val="solid" w:color="000000" w:fill="000000"/>
                <w:fitText w:val="37" w:id="-962329336"/>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36"/>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36"/>
                <w14:textFill>
                  <w14:solidFill>
                    <w14:srgbClr w14:val="000000">
                      <w14:alpha w14:val="100000"/>
                    </w14:srgbClr>
                  </w14:solidFill>
                </w14:textFill>
              </w:rPr>
              <w:t xml:space="preserve">　</w:t>
            </w:r>
            <w:r w:rsidR="00A27151">
              <w:rPr>
                <w:rFonts w:ascii="Arial Narrow" w:hAnsi="Arial Narrow" w:cstheme="minorHAnsi"/>
                <w:vertAlign w:val="superscript"/>
              </w:rPr>
              <w:t>4</w:t>
            </w:r>
          </w:p>
        </w:tc>
      </w:tr>
      <w:tr w:rsidR="007D00BA" w:rsidRPr="007A4E7E" w14:paraId="2825E2AA" w14:textId="77777777" w:rsidTr="00EA6DFD">
        <w:tc>
          <w:tcPr>
            <w:tcW w:w="811" w:type="pct"/>
            <w:shd w:val="clear" w:color="auto" w:fill="auto"/>
            <w:vAlign w:val="center"/>
          </w:tcPr>
          <w:p w14:paraId="50B5BF3C" w14:textId="77777777" w:rsidR="007D00BA" w:rsidRPr="007A4E7E" w:rsidRDefault="007D00BA" w:rsidP="00EA6DFD">
            <w:pPr>
              <w:keepNext/>
              <w:jc w:val="left"/>
              <w:rPr>
                <w:rFonts w:ascii="Arial Narrow" w:hAnsi="Arial Narrow"/>
              </w:rPr>
            </w:pPr>
            <w:r w:rsidRPr="007A4E7E">
              <w:rPr>
                <w:rFonts w:ascii="Arial Narrow" w:hAnsi="Arial Narrow"/>
              </w:rPr>
              <w:t>MBS cost</w:t>
            </w:r>
          </w:p>
        </w:tc>
        <w:tc>
          <w:tcPr>
            <w:tcW w:w="698" w:type="pct"/>
            <w:shd w:val="clear" w:color="auto" w:fill="auto"/>
            <w:vAlign w:val="center"/>
          </w:tcPr>
          <w:p w14:paraId="67765229" w14:textId="73DD58D0"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5"/>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5"/>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5"/>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413AE847" w14:textId="50BF162E"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4"/>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4"/>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4"/>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0BEDCF87" w14:textId="04C5AAFF"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3"/>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3"/>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3"/>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3D3F1874" w14:textId="3604A0B9"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2"/>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2"/>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2"/>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3899ECA3" w14:textId="7427AC8C"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1"/>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1"/>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1"/>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9" w:type="pct"/>
            <w:shd w:val="clear" w:color="auto" w:fill="auto"/>
            <w:vAlign w:val="center"/>
          </w:tcPr>
          <w:p w14:paraId="04180289" w14:textId="077F7790"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37" w:id="-96232933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30"/>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30"/>
                <w14:textFill>
                  <w14:solidFill>
                    <w14:srgbClr w14:val="000000">
                      <w14:alpha w14:val="100000"/>
                    </w14:srgbClr>
                  </w14:solidFill>
                </w14:textFill>
              </w:rPr>
              <w:t xml:space="preserve">　</w:t>
            </w:r>
            <w:r w:rsidR="00A27151">
              <w:rPr>
                <w:rFonts w:ascii="Arial Narrow" w:hAnsi="Arial Narrow" w:cstheme="minorHAnsi"/>
                <w:vertAlign w:val="superscript"/>
              </w:rPr>
              <w:t>3</w:t>
            </w:r>
          </w:p>
        </w:tc>
      </w:tr>
      <w:tr w:rsidR="007D00BA" w:rsidRPr="007A4E7E" w14:paraId="5B4F3ED6" w14:textId="77777777" w:rsidTr="00EA6DFD">
        <w:tc>
          <w:tcPr>
            <w:tcW w:w="811" w:type="pct"/>
            <w:shd w:val="clear" w:color="auto" w:fill="auto"/>
            <w:vAlign w:val="center"/>
          </w:tcPr>
          <w:p w14:paraId="507563A1" w14:textId="77777777" w:rsidR="007D00BA" w:rsidRPr="007A4E7E" w:rsidRDefault="007D00BA" w:rsidP="00EA6DFD">
            <w:pPr>
              <w:keepNext/>
              <w:jc w:val="left"/>
              <w:rPr>
                <w:rFonts w:ascii="Arial Narrow" w:hAnsi="Arial Narrow"/>
              </w:rPr>
            </w:pPr>
            <w:r w:rsidRPr="007A4E7E">
              <w:rPr>
                <w:rFonts w:ascii="Arial Narrow" w:hAnsi="Arial Narrow"/>
              </w:rPr>
              <w:t>Net cost health budget</w:t>
            </w:r>
          </w:p>
        </w:tc>
        <w:tc>
          <w:tcPr>
            <w:tcW w:w="698" w:type="pct"/>
            <w:shd w:val="clear" w:color="auto" w:fill="auto"/>
            <w:vAlign w:val="center"/>
          </w:tcPr>
          <w:p w14:paraId="427C0974" w14:textId="601B93AE"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2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29"/>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29"/>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2B838B8C" w14:textId="288971D6"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28"/>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28"/>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28"/>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vAlign w:val="center"/>
          </w:tcPr>
          <w:p w14:paraId="708D3C9E" w14:textId="0C5E4A9F"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44"/>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4"/>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4"/>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vAlign w:val="center"/>
          </w:tcPr>
          <w:p w14:paraId="755B7387" w14:textId="2CBB70C3"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43"/>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3"/>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3"/>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vAlign w:val="center"/>
          </w:tcPr>
          <w:p w14:paraId="506C053E" w14:textId="18644C9B"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42"/>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2"/>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2"/>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9" w:type="pct"/>
            <w:shd w:val="clear" w:color="auto" w:fill="auto"/>
            <w:vAlign w:val="center"/>
          </w:tcPr>
          <w:p w14:paraId="5B11F776" w14:textId="1E26D45D"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37" w:id="-962329341"/>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41"/>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41"/>
                <w14:textFill>
                  <w14:solidFill>
                    <w14:srgbClr w14:val="000000">
                      <w14:alpha w14:val="100000"/>
                    </w14:srgbClr>
                  </w14:solidFill>
                </w14:textFill>
              </w:rPr>
              <w:t xml:space="preserve">　</w:t>
            </w:r>
            <w:r w:rsidR="00A27151">
              <w:rPr>
                <w:rFonts w:ascii="Arial Narrow" w:hAnsi="Arial Narrow" w:cstheme="minorHAnsi"/>
                <w:vertAlign w:val="superscript"/>
              </w:rPr>
              <w:t>4</w:t>
            </w:r>
          </w:p>
        </w:tc>
      </w:tr>
      <w:tr w:rsidR="007D00BA" w:rsidRPr="007A4E7E" w14:paraId="43FF9FE4" w14:textId="77777777" w:rsidTr="00EA6DFD">
        <w:tc>
          <w:tcPr>
            <w:tcW w:w="811" w:type="pct"/>
            <w:shd w:val="clear" w:color="auto" w:fill="auto"/>
            <w:vAlign w:val="center"/>
          </w:tcPr>
          <w:p w14:paraId="0A2A70D6" w14:textId="7E08BF24" w:rsidR="007D00BA" w:rsidRPr="007A4E7E" w:rsidRDefault="007D00BA" w:rsidP="00EA6DFD">
            <w:pPr>
              <w:keepNext/>
              <w:jc w:val="left"/>
              <w:rPr>
                <w:rFonts w:ascii="Arial Narrow" w:hAnsi="Arial Narrow"/>
              </w:rPr>
            </w:pPr>
            <w:r w:rsidRPr="007A4E7E">
              <w:rPr>
                <w:rFonts w:ascii="Arial Narrow" w:hAnsi="Arial Narrow"/>
              </w:rPr>
              <w:t>Pre-PBAC response</w:t>
            </w:r>
            <w:r w:rsidR="003D0B06">
              <w:rPr>
                <w:rFonts w:ascii="Arial Narrow" w:hAnsi="Arial Narrow"/>
              </w:rPr>
              <w:t xml:space="preserve">: </w:t>
            </w:r>
          </w:p>
          <w:p w14:paraId="19377419" w14:textId="77777777" w:rsidR="007D00BA" w:rsidRPr="007A4E7E" w:rsidRDefault="007D00BA" w:rsidP="00EA6DFD">
            <w:pPr>
              <w:keepNext/>
              <w:jc w:val="left"/>
              <w:rPr>
                <w:rFonts w:ascii="Arial Narrow" w:hAnsi="Arial Narrow"/>
              </w:rPr>
            </w:pPr>
            <w:r w:rsidRPr="007A4E7E">
              <w:rPr>
                <w:rFonts w:ascii="Arial Narrow" w:hAnsi="Arial Narrow"/>
              </w:rPr>
              <w:t>Net cost health budget</w:t>
            </w:r>
          </w:p>
        </w:tc>
        <w:tc>
          <w:tcPr>
            <w:tcW w:w="698" w:type="pct"/>
            <w:shd w:val="clear" w:color="auto" w:fill="auto"/>
            <w:vAlign w:val="center"/>
          </w:tcPr>
          <w:p w14:paraId="7F6D98F4" w14:textId="6CC93A50"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4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40"/>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40"/>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auto"/>
            <w:vAlign w:val="center"/>
          </w:tcPr>
          <w:p w14:paraId="2A91B97C" w14:textId="74F3DA51"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9"/>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9"/>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vAlign w:val="center"/>
          </w:tcPr>
          <w:p w14:paraId="338592CE" w14:textId="29EF68ED"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8"/>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8"/>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8"/>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vAlign w:val="center"/>
          </w:tcPr>
          <w:p w14:paraId="265DAAA0" w14:textId="7BB1DE63"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7"/>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7"/>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7"/>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auto"/>
            <w:vAlign w:val="center"/>
          </w:tcPr>
          <w:p w14:paraId="72678208" w14:textId="4228DAAF"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6"/>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6"/>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6"/>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9" w:type="pct"/>
            <w:shd w:val="clear" w:color="auto" w:fill="auto"/>
            <w:vAlign w:val="center"/>
          </w:tcPr>
          <w:p w14:paraId="07F458CF" w14:textId="63ED5168"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37" w:id="-962329335"/>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35"/>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35"/>
                <w14:textFill>
                  <w14:solidFill>
                    <w14:srgbClr w14:val="000000">
                      <w14:alpha w14:val="100000"/>
                    </w14:srgbClr>
                  </w14:solidFill>
                </w14:textFill>
              </w:rPr>
              <w:t xml:space="preserve">　</w:t>
            </w:r>
            <w:r w:rsidR="00A27151">
              <w:rPr>
                <w:rFonts w:ascii="Arial Narrow" w:hAnsi="Arial Narrow" w:cstheme="minorHAnsi"/>
                <w:vertAlign w:val="superscript"/>
              </w:rPr>
              <w:t>4</w:t>
            </w:r>
          </w:p>
        </w:tc>
      </w:tr>
      <w:tr w:rsidR="007D00BA" w:rsidRPr="007A4E7E" w14:paraId="7CC6C683" w14:textId="77777777" w:rsidTr="00EA6DFD">
        <w:tc>
          <w:tcPr>
            <w:tcW w:w="811" w:type="pct"/>
            <w:shd w:val="clear" w:color="auto" w:fill="D9E2F3" w:themeFill="accent1" w:themeFillTint="33"/>
            <w:vAlign w:val="bottom"/>
          </w:tcPr>
          <w:p w14:paraId="40A5CB7D" w14:textId="77777777" w:rsidR="007D00BA" w:rsidRPr="007A4E7E" w:rsidRDefault="007D00BA" w:rsidP="00EA6DFD">
            <w:pPr>
              <w:keepNext/>
              <w:jc w:val="left"/>
              <w:rPr>
                <w:rFonts w:ascii="Arial Narrow" w:hAnsi="Arial Narrow"/>
              </w:rPr>
            </w:pPr>
            <w:r w:rsidRPr="007A4E7E">
              <w:rPr>
                <w:rFonts w:ascii="Arial Narrow" w:hAnsi="Arial Narrow" w:cstheme="minorHAnsi"/>
                <w:bCs/>
              </w:rPr>
              <w:t>March 2023 estimates</w:t>
            </w:r>
          </w:p>
        </w:tc>
        <w:tc>
          <w:tcPr>
            <w:tcW w:w="698" w:type="pct"/>
            <w:shd w:val="clear" w:color="auto" w:fill="D9E2F3" w:themeFill="accent1" w:themeFillTint="33"/>
            <w:vAlign w:val="center"/>
          </w:tcPr>
          <w:p w14:paraId="337C5633" w14:textId="7A236787"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4"/>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4"/>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4"/>
                <w14:textFill>
                  <w14:solidFill>
                    <w14:srgbClr w14:val="000000">
                      <w14:alpha w14:val="100000"/>
                    </w14:srgbClr>
                  </w14:solidFill>
                </w14:textFill>
              </w:rPr>
              <w:t xml:space="preserve">　</w:t>
            </w:r>
            <w:r w:rsidR="00A27151">
              <w:rPr>
                <w:rFonts w:ascii="Arial Narrow" w:hAnsi="Arial Narrow" w:cstheme="minorHAnsi"/>
                <w:vertAlign w:val="superscript"/>
              </w:rPr>
              <w:t>3</w:t>
            </w:r>
          </w:p>
        </w:tc>
        <w:tc>
          <w:tcPr>
            <w:tcW w:w="698" w:type="pct"/>
            <w:shd w:val="clear" w:color="auto" w:fill="D9E2F3" w:themeFill="accent1" w:themeFillTint="33"/>
            <w:vAlign w:val="center"/>
          </w:tcPr>
          <w:p w14:paraId="4403A98F" w14:textId="19F1327F"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3"/>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3"/>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3"/>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D9E2F3" w:themeFill="accent1" w:themeFillTint="33"/>
            <w:vAlign w:val="center"/>
          </w:tcPr>
          <w:p w14:paraId="5B8CB448" w14:textId="48EDE5A4"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2"/>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2"/>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2"/>
                <w14:textFill>
                  <w14:solidFill>
                    <w14:srgbClr w14:val="000000">
                      <w14:alpha w14:val="100000"/>
                    </w14:srgbClr>
                  </w14:solidFill>
                </w14:textFill>
              </w:rPr>
              <w:t xml:space="preserve">　</w:t>
            </w:r>
            <w:r w:rsidR="00A27151">
              <w:rPr>
                <w:rFonts w:ascii="Arial Narrow" w:hAnsi="Arial Narrow" w:cstheme="minorHAnsi"/>
                <w:vertAlign w:val="superscript"/>
              </w:rPr>
              <w:t>5</w:t>
            </w:r>
          </w:p>
        </w:tc>
        <w:tc>
          <w:tcPr>
            <w:tcW w:w="698" w:type="pct"/>
            <w:shd w:val="clear" w:color="auto" w:fill="D9E2F3" w:themeFill="accent1" w:themeFillTint="33"/>
            <w:vAlign w:val="center"/>
          </w:tcPr>
          <w:p w14:paraId="3FED061F" w14:textId="3C019DBB"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1"/>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1"/>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1"/>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D9E2F3" w:themeFill="accent1" w:themeFillTint="33"/>
            <w:vAlign w:val="center"/>
          </w:tcPr>
          <w:p w14:paraId="0310B68C" w14:textId="468F5FA2"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56" w:id="-962329330"/>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56" w:id="-962329330"/>
                <w14:textFill>
                  <w14:solidFill>
                    <w14:srgbClr w14:val="000000">
                      <w14:alpha w14:val="100000"/>
                    </w14:srgbClr>
                  </w14:solidFill>
                </w14:textFill>
              </w:rPr>
              <w:t>|</w:t>
            </w:r>
            <w:r w:rsidRPr="00DE6661">
              <w:rPr>
                <w:rFonts w:ascii="Arial Narrow" w:hAnsi="Arial Narrow" w:cstheme="minorHAnsi" w:hint="eastAsia"/>
                <w:color w:val="000000"/>
                <w:spacing w:val="-9"/>
                <w:w w:val="15"/>
                <w:shd w:val="solid" w:color="000000" w:fill="000000"/>
                <w:fitText w:val="56" w:id="-962329330"/>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9" w:type="pct"/>
            <w:shd w:val="clear" w:color="auto" w:fill="D9E2F3" w:themeFill="accent1" w:themeFillTint="33"/>
            <w:vAlign w:val="center"/>
          </w:tcPr>
          <w:p w14:paraId="3337BFD3" w14:textId="2752F464"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cstheme="minorHAnsi" w:hint="eastAsia"/>
                <w:color w:val="000000"/>
                <w:w w:val="15"/>
                <w:shd w:val="solid" w:color="000000" w:fill="000000"/>
                <w:fitText w:val="37" w:id="-962329329"/>
                <w14:textFill>
                  <w14:solidFill>
                    <w14:srgbClr w14:val="000000">
                      <w14:alpha w14:val="100000"/>
                    </w14:srgbClr>
                  </w14:solidFill>
                </w14:textFill>
              </w:rPr>
              <w:t xml:space="preserve">　</w:t>
            </w:r>
            <w:r w:rsidRPr="00DE6661">
              <w:rPr>
                <w:rFonts w:ascii="Arial Narrow" w:hAnsi="Arial Narrow" w:cstheme="minorHAnsi"/>
                <w:color w:val="000000"/>
                <w:w w:val="15"/>
                <w:shd w:val="solid" w:color="000000" w:fill="000000"/>
                <w:fitText w:val="37" w:id="-962329329"/>
                <w14:textFill>
                  <w14:solidFill>
                    <w14:srgbClr w14:val="000000">
                      <w14:alpha w14:val="100000"/>
                    </w14:srgbClr>
                  </w14:solidFill>
                </w14:textFill>
              </w:rPr>
              <w:t>|</w:t>
            </w:r>
            <w:r w:rsidRPr="00DE6661">
              <w:rPr>
                <w:rFonts w:ascii="Arial Narrow" w:hAnsi="Arial Narrow" w:cstheme="minorHAnsi" w:hint="eastAsia"/>
                <w:color w:val="000000"/>
                <w:spacing w:val="-28"/>
                <w:w w:val="15"/>
                <w:shd w:val="solid" w:color="000000" w:fill="000000"/>
                <w:fitText w:val="37" w:id="-962329329"/>
                <w14:textFill>
                  <w14:solidFill>
                    <w14:srgbClr w14:val="000000">
                      <w14:alpha w14:val="100000"/>
                    </w14:srgbClr>
                  </w14:solidFill>
                </w14:textFill>
              </w:rPr>
              <w:t xml:space="preserve">　</w:t>
            </w:r>
            <w:r w:rsidR="00A27151">
              <w:rPr>
                <w:rFonts w:ascii="Arial Narrow" w:hAnsi="Arial Narrow" w:cstheme="minorHAnsi"/>
                <w:vertAlign w:val="superscript"/>
              </w:rPr>
              <w:t>3</w:t>
            </w:r>
          </w:p>
        </w:tc>
      </w:tr>
      <w:tr w:rsidR="007D00BA" w:rsidRPr="007A4E7E" w14:paraId="62C729BA" w14:textId="77777777" w:rsidTr="00EA6DFD">
        <w:tc>
          <w:tcPr>
            <w:tcW w:w="811" w:type="pct"/>
            <w:shd w:val="clear" w:color="auto" w:fill="D9E2F3" w:themeFill="accent1" w:themeFillTint="33"/>
            <w:vAlign w:val="bottom"/>
          </w:tcPr>
          <w:p w14:paraId="70BA7DA8" w14:textId="77777777" w:rsidR="007D00BA" w:rsidRPr="007A4E7E" w:rsidRDefault="007D00BA" w:rsidP="00EA6DFD">
            <w:pPr>
              <w:keepNext/>
              <w:jc w:val="left"/>
              <w:rPr>
                <w:rFonts w:ascii="Arial Narrow" w:hAnsi="Arial Narrow" w:cstheme="minorHAnsi"/>
                <w:bCs/>
              </w:rPr>
            </w:pPr>
            <w:r w:rsidRPr="007A4E7E">
              <w:rPr>
                <w:rFonts w:ascii="Arial Narrow" w:hAnsi="Arial Narrow" w:cstheme="minorHAnsi"/>
                <w:bCs/>
              </w:rPr>
              <w:t>DUSC March 2023 estimates</w:t>
            </w:r>
          </w:p>
        </w:tc>
        <w:tc>
          <w:tcPr>
            <w:tcW w:w="698" w:type="pct"/>
            <w:shd w:val="clear" w:color="auto" w:fill="D9E2F3" w:themeFill="accent1" w:themeFillTint="33"/>
            <w:vAlign w:val="center"/>
          </w:tcPr>
          <w:p w14:paraId="3D738FCA" w14:textId="58653E8F"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15"/>
                <w:shd w:val="solid" w:color="000000" w:fill="000000"/>
                <w:fitText w:val="56" w:id="-962329328"/>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28"/>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28"/>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D9E2F3" w:themeFill="accent1" w:themeFillTint="33"/>
            <w:vAlign w:val="center"/>
          </w:tcPr>
          <w:p w14:paraId="156018AB" w14:textId="74731666"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15"/>
                <w:shd w:val="solid" w:color="000000" w:fill="000000"/>
                <w:fitText w:val="56" w:id="-962329344"/>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44"/>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44"/>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D9E2F3" w:themeFill="accent1" w:themeFillTint="33"/>
            <w:vAlign w:val="center"/>
          </w:tcPr>
          <w:p w14:paraId="229F1B42" w14:textId="4A76C6C6"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15"/>
                <w:shd w:val="solid" w:color="000000" w:fill="000000"/>
                <w:fitText w:val="56" w:id="-962329343"/>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43"/>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43"/>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D9E2F3" w:themeFill="accent1" w:themeFillTint="33"/>
            <w:vAlign w:val="center"/>
          </w:tcPr>
          <w:p w14:paraId="4CE58339" w14:textId="44B607CB"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15"/>
                <w:shd w:val="solid" w:color="000000" w:fill="000000"/>
                <w:fitText w:val="56" w:id="-962329342"/>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42"/>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42"/>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8" w:type="pct"/>
            <w:shd w:val="clear" w:color="auto" w:fill="D9E2F3" w:themeFill="accent1" w:themeFillTint="33"/>
            <w:vAlign w:val="center"/>
          </w:tcPr>
          <w:p w14:paraId="1BE81027" w14:textId="0057C217"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15"/>
                <w:shd w:val="solid" w:color="000000" w:fill="000000"/>
                <w:fitText w:val="56" w:id="-962329341"/>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56" w:id="-962329341"/>
                <w14:textFill>
                  <w14:solidFill>
                    <w14:srgbClr w14:val="000000">
                      <w14:alpha w14:val="100000"/>
                    </w14:srgbClr>
                  </w14:solidFill>
                </w14:textFill>
              </w:rPr>
              <w:t>|</w:t>
            </w:r>
            <w:r w:rsidRPr="00DE6661">
              <w:rPr>
                <w:rFonts w:ascii="Arial Narrow" w:hAnsi="Arial Narrow" w:hint="eastAsia"/>
                <w:color w:val="000000"/>
                <w:spacing w:val="-9"/>
                <w:w w:val="15"/>
                <w:shd w:val="solid" w:color="000000" w:fill="000000"/>
                <w:fitText w:val="56" w:id="-962329341"/>
                <w14:textFill>
                  <w14:solidFill>
                    <w14:srgbClr w14:val="000000">
                      <w14:alpha w14:val="100000"/>
                    </w14:srgbClr>
                  </w14:solidFill>
                </w14:textFill>
              </w:rPr>
              <w:t xml:space="preserve">　</w:t>
            </w:r>
            <w:r w:rsidR="00A27151">
              <w:rPr>
                <w:rFonts w:ascii="Arial Narrow" w:hAnsi="Arial Narrow" w:cstheme="minorHAnsi"/>
                <w:vertAlign w:val="superscript"/>
              </w:rPr>
              <w:t>4</w:t>
            </w:r>
          </w:p>
        </w:tc>
        <w:tc>
          <w:tcPr>
            <w:tcW w:w="699" w:type="pct"/>
            <w:shd w:val="clear" w:color="auto" w:fill="D9E2F3" w:themeFill="accent1" w:themeFillTint="33"/>
            <w:vAlign w:val="center"/>
          </w:tcPr>
          <w:p w14:paraId="30C077F8" w14:textId="1D610DFE" w:rsidR="007D00BA" w:rsidRPr="00914C1A" w:rsidRDefault="00DE6661" w:rsidP="00EA6DFD">
            <w:pPr>
              <w:keepNext/>
              <w:jc w:val="center"/>
              <w:rPr>
                <w:rFonts w:ascii="Arial Narrow" w:hAnsi="Arial Narrow" w:cstheme="minorHAnsi"/>
                <w:color w:val="000000"/>
                <w:highlight w:val="lightGray"/>
              </w:rPr>
            </w:pPr>
            <w:r w:rsidRPr="00DE6661">
              <w:rPr>
                <w:rFonts w:ascii="Arial Narrow" w:hAnsi="Arial Narrow" w:hint="eastAsia"/>
                <w:color w:val="000000"/>
                <w:w w:val="15"/>
                <w:shd w:val="solid" w:color="000000" w:fill="000000"/>
                <w:fitText w:val="37" w:id="-962329340"/>
                <w14:textFill>
                  <w14:solidFill>
                    <w14:srgbClr w14:val="000000">
                      <w14:alpha w14:val="100000"/>
                    </w14:srgbClr>
                  </w14:solidFill>
                </w14:textFill>
              </w:rPr>
              <w:t xml:space="preserve">　</w:t>
            </w:r>
            <w:r w:rsidRPr="00DE6661">
              <w:rPr>
                <w:rFonts w:ascii="Arial Narrow" w:hAnsi="Arial Narrow"/>
                <w:color w:val="000000"/>
                <w:w w:val="15"/>
                <w:shd w:val="solid" w:color="000000" w:fill="000000"/>
                <w:fitText w:val="37" w:id="-962329340"/>
                <w14:textFill>
                  <w14:solidFill>
                    <w14:srgbClr w14:val="000000">
                      <w14:alpha w14:val="100000"/>
                    </w14:srgbClr>
                  </w14:solidFill>
                </w14:textFill>
              </w:rPr>
              <w:t>|</w:t>
            </w:r>
            <w:r w:rsidRPr="00DE6661">
              <w:rPr>
                <w:rFonts w:ascii="Arial Narrow" w:hAnsi="Arial Narrow" w:hint="eastAsia"/>
                <w:color w:val="000000"/>
                <w:spacing w:val="-28"/>
                <w:w w:val="15"/>
                <w:shd w:val="solid" w:color="000000" w:fill="000000"/>
                <w:fitText w:val="37" w:id="-962329340"/>
                <w14:textFill>
                  <w14:solidFill>
                    <w14:srgbClr w14:val="000000">
                      <w14:alpha w14:val="100000"/>
                    </w14:srgbClr>
                  </w14:solidFill>
                </w14:textFill>
              </w:rPr>
              <w:t xml:space="preserve">　</w:t>
            </w:r>
            <w:r w:rsidR="00A27151">
              <w:rPr>
                <w:rFonts w:ascii="Arial Narrow" w:hAnsi="Arial Narrow" w:cstheme="minorHAnsi"/>
                <w:vertAlign w:val="superscript"/>
              </w:rPr>
              <w:t>4</w:t>
            </w:r>
          </w:p>
        </w:tc>
      </w:tr>
    </w:tbl>
    <w:p w14:paraId="0D98AD19" w14:textId="3659544F" w:rsidR="007D00BA" w:rsidRPr="003D0B06" w:rsidRDefault="007D00BA" w:rsidP="00914C1A">
      <w:pPr>
        <w:pStyle w:val="FooterTableFigure"/>
        <w:keepNext/>
        <w:keepLines/>
      </w:pPr>
      <w:r w:rsidRPr="003D0B06">
        <w:t>Source: Tables 4.3-2 and 4.3-3</w:t>
      </w:r>
      <w:r w:rsidR="00F63E54" w:rsidRPr="003D0B06">
        <w:t xml:space="preserve"> </w:t>
      </w:r>
      <w:r w:rsidRPr="003D0B06">
        <w:t>of the resubmission; Isturisa (osilodrostat) – endogenous CS – UCM, ‘2d. Patients – DTG’ worksheet from the financial workbook and Table 20 and Table 22, osilodrostat PBAC minutes, March 2023</w:t>
      </w:r>
    </w:p>
    <w:p w14:paraId="35355A78" w14:textId="77777777" w:rsidR="007D00BA" w:rsidRPr="003D0B06" w:rsidRDefault="007D00BA" w:rsidP="00914C1A">
      <w:pPr>
        <w:pStyle w:val="FooterTableFigure"/>
        <w:keepNext/>
        <w:keepLines/>
        <w:rPr>
          <w:shd w:val="clear" w:color="auto" w:fill="D9E2F3" w:themeFill="accent1" w:themeFillTint="33"/>
        </w:rPr>
      </w:pPr>
      <w:r w:rsidRPr="003D0B06">
        <w:t>DUSC = Drug Utilisation Sub-Committee; MBS = Medicare Benefits Schedule; PBS = Pharmaceutical Benefits Scheme; RPBS = Repatriation Pharmaceutical Benefits Scheme</w:t>
      </w:r>
    </w:p>
    <w:p w14:paraId="5ADC84E2" w14:textId="5D8A0AA5" w:rsidR="007D00BA" w:rsidRPr="003D0B06" w:rsidRDefault="007D00BA" w:rsidP="00914C1A">
      <w:pPr>
        <w:pStyle w:val="FooterTableFigure"/>
        <w:keepNext/>
        <w:keepLines/>
      </w:pPr>
      <w:r w:rsidRPr="003D0B06">
        <w:rPr>
          <w:shd w:val="clear" w:color="auto" w:fill="D9E2F3" w:themeFill="accent1" w:themeFillTint="33"/>
        </w:rPr>
        <w:t>Blue</w:t>
      </w:r>
      <w:r w:rsidRPr="003D0B06">
        <w:t xml:space="preserve"> shaded cells indicate values previously considered by PBAC</w:t>
      </w:r>
      <w:r w:rsidR="007A4E7E" w:rsidRPr="003D0B06">
        <w:t xml:space="preserve">. </w:t>
      </w:r>
    </w:p>
    <w:p w14:paraId="58E2C364" w14:textId="00E9D035" w:rsidR="007D00BA" w:rsidRPr="003D0B06" w:rsidRDefault="007D00BA" w:rsidP="00914C1A">
      <w:pPr>
        <w:pStyle w:val="FooterTableFigure"/>
        <w:keepNext/>
        <w:keepLines/>
      </w:pPr>
      <w:r w:rsidRPr="003D0B06">
        <w:rPr>
          <w:vertAlign w:val="superscript"/>
        </w:rPr>
        <w:t>a</w:t>
      </w:r>
      <w:r w:rsidRPr="003D0B06">
        <w:t xml:space="preserve"> Uptake rates of </w:t>
      </w:r>
      <w:r w:rsidR="00DE6661" w:rsidRPr="00DE6661">
        <w:rPr>
          <w:color w:val="000000"/>
          <w:spacing w:val="40"/>
          <w:shd w:val="solid" w:color="000000" w:fill="000000"/>
          <w:fitText w:val="280" w:id="-962329088"/>
          <w14:textFill>
            <w14:solidFill>
              <w14:srgbClr w14:val="000000">
                <w14:alpha w14:val="100000"/>
              </w14:srgbClr>
            </w14:solidFill>
          </w14:textFill>
        </w:rPr>
        <w:t xml:space="preserve">|  </w:t>
      </w:r>
      <w:r w:rsidR="00DE6661" w:rsidRPr="00DE6661">
        <w:rPr>
          <w:color w:val="000000"/>
          <w:spacing w:val="2"/>
          <w:shd w:val="solid" w:color="000000" w:fill="000000"/>
          <w:fitText w:val="280" w:id="-962329088"/>
          <w14:textFill>
            <w14:solidFill>
              <w14:srgbClr w14:val="000000">
                <w14:alpha w14:val="100000"/>
              </w14:srgbClr>
            </w14:solidFill>
          </w14:textFill>
        </w:rPr>
        <w:t>|</w:t>
      </w:r>
      <w:r w:rsidRPr="003D0B06">
        <w:t xml:space="preserve">% in Year 1, </w:t>
      </w:r>
      <w:r w:rsidR="00DE6661" w:rsidRPr="00DE6661">
        <w:rPr>
          <w:color w:val="000000"/>
          <w:spacing w:val="40"/>
          <w:shd w:val="solid" w:color="000000" w:fill="000000"/>
          <w:fitText w:val="280" w:id="-962329087"/>
          <w14:textFill>
            <w14:solidFill>
              <w14:srgbClr w14:val="000000">
                <w14:alpha w14:val="100000"/>
              </w14:srgbClr>
            </w14:solidFill>
          </w14:textFill>
        </w:rPr>
        <w:t xml:space="preserve">|  </w:t>
      </w:r>
      <w:r w:rsidR="00DE6661" w:rsidRPr="00DE6661">
        <w:rPr>
          <w:color w:val="000000"/>
          <w:spacing w:val="2"/>
          <w:shd w:val="solid" w:color="000000" w:fill="000000"/>
          <w:fitText w:val="280" w:id="-962329087"/>
          <w14:textFill>
            <w14:solidFill>
              <w14:srgbClr w14:val="000000">
                <w14:alpha w14:val="100000"/>
              </w14:srgbClr>
            </w14:solidFill>
          </w14:textFill>
        </w:rPr>
        <w:t>|</w:t>
      </w:r>
      <w:r w:rsidRPr="003D0B06">
        <w:t xml:space="preserve">% Year 2, </w:t>
      </w:r>
      <w:r w:rsidR="00DE6661" w:rsidRPr="00DE6661">
        <w:rPr>
          <w:color w:val="000000"/>
          <w:spacing w:val="40"/>
          <w:shd w:val="solid" w:color="000000" w:fill="000000"/>
          <w:fitText w:val="279" w:id="-962329086"/>
          <w14:textFill>
            <w14:solidFill>
              <w14:srgbClr w14:val="000000">
                <w14:alpha w14:val="100000"/>
              </w14:srgbClr>
            </w14:solidFill>
          </w14:textFill>
        </w:rPr>
        <w:t xml:space="preserve">|  </w:t>
      </w:r>
      <w:r w:rsidR="00DE6661" w:rsidRPr="00DE6661">
        <w:rPr>
          <w:color w:val="000000"/>
          <w:spacing w:val="1"/>
          <w:shd w:val="solid" w:color="000000" w:fill="000000"/>
          <w:fitText w:val="279" w:id="-962329086"/>
          <w14:textFill>
            <w14:solidFill>
              <w14:srgbClr w14:val="000000">
                <w14:alpha w14:val="100000"/>
              </w14:srgbClr>
            </w14:solidFill>
          </w14:textFill>
        </w:rPr>
        <w:t>|</w:t>
      </w:r>
      <w:r w:rsidRPr="003D0B06">
        <w:t xml:space="preserve">% Year 3, </w:t>
      </w:r>
      <w:r w:rsidR="00DE6661" w:rsidRPr="00DE6661">
        <w:rPr>
          <w:color w:val="000000"/>
          <w:spacing w:val="40"/>
          <w:shd w:val="solid" w:color="000000" w:fill="000000"/>
          <w:fitText w:val="280" w:id="-962329085"/>
          <w14:textFill>
            <w14:solidFill>
              <w14:srgbClr w14:val="000000">
                <w14:alpha w14:val="100000"/>
              </w14:srgbClr>
            </w14:solidFill>
          </w14:textFill>
        </w:rPr>
        <w:t xml:space="preserve">|  </w:t>
      </w:r>
      <w:r w:rsidR="00DE6661" w:rsidRPr="00DE6661">
        <w:rPr>
          <w:color w:val="000000"/>
          <w:spacing w:val="2"/>
          <w:shd w:val="solid" w:color="000000" w:fill="000000"/>
          <w:fitText w:val="280" w:id="-962329085"/>
          <w14:textFill>
            <w14:solidFill>
              <w14:srgbClr w14:val="000000">
                <w14:alpha w14:val="100000"/>
              </w14:srgbClr>
            </w14:solidFill>
          </w14:textFill>
        </w:rPr>
        <w:t>|</w:t>
      </w:r>
      <w:r w:rsidRPr="003D0B06">
        <w:t xml:space="preserve">% Year 4, </w:t>
      </w:r>
      <w:r w:rsidR="00DE6661" w:rsidRPr="00DE6661">
        <w:rPr>
          <w:color w:val="000000"/>
          <w:spacing w:val="40"/>
          <w:shd w:val="solid" w:color="000000" w:fill="000000"/>
          <w:fitText w:val="279" w:id="-962329084"/>
          <w14:textFill>
            <w14:solidFill>
              <w14:srgbClr w14:val="000000">
                <w14:alpha w14:val="100000"/>
              </w14:srgbClr>
            </w14:solidFill>
          </w14:textFill>
        </w:rPr>
        <w:t xml:space="preserve">|  </w:t>
      </w:r>
      <w:r w:rsidR="00DE6661" w:rsidRPr="00DE6661">
        <w:rPr>
          <w:color w:val="000000"/>
          <w:spacing w:val="1"/>
          <w:shd w:val="solid" w:color="000000" w:fill="000000"/>
          <w:fitText w:val="279" w:id="-962329084"/>
          <w14:textFill>
            <w14:solidFill>
              <w14:srgbClr w14:val="000000">
                <w14:alpha w14:val="100000"/>
              </w14:srgbClr>
            </w14:solidFill>
          </w14:textFill>
        </w:rPr>
        <w:t>|</w:t>
      </w:r>
      <w:r w:rsidRPr="003D0B06">
        <w:t xml:space="preserve">% Year 5, and </w:t>
      </w:r>
      <w:r w:rsidR="00DE6661" w:rsidRPr="00DE6661">
        <w:rPr>
          <w:color w:val="000000"/>
          <w:spacing w:val="40"/>
          <w:shd w:val="solid" w:color="000000" w:fill="000000"/>
          <w:fitText w:val="279" w:id="-962329083"/>
          <w14:textFill>
            <w14:solidFill>
              <w14:srgbClr w14:val="000000">
                <w14:alpha w14:val="100000"/>
              </w14:srgbClr>
            </w14:solidFill>
          </w14:textFill>
        </w:rPr>
        <w:t xml:space="preserve">|  </w:t>
      </w:r>
      <w:r w:rsidR="00DE6661" w:rsidRPr="00DE6661">
        <w:rPr>
          <w:color w:val="000000"/>
          <w:spacing w:val="1"/>
          <w:shd w:val="solid" w:color="000000" w:fill="000000"/>
          <w:fitText w:val="279" w:id="-962329083"/>
          <w14:textFill>
            <w14:solidFill>
              <w14:srgbClr w14:val="000000">
                <w14:alpha w14:val="100000"/>
              </w14:srgbClr>
            </w14:solidFill>
          </w14:textFill>
        </w:rPr>
        <w:t>|</w:t>
      </w:r>
      <w:r w:rsidR="00DE6DE1" w:rsidRPr="007A4E7E">
        <w:t>%</w:t>
      </w:r>
      <w:r w:rsidR="00DE6DE1">
        <w:t xml:space="preserve"> </w:t>
      </w:r>
      <w:r w:rsidRPr="003D0B06">
        <w:t>Year 6</w:t>
      </w:r>
    </w:p>
    <w:p w14:paraId="0E6EC5BF" w14:textId="77777777" w:rsidR="007D00BA" w:rsidRPr="003D0B06" w:rsidRDefault="007D00BA" w:rsidP="00914C1A">
      <w:pPr>
        <w:pStyle w:val="FooterTableFigure"/>
        <w:keepNext/>
        <w:keepLines/>
      </w:pPr>
      <w:r w:rsidRPr="003D0B06">
        <w:rPr>
          <w:vertAlign w:val="superscript"/>
        </w:rPr>
        <w:t>b</w:t>
      </w:r>
      <w:r w:rsidRPr="003D0B06">
        <w:t xml:space="preserve"> Continuing patients based on the overall response rate of 87%</w:t>
      </w:r>
    </w:p>
    <w:p w14:paraId="4AA4F1E0" w14:textId="77777777" w:rsidR="007D00BA" w:rsidRPr="003D0B06" w:rsidRDefault="007D00BA" w:rsidP="00914C1A">
      <w:pPr>
        <w:pStyle w:val="FooterTableFigure"/>
        <w:keepNext/>
        <w:keepLines/>
      </w:pPr>
      <w:r w:rsidRPr="003D0B06">
        <w:rPr>
          <w:vertAlign w:val="superscript"/>
        </w:rPr>
        <w:t>c</w:t>
      </w:r>
      <w:r w:rsidRPr="003D0B06">
        <w:t xml:space="preserve"> Persistent patients based on the proportion of patients who are on treatment in each subsequent year (from the economic model)</w:t>
      </w:r>
    </w:p>
    <w:p w14:paraId="34DFEEC6" w14:textId="77777777" w:rsidR="007D00BA" w:rsidRPr="003D0B06" w:rsidRDefault="007D00BA" w:rsidP="00914C1A">
      <w:pPr>
        <w:pStyle w:val="FooterTableFigure"/>
        <w:keepNext/>
        <w:keepLines/>
      </w:pPr>
      <w:r w:rsidRPr="003D0B06">
        <w:rPr>
          <w:vertAlign w:val="superscript"/>
        </w:rPr>
        <w:t>d</w:t>
      </w:r>
      <w:r w:rsidRPr="003D0B06">
        <w:t xml:space="preserve"> Total scripts were based on the number of initiating and continuing patients, the average doses, and the distribution of doses in the initial (responders and non-responders) and continuing treatment periods from LINC 4 post-hoc analysis and the mean treatment duration in the economic model.</w:t>
      </w:r>
    </w:p>
    <w:p w14:paraId="0DD7F7F3" w14:textId="77777777" w:rsidR="007D00BA" w:rsidRPr="003D0B06" w:rsidRDefault="007D00BA" w:rsidP="00914C1A">
      <w:pPr>
        <w:pStyle w:val="FooterTableFigure"/>
        <w:keepNext/>
        <w:keepLines/>
      </w:pPr>
      <w:r w:rsidRPr="003D0B06">
        <w:rPr>
          <w:vertAlign w:val="superscript"/>
        </w:rPr>
        <w:t>e</w:t>
      </w:r>
      <w:r w:rsidRPr="003D0B06">
        <w:t xml:space="preserve"> Based on effective prices</w:t>
      </w:r>
    </w:p>
    <w:p w14:paraId="314FECD6" w14:textId="65300888" w:rsidR="007D00BA" w:rsidRPr="003D0B06" w:rsidRDefault="007D00BA" w:rsidP="00914C1A">
      <w:pPr>
        <w:pStyle w:val="FooterTableFigure"/>
        <w:keepNext/>
        <w:keepLines/>
        <w:spacing w:after="0"/>
      </w:pPr>
      <w:r w:rsidRPr="003D0B06">
        <w:t xml:space="preserve">Note: </w:t>
      </w:r>
      <w:r w:rsidR="00AF7142">
        <w:t>&lt; 500</w:t>
      </w:r>
      <w:r w:rsidR="00AF7142" w:rsidRPr="003D0B06">
        <w:t xml:space="preserve"> </w:t>
      </w:r>
      <w:r w:rsidRPr="003D0B06">
        <w:t>grandfathered patients were assumed part of the prevalent population</w:t>
      </w:r>
    </w:p>
    <w:p w14:paraId="43E124D6" w14:textId="77777777" w:rsidR="005810EF" w:rsidRPr="00914C1A" w:rsidRDefault="005810EF"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rPr>
        <w:t xml:space="preserve">The redacted values correspond to the following ranges: </w:t>
      </w:r>
    </w:p>
    <w:p w14:paraId="2F4EEFEC" w14:textId="240B96F3" w:rsidR="005810EF" w:rsidRPr="00914C1A" w:rsidRDefault="005810EF"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1</w:t>
      </w:r>
      <w:r w:rsidRPr="00914C1A">
        <w:rPr>
          <w:rFonts w:ascii="Arial Narrow" w:hAnsi="Arial Narrow" w:cstheme="minorHAnsi"/>
          <w:bCs/>
          <w:i/>
          <w:iCs/>
          <w:sz w:val="18"/>
          <w:szCs w:val="18"/>
        </w:rPr>
        <w:t xml:space="preserve"> &lt;500</w:t>
      </w:r>
    </w:p>
    <w:p w14:paraId="025703D5" w14:textId="574755DE" w:rsidR="005810EF" w:rsidRPr="00914C1A" w:rsidRDefault="005810EF"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2</w:t>
      </w:r>
      <w:r w:rsidRPr="00914C1A">
        <w:rPr>
          <w:rFonts w:ascii="Arial Narrow" w:hAnsi="Arial Narrow" w:cstheme="minorHAnsi"/>
          <w:bCs/>
          <w:i/>
          <w:iCs/>
          <w:sz w:val="18"/>
          <w:szCs w:val="18"/>
        </w:rPr>
        <w:t xml:space="preserve"> 500 to &lt;5,000</w:t>
      </w:r>
    </w:p>
    <w:p w14:paraId="5F3AC6B6" w14:textId="242232CA" w:rsidR="005810EF" w:rsidRPr="00914C1A" w:rsidRDefault="005810EF"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3</w:t>
      </w:r>
      <w:r w:rsidRPr="00914C1A">
        <w:rPr>
          <w:rFonts w:ascii="Arial Narrow" w:hAnsi="Arial Narrow" w:cstheme="minorHAnsi"/>
          <w:bCs/>
          <w:i/>
          <w:iCs/>
          <w:sz w:val="18"/>
          <w:szCs w:val="18"/>
        </w:rPr>
        <w:t xml:space="preserve"> $0 to &lt; $10 million</w:t>
      </w:r>
    </w:p>
    <w:p w14:paraId="6CE62722" w14:textId="518959F9" w:rsidR="005810EF" w:rsidRPr="00914C1A" w:rsidRDefault="005810EF" w:rsidP="00914C1A">
      <w:pPr>
        <w:keepNext/>
        <w:keepLines/>
        <w:jc w:val="left"/>
        <w:rPr>
          <w:rFonts w:ascii="Arial Narrow" w:hAnsi="Arial Narrow" w:cstheme="minorHAnsi"/>
          <w:bCs/>
          <w:i/>
          <w:iCs/>
          <w:sz w:val="18"/>
          <w:szCs w:val="18"/>
        </w:rPr>
      </w:pPr>
      <w:r w:rsidRPr="00914C1A">
        <w:rPr>
          <w:rFonts w:ascii="Arial Narrow" w:hAnsi="Arial Narrow" w:cstheme="minorHAnsi"/>
          <w:bCs/>
          <w:i/>
          <w:iCs/>
          <w:sz w:val="18"/>
          <w:szCs w:val="18"/>
          <w:vertAlign w:val="superscript"/>
        </w:rPr>
        <w:t>4</w:t>
      </w:r>
      <w:r w:rsidRPr="00914C1A">
        <w:rPr>
          <w:rFonts w:ascii="Arial Narrow" w:hAnsi="Arial Narrow" w:cstheme="minorHAnsi"/>
          <w:bCs/>
          <w:i/>
          <w:iCs/>
          <w:sz w:val="18"/>
          <w:szCs w:val="18"/>
        </w:rPr>
        <w:t xml:space="preserve"> $10 million to &lt; $20 million</w:t>
      </w:r>
    </w:p>
    <w:p w14:paraId="32A6CBB1" w14:textId="7EC43646" w:rsidR="005810EF" w:rsidRPr="007A4E7E" w:rsidRDefault="005810EF" w:rsidP="00914C1A">
      <w:pPr>
        <w:spacing w:after="120"/>
        <w:jc w:val="left"/>
      </w:pPr>
      <w:r w:rsidRPr="00914C1A">
        <w:rPr>
          <w:rFonts w:ascii="Arial Narrow" w:hAnsi="Arial Narrow" w:cstheme="minorHAnsi"/>
          <w:bCs/>
          <w:i/>
          <w:iCs/>
          <w:sz w:val="18"/>
          <w:szCs w:val="18"/>
          <w:vertAlign w:val="superscript"/>
        </w:rPr>
        <w:t>5</w:t>
      </w:r>
      <w:r w:rsidRPr="00914C1A">
        <w:rPr>
          <w:rFonts w:ascii="Arial Narrow" w:hAnsi="Arial Narrow" w:cstheme="minorHAnsi"/>
          <w:bCs/>
          <w:i/>
          <w:iCs/>
          <w:sz w:val="18"/>
          <w:szCs w:val="18"/>
        </w:rPr>
        <w:t xml:space="preserve"> $20 million to &lt; $30 million</w:t>
      </w:r>
    </w:p>
    <w:p w14:paraId="623D9320" w14:textId="2DC1886C" w:rsidR="007D00BA" w:rsidRPr="007A4E7E" w:rsidRDefault="007D00BA" w:rsidP="007D00BA">
      <w:pPr>
        <w:pStyle w:val="ExecSumBodyText"/>
        <w:numPr>
          <w:ilvl w:val="1"/>
          <w:numId w:val="1"/>
        </w:numPr>
        <w:rPr>
          <w:iCs/>
        </w:rPr>
      </w:pPr>
      <w:bookmarkStart w:id="62" w:name="_Ref163382408"/>
      <w:r w:rsidRPr="007A4E7E">
        <w:t>The total cost to the PBS/RPBS of listing osilodrostat was estimated to be $</w:t>
      </w:r>
      <w:r w:rsidR="00AA101F">
        <w:t>0 to &lt;</w:t>
      </w:r>
      <w:r w:rsidR="00AF7142">
        <w:t> </w:t>
      </w:r>
      <w:r w:rsidR="00AA101F">
        <w:t>$</w:t>
      </w:r>
      <w:r w:rsidR="00AF7142">
        <w:t>10 </w:t>
      </w:r>
      <w:r w:rsidRPr="007A4E7E">
        <w:t xml:space="preserve">million in Year 1 and increases to </w:t>
      </w:r>
      <w:r w:rsidR="005810EF" w:rsidRPr="005810EF">
        <w:t>$10 million to &lt; $20 million</w:t>
      </w:r>
      <w:r w:rsidR="005810EF" w:rsidRPr="005810EF" w:rsidDel="005810EF">
        <w:t xml:space="preserve"> </w:t>
      </w:r>
      <w:r w:rsidRPr="007A4E7E">
        <w:t xml:space="preserve">in Year 6, and a total of </w:t>
      </w:r>
      <w:r w:rsidR="005810EF" w:rsidRPr="005810EF">
        <w:t>$</w:t>
      </w:r>
      <w:r w:rsidR="005810EF">
        <w:t>6</w:t>
      </w:r>
      <w:r w:rsidR="005810EF" w:rsidRPr="005810EF">
        <w:t>0</w:t>
      </w:r>
      <w:r w:rsidR="003D0B06">
        <w:t> </w:t>
      </w:r>
      <w:r w:rsidR="005810EF" w:rsidRPr="005810EF">
        <w:t>million to &lt; $</w:t>
      </w:r>
      <w:r w:rsidR="005810EF">
        <w:t>7</w:t>
      </w:r>
      <w:r w:rsidR="005810EF" w:rsidRPr="005810EF">
        <w:t>0 million</w:t>
      </w:r>
      <w:r w:rsidR="005810EF" w:rsidRPr="005810EF" w:rsidDel="005810EF">
        <w:t xml:space="preserve"> </w:t>
      </w:r>
      <w:r w:rsidRPr="007A4E7E">
        <w:t xml:space="preserve">in the first 6 years of listing. Including the MBS costs for monitoring patients, the net cost to the health budget is </w:t>
      </w:r>
      <w:r w:rsidR="005810EF" w:rsidRPr="005810EF">
        <w:t>$0</w:t>
      </w:r>
      <w:r w:rsidR="00AF7142">
        <w:t> </w:t>
      </w:r>
      <w:r w:rsidR="005810EF" w:rsidRPr="005810EF">
        <w:t>to</w:t>
      </w:r>
      <w:r w:rsidR="00AF7142">
        <w:t> </w:t>
      </w:r>
      <w:r w:rsidR="005810EF" w:rsidRPr="005810EF">
        <w:t>&lt;</w:t>
      </w:r>
      <w:r w:rsidR="00AF7142">
        <w:t> </w:t>
      </w:r>
      <w:r w:rsidR="005810EF" w:rsidRPr="005810EF">
        <w:t>$10</w:t>
      </w:r>
      <w:r w:rsidR="00AF7142">
        <w:t> </w:t>
      </w:r>
      <w:r w:rsidR="005810EF" w:rsidRPr="005810EF">
        <w:t>million</w:t>
      </w:r>
      <w:r w:rsidR="005810EF" w:rsidRPr="005810EF" w:rsidDel="005810EF">
        <w:t xml:space="preserve"> </w:t>
      </w:r>
      <w:r w:rsidRPr="007A4E7E">
        <w:lastRenderedPageBreak/>
        <w:t xml:space="preserve">in Year 1 increasing to </w:t>
      </w:r>
      <w:r w:rsidR="005810EF" w:rsidRPr="005810EF">
        <w:t>$</w:t>
      </w:r>
      <w:r w:rsidR="005810EF">
        <w:t>1</w:t>
      </w:r>
      <w:r w:rsidR="005810EF" w:rsidRPr="005810EF">
        <w:t xml:space="preserve">0 </w:t>
      </w:r>
      <w:r w:rsidR="005810EF">
        <w:t xml:space="preserve">million </w:t>
      </w:r>
      <w:r w:rsidR="005810EF" w:rsidRPr="005810EF">
        <w:t>to &lt; $</w:t>
      </w:r>
      <w:r w:rsidR="005810EF">
        <w:t>2</w:t>
      </w:r>
      <w:r w:rsidR="005810EF" w:rsidRPr="005810EF">
        <w:t>0 million</w:t>
      </w:r>
      <w:r w:rsidR="005810EF" w:rsidRPr="005810EF" w:rsidDel="005810EF">
        <w:t xml:space="preserve"> </w:t>
      </w:r>
      <w:r w:rsidRPr="007A4E7E">
        <w:t xml:space="preserve">in Year 6, and the total cost of </w:t>
      </w:r>
      <w:r w:rsidR="005810EF" w:rsidRPr="005810EF">
        <w:t>$</w:t>
      </w:r>
      <w:r w:rsidR="005810EF">
        <w:t>6</w:t>
      </w:r>
      <w:r w:rsidR="005810EF" w:rsidRPr="005810EF">
        <w:t>0</w:t>
      </w:r>
      <w:r w:rsidR="00AF7142">
        <w:t> </w:t>
      </w:r>
      <w:r w:rsidR="005810EF" w:rsidRPr="005810EF">
        <w:t>million to &lt; $</w:t>
      </w:r>
      <w:r w:rsidR="005810EF">
        <w:t>7</w:t>
      </w:r>
      <w:r w:rsidR="005810EF" w:rsidRPr="005810EF">
        <w:t xml:space="preserve">0 million </w:t>
      </w:r>
      <w:r w:rsidRPr="007A4E7E">
        <w:t xml:space="preserve">in the first 6 years of listing. </w:t>
      </w:r>
      <w:r w:rsidRPr="007A4E7E">
        <w:rPr>
          <w:iCs/>
        </w:rPr>
        <w:t xml:space="preserve">Compared to the previous submission, the cost was higher due to a higher </w:t>
      </w:r>
      <w:r w:rsidR="0020099F">
        <w:rPr>
          <w:iCs/>
        </w:rPr>
        <w:t xml:space="preserve">initial </w:t>
      </w:r>
      <w:r w:rsidRPr="007A4E7E">
        <w:rPr>
          <w:iCs/>
        </w:rPr>
        <w:t xml:space="preserve">uptake rate (starting at </w:t>
      </w:r>
      <w:r w:rsidR="00DE6661" w:rsidRPr="00001C23">
        <w:rPr>
          <w:iCs/>
          <w:color w:val="000000"/>
          <w:w w:val="15"/>
          <w:shd w:val="solid" w:color="000000" w:fill="000000"/>
          <w:fitText w:val="-20" w:id="-962329082"/>
          <w14:textFill>
            <w14:solidFill>
              <w14:srgbClr w14:val="000000">
                <w14:alpha w14:val="100000"/>
              </w14:srgbClr>
            </w14:solidFill>
          </w14:textFill>
        </w:rPr>
        <w:t xml:space="preserve">|  </w:t>
      </w:r>
      <w:r w:rsidR="00DE6661" w:rsidRPr="00001C23">
        <w:rPr>
          <w:iCs/>
          <w:color w:val="000000"/>
          <w:spacing w:val="-69"/>
          <w:w w:val="15"/>
          <w:shd w:val="solid" w:color="000000" w:fill="000000"/>
          <w:fitText w:val="-20" w:id="-962329082"/>
          <w14:textFill>
            <w14:solidFill>
              <w14:srgbClr w14:val="000000">
                <w14:alpha w14:val="100000"/>
              </w14:srgbClr>
            </w14:solidFill>
          </w14:textFill>
        </w:rPr>
        <w:t>|</w:t>
      </w:r>
      <w:r w:rsidRPr="007A4E7E">
        <w:rPr>
          <w:iCs/>
        </w:rPr>
        <w:t xml:space="preserve">% compared to </w:t>
      </w:r>
      <w:r w:rsidR="00DE6661" w:rsidRPr="00001C23">
        <w:rPr>
          <w:iCs/>
          <w:color w:val="000000"/>
          <w:w w:val="15"/>
          <w:shd w:val="solid" w:color="000000" w:fill="000000"/>
          <w:fitText w:val="-20" w:id="-962329081"/>
          <w14:textFill>
            <w14:solidFill>
              <w14:srgbClr w14:val="000000">
                <w14:alpha w14:val="100000"/>
              </w14:srgbClr>
            </w14:solidFill>
          </w14:textFill>
        </w:rPr>
        <w:t xml:space="preserve">|  </w:t>
      </w:r>
      <w:r w:rsidR="00DE6661" w:rsidRPr="00001C23">
        <w:rPr>
          <w:iCs/>
          <w:color w:val="000000"/>
          <w:spacing w:val="-69"/>
          <w:w w:val="15"/>
          <w:shd w:val="solid" w:color="000000" w:fill="000000"/>
          <w:fitText w:val="-20" w:id="-962329081"/>
          <w14:textFill>
            <w14:solidFill>
              <w14:srgbClr w14:val="000000">
                <w14:alpha w14:val="100000"/>
              </w14:srgbClr>
            </w14:solidFill>
          </w14:textFill>
        </w:rPr>
        <w:t>|</w:t>
      </w:r>
      <w:r w:rsidRPr="007A4E7E">
        <w:rPr>
          <w:iCs/>
        </w:rPr>
        <w:t>%</w:t>
      </w:r>
      <w:r w:rsidR="006C5A05">
        <w:rPr>
          <w:iCs/>
        </w:rPr>
        <w:t xml:space="preserve"> for the prevalent population</w:t>
      </w:r>
      <w:r w:rsidRPr="007A4E7E">
        <w:rPr>
          <w:iCs/>
        </w:rPr>
        <w:t xml:space="preserve">) as well as the assumption that patients will continue on treatment for longer (4.62 years compared to 3.25 years in previous submission). The ESC considered that given the potential lifelong treatment, the mean duration of 4.62 years remained underestimated. It was also noted DUSC considered an initial uptake rate of </w:t>
      </w:r>
      <w:r w:rsidRPr="004304DF">
        <w:rPr>
          <w:iCs/>
        </w:rPr>
        <w:t>60% would</w:t>
      </w:r>
      <w:r w:rsidRPr="007A4E7E">
        <w:rPr>
          <w:iCs/>
        </w:rPr>
        <w:t xml:space="preserve"> be more appropriate.</w:t>
      </w:r>
      <w:r w:rsidRPr="007A4E7E">
        <w:rPr>
          <w:i/>
        </w:rPr>
        <w:t xml:space="preserve"> </w:t>
      </w:r>
      <w:bookmarkStart w:id="63" w:name="_Hlk163549928"/>
      <w:r w:rsidRPr="007A4E7E">
        <w:rPr>
          <w:iCs/>
        </w:rPr>
        <w:t>The pre-PBAC-response acknowledged that the duration of treatment in LINC 4 is lower than that in LINC 3, hence updated the financial implications using mean duration of treatment of 5.3</w:t>
      </w:r>
      <w:r w:rsidR="00AF7142">
        <w:rPr>
          <w:iCs/>
        </w:rPr>
        <w:t> </w:t>
      </w:r>
      <w:r w:rsidRPr="007A4E7E">
        <w:rPr>
          <w:iCs/>
        </w:rPr>
        <w:t xml:space="preserve">years from LINC </w:t>
      </w:r>
      <w:bookmarkEnd w:id="63"/>
      <w:r w:rsidRPr="007A4E7E">
        <w:rPr>
          <w:iCs/>
        </w:rPr>
        <w:t xml:space="preserve">3. However, the pre-PBAC response maintained that </w:t>
      </w:r>
      <w:r w:rsidR="00DE6661" w:rsidRPr="00001C23">
        <w:rPr>
          <w:iCs/>
          <w:color w:val="000000"/>
          <w:w w:val="15"/>
          <w:shd w:val="solid" w:color="000000" w:fill="000000"/>
          <w:fitText w:val="-20" w:id="-962329080"/>
          <w14:textFill>
            <w14:solidFill>
              <w14:srgbClr w14:val="000000">
                <w14:alpha w14:val="100000"/>
              </w14:srgbClr>
            </w14:solidFill>
          </w14:textFill>
        </w:rPr>
        <w:t xml:space="preserve">|  </w:t>
      </w:r>
      <w:r w:rsidR="00DE6661" w:rsidRPr="00001C23">
        <w:rPr>
          <w:iCs/>
          <w:color w:val="000000"/>
          <w:spacing w:val="-69"/>
          <w:w w:val="15"/>
          <w:shd w:val="solid" w:color="000000" w:fill="000000"/>
          <w:fitText w:val="-20" w:id="-962329080"/>
          <w14:textFill>
            <w14:solidFill>
              <w14:srgbClr w14:val="000000">
                <w14:alpha w14:val="100000"/>
              </w14:srgbClr>
            </w14:solidFill>
          </w14:textFill>
        </w:rPr>
        <w:t>|</w:t>
      </w:r>
      <w:r w:rsidRPr="007A4E7E">
        <w:rPr>
          <w:iCs/>
        </w:rPr>
        <w:t xml:space="preserve">% uptake rate is reasonable given that </w:t>
      </w:r>
      <w:r w:rsidR="00DE6DE1">
        <w:rPr>
          <w:iCs/>
        </w:rPr>
        <w:t>&lt;500</w:t>
      </w:r>
      <w:r w:rsidR="00DE6DE1" w:rsidRPr="007A4E7E">
        <w:rPr>
          <w:iCs/>
        </w:rPr>
        <w:t xml:space="preserve"> </w:t>
      </w:r>
      <w:r w:rsidRPr="007A4E7E">
        <w:rPr>
          <w:iCs/>
        </w:rPr>
        <w:t xml:space="preserve">out of </w:t>
      </w:r>
      <w:r w:rsidR="00DE6DE1">
        <w:rPr>
          <w:iCs/>
        </w:rPr>
        <w:t>&lt;500</w:t>
      </w:r>
      <w:r w:rsidRPr="007A4E7E">
        <w:rPr>
          <w:iCs/>
        </w:rPr>
        <w:t xml:space="preserve"> patients remained on treatment in the patient access program. The revised estimates are presented in </w:t>
      </w:r>
      <w:r w:rsidRPr="007A4E7E">
        <w:rPr>
          <w:iCs/>
        </w:rPr>
        <w:fldChar w:fldCharType="begin" w:fldLock="1"/>
      </w:r>
      <w:r w:rsidRPr="007A4E7E">
        <w:rPr>
          <w:iCs/>
        </w:rPr>
        <w:instrText xml:space="preserve"> REF _Ref153192496 \h </w:instrText>
      </w:r>
      <w:r w:rsidRPr="007A4E7E">
        <w:rPr>
          <w:iCs/>
        </w:rPr>
      </w:r>
      <w:r w:rsidRPr="007A4E7E">
        <w:rPr>
          <w:iCs/>
        </w:rPr>
        <w:fldChar w:fldCharType="separate"/>
      </w:r>
      <w:r w:rsidR="00043D39" w:rsidRPr="007A4E7E">
        <w:t xml:space="preserve">Table </w:t>
      </w:r>
      <w:r w:rsidR="00043D39">
        <w:rPr>
          <w:noProof/>
        </w:rPr>
        <w:t>18</w:t>
      </w:r>
      <w:r w:rsidRPr="007A4E7E">
        <w:rPr>
          <w:iCs/>
        </w:rPr>
        <w:fldChar w:fldCharType="end"/>
      </w:r>
      <w:r w:rsidRPr="007A4E7E">
        <w:rPr>
          <w:iCs/>
        </w:rPr>
        <w:t xml:space="preserve"> above and result in </w:t>
      </w:r>
      <w:r w:rsidR="005810EF">
        <w:rPr>
          <w:iCs/>
        </w:rPr>
        <w:t>$</w:t>
      </w:r>
      <w:r w:rsidR="005810EF" w:rsidRPr="005810EF">
        <w:t>0 to &lt; $10 million</w:t>
      </w:r>
      <w:r w:rsidR="005810EF" w:rsidRPr="005810EF" w:rsidDel="005810EF">
        <w:t xml:space="preserve"> </w:t>
      </w:r>
      <w:r w:rsidRPr="007A4E7E">
        <w:rPr>
          <w:szCs w:val="22"/>
        </w:rPr>
        <w:t xml:space="preserve">in Year 1, increasing to a cost of </w:t>
      </w:r>
      <w:r w:rsidR="005810EF" w:rsidRPr="005810EF">
        <w:rPr>
          <w:szCs w:val="22"/>
        </w:rPr>
        <w:t xml:space="preserve">$10 million to &lt; $20 million </w:t>
      </w:r>
      <w:r w:rsidRPr="007A4E7E">
        <w:rPr>
          <w:szCs w:val="22"/>
        </w:rPr>
        <w:t>in Year 6.</w:t>
      </w:r>
      <w:bookmarkEnd w:id="62"/>
    </w:p>
    <w:p w14:paraId="6F42141B" w14:textId="77777777" w:rsidR="007D00BA" w:rsidRPr="007A4E7E" w:rsidRDefault="007D00BA" w:rsidP="007D00BA">
      <w:pPr>
        <w:pStyle w:val="ExecSumBodyText"/>
        <w:numPr>
          <w:ilvl w:val="1"/>
          <w:numId w:val="1"/>
        </w:numPr>
      </w:pPr>
      <w:bookmarkStart w:id="64" w:name="_Ref163382444"/>
      <w:r w:rsidRPr="007A4E7E">
        <w:t>At the March 2023 PBAC meeting, the DUSC considered that the estimates in the previous submission were possibly underestimated (paragraphs 6.47-6.48, osilodrostat, PSD, March 2023 PBAC meeting) highlighting that:</w:t>
      </w:r>
      <w:bookmarkEnd w:id="64"/>
    </w:p>
    <w:p w14:paraId="550A35B6" w14:textId="77777777" w:rsidR="007D00BA" w:rsidRPr="007A4E7E" w:rsidRDefault="007D00BA" w:rsidP="007D00BA">
      <w:pPr>
        <w:pStyle w:val="Bulletpoints"/>
        <w:ind w:left="1134" w:hanging="357"/>
        <w:contextualSpacing w:val="0"/>
      </w:pPr>
      <w:r w:rsidRPr="007A4E7E">
        <w:t xml:space="preserve">The eligible population who are unable to achieve a surgical cure was at risk of being underestimated; </w:t>
      </w:r>
    </w:p>
    <w:p w14:paraId="03BB6229" w14:textId="4EDF19B9" w:rsidR="007D00BA" w:rsidRPr="007A4E7E" w:rsidRDefault="007D00BA" w:rsidP="007D00BA">
      <w:pPr>
        <w:pStyle w:val="Bulletpoints"/>
        <w:ind w:left="1134" w:hanging="357"/>
        <w:contextualSpacing w:val="0"/>
      </w:pPr>
      <w:r w:rsidRPr="007A4E7E">
        <w:t xml:space="preserve">The prevalent uptake rate of </w:t>
      </w:r>
      <w:r w:rsidR="00DE6661" w:rsidRPr="00001C23">
        <w:rPr>
          <w:color w:val="000000"/>
          <w:w w:val="15"/>
          <w:shd w:val="solid" w:color="000000" w:fill="000000"/>
          <w:fitText w:val="-20" w:id="-962329079"/>
          <w14:textFill>
            <w14:solidFill>
              <w14:srgbClr w14:val="000000">
                <w14:alpha w14:val="100000"/>
              </w14:srgbClr>
            </w14:solidFill>
          </w14:textFill>
        </w:rPr>
        <w:t xml:space="preserve">|  </w:t>
      </w:r>
      <w:r w:rsidR="00DE6661" w:rsidRPr="00001C23">
        <w:rPr>
          <w:color w:val="000000"/>
          <w:spacing w:val="-69"/>
          <w:w w:val="15"/>
          <w:shd w:val="solid" w:color="000000" w:fill="000000"/>
          <w:fitText w:val="-20" w:id="-962329079"/>
          <w14:textFill>
            <w14:solidFill>
              <w14:srgbClr w14:val="000000">
                <w14:alpha w14:val="100000"/>
              </w14:srgbClr>
            </w14:solidFill>
          </w14:textFill>
        </w:rPr>
        <w:t>|</w:t>
      </w:r>
      <w:r w:rsidRPr="007A4E7E">
        <w:t>% in Year 1 were likely an underestimate; and</w:t>
      </w:r>
    </w:p>
    <w:p w14:paraId="46B1669B" w14:textId="77777777" w:rsidR="007D00BA" w:rsidRPr="007A4E7E" w:rsidRDefault="007D00BA" w:rsidP="007D00BA">
      <w:pPr>
        <w:pStyle w:val="Bulletpoints"/>
        <w:ind w:left="1134" w:hanging="357"/>
        <w:contextualSpacing w:val="0"/>
      </w:pPr>
      <w:r w:rsidRPr="007A4E7E">
        <w:t>The MBS costs and possible additional endocrinologist consultations were not accounted for.</w:t>
      </w:r>
    </w:p>
    <w:p w14:paraId="1EBA2C7D" w14:textId="77777777" w:rsidR="007D00BA" w:rsidRPr="007A4E7E" w:rsidRDefault="007D00BA" w:rsidP="007D00BA">
      <w:pPr>
        <w:pStyle w:val="ExecSumBodyText"/>
        <w:numPr>
          <w:ilvl w:val="1"/>
          <w:numId w:val="1"/>
        </w:numPr>
      </w:pPr>
      <w:r w:rsidRPr="007A4E7E">
        <w:t>To address these concerns, the resubmission:</w:t>
      </w:r>
    </w:p>
    <w:p w14:paraId="67498BA1" w14:textId="77777777" w:rsidR="007D00BA" w:rsidRPr="007A4E7E" w:rsidRDefault="007D00BA" w:rsidP="007D00BA">
      <w:pPr>
        <w:pStyle w:val="ListBullet"/>
        <w:spacing w:after="120"/>
        <w:ind w:left="1134" w:hanging="425"/>
        <w:contextualSpacing w:val="0"/>
      </w:pPr>
      <w:r w:rsidRPr="007A4E7E">
        <w:t>Maintained the same the proportion of patients assumed to achieve surgical cure for each sub-population but performed sensitivity analyses to test higher surgical success rates;</w:t>
      </w:r>
    </w:p>
    <w:p w14:paraId="0B7E7FA0" w14:textId="78C41534" w:rsidR="007D00BA" w:rsidRPr="007A4E7E" w:rsidRDefault="007D00BA" w:rsidP="007D00BA">
      <w:pPr>
        <w:pStyle w:val="ListBullet"/>
        <w:spacing w:after="120"/>
        <w:ind w:left="1134" w:hanging="425"/>
        <w:contextualSpacing w:val="0"/>
      </w:pPr>
      <w:r w:rsidRPr="007A4E7E">
        <w:t xml:space="preserve">Increased the uptake rate to </w:t>
      </w:r>
      <w:r w:rsidR="00DE6661" w:rsidRPr="00001C23">
        <w:rPr>
          <w:color w:val="000000"/>
          <w:w w:val="15"/>
          <w:shd w:val="solid" w:color="000000" w:fill="000000"/>
          <w:fitText w:val="-20" w:id="-962329078"/>
          <w14:textFill>
            <w14:solidFill>
              <w14:srgbClr w14:val="000000">
                <w14:alpha w14:val="100000"/>
              </w14:srgbClr>
            </w14:solidFill>
          </w14:textFill>
        </w:rPr>
        <w:t xml:space="preserve">|  </w:t>
      </w:r>
      <w:r w:rsidR="00DE6661" w:rsidRPr="00001C23">
        <w:rPr>
          <w:color w:val="000000"/>
          <w:spacing w:val="-69"/>
          <w:w w:val="15"/>
          <w:shd w:val="solid" w:color="000000" w:fill="000000"/>
          <w:fitText w:val="-20" w:id="-962329078"/>
          <w14:textFill>
            <w14:solidFill>
              <w14:srgbClr w14:val="000000">
                <w14:alpha w14:val="100000"/>
              </w14:srgbClr>
            </w14:solidFill>
          </w14:textFill>
        </w:rPr>
        <w:t>|</w:t>
      </w:r>
      <w:r w:rsidR="00AF781A" w:rsidRPr="007A4E7E">
        <w:t xml:space="preserve">% in </w:t>
      </w:r>
      <w:r w:rsidRPr="007A4E7E">
        <w:t xml:space="preserve">Year 1 in the prevalent population (despite the DUSC’s advice </w:t>
      </w:r>
      <w:r w:rsidRPr="004304DF">
        <w:t>that a 60% uptake</w:t>
      </w:r>
      <w:r w:rsidRPr="007A4E7E">
        <w:t xml:space="preserve"> rate in Year 1 was appropriate); and</w:t>
      </w:r>
    </w:p>
    <w:p w14:paraId="0EF2D254" w14:textId="77777777" w:rsidR="007D00BA" w:rsidRPr="007A4E7E" w:rsidRDefault="007D00BA" w:rsidP="007D00BA">
      <w:pPr>
        <w:pStyle w:val="ListBullet"/>
        <w:spacing w:after="120"/>
        <w:ind w:left="1134" w:hanging="425"/>
        <w:contextualSpacing w:val="0"/>
      </w:pPr>
      <w:r w:rsidRPr="007A4E7E">
        <w:t>Included MBS costs for additional UFC testing and endocrinologist visits during the dose titration period as well as the continuing treatment period</w:t>
      </w:r>
    </w:p>
    <w:p w14:paraId="147B92A5" w14:textId="733D7D08" w:rsidR="007D00BA" w:rsidRPr="007A4E7E" w:rsidRDefault="007D00BA" w:rsidP="007D00BA">
      <w:pPr>
        <w:pStyle w:val="ListBullet"/>
        <w:numPr>
          <w:ilvl w:val="0"/>
          <w:numId w:val="0"/>
        </w:numPr>
        <w:spacing w:after="120"/>
        <w:ind w:left="709"/>
        <w:contextualSpacing w:val="0"/>
      </w:pPr>
      <w:r w:rsidRPr="007A4E7E">
        <w:t xml:space="preserve">The PSCR maintained the surgical success rates from the previous submission given the absence of alternative data. The PSCR further argued that the </w:t>
      </w:r>
      <w:r w:rsidR="00DE6661" w:rsidRPr="00001C23">
        <w:rPr>
          <w:color w:val="000000"/>
          <w:w w:val="15"/>
          <w:shd w:val="solid" w:color="000000" w:fill="000000"/>
          <w:fitText w:val="-20" w:id="-962329077"/>
          <w14:textFill>
            <w14:solidFill>
              <w14:srgbClr w14:val="000000">
                <w14:alpha w14:val="100000"/>
              </w14:srgbClr>
            </w14:solidFill>
          </w14:textFill>
        </w:rPr>
        <w:t xml:space="preserve">|  </w:t>
      </w:r>
      <w:r w:rsidR="00DE6661" w:rsidRPr="00001C23">
        <w:rPr>
          <w:color w:val="000000"/>
          <w:spacing w:val="-69"/>
          <w:w w:val="15"/>
          <w:shd w:val="solid" w:color="000000" w:fill="000000"/>
          <w:fitText w:val="-20" w:id="-962329077"/>
          <w14:textFill>
            <w14:solidFill>
              <w14:srgbClr w14:val="000000">
                <w14:alpha w14:val="100000"/>
              </w14:srgbClr>
            </w14:solidFill>
          </w14:textFill>
        </w:rPr>
        <w:t>|</w:t>
      </w:r>
      <w:r w:rsidRPr="007A4E7E">
        <w:t xml:space="preserve">% uptake rate was adopted as a conservative approach aligning with the uptake data from the patient </w:t>
      </w:r>
      <w:r w:rsidR="00AF781A" w:rsidRPr="007A4E7E">
        <w:t xml:space="preserve">access </w:t>
      </w:r>
      <w:r w:rsidRPr="007A4E7E">
        <w:t xml:space="preserve">program (From </w:t>
      </w:r>
      <w:r w:rsidRPr="007A4E7E">
        <w:rPr>
          <w:szCs w:val="22"/>
        </w:rPr>
        <w:t xml:space="preserve">December 2021, of a total of </w:t>
      </w:r>
      <w:r w:rsidR="00AF781A">
        <w:rPr>
          <w:szCs w:val="22"/>
        </w:rPr>
        <w:t>&lt;500</w:t>
      </w:r>
      <w:r w:rsidR="00AF781A" w:rsidRPr="007A4E7E">
        <w:rPr>
          <w:szCs w:val="22"/>
        </w:rPr>
        <w:t xml:space="preserve"> </w:t>
      </w:r>
      <w:r w:rsidRPr="007A4E7E">
        <w:rPr>
          <w:szCs w:val="22"/>
        </w:rPr>
        <w:t xml:space="preserve">patients enrolled, </w:t>
      </w:r>
      <w:r w:rsidR="00AF781A">
        <w:rPr>
          <w:szCs w:val="22"/>
        </w:rPr>
        <w:t>&lt;500</w:t>
      </w:r>
      <w:r w:rsidR="00AF781A" w:rsidRPr="007A4E7E">
        <w:rPr>
          <w:szCs w:val="22"/>
        </w:rPr>
        <w:t xml:space="preserve"> </w:t>
      </w:r>
      <w:r w:rsidRPr="007A4E7E">
        <w:rPr>
          <w:szCs w:val="22"/>
        </w:rPr>
        <w:t>patients are currently receiving treatment with osilodrostat).</w:t>
      </w:r>
      <w:r w:rsidRPr="007A4E7E">
        <w:t xml:space="preserve"> However, the ESC considered that the surgical success rates and lower uptake rate (</w:t>
      </w:r>
      <w:r w:rsidR="00DE6661" w:rsidRPr="00001C23">
        <w:rPr>
          <w:color w:val="000000"/>
          <w:w w:val="15"/>
          <w:shd w:val="solid" w:color="000000" w:fill="000000"/>
          <w:fitText w:val="-20" w:id="-962329076"/>
          <w14:textFill>
            <w14:solidFill>
              <w14:srgbClr w14:val="000000">
                <w14:alpha w14:val="100000"/>
              </w14:srgbClr>
            </w14:solidFill>
          </w14:textFill>
        </w:rPr>
        <w:t xml:space="preserve">|  </w:t>
      </w:r>
      <w:r w:rsidR="00DE6661" w:rsidRPr="00001C23">
        <w:rPr>
          <w:color w:val="000000"/>
          <w:spacing w:val="-69"/>
          <w:w w:val="15"/>
          <w:shd w:val="solid" w:color="000000" w:fill="000000"/>
          <w:fitText w:val="-20" w:id="-962329076"/>
          <w14:textFill>
            <w14:solidFill>
              <w14:srgbClr w14:val="000000">
                <w14:alpha w14:val="100000"/>
              </w14:srgbClr>
            </w14:solidFill>
          </w14:textFill>
        </w:rPr>
        <w:t>|</w:t>
      </w:r>
      <w:r w:rsidRPr="007A4E7E">
        <w:t>% in Year 1) remained a source of uncertainty.</w:t>
      </w:r>
    </w:p>
    <w:p w14:paraId="63B58B45" w14:textId="566503F7" w:rsidR="007D00BA" w:rsidRPr="007A4E7E" w:rsidRDefault="007D00BA" w:rsidP="007D00BA">
      <w:pPr>
        <w:pStyle w:val="ExecSumBodyText"/>
        <w:numPr>
          <w:ilvl w:val="1"/>
          <w:numId w:val="1"/>
        </w:numPr>
      </w:pPr>
      <w:r w:rsidRPr="007A4E7E">
        <w:rPr>
          <w:iCs/>
        </w:rPr>
        <w:lastRenderedPageBreak/>
        <w:t xml:space="preserve">The ESC agreed with the previous DUSC’s comments regarding the possibility of </w:t>
      </w:r>
      <w:r w:rsidR="00CE2EF0">
        <w:rPr>
          <w:iCs/>
        </w:rPr>
        <w:t>use in</w:t>
      </w:r>
      <w:r w:rsidRPr="007A4E7E">
        <w:rPr>
          <w:iCs/>
        </w:rPr>
        <w:t xml:space="preserve"> patients before and during radiotherapy and surgery might result in the estimates from the previous submission being underestimated, which was not considered in the resubmission (Table 19, osilodrostat, PSD, March 2023 PBAC meeting). Further, the ESC agreed with the DUSC that there may be a risk of use outside the restriction due to the high variability of UFC results</w:t>
      </w:r>
      <w:r w:rsidR="00CE2EF0">
        <w:rPr>
          <w:iCs/>
        </w:rPr>
        <w:t>,</w:t>
      </w:r>
      <w:r w:rsidRPr="007A4E7E">
        <w:rPr>
          <w:iCs/>
        </w:rPr>
        <w:t xml:space="preserve"> </w:t>
      </w:r>
      <w:r w:rsidR="00CE2EF0">
        <w:rPr>
          <w:iCs/>
        </w:rPr>
        <w:t>n</w:t>
      </w:r>
      <w:r w:rsidRPr="007A4E7E">
        <w:rPr>
          <w:iCs/>
        </w:rPr>
        <w:t xml:space="preserve">oting that prescribers could </w:t>
      </w:r>
      <w:r w:rsidR="002C2453">
        <w:rPr>
          <w:iCs/>
        </w:rPr>
        <w:t>selectively</w:t>
      </w:r>
      <w:r w:rsidRPr="007A4E7E">
        <w:rPr>
          <w:iCs/>
        </w:rPr>
        <w:t xml:space="preserve"> choose result</w:t>
      </w:r>
      <w:r w:rsidR="00CE2EF0">
        <w:rPr>
          <w:iCs/>
        </w:rPr>
        <w:t>s</w:t>
      </w:r>
      <w:r w:rsidRPr="007A4E7E">
        <w:rPr>
          <w:iCs/>
        </w:rPr>
        <w:t xml:space="preserve"> to qualify for treatment (osilodrostat, DUSC advice, March 2023 PBAC meeting). Given the current proposed PBS restriction criteria for initiating treatment, this risk </w:t>
      </w:r>
      <w:r w:rsidR="00BE13BB">
        <w:rPr>
          <w:iCs/>
        </w:rPr>
        <w:t>is likely</w:t>
      </w:r>
      <w:r w:rsidRPr="007A4E7E">
        <w:rPr>
          <w:iCs/>
        </w:rPr>
        <w:t xml:space="preserve"> </w:t>
      </w:r>
      <w:r w:rsidR="000371AA">
        <w:rPr>
          <w:iCs/>
        </w:rPr>
        <w:t>greater</w:t>
      </w:r>
      <w:r w:rsidR="000371AA" w:rsidRPr="007A4E7E">
        <w:rPr>
          <w:iCs/>
        </w:rPr>
        <w:t xml:space="preserve"> </w:t>
      </w:r>
      <w:r w:rsidRPr="007A4E7E">
        <w:rPr>
          <w:iCs/>
        </w:rPr>
        <w:t>with two tests required instead of three.</w:t>
      </w:r>
    </w:p>
    <w:p w14:paraId="46ACD346" w14:textId="2F343236" w:rsidR="007D00BA" w:rsidRPr="007A4E7E" w:rsidRDefault="007D00BA" w:rsidP="007D00BA">
      <w:pPr>
        <w:pStyle w:val="ExecSumBodyText"/>
        <w:numPr>
          <w:ilvl w:val="1"/>
          <w:numId w:val="1"/>
        </w:numPr>
        <w:rPr>
          <w:iCs/>
        </w:rPr>
      </w:pPr>
      <w:r w:rsidRPr="007A4E7E">
        <w:rPr>
          <w:iCs/>
        </w:rPr>
        <w:t xml:space="preserve">The proposed initial treatment criteria </w:t>
      </w:r>
      <w:r w:rsidR="000371AA" w:rsidRPr="007A4E7E">
        <w:rPr>
          <w:iCs/>
        </w:rPr>
        <w:t>do</w:t>
      </w:r>
      <w:r w:rsidRPr="007A4E7E">
        <w:rPr>
          <w:iCs/>
        </w:rPr>
        <w:t xml:space="preserve"> not limit the number of times a patient may be treated under the initial criteria. As such, a patient who failed to achieve CR or PR could restart treatment under the initial criteria. Retreatment was not accounted for in the financial estimates.</w:t>
      </w:r>
    </w:p>
    <w:p w14:paraId="6F31EBE9" w14:textId="65AB5D5B" w:rsidR="007D00BA" w:rsidRPr="007A4E7E" w:rsidRDefault="007D00BA" w:rsidP="007D00BA">
      <w:pPr>
        <w:pStyle w:val="ExecSumBodyText"/>
        <w:numPr>
          <w:ilvl w:val="1"/>
          <w:numId w:val="1"/>
        </w:numPr>
      </w:pPr>
      <w:r w:rsidRPr="007A4E7E">
        <w:rPr>
          <w:iCs/>
        </w:rPr>
        <w:t>The sensitivity analysis performed by the resubmission and additional sensitivity analyses conducted during the evaluation</w:t>
      </w:r>
      <w:r w:rsidRPr="007A4E7E">
        <w:t xml:space="preserve"> are presented in </w:t>
      </w:r>
      <w:r w:rsidRPr="007A4E7E">
        <w:fldChar w:fldCharType="begin" w:fldLock="1"/>
      </w:r>
      <w:r w:rsidRPr="007A4E7E">
        <w:instrText xml:space="preserve"> REF _Ref153194694 \h </w:instrText>
      </w:r>
      <w:r w:rsidRPr="007A4E7E">
        <w:fldChar w:fldCharType="separate"/>
      </w:r>
      <w:r w:rsidR="00043D39" w:rsidRPr="007A4E7E">
        <w:t xml:space="preserve">Table </w:t>
      </w:r>
      <w:r w:rsidR="00043D39">
        <w:rPr>
          <w:noProof/>
        </w:rPr>
        <w:t>19</w:t>
      </w:r>
      <w:r w:rsidRPr="007A4E7E">
        <w:fldChar w:fldCharType="end"/>
      </w:r>
      <w:r w:rsidRPr="007A4E7E">
        <w:t>.</w:t>
      </w:r>
    </w:p>
    <w:p w14:paraId="69342E6C" w14:textId="6E21C821" w:rsidR="007D00BA" w:rsidRPr="007A4E7E" w:rsidRDefault="007D00BA" w:rsidP="007D00BA">
      <w:pPr>
        <w:pStyle w:val="Caption"/>
      </w:pPr>
      <w:bookmarkStart w:id="65" w:name="_Ref153194694"/>
      <w:r w:rsidRPr="007A4E7E">
        <w:t xml:space="preserve">Table </w:t>
      </w:r>
      <w:r w:rsidR="00545EA1">
        <w:fldChar w:fldCharType="begin" w:fldLock="1"/>
      </w:r>
      <w:r w:rsidR="00545EA1">
        <w:instrText xml:space="preserve"> SEQ Table \* ARABIC </w:instrText>
      </w:r>
      <w:r w:rsidR="00545EA1">
        <w:fldChar w:fldCharType="separate"/>
      </w:r>
      <w:r w:rsidR="00043D39">
        <w:rPr>
          <w:noProof/>
        </w:rPr>
        <w:t>19</w:t>
      </w:r>
      <w:r w:rsidR="00545EA1">
        <w:rPr>
          <w:noProof/>
        </w:rPr>
        <w:fldChar w:fldCharType="end"/>
      </w:r>
      <w:bookmarkEnd w:id="65"/>
      <w:r w:rsidRPr="007A4E7E">
        <w:t xml:space="preserve">: Sensitivity analyses of financial estimates </w:t>
      </w:r>
    </w:p>
    <w:tbl>
      <w:tblPr>
        <w:tblW w:w="5000" w:type="pct"/>
        <w:tblLayout w:type="fixed"/>
        <w:tblCellMar>
          <w:left w:w="0" w:type="dxa"/>
          <w:right w:w="0" w:type="dxa"/>
        </w:tblCellMar>
        <w:tblLook w:val="04A0" w:firstRow="1" w:lastRow="0" w:firstColumn="1" w:lastColumn="0" w:noHBand="0" w:noVBand="1"/>
        <w:tblCaption w:val="Table 19: Sensitivity analyses of financial estimates "/>
      </w:tblPr>
      <w:tblGrid>
        <w:gridCol w:w="1158"/>
        <w:gridCol w:w="1032"/>
        <w:gridCol w:w="1034"/>
        <w:gridCol w:w="1033"/>
        <w:gridCol w:w="1032"/>
        <w:gridCol w:w="1033"/>
        <w:gridCol w:w="1033"/>
        <w:gridCol w:w="1033"/>
        <w:gridCol w:w="629"/>
      </w:tblGrid>
      <w:tr w:rsidR="007D00BA" w:rsidRPr="007A4E7E" w14:paraId="4CDE4249" w14:textId="77777777" w:rsidTr="00EA6DFD">
        <w:trPr>
          <w:trHeight w:val="20"/>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5CAEA" w14:textId="77777777" w:rsidR="007D00BA" w:rsidRPr="007A4E7E" w:rsidRDefault="007D00BA" w:rsidP="00EA6DFD">
            <w:pPr>
              <w:keepNext/>
              <w:keepLines/>
              <w:jc w:val="left"/>
              <w:rPr>
                <w:rFonts w:ascii="Arial Narrow" w:hAnsi="Arial Narrow" w:cs="Calibri"/>
                <w:bCs/>
                <w:color w:val="000000"/>
                <w:sz w:val="20"/>
                <w:szCs w:val="20"/>
              </w:rPr>
            </w:pPr>
            <w:r w:rsidRPr="007A4E7E">
              <w:rPr>
                <w:rFonts w:ascii="Arial Narrow" w:hAnsi="Arial Narrow" w:cs="Calibri"/>
                <w:bCs/>
                <w:color w:val="000000"/>
                <w:sz w:val="20"/>
                <w:szCs w:val="20"/>
              </w:rPr>
              <w:t> </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14:paraId="37A63924" w14:textId="7C561143" w:rsidR="007D00BA" w:rsidRPr="007A4E7E" w:rsidRDefault="007D00BA" w:rsidP="00EA6DFD">
            <w:pPr>
              <w:keepNext/>
              <w:keepLines/>
              <w:jc w:val="center"/>
              <w:rPr>
                <w:rFonts w:ascii="Arial Narrow" w:hAnsi="Arial Narrow" w:cs="Calibri"/>
                <w:bCs/>
                <w:color w:val="000000"/>
                <w:sz w:val="20"/>
                <w:szCs w:val="20"/>
              </w:rPr>
            </w:pPr>
            <w:r w:rsidRPr="007A4E7E">
              <w:rPr>
                <w:rFonts w:ascii="Arial Narrow" w:hAnsi="Arial Narrow" w:cs="Calibri"/>
                <w:bCs/>
                <w:color w:val="000000"/>
                <w:sz w:val="20"/>
                <w:szCs w:val="20"/>
              </w:rPr>
              <w:t>Yr 1</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7EEAF483" w14:textId="77777777" w:rsidR="007D00BA" w:rsidRPr="007A4E7E" w:rsidRDefault="007D00BA" w:rsidP="00EA6DFD">
            <w:pPr>
              <w:keepNext/>
              <w:keepLines/>
              <w:jc w:val="center"/>
              <w:rPr>
                <w:rFonts w:ascii="Arial Narrow" w:hAnsi="Arial Narrow" w:cs="Calibri"/>
                <w:bCs/>
                <w:color w:val="000000"/>
                <w:sz w:val="20"/>
                <w:szCs w:val="20"/>
              </w:rPr>
            </w:pPr>
            <w:r w:rsidRPr="007A4E7E">
              <w:rPr>
                <w:rFonts w:ascii="Arial Narrow" w:hAnsi="Arial Narrow" w:cs="Calibri"/>
                <w:bCs/>
                <w:color w:val="000000"/>
                <w:sz w:val="20"/>
                <w:szCs w:val="20"/>
              </w:rPr>
              <w:t>Yr 2</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14:paraId="16B34F03" w14:textId="77777777" w:rsidR="007D00BA" w:rsidRPr="007A4E7E" w:rsidRDefault="007D00BA" w:rsidP="00EA6DFD">
            <w:pPr>
              <w:keepNext/>
              <w:keepLines/>
              <w:jc w:val="center"/>
              <w:rPr>
                <w:rFonts w:ascii="Arial Narrow" w:hAnsi="Arial Narrow" w:cs="Calibri"/>
                <w:bCs/>
                <w:color w:val="000000"/>
                <w:sz w:val="20"/>
                <w:szCs w:val="20"/>
              </w:rPr>
            </w:pPr>
            <w:r w:rsidRPr="007A4E7E">
              <w:rPr>
                <w:rFonts w:ascii="Arial Narrow" w:hAnsi="Arial Narrow" w:cs="Calibri"/>
                <w:bCs/>
                <w:color w:val="000000"/>
                <w:sz w:val="20"/>
                <w:szCs w:val="20"/>
              </w:rPr>
              <w:t>Yr 3</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14:paraId="77EADEA8" w14:textId="77777777" w:rsidR="007D00BA" w:rsidRPr="007A4E7E" w:rsidRDefault="007D00BA" w:rsidP="00EA6DFD">
            <w:pPr>
              <w:keepNext/>
              <w:keepLines/>
              <w:jc w:val="center"/>
              <w:rPr>
                <w:rFonts w:ascii="Arial Narrow" w:hAnsi="Arial Narrow" w:cs="Calibri"/>
                <w:bCs/>
                <w:color w:val="000000"/>
                <w:sz w:val="20"/>
                <w:szCs w:val="20"/>
              </w:rPr>
            </w:pPr>
            <w:r w:rsidRPr="007A4E7E">
              <w:rPr>
                <w:rFonts w:ascii="Arial Narrow" w:hAnsi="Arial Narrow" w:cs="Calibri"/>
                <w:bCs/>
                <w:color w:val="000000"/>
                <w:sz w:val="20"/>
                <w:szCs w:val="20"/>
              </w:rPr>
              <w:t>Yr 4</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14:paraId="086CD88F" w14:textId="77777777" w:rsidR="007D00BA" w:rsidRPr="007A4E7E" w:rsidRDefault="007D00BA" w:rsidP="00EA6DFD">
            <w:pPr>
              <w:keepNext/>
              <w:keepLines/>
              <w:jc w:val="center"/>
              <w:rPr>
                <w:rFonts w:ascii="Arial Narrow" w:hAnsi="Arial Narrow" w:cs="Calibri"/>
                <w:bCs/>
                <w:color w:val="000000"/>
                <w:sz w:val="20"/>
                <w:szCs w:val="20"/>
              </w:rPr>
            </w:pPr>
            <w:r w:rsidRPr="007A4E7E">
              <w:rPr>
                <w:rFonts w:ascii="Arial Narrow" w:hAnsi="Arial Narrow" w:cs="Calibri"/>
                <w:bCs/>
                <w:color w:val="000000"/>
                <w:sz w:val="20"/>
                <w:szCs w:val="20"/>
              </w:rPr>
              <w:t>Yr 5</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14:paraId="52BC8D70" w14:textId="77777777" w:rsidR="007D00BA" w:rsidRPr="007A4E7E" w:rsidRDefault="007D00BA" w:rsidP="00EA6DFD">
            <w:pPr>
              <w:keepNext/>
              <w:keepLines/>
              <w:jc w:val="center"/>
              <w:rPr>
                <w:rFonts w:ascii="Arial Narrow" w:hAnsi="Arial Narrow" w:cs="Calibri"/>
                <w:bCs/>
                <w:color w:val="000000"/>
                <w:sz w:val="20"/>
                <w:szCs w:val="20"/>
              </w:rPr>
            </w:pPr>
            <w:r w:rsidRPr="007A4E7E">
              <w:rPr>
                <w:rFonts w:ascii="Arial Narrow" w:hAnsi="Arial Narrow" w:cs="Calibri"/>
                <w:bCs/>
                <w:color w:val="000000"/>
                <w:sz w:val="20"/>
                <w:szCs w:val="20"/>
              </w:rPr>
              <w:t>Yr 6</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14:paraId="268AD0F7" w14:textId="77777777" w:rsidR="007D00BA" w:rsidRPr="007A4E7E" w:rsidRDefault="007D00BA" w:rsidP="00EA6DFD">
            <w:pPr>
              <w:keepNext/>
              <w:keepLines/>
              <w:jc w:val="center"/>
              <w:rPr>
                <w:rFonts w:ascii="Arial Narrow" w:hAnsi="Arial Narrow" w:cs="Calibri"/>
                <w:bCs/>
                <w:iCs/>
                <w:color w:val="000000"/>
                <w:sz w:val="20"/>
                <w:szCs w:val="20"/>
              </w:rPr>
            </w:pPr>
            <w:r w:rsidRPr="007A4E7E">
              <w:rPr>
                <w:rFonts w:ascii="Arial Narrow" w:hAnsi="Arial Narrow" w:cs="Calibri"/>
                <w:bCs/>
                <w:iCs/>
                <w:color w:val="000000"/>
                <w:sz w:val="20"/>
                <w:szCs w:val="20"/>
              </w:rPr>
              <w:t>Total</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67F4DF3" w14:textId="77777777" w:rsidR="007D00BA" w:rsidRPr="007A4E7E" w:rsidRDefault="007D00BA" w:rsidP="00EA6DFD">
            <w:pPr>
              <w:keepNext/>
              <w:keepLines/>
              <w:jc w:val="center"/>
              <w:rPr>
                <w:rFonts w:ascii="Arial Narrow" w:hAnsi="Arial Narrow" w:cs="Calibri"/>
                <w:bCs/>
                <w:iCs/>
                <w:color w:val="000000"/>
                <w:sz w:val="20"/>
                <w:szCs w:val="20"/>
              </w:rPr>
            </w:pPr>
            <w:r w:rsidRPr="007A4E7E">
              <w:rPr>
                <w:rFonts w:ascii="Arial Narrow" w:hAnsi="Arial Narrow" w:cs="Calibri"/>
                <w:bCs/>
                <w:iCs/>
                <w:color w:val="000000"/>
                <w:sz w:val="20"/>
                <w:szCs w:val="20"/>
              </w:rPr>
              <w:t>% Δ</w:t>
            </w:r>
          </w:p>
        </w:tc>
      </w:tr>
      <w:tr w:rsidR="007D00BA" w:rsidRPr="007A4E7E" w14:paraId="2474D391"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hideMark/>
          </w:tcPr>
          <w:p w14:paraId="05A1D0A7" w14:textId="0B9FF004"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Base case</w:t>
            </w:r>
            <w:r w:rsidR="00A76086">
              <w:rPr>
                <w:rFonts w:ascii="Arial Narrow" w:hAnsi="Arial Narrow" w:cs="Calibri"/>
                <w:color w:val="000000"/>
                <w:sz w:val="20"/>
                <w:szCs w:val="20"/>
              </w:rPr>
              <w:t xml:space="preserve"> ($)</w:t>
            </w:r>
          </w:p>
        </w:tc>
        <w:tc>
          <w:tcPr>
            <w:tcW w:w="1035" w:type="dxa"/>
            <w:tcBorders>
              <w:top w:val="nil"/>
              <w:left w:val="nil"/>
              <w:bottom w:val="single" w:sz="4" w:space="0" w:color="auto"/>
              <w:right w:val="single" w:sz="4" w:space="0" w:color="auto"/>
            </w:tcBorders>
            <w:shd w:val="clear" w:color="auto" w:fill="auto"/>
            <w:noWrap/>
            <w:vAlign w:val="center"/>
            <w:hideMark/>
          </w:tcPr>
          <w:p w14:paraId="2BCE39E3" w14:textId="5EC96C9D"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5"/>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5"/>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5"/>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6" w:type="dxa"/>
            <w:tcBorders>
              <w:top w:val="nil"/>
              <w:left w:val="nil"/>
              <w:bottom w:val="single" w:sz="4" w:space="0" w:color="auto"/>
              <w:right w:val="single" w:sz="4" w:space="0" w:color="auto"/>
            </w:tcBorders>
            <w:shd w:val="clear" w:color="auto" w:fill="auto"/>
            <w:noWrap/>
            <w:vAlign w:val="center"/>
            <w:hideMark/>
          </w:tcPr>
          <w:p w14:paraId="218F7B2E" w14:textId="7CFAE770"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4"/>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4"/>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4"/>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187552A7" w14:textId="55382208"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3"/>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3"/>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3"/>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4" w:type="dxa"/>
            <w:tcBorders>
              <w:top w:val="nil"/>
              <w:left w:val="nil"/>
              <w:bottom w:val="single" w:sz="4" w:space="0" w:color="auto"/>
              <w:right w:val="single" w:sz="4" w:space="0" w:color="auto"/>
            </w:tcBorders>
            <w:shd w:val="clear" w:color="auto" w:fill="auto"/>
            <w:noWrap/>
            <w:vAlign w:val="center"/>
            <w:hideMark/>
          </w:tcPr>
          <w:p w14:paraId="67F09A52" w14:textId="14E9C3F3"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2"/>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2"/>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2"/>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145D2AD6" w14:textId="427665C9"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88"/>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88"/>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88"/>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55410E8F" w14:textId="4B33E560"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7"/>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7"/>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7"/>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3BD87458" w14:textId="5D3697B1"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86"/>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86"/>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86"/>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3</w:t>
            </w:r>
          </w:p>
        </w:tc>
        <w:tc>
          <w:tcPr>
            <w:tcW w:w="630" w:type="dxa"/>
            <w:tcBorders>
              <w:top w:val="nil"/>
              <w:left w:val="nil"/>
              <w:bottom w:val="single" w:sz="4" w:space="0" w:color="auto"/>
              <w:right w:val="single" w:sz="4" w:space="0" w:color="auto"/>
            </w:tcBorders>
            <w:shd w:val="clear" w:color="auto" w:fill="auto"/>
            <w:noWrap/>
            <w:vAlign w:val="center"/>
            <w:hideMark/>
          </w:tcPr>
          <w:p w14:paraId="79F41920"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w:t>
            </w:r>
          </w:p>
        </w:tc>
      </w:tr>
      <w:tr w:rsidR="007D00BA" w:rsidRPr="007A4E7E" w14:paraId="6318206B" w14:textId="77777777" w:rsidTr="00EA6DFD">
        <w:trPr>
          <w:trHeight w:val="20"/>
        </w:trPr>
        <w:tc>
          <w:tcPr>
            <w:tcW w:w="903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52DBB" w14:textId="026B278C" w:rsidR="007D00BA" w:rsidRPr="007A4E7E" w:rsidRDefault="007D00BA" w:rsidP="00EA6DFD">
            <w:pPr>
              <w:keepNext/>
              <w:keepLines/>
              <w:rPr>
                <w:rFonts w:ascii="Arial Narrow" w:hAnsi="Arial Narrow" w:cs="Calibri"/>
                <w:b/>
                <w:bCs/>
                <w:color w:val="000000"/>
                <w:sz w:val="20"/>
                <w:szCs w:val="20"/>
              </w:rPr>
            </w:pPr>
            <w:r w:rsidRPr="007A4E7E">
              <w:rPr>
                <w:rFonts w:ascii="Arial Narrow" w:hAnsi="Arial Narrow" w:cs="Calibri"/>
                <w:b/>
                <w:bCs/>
                <w:color w:val="000000"/>
                <w:sz w:val="20"/>
                <w:szCs w:val="20"/>
              </w:rPr>
              <w:t>Prevalence rates</w:t>
            </w:r>
            <w:r w:rsidR="006D45D9">
              <w:rPr>
                <w:rFonts w:ascii="Arial Narrow" w:hAnsi="Arial Narrow" w:cs="Calibri"/>
                <w:b/>
                <w:bCs/>
                <w:color w:val="000000"/>
                <w:sz w:val="20"/>
                <w:szCs w:val="20"/>
              </w:rPr>
              <w:t xml:space="preserve"> ($)</w:t>
            </w:r>
          </w:p>
        </w:tc>
      </w:tr>
      <w:tr w:rsidR="007D00BA" w:rsidRPr="007A4E7E" w14:paraId="7AD68720"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hideMark/>
          </w:tcPr>
          <w:p w14:paraId="2FA09FA2" w14:textId="77777777"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57/million</w:t>
            </w:r>
          </w:p>
        </w:tc>
        <w:tc>
          <w:tcPr>
            <w:tcW w:w="1035" w:type="dxa"/>
            <w:tcBorders>
              <w:top w:val="nil"/>
              <w:left w:val="nil"/>
              <w:bottom w:val="single" w:sz="4" w:space="0" w:color="auto"/>
              <w:right w:val="single" w:sz="4" w:space="0" w:color="auto"/>
            </w:tcBorders>
            <w:shd w:val="clear" w:color="auto" w:fill="auto"/>
            <w:noWrap/>
            <w:vAlign w:val="center"/>
            <w:hideMark/>
          </w:tcPr>
          <w:p w14:paraId="4018DFDF" w14:textId="06E548E1"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5"/>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5"/>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5"/>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6" w:type="dxa"/>
            <w:tcBorders>
              <w:top w:val="nil"/>
              <w:left w:val="nil"/>
              <w:bottom w:val="single" w:sz="4" w:space="0" w:color="auto"/>
              <w:right w:val="single" w:sz="4" w:space="0" w:color="auto"/>
            </w:tcBorders>
            <w:shd w:val="clear" w:color="auto" w:fill="auto"/>
            <w:noWrap/>
            <w:vAlign w:val="center"/>
            <w:hideMark/>
          </w:tcPr>
          <w:p w14:paraId="15513592" w14:textId="75C5063A"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4"/>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4"/>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4"/>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hideMark/>
          </w:tcPr>
          <w:p w14:paraId="6780E76C" w14:textId="59B35AC3"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3"/>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3"/>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3"/>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4" w:type="dxa"/>
            <w:tcBorders>
              <w:top w:val="nil"/>
              <w:left w:val="nil"/>
              <w:bottom w:val="single" w:sz="4" w:space="0" w:color="auto"/>
              <w:right w:val="single" w:sz="4" w:space="0" w:color="auto"/>
            </w:tcBorders>
            <w:shd w:val="clear" w:color="auto" w:fill="auto"/>
            <w:noWrap/>
            <w:vAlign w:val="center"/>
            <w:hideMark/>
          </w:tcPr>
          <w:p w14:paraId="573AFBB7" w14:textId="7E7B424D"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2"/>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2"/>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2"/>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hideMark/>
          </w:tcPr>
          <w:p w14:paraId="0CD78163" w14:textId="48594D60"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81"/>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81"/>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81"/>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hideMark/>
          </w:tcPr>
          <w:p w14:paraId="428B67A4" w14:textId="560F90EE"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0"/>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0"/>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0"/>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hideMark/>
          </w:tcPr>
          <w:p w14:paraId="7913CCA6" w14:textId="460AC0E0"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9"/>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9"/>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9"/>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4</w:t>
            </w:r>
          </w:p>
        </w:tc>
        <w:tc>
          <w:tcPr>
            <w:tcW w:w="630" w:type="dxa"/>
            <w:tcBorders>
              <w:top w:val="nil"/>
              <w:left w:val="nil"/>
              <w:bottom w:val="single" w:sz="4" w:space="0" w:color="auto"/>
              <w:right w:val="single" w:sz="4" w:space="0" w:color="auto"/>
            </w:tcBorders>
            <w:shd w:val="clear" w:color="auto" w:fill="auto"/>
            <w:noWrap/>
            <w:vAlign w:val="center"/>
            <w:hideMark/>
          </w:tcPr>
          <w:p w14:paraId="079F06DA"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-13%</w:t>
            </w:r>
          </w:p>
        </w:tc>
      </w:tr>
      <w:tr w:rsidR="007D00BA" w:rsidRPr="007A4E7E" w14:paraId="2AAC7515"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hideMark/>
          </w:tcPr>
          <w:p w14:paraId="130ABDBB" w14:textId="77777777"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79/million</w:t>
            </w:r>
          </w:p>
        </w:tc>
        <w:tc>
          <w:tcPr>
            <w:tcW w:w="1035" w:type="dxa"/>
            <w:tcBorders>
              <w:top w:val="nil"/>
              <w:left w:val="nil"/>
              <w:bottom w:val="single" w:sz="4" w:space="0" w:color="auto"/>
              <w:right w:val="single" w:sz="4" w:space="0" w:color="auto"/>
            </w:tcBorders>
            <w:shd w:val="clear" w:color="auto" w:fill="auto"/>
            <w:noWrap/>
            <w:vAlign w:val="center"/>
            <w:hideMark/>
          </w:tcPr>
          <w:p w14:paraId="1E1D6004" w14:textId="6D41094B"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8"/>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8"/>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8"/>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6" w:type="dxa"/>
            <w:tcBorders>
              <w:top w:val="nil"/>
              <w:left w:val="nil"/>
              <w:bottom w:val="single" w:sz="4" w:space="0" w:color="auto"/>
              <w:right w:val="single" w:sz="4" w:space="0" w:color="auto"/>
            </w:tcBorders>
            <w:shd w:val="clear" w:color="auto" w:fill="auto"/>
            <w:noWrap/>
            <w:vAlign w:val="center"/>
            <w:hideMark/>
          </w:tcPr>
          <w:p w14:paraId="67F92BF4" w14:textId="5EF9EFAA"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7"/>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7"/>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7"/>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5D1819D0" w14:textId="4C92351F"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6"/>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6"/>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6"/>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4" w:type="dxa"/>
            <w:tcBorders>
              <w:top w:val="nil"/>
              <w:left w:val="nil"/>
              <w:bottom w:val="single" w:sz="4" w:space="0" w:color="auto"/>
              <w:right w:val="single" w:sz="4" w:space="0" w:color="auto"/>
            </w:tcBorders>
            <w:shd w:val="clear" w:color="auto" w:fill="auto"/>
            <w:noWrap/>
            <w:vAlign w:val="center"/>
            <w:hideMark/>
          </w:tcPr>
          <w:p w14:paraId="00A3292B" w14:textId="33DE0A82"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5"/>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5"/>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5"/>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0E6EF99E" w14:textId="660DA467"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74"/>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74"/>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74"/>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526ACF35" w14:textId="7FDD1099"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3"/>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3"/>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3"/>
                <w14:textFill>
                  <w14:solidFill>
                    <w14:srgbClr w14:val="000000">
                      <w14:alpha w14:val="100000"/>
                    </w14:srgbClr>
                  </w14:solidFill>
                </w14:textFill>
              </w:rPr>
              <w:t xml:space="preserve">　</w:t>
            </w:r>
            <w:r w:rsidR="00AA101F">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669BFB0E" w14:textId="3D8E7396"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2"/>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2"/>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2"/>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5</w:t>
            </w:r>
          </w:p>
        </w:tc>
        <w:tc>
          <w:tcPr>
            <w:tcW w:w="630" w:type="dxa"/>
            <w:tcBorders>
              <w:top w:val="nil"/>
              <w:left w:val="nil"/>
              <w:bottom w:val="single" w:sz="4" w:space="0" w:color="auto"/>
              <w:right w:val="single" w:sz="4" w:space="0" w:color="auto"/>
            </w:tcBorders>
            <w:shd w:val="clear" w:color="auto" w:fill="auto"/>
            <w:noWrap/>
            <w:vAlign w:val="center"/>
            <w:hideMark/>
          </w:tcPr>
          <w:p w14:paraId="08FB45AB"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16%</w:t>
            </w:r>
          </w:p>
        </w:tc>
      </w:tr>
      <w:tr w:rsidR="007D00BA" w:rsidRPr="007A4E7E" w14:paraId="6D1E7DF2" w14:textId="77777777" w:rsidTr="00EA6DFD">
        <w:trPr>
          <w:trHeight w:val="20"/>
        </w:trPr>
        <w:tc>
          <w:tcPr>
            <w:tcW w:w="9037" w:type="dxa"/>
            <w:gridSpan w:val="9"/>
            <w:tcBorders>
              <w:top w:val="nil"/>
              <w:left w:val="single" w:sz="4" w:space="0" w:color="auto"/>
              <w:bottom w:val="single" w:sz="4" w:space="0" w:color="auto"/>
              <w:right w:val="single" w:sz="4" w:space="0" w:color="auto"/>
            </w:tcBorders>
            <w:shd w:val="clear" w:color="auto" w:fill="auto"/>
            <w:noWrap/>
            <w:vAlign w:val="center"/>
          </w:tcPr>
          <w:p w14:paraId="351476CE" w14:textId="77777777" w:rsidR="007D00BA" w:rsidRPr="007A4E7E" w:rsidRDefault="007D00BA" w:rsidP="00EA6DFD">
            <w:pPr>
              <w:keepNext/>
              <w:keepLines/>
              <w:rPr>
                <w:rFonts w:ascii="Arial Narrow" w:hAnsi="Arial Narrow" w:cs="Calibri"/>
                <w:b/>
                <w:bCs/>
                <w:i/>
                <w:iCs/>
                <w:color w:val="000000"/>
                <w:sz w:val="20"/>
                <w:szCs w:val="20"/>
              </w:rPr>
            </w:pPr>
            <w:r w:rsidRPr="007A4E7E">
              <w:rPr>
                <w:rFonts w:ascii="Arial Narrow" w:hAnsi="Arial Narrow" w:cs="Calibri"/>
                <w:b/>
                <w:bCs/>
                <w:color w:val="000000"/>
                <w:sz w:val="20"/>
                <w:szCs w:val="20"/>
              </w:rPr>
              <w:t>Surgery rate</w:t>
            </w:r>
          </w:p>
        </w:tc>
      </w:tr>
      <w:tr w:rsidR="007D00BA" w:rsidRPr="007A4E7E" w14:paraId="40BC92C4"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45D2A732" w14:textId="77777777"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CD 1</w:t>
            </w:r>
            <w:r w:rsidRPr="007A4E7E">
              <w:rPr>
                <w:rFonts w:ascii="Arial Narrow" w:hAnsi="Arial Narrow" w:cs="Calibri"/>
                <w:color w:val="000000"/>
                <w:sz w:val="20"/>
                <w:szCs w:val="20"/>
                <w:vertAlign w:val="superscript"/>
              </w:rPr>
              <w:t>st</w:t>
            </w:r>
            <w:r w:rsidRPr="007A4E7E">
              <w:rPr>
                <w:rFonts w:ascii="Arial Narrow" w:hAnsi="Arial Narrow" w:cs="Calibri"/>
                <w:color w:val="000000"/>
                <w:sz w:val="20"/>
                <w:szCs w:val="20"/>
              </w:rPr>
              <w:t xml:space="preserve"> (80%)</w:t>
            </w:r>
          </w:p>
        </w:tc>
        <w:tc>
          <w:tcPr>
            <w:tcW w:w="1035" w:type="dxa"/>
            <w:tcBorders>
              <w:top w:val="nil"/>
              <w:left w:val="nil"/>
              <w:bottom w:val="single" w:sz="4" w:space="0" w:color="auto"/>
              <w:right w:val="single" w:sz="4" w:space="0" w:color="auto"/>
            </w:tcBorders>
            <w:shd w:val="clear" w:color="auto" w:fill="auto"/>
            <w:noWrap/>
            <w:vAlign w:val="center"/>
          </w:tcPr>
          <w:p w14:paraId="3D6513CA" w14:textId="1D7458F0"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8"/>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8"/>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8"/>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6" w:type="dxa"/>
            <w:tcBorders>
              <w:top w:val="nil"/>
              <w:left w:val="nil"/>
              <w:bottom w:val="single" w:sz="4" w:space="0" w:color="auto"/>
              <w:right w:val="single" w:sz="4" w:space="0" w:color="auto"/>
            </w:tcBorders>
            <w:shd w:val="clear" w:color="auto" w:fill="auto"/>
            <w:noWrap/>
            <w:vAlign w:val="center"/>
          </w:tcPr>
          <w:p w14:paraId="69B4F210" w14:textId="7A679F0C"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7"/>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7"/>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7"/>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tcPr>
          <w:p w14:paraId="5DB74D2B" w14:textId="319C99BC"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6"/>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6"/>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6"/>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4" w:type="dxa"/>
            <w:tcBorders>
              <w:top w:val="nil"/>
              <w:left w:val="nil"/>
              <w:bottom w:val="single" w:sz="4" w:space="0" w:color="auto"/>
              <w:right w:val="single" w:sz="4" w:space="0" w:color="auto"/>
            </w:tcBorders>
            <w:shd w:val="clear" w:color="auto" w:fill="auto"/>
            <w:noWrap/>
            <w:vAlign w:val="center"/>
          </w:tcPr>
          <w:p w14:paraId="5C18400A" w14:textId="071C7796"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5"/>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5"/>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5"/>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tcPr>
          <w:p w14:paraId="295D9C2C" w14:textId="41003AD9"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84"/>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84"/>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84"/>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tcPr>
          <w:p w14:paraId="073D03FA" w14:textId="0EBB26B7"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3"/>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3"/>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3"/>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tcPr>
          <w:p w14:paraId="4ACE45F1" w14:textId="07D40010"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82"/>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82"/>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82"/>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5</w:t>
            </w:r>
          </w:p>
        </w:tc>
        <w:tc>
          <w:tcPr>
            <w:tcW w:w="630" w:type="dxa"/>
            <w:tcBorders>
              <w:top w:val="nil"/>
              <w:left w:val="nil"/>
              <w:bottom w:val="single" w:sz="4" w:space="0" w:color="auto"/>
              <w:right w:val="single" w:sz="4" w:space="0" w:color="auto"/>
            </w:tcBorders>
            <w:shd w:val="clear" w:color="auto" w:fill="auto"/>
            <w:noWrap/>
            <w:vAlign w:val="center"/>
          </w:tcPr>
          <w:p w14:paraId="665E0A43"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28%</w:t>
            </w:r>
          </w:p>
        </w:tc>
      </w:tr>
      <w:tr w:rsidR="007D00BA" w:rsidRPr="007A4E7E" w14:paraId="245666E3"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1D574EA9" w14:textId="77777777"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CD 2</w:t>
            </w:r>
            <w:r w:rsidRPr="007A4E7E">
              <w:rPr>
                <w:rFonts w:ascii="Arial Narrow" w:hAnsi="Arial Narrow" w:cs="Calibri"/>
                <w:color w:val="000000"/>
                <w:sz w:val="20"/>
                <w:szCs w:val="20"/>
                <w:vertAlign w:val="superscript"/>
              </w:rPr>
              <w:t>nd</w:t>
            </w:r>
            <w:r w:rsidRPr="007A4E7E">
              <w:rPr>
                <w:rFonts w:ascii="Arial Narrow" w:hAnsi="Arial Narrow" w:cs="Calibri"/>
                <w:color w:val="000000"/>
                <w:sz w:val="20"/>
                <w:szCs w:val="20"/>
              </w:rPr>
              <w:t xml:space="preserve"> (98%)</w:t>
            </w:r>
          </w:p>
        </w:tc>
        <w:tc>
          <w:tcPr>
            <w:tcW w:w="1035" w:type="dxa"/>
            <w:tcBorders>
              <w:top w:val="nil"/>
              <w:left w:val="nil"/>
              <w:bottom w:val="single" w:sz="4" w:space="0" w:color="auto"/>
              <w:right w:val="single" w:sz="4" w:space="0" w:color="auto"/>
            </w:tcBorders>
            <w:shd w:val="clear" w:color="auto" w:fill="auto"/>
            <w:noWrap/>
            <w:vAlign w:val="center"/>
          </w:tcPr>
          <w:p w14:paraId="39715AA0" w14:textId="164B5A95"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1"/>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1"/>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1"/>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6" w:type="dxa"/>
            <w:tcBorders>
              <w:top w:val="nil"/>
              <w:left w:val="nil"/>
              <w:bottom w:val="single" w:sz="4" w:space="0" w:color="auto"/>
              <w:right w:val="single" w:sz="4" w:space="0" w:color="auto"/>
            </w:tcBorders>
            <w:shd w:val="clear" w:color="auto" w:fill="auto"/>
            <w:noWrap/>
            <w:vAlign w:val="center"/>
          </w:tcPr>
          <w:p w14:paraId="4CAE6C90" w14:textId="3FBC9FCD"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0"/>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0"/>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0"/>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tcPr>
          <w:p w14:paraId="5A87B23E" w14:textId="1932F6D1"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9"/>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9"/>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9"/>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4" w:type="dxa"/>
            <w:tcBorders>
              <w:top w:val="nil"/>
              <w:left w:val="nil"/>
              <w:bottom w:val="single" w:sz="4" w:space="0" w:color="auto"/>
              <w:right w:val="single" w:sz="4" w:space="0" w:color="auto"/>
            </w:tcBorders>
            <w:shd w:val="clear" w:color="auto" w:fill="auto"/>
            <w:noWrap/>
            <w:vAlign w:val="center"/>
          </w:tcPr>
          <w:p w14:paraId="22CDDDE0" w14:textId="32337674"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8"/>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8"/>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8"/>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tcPr>
          <w:p w14:paraId="4EC59CB0" w14:textId="1B5319FB"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77"/>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77"/>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77"/>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tcPr>
          <w:p w14:paraId="0E18DC44" w14:textId="482905BD"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6"/>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6"/>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6"/>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tcPr>
          <w:p w14:paraId="6AC6C563" w14:textId="30598CD5"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5"/>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5"/>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5"/>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4</w:t>
            </w:r>
          </w:p>
        </w:tc>
        <w:tc>
          <w:tcPr>
            <w:tcW w:w="630" w:type="dxa"/>
            <w:tcBorders>
              <w:top w:val="nil"/>
              <w:left w:val="nil"/>
              <w:bottom w:val="single" w:sz="4" w:space="0" w:color="auto"/>
              <w:right w:val="single" w:sz="4" w:space="0" w:color="auto"/>
            </w:tcBorders>
            <w:shd w:val="clear" w:color="auto" w:fill="auto"/>
            <w:noWrap/>
            <w:vAlign w:val="center"/>
          </w:tcPr>
          <w:p w14:paraId="668F5901"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-17%</w:t>
            </w:r>
          </w:p>
        </w:tc>
      </w:tr>
      <w:tr w:rsidR="007D00BA" w:rsidRPr="007A4E7E" w14:paraId="593A74E6" w14:textId="77777777" w:rsidTr="00EA6DFD">
        <w:trPr>
          <w:trHeight w:val="20"/>
        </w:trPr>
        <w:tc>
          <w:tcPr>
            <w:tcW w:w="9037" w:type="dxa"/>
            <w:gridSpan w:val="9"/>
            <w:tcBorders>
              <w:top w:val="nil"/>
              <w:left w:val="single" w:sz="4" w:space="0" w:color="auto"/>
              <w:bottom w:val="single" w:sz="4" w:space="0" w:color="auto"/>
              <w:right w:val="single" w:sz="4" w:space="0" w:color="auto"/>
            </w:tcBorders>
            <w:shd w:val="clear" w:color="auto" w:fill="auto"/>
            <w:noWrap/>
            <w:vAlign w:val="center"/>
          </w:tcPr>
          <w:p w14:paraId="21B5DF0B" w14:textId="3DE2A4B9" w:rsidR="007D00BA" w:rsidRPr="007A4E7E" w:rsidRDefault="007D00BA" w:rsidP="00EA6DFD">
            <w:pPr>
              <w:keepNext/>
              <w:keepLines/>
              <w:rPr>
                <w:rFonts w:ascii="Arial Narrow" w:hAnsi="Arial Narrow" w:cs="Calibri"/>
                <w:i/>
                <w:iCs/>
                <w:color w:val="000000"/>
                <w:sz w:val="20"/>
                <w:szCs w:val="20"/>
              </w:rPr>
            </w:pPr>
            <w:r w:rsidRPr="007A4E7E">
              <w:rPr>
                <w:rFonts w:ascii="Arial Narrow" w:hAnsi="Arial Narrow" w:cs="Calibri"/>
                <w:b/>
                <w:bCs/>
                <w:color w:val="000000"/>
                <w:sz w:val="20"/>
                <w:szCs w:val="20"/>
              </w:rPr>
              <w:t>Surgery success rates</w:t>
            </w:r>
            <w:r w:rsidR="006D45D9">
              <w:rPr>
                <w:rFonts w:ascii="Arial Narrow" w:hAnsi="Arial Narrow" w:cs="Calibri"/>
                <w:b/>
                <w:bCs/>
                <w:color w:val="000000"/>
                <w:sz w:val="20"/>
                <w:szCs w:val="20"/>
              </w:rPr>
              <w:t xml:space="preserve"> ($)</w:t>
            </w:r>
          </w:p>
        </w:tc>
      </w:tr>
      <w:tr w:rsidR="007D00BA" w:rsidRPr="007A4E7E" w14:paraId="2F4D37AF"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32A37578" w14:textId="77777777"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CD 1</w:t>
            </w:r>
            <w:r w:rsidRPr="007A4E7E">
              <w:rPr>
                <w:rFonts w:ascii="Arial Narrow" w:hAnsi="Arial Narrow" w:cs="Calibri"/>
                <w:color w:val="000000"/>
                <w:sz w:val="20"/>
                <w:szCs w:val="20"/>
                <w:vertAlign w:val="superscript"/>
              </w:rPr>
              <w:t>st</w:t>
            </w:r>
            <w:r w:rsidRPr="007A4E7E">
              <w:rPr>
                <w:rFonts w:ascii="Arial Narrow" w:hAnsi="Arial Narrow" w:cs="Calibri"/>
                <w:color w:val="000000"/>
                <w:sz w:val="20"/>
                <w:szCs w:val="20"/>
              </w:rPr>
              <w:t xml:space="preserve"> success (40%)</w:t>
            </w:r>
          </w:p>
        </w:tc>
        <w:tc>
          <w:tcPr>
            <w:tcW w:w="1035" w:type="dxa"/>
            <w:tcBorders>
              <w:top w:val="nil"/>
              <w:left w:val="nil"/>
              <w:bottom w:val="single" w:sz="4" w:space="0" w:color="auto"/>
              <w:right w:val="single" w:sz="4" w:space="0" w:color="auto"/>
            </w:tcBorders>
            <w:shd w:val="clear" w:color="auto" w:fill="auto"/>
            <w:noWrap/>
            <w:vAlign w:val="center"/>
          </w:tcPr>
          <w:p w14:paraId="43DE553C" w14:textId="6DEAFF0E"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4"/>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4"/>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4"/>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6" w:type="dxa"/>
            <w:tcBorders>
              <w:top w:val="nil"/>
              <w:left w:val="nil"/>
              <w:bottom w:val="single" w:sz="4" w:space="0" w:color="auto"/>
              <w:right w:val="single" w:sz="4" w:space="0" w:color="auto"/>
            </w:tcBorders>
            <w:shd w:val="clear" w:color="auto" w:fill="auto"/>
            <w:noWrap/>
            <w:vAlign w:val="center"/>
          </w:tcPr>
          <w:p w14:paraId="4378B411" w14:textId="7CBB97AF"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3"/>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3"/>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3"/>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tcPr>
          <w:p w14:paraId="08A0BEC7" w14:textId="21D8AFCF"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2"/>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2"/>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2"/>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4" w:type="dxa"/>
            <w:tcBorders>
              <w:top w:val="nil"/>
              <w:left w:val="nil"/>
              <w:bottom w:val="single" w:sz="4" w:space="0" w:color="auto"/>
              <w:right w:val="single" w:sz="4" w:space="0" w:color="auto"/>
            </w:tcBorders>
            <w:shd w:val="clear" w:color="auto" w:fill="auto"/>
            <w:noWrap/>
            <w:vAlign w:val="center"/>
          </w:tcPr>
          <w:p w14:paraId="19C3A087" w14:textId="1E98E94B"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8"/>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8"/>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8"/>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tcPr>
          <w:p w14:paraId="00F2126B" w14:textId="1C9717BC"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87"/>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87"/>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87"/>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tcPr>
          <w:p w14:paraId="61B94F43" w14:textId="08737713"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6"/>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6"/>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6"/>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tcPr>
          <w:p w14:paraId="1D22A69E" w14:textId="7EA6E54D"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85"/>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85"/>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85"/>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6</w:t>
            </w:r>
          </w:p>
        </w:tc>
        <w:tc>
          <w:tcPr>
            <w:tcW w:w="630" w:type="dxa"/>
            <w:tcBorders>
              <w:top w:val="nil"/>
              <w:left w:val="nil"/>
              <w:bottom w:val="single" w:sz="4" w:space="0" w:color="auto"/>
              <w:right w:val="single" w:sz="4" w:space="0" w:color="auto"/>
            </w:tcBorders>
            <w:shd w:val="clear" w:color="auto" w:fill="auto"/>
            <w:noWrap/>
            <w:vAlign w:val="center"/>
          </w:tcPr>
          <w:p w14:paraId="555EC234"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35%</w:t>
            </w:r>
          </w:p>
        </w:tc>
      </w:tr>
      <w:tr w:rsidR="007D00BA" w:rsidRPr="007A4E7E" w14:paraId="38E7A163"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405DF28A" w14:textId="77777777"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CD 1</w:t>
            </w:r>
            <w:r w:rsidRPr="007A4E7E">
              <w:rPr>
                <w:rFonts w:ascii="Arial Narrow" w:hAnsi="Arial Narrow" w:cs="Calibri"/>
                <w:color w:val="000000"/>
                <w:sz w:val="20"/>
                <w:szCs w:val="20"/>
                <w:vertAlign w:val="superscript"/>
              </w:rPr>
              <w:t>st</w:t>
            </w:r>
            <w:r w:rsidRPr="007A4E7E">
              <w:rPr>
                <w:rFonts w:ascii="Arial Narrow" w:hAnsi="Arial Narrow" w:cs="Calibri"/>
                <w:color w:val="000000"/>
                <w:sz w:val="20"/>
                <w:szCs w:val="20"/>
              </w:rPr>
              <w:t xml:space="preserve"> success (80%)</w:t>
            </w:r>
          </w:p>
        </w:tc>
        <w:tc>
          <w:tcPr>
            <w:tcW w:w="1035" w:type="dxa"/>
            <w:tcBorders>
              <w:top w:val="nil"/>
              <w:left w:val="nil"/>
              <w:bottom w:val="single" w:sz="4" w:space="0" w:color="auto"/>
              <w:right w:val="single" w:sz="4" w:space="0" w:color="auto"/>
            </w:tcBorders>
            <w:shd w:val="clear" w:color="auto" w:fill="auto"/>
            <w:noWrap/>
            <w:vAlign w:val="center"/>
          </w:tcPr>
          <w:p w14:paraId="6F2E7A49" w14:textId="15EC57B6"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4"/>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4"/>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4"/>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6" w:type="dxa"/>
            <w:tcBorders>
              <w:top w:val="nil"/>
              <w:left w:val="nil"/>
              <w:bottom w:val="single" w:sz="4" w:space="0" w:color="auto"/>
              <w:right w:val="single" w:sz="4" w:space="0" w:color="auto"/>
            </w:tcBorders>
            <w:shd w:val="clear" w:color="auto" w:fill="auto"/>
            <w:noWrap/>
            <w:vAlign w:val="center"/>
          </w:tcPr>
          <w:p w14:paraId="651640C6" w14:textId="5B197191"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3"/>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3"/>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3"/>
                <w14:textFill>
                  <w14:solidFill>
                    <w14:srgbClr w14:val="000000">
                      <w14:alpha w14:val="100000"/>
                    </w14:srgbClr>
                  </w14:solidFill>
                </w14:textFill>
              </w:rPr>
              <w:t xml:space="preserve">　</w:t>
            </w:r>
            <w:r w:rsidR="00A76086"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tcPr>
          <w:p w14:paraId="21BFC852" w14:textId="7617A39C"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2"/>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2"/>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2"/>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4" w:type="dxa"/>
            <w:tcBorders>
              <w:top w:val="nil"/>
              <w:left w:val="nil"/>
              <w:bottom w:val="single" w:sz="4" w:space="0" w:color="auto"/>
              <w:right w:val="single" w:sz="4" w:space="0" w:color="auto"/>
            </w:tcBorders>
            <w:shd w:val="clear" w:color="auto" w:fill="auto"/>
            <w:noWrap/>
            <w:vAlign w:val="center"/>
          </w:tcPr>
          <w:p w14:paraId="5574A3D7" w14:textId="07E7B7F3"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1"/>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1"/>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1"/>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tcPr>
          <w:p w14:paraId="76BE55D4" w14:textId="39648776"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80"/>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80"/>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80"/>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tcPr>
          <w:p w14:paraId="7EEFA757" w14:textId="391CEA8E"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9"/>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9"/>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9"/>
                <w14:textFill>
                  <w14:solidFill>
                    <w14:srgbClr w14:val="000000">
                      <w14:alpha w14:val="100000"/>
                    </w14:srgbClr>
                  </w14:solidFill>
                </w14:textFill>
              </w:rPr>
              <w:t xml:space="preserve">　</w:t>
            </w:r>
            <w:r w:rsidR="00AA101F" w:rsidRPr="00162C9D">
              <w:rPr>
                <w:rFonts w:ascii="Arial Narrow" w:hAnsi="Arial Narrow" w:cs="Calibri"/>
                <w:bCs/>
                <w:color w:val="000000"/>
                <w:sz w:val="20"/>
                <w:szCs w:val="20"/>
                <w:vertAlign w:val="superscript"/>
              </w:rPr>
              <w:t>1</w:t>
            </w:r>
          </w:p>
        </w:tc>
        <w:tc>
          <w:tcPr>
            <w:tcW w:w="1035" w:type="dxa"/>
            <w:tcBorders>
              <w:top w:val="nil"/>
              <w:left w:val="nil"/>
              <w:bottom w:val="single" w:sz="4" w:space="0" w:color="auto"/>
              <w:right w:val="single" w:sz="4" w:space="0" w:color="auto"/>
            </w:tcBorders>
            <w:shd w:val="clear" w:color="auto" w:fill="auto"/>
            <w:noWrap/>
            <w:vAlign w:val="center"/>
          </w:tcPr>
          <w:p w14:paraId="4AF3A23A" w14:textId="6ED09862"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8"/>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8"/>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8"/>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7</w:t>
            </w:r>
          </w:p>
        </w:tc>
        <w:tc>
          <w:tcPr>
            <w:tcW w:w="630" w:type="dxa"/>
            <w:tcBorders>
              <w:top w:val="nil"/>
              <w:left w:val="nil"/>
              <w:bottom w:val="single" w:sz="4" w:space="0" w:color="auto"/>
              <w:right w:val="single" w:sz="4" w:space="0" w:color="auto"/>
            </w:tcBorders>
            <w:shd w:val="clear" w:color="auto" w:fill="auto"/>
            <w:noWrap/>
            <w:vAlign w:val="center"/>
          </w:tcPr>
          <w:p w14:paraId="7FA35B04"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-35%</w:t>
            </w:r>
          </w:p>
        </w:tc>
      </w:tr>
      <w:tr w:rsidR="007D00BA" w:rsidRPr="007A4E7E" w14:paraId="4862A677"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hideMark/>
          </w:tcPr>
          <w:p w14:paraId="29273366" w14:textId="77777777"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ACTH independent 1</w:t>
            </w:r>
            <w:r w:rsidRPr="007A4E7E">
              <w:rPr>
                <w:rFonts w:ascii="Arial Narrow" w:hAnsi="Arial Narrow" w:cs="Calibri"/>
                <w:color w:val="000000"/>
                <w:sz w:val="20"/>
                <w:szCs w:val="20"/>
                <w:vertAlign w:val="superscript"/>
              </w:rPr>
              <w:t>st</w:t>
            </w:r>
            <w:r w:rsidRPr="007A4E7E">
              <w:rPr>
                <w:rFonts w:ascii="Arial Narrow" w:hAnsi="Arial Narrow" w:cs="Calibri"/>
                <w:color w:val="000000"/>
                <w:sz w:val="20"/>
                <w:szCs w:val="20"/>
              </w:rPr>
              <w:t xml:space="preserve"> success (60%)</w:t>
            </w:r>
          </w:p>
        </w:tc>
        <w:tc>
          <w:tcPr>
            <w:tcW w:w="1035" w:type="dxa"/>
            <w:tcBorders>
              <w:top w:val="nil"/>
              <w:left w:val="nil"/>
              <w:bottom w:val="single" w:sz="4" w:space="0" w:color="auto"/>
              <w:right w:val="single" w:sz="4" w:space="0" w:color="auto"/>
            </w:tcBorders>
            <w:shd w:val="clear" w:color="auto" w:fill="auto"/>
            <w:noWrap/>
            <w:vAlign w:val="center"/>
            <w:hideMark/>
          </w:tcPr>
          <w:p w14:paraId="5FEBA120" w14:textId="6D4B1351"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7"/>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7"/>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7"/>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6" w:type="dxa"/>
            <w:tcBorders>
              <w:top w:val="nil"/>
              <w:left w:val="nil"/>
              <w:bottom w:val="single" w:sz="4" w:space="0" w:color="auto"/>
              <w:right w:val="single" w:sz="4" w:space="0" w:color="auto"/>
            </w:tcBorders>
            <w:shd w:val="clear" w:color="auto" w:fill="auto"/>
            <w:noWrap/>
            <w:vAlign w:val="center"/>
            <w:hideMark/>
          </w:tcPr>
          <w:p w14:paraId="6D9136FE" w14:textId="450AE18B"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6"/>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6"/>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6"/>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76F79D77" w14:textId="133451C4"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5"/>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5"/>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5"/>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4" w:type="dxa"/>
            <w:tcBorders>
              <w:top w:val="nil"/>
              <w:left w:val="nil"/>
              <w:bottom w:val="single" w:sz="4" w:space="0" w:color="auto"/>
              <w:right w:val="single" w:sz="4" w:space="0" w:color="auto"/>
            </w:tcBorders>
            <w:shd w:val="clear" w:color="auto" w:fill="auto"/>
            <w:noWrap/>
            <w:vAlign w:val="center"/>
            <w:hideMark/>
          </w:tcPr>
          <w:p w14:paraId="1460CD5A" w14:textId="29867381"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4"/>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4"/>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4"/>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60B2B78E" w14:textId="7F9958F2"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73"/>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73"/>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73"/>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4338B5D3" w14:textId="0D6A7D00"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72"/>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72"/>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72"/>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71A4476D" w14:textId="2721D47E"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88"/>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88"/>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88"/>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5</w:t>
            </w:r>
          </w:p>
        </w:tc>
        <w:tc>
          <w:tcPr>
            <w:tcW w:w="630" w:type="dxa"/>
            <w:tcBorders>
              <w:top w:val="nil"/>
              <w:left w:val="nil"/>
              <w:bottom w:val="single" w:sz="4" w:space="0" w:color="auto"/>
              <w:right w:val="single" w:sz="4" w:space="0" w:color="auto"/>
            </w:tcBorders>
            <w:shd w:val="clear" w:color="auto" w:fill="auto"/>
            <w:noWrap/>
            <w:vAlign w:val="center"/>
            <w:hideMark/>
          </w:tcPr>
          <w:p w14:paraId="46551064"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21%</w:t>
            </w:r>
          </w:p>
        </w:tc>
      </w:tr>
      <w:tr w:rsidR="007D00BA" w:rsidRPr="007A4E7E" w14:paraId="3429A780" w14:textId="77777777" w:rsidTr="00EA6DFD">
        <w:trPr>
          <w:trHeight w:val="20"/>
        </w:trPr>
        <w:tc>
          <w:tcPr>
            <w:tcW w:w="1162" w:type="dxa"/>
            <w:tcBorders>
              <w:top w:val="nil"/>
              <w:left w:val="single" w:sz="4" w:space="0" w:color="auto"/>
              <w:bottom w:val="single" w:sz="4" w:space="0" w:color="auto"/>
              <w:right w:val="single" w:sz="4" w:space="0" w:color="auto"/>
            </w:tcBorders>
            <w:shd w:val="clear" w:color="auto" w:fill="auto"/>
            <w:noWrap/>
            <w:vAlign w:val="center"/>
            <w:hideMark/>
          </w:tcPr>
          <w:p w14:paraId="0B9910C7" w14:textId="77777777" w:rsidR="007D00BA" w:rsidRPr="007A4E7E" w:rsidRDefault="007D00BA" w:rsidP="00EA6DFD">
            <w:pPr>
              <w:keepNext/>
              <w:keepLines/>
              <w:jc w:val="left"/>
              <w:rPr>
                <w:rFonts w:ascii="Arial Narrow" w:hAnsi="Arial Narrow" w:cs="Calibri"/>
                <w:color w:val="000000"/>
                <w:sz w:val="20"/>
                <w:szCs w:val="20"/>
              </w:rPr>
            </w:pPr>
            <w:r w:rsidRPr="007A4E7E">
              <w:rPr>
                <w:rFonts w:ascii="Arial Narrow" w:hAnsi="Arial Narrow" w:cs="Calibri"/>
                <w:color w:val="000000"/>
                <w:sz w:val="20"/>
                <w:szCs w:val="20"/>
              </w:rPr>
              <w:t>ACTH independent 1</w:t>
            </w:r>
            <w:r w:rsidRPr="007A4E7E">
              <w:rPr>
                <w:rFonts w:ascii="Arial Narrow" w:hAnsi="Arial Narrow" w:cs="Calibri"/>
                <w:color w:val="000000"/>
                <w:sz w:val="20"/>
                <w:szCs w:val="20"/>
                <w:vertAlign w:val="superscript"/>
              </w:rPr>
              <w:t>st</w:t>
            </w:r>
            <w:r w:rsidRPr="007A4E7E">
              <w:rPr>
                <w:rFonts w:ascii="Arial Narrow" w:hAnsi="Arial Narrow" w:cs="Calibri"/>
                <w:color w:val="000000"/>
                <w:sz w:val="20"/>
                <w:szCs w:val="20"/>
              </w:rPr>
              <w:t xml:space="preserve"> success (40%)</w:t>
            </w:r>
          </w:p>
        </w:tc>
        <w:tc>
          <w:tcPr>
            <w:tcW w:w="1035" w:type="dxa"/>
            <w:tcBorders>
              <w:top w:val="nil"/>
              <w:left w:val="nil"/>
              <w:bottom w:val="single" w:sz="4" w:space="0" w:color="auto"/>
              <w:right w:val="single" w:sz="4" w:space="0" w:color="auto"/>
            </w:tcBorders>
            <w:shd w:val="clear" w:color="auto" w:fill="auto"/>
            <w:noWrap/>
            <w:vAlign w:val="center"/>
            <w:hideMark/>
          </w:tcPr>
          <w:p w14:paraId="0A256B34" w14:textId="2210F4AB"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7"/>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7"/>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7"/>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6" w:type="dxa"/>
            <w:tcBorders>
              <w:top w:val="nil"/>
              <w:left w:val="nil"/>
              <w:bottom w:val="single" w:sz="4" w:space="0" w:color="auto"/>
              <w:right w:val="single" w:sz="4" w:space="0" w:color="auto"/>
            </w:tcBorders>
            <w:shd w:val="clear" w:color="auto" w:fill="auto"/>
            <w:noWrap/>
            <w:vAlign w:val="center"/>
            <w:hideMark/>
          </w:tcPr>
          <w:p w14:paraId="588E5340" w14:textId="2CF219EE"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6"/>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6"/>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6"/>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671CA247" w14:textId="42E67F69"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5"/>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5"/>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5"/>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4" w:type="dxa"/>
            <w:tcBorders>
              <w:top w:val="nil"/>
              <w:left w:val="nil"/>
              <w:bottom w:val="single" w:sz="4" w:space="0" w:color="auto"/>
              <w:right w:val="single" w:sz="4" w:space="0" w:color="auto"/>
            </w:tcBorders>
            <w:shd w:val="clear" w:color="auto" w:fill="auto"/>
            <w:noWrap/>
            <w:vAlign w:val="center"/>
            <w:hideMark/>
          </w:tcPr>
          <w:p w14:paraId="508A6A70" w14:textId="725B59C4"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4"/>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4"/>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4"/>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6922330F" w14:textId="5FC68142"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7" w:id="-962329083"/>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7" w:id="-962329083"/>
                <w14:textFill>
                  <w14:solidFill>
                    <w14:srgbClr w14:val="000000">
                      <w14:alpha w14:val="100000"/>
                    </w14:srgbClr>
                  </w14:solidFill>
                </w14:textFill>
              </w:rPr>
              <w:t>|</w:t>
            </w:r>
            <w:r w:rsidRPr="00DE6661">
              <w:rPr>
                <w:rFonts w:ascii="Arial Narrow" w:hAnsi="Arial Narrow" w:cs="Calibri" w:hint="eastAsia"/>
                <w:color w:val="000000"/>
                <w:spacing w:val="-8"/>
                <w:w w:val="15"/>
                <w:sz w:val="20"/>
                <w:szCs w:val="20"/>
                <w:shd w:val="solid" w:color="000000" w:fill="000000"/>
                <w:fitText w:val="57" w:id="-962329083"/>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600DC7A0" w14:textId="38FC9282" w:rsidR="007D00BA" w:rsidRPr="00914C1A" w:rsidRDefault="00DE6661" w:rsidP="00EA6DFD">
            <w:pPr>
              <w:keepNext/>
              <w:keepLines/>
              <w:jc w:val="center"/>
              <w:rPr>
                <w:rFonts w:ascii="Arial Narrow" w:hAnsi="Arial Narrow" w:cs="Calibri"/>
                <w:color w:val="000000"/>
                <w:sz w:val="20"/>
                <w:szCs w:val="20"/>
                <w:highlight w:val="lightGray"/>
              </w:rPr>
            </w:pPr>
            <w:r w:rsidRPr="00DE6661">
              <w:rPr>
                <w:rFonts w:ascii="Arial Narrow" w:hAnsi="Arial Narrow" w:cs="Calibri" w:hint="eastAsia"/>
                <w:color w:val="000000"/>
                <w:w w:val="15"/>
                <w:sz w:val="20"/>
                <w:szCs w:val="20"/>
                <w:shd w:val="solid" w:color="000000" w:fill="000000"/>
                <w:fitText w:val="56" w:id="-962329082"/>
                <w14:textFill>
                  <w14:solidFill>
                    <w14:srgbClr w14:val="000000">
                      <w14:alpha w14:val="100000"/>
                    </w14:srgbClr>
                  </w14:solidFill>
                </w14:textFill>
              </w:rPr>
              <w:t xml:space="preserve">　</w:t>
            </w:r>
            <w:r w:rsidRPr="00DE6661">
              <w:rPr>
                <w:rFonts w:ascii="Arial Narrow" w:hAnsi="Arial Narrow" w:cs="Calibri"/>
                <w:color w:val="000000"/>
                <w:w w:val="15"/>
                <w:sz w:val="20"/>
                <w:szCs w:val="20"/>
                <w:shd w:val="solid" w:color="000000" w:fill="000000"/>
                <w:fitText w:val="56" w:id="-962329082"/>
                <w14:textFill>
                  <w14:solidFill>
                    <w14:srgbClr w14:val="000000">
                      <w14:alpha w14:val="100000"/>
                    </w14:srgbClr>
                  </w14:solidFill>
                </w14:textFill>
              </w:rPr>
              <w:t>|</w:t>
            </w:r>
            <w:r w:rsidRPr="00DE6661">
              <w:rPr>
                <w:rFonts w:ascii="Arial Narrow" w:hAnsi="Arial Narrow" w:cs="Calibri" w:hint="eastAsia"/>
                <w:color w:val="000000"/>
                <w:spacing w:val="-9"/>
                <w:w w:val="15"/>
                <w:sz w:val="20"/>
                <w:szCs w:val="20"/>
                <w:shd w:val="solid" w:color="000000" w:fill="000000"/>
                <w:fitText w:val="56" w:id="-962329082"/>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nil"/>
              <w:left w:val="nil"/>
              <w:bottom w:val="single" w:sz="4" w:space="0" w:color="auto"/>
              <w:right w:val="single" w:sz="4" w:space="0" w:color="auto"/>
            </w:tcBorders>
            <w:shd w:val="clear" w:color="auto" w:fill="auto"/>
            <w:noWrap/>
            <w:vAlign w:val="center"/>
            <w:hideMark/>
          </w:tcPr>
          <w:p w14:paraId="0BB024A9" w14:textId="3C307DBA"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81"/>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81"/>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81"/>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6</w:t>
            </w:r>
          </w:p>
        </w:tc>
        <w:tc>
          <w:tcPr>
            <w:tcW w:w="630" w:type="dxa"/>
            <w:tcBorders>
              <w:top w:val="nil"/>
              <w:left w:val="nil"/>
              <w:bottom w:val="single" w:sz="4" w:space="0" w:color="auto"/>
              <w:right w:val="single" w:sz="4" w:space="0" w:color="auto"/>
            </w:tcBorders>
            <w:shd w:val="clear" w:color="auto" w:fill="auto"/>
            <w:noWrap/>
            <w:vAlign w:val="center"/>
            <w:hideMark/>
          </w:tcPr>
          <w:p w14:paraId="7F7B3192"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34%</w:t>
            </w:r>
          </w:p>
        </w:tc>
      </w:tr>
      <w:tr w:rsidR="007D00BA" w:rsidRPr="007A4E7E" w14:paraId="01B5C745" w14:textId="77777777" w:rsidTr="00EA6DFD">
        <w:trPr>
          <w:trHeight w:val="20"/>
        </w:trPr>
        <w:tc>
          <w:tcPr>
            <w:tcW w:w="9037" w:type="dxa"/>
            <w:gridSpan w:val="9"/>
            <w:tcBorders>
              <w:top w:val="nil"/>
              <w:left w:val="single" w:sz="4" w:space="0" w:color="auto"/>
              <w:bottom w:val="single" w:sz="4" w:space="0" w:color="auto"/>
              <w:right w:val="single" w:sz="4" w:space="0" w:color="auto"/>
            </w:tcBorders>
            <w:shd w:val="clear" w:color="auto" w:fill="auto"/>
            <w:noWrap/>
            <w:vAlign w:val="center"/>
          </w:tcPr>
          <w:p w14:paraId="3D0B9DE9" w14:textId="1886A9BC" w:rsidR="007D00BA" w:rsidRPr="007A4E7E" w:rsidRDefault="007D00BA" w:rsidP="00EA6DFD">
            <w:pPr>
              <w:keepNext/>
              <w:keepLines/>
              <w:rPr>
                <w:rFonts w:ascii="Arial Narrow" w:hAnsi="Arial Narrow" w:cs="Calibri"/>
                <w:b/>
                <w:bCs/>
                <w:color w:val="000000"/>
                <w:sz w:val="20"/>
                <w:szCs w:val="20"/>
              </w:rPr>
            </w:pPr>
            <w:r w:rsidRPr="007A4E7E">
              <w:rPr>
                <w:rFonts w:ascii="Arial Narrow" w:hAnsi="Arial Narrow" w:cs="Calibri"/>
                <w:b/>
                <w:bCs/>
                <w:color w:val="000000"/>
                <w:sz w:val="20"/>
                <w:szCs w:val="20"/>
              </w:rPr>
              <w:t>Uptake rate</w:t>
            </w:r>
            <w:r w:rsidR="006D45D9">
              <w:rPr>
                <w:rFonts w:ascii="Arial Narrow" w:hAnsi="Arial Narrow" w:cs="Calibri"/>
                <w:b/>
                <w:bCs/>
                <w:color w:val="000000"/>
                <w:sz w:val="20"/>
                <w:szCs w:val="20"/>
              </w:rPr>
              <w:t xml:space="preserve"> ($)</w:t>
            </w:r>
          </w:p>
        </w:tc>
      </w:tr>
      <w:tr w:rsidR="007D00BA" w:rsidRPr="007A4E7E" w14:paraId="08EA10DD" w14:textId="77777777" w:rsidTr="00EA6DFD">
        <w:trPr>
          <w:trHeight w:val="20"/>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A4A74" w14:textId="77777777" w:rsidR="007D00BA" w:rsidRPr="007A4E7E" w:rsidRDefault="007D00BA" w:rsidP="00EA6DFD">
            <w:pPr>
              <w:keepNext/>
              <w:keepLines/>
              <w:jc w:val="left"/>
              <w:rPr>
                <w:rFonts w:ascii="Arial Narrow" w:hAnsi="Arial Narrow" w:cs="Calibri"/>
                <w:iCs/>
                <w:color w:val="000000"/>
                <w:sz w:val="20"/>
                <w:szCs w:val="20"/>
                <w:vertAlign w:val="superscript"/>
              </w:rPr>
            </w:pPr>
            <w:r w:rsidRPr="007A4E7E">
              <w:rPr>
                <w:rFonts w:ascii="Arial Narrow" w:hAnsi="Arial Narrow" w:cs="Calibri"/>
                <w:iCs/>
                <w:color w:val="000000"/>
                <w:sz w:val="20"/>
                <w:szCs w:val="20"/>
              </w:rPr>
              <w:t xml:space="preserve">60% in year 1 </w:t>
            </w:r>
            <w:r w:rsidRPr="007A4E7E">
              <w:rPr>
                <w:rFonts w:ascii="Arial Narrow" w:hAnsi="Arial Narrow" w:cs="Calibri"/>
                <w:iCs/>
                <w:color w:val="000000"/>
                <w:sz w:val="20"/>
                <w:szCs w:val="20"/>
                <w:vertAlign w:val="superscript"/>
              </w:rPr>
              <w:t>a</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60F71A4F" w14:textId="315E97FF"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80"/>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80"/>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80"/>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6" w:type="dxa"/>
            <w:tcBorders>
              <w:top w:val="single" w:sz="4" w:space="0" w:color="auto"/>
              <w:left w:val="nil"/>
              <w:bottom w:val="single" w:sz="4" w:space="0" w:color="auto"/>
              <w:right w:val="single" w:sz="4" w:space="0" w:color="auto"/>
            </w:tcBorders>
            <w:shd w:val="clear" w:color="auto" w:fill="auto"/>
            <w:noWrap/>
            <w:vAlign w:val="center"/>
          </w:tcPr>
          <w:p w14:paraId="02B93533" w14:textId="49188488"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9"/>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9"/>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9"/>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163A999B" w14:textId="45E48909"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8"/>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8"/>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8"/>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4" w:type="dxa"/>
            <w:tcBorders>
              <w:top w:val="single" w:sz="4" w:space="0" w:color="auto"/>
              <w:left w:val="nil"/>
              <w:bottom w:val="single" w:sz="4" w:space="0" w:color="auto"/>
              <w:right w:val="single" w:sz="4" w:space="0" w:color="auto"/>
            </w:tcBorders>
            <w:shd w:val="clear" w:color="auto" w:fill="auto"/>
            <w:noWrap/>
            <w:vAlign w:val="center"/>
          </w:tcPr>
          <w:p w14:paraId="61238C00" w14:textId="0B61C932"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7"/>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7"/>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7"/>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2BBED1CA" w14:textId="1430192B"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7" w:id="-962329076"/>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7" w:id="-962329076"/>
                <w14:textFill>
                  <w14:solidFill>
                    <w14:srgbClr w14:val="000000">
                      <w14:alpha w14:val="100000"/>
                    </w14:srgbClr>
                  </w14:solidFill>
                </w14:textFill>
              </w:rPr>
              <w:t>|</w:t>
            </w:r>
            <w:r w:rsidRPr="00DE6661">
              <w:rPr>
                <w:rFonts w:ascii="Arial Narrow" w:hAnsi="Arial Narrow" w:cs="Calibri" w:hint="eastAsia"/>
                <w:iCs/>
                <w:color w:val="000000"/>
                <w:spacing w:val="-8"/>
                <w:w w:val="15"/>
                <w:sz w:val="20"/>
                <w:szCs w:val="20"/>
                <w:shd w:val="solid" w:color="000000" w:fill="000000"/>
                <w:fitText w:val="57" w:id="-962329076"/>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5282FA8A" w14:textId="2459BCC4"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5"/>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5"/>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5"/>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2</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05D256E7" w14:textId="65CEE44D" w:rsidR="007D00BA" w:rsidRPr="00914C1A" w:rsidRDefault="00DE6661" w:rsidP="00EA6DFD">
            <w:pPr>
              <w:keepNext/>
              <w:keepLines/>
              <w:jc w:val="center"/>
              <w:rPr>
                <w:rFonts w:ascii="Arial Narrow" w:hAnsi="Arial Narrow" w:cs="Calibri"/>
                <w:iCs/>
                <w:color w:val="000000"/>
                <w:sz w:val="20"/>
                <w:szCs w:val="20"/>
                <w:highlight w:val="lightGray"/>
              </w:rPr>
            </w:pPr>
            <w:r w:rsidRPr="00DE6661">
              <w:rPr>
                <w:rFonts w:ascii="Arial Narrow" w:hAnsi="Arial Narrow" w:cs="Calibri" w:hint="eastAsia"/>
                <w:iCs/>
                <w:color w:val="000000"/>
                <w:w w:val="15"/>
                <w:sz w:val="20"/>
                <w:szCs w:val="20"/>
                <w:shd w:val="solid" w:color="000000" w:fill="000000"/>
                <w:fitText w:val="56" w:id="-962329074"/>
                <w14:textFill>
                  <w14:solidFill>
                    <w14:srgbClr w14:val="000000">
                      <w14:alpha w14:val="100000"/>
                    </w14:srgbClr>
                  </w14:solidFill>
                </w14:textFill>
              </w:rPr>
              <w:t xml:space="preserve">　</w:t>
            </w:r>
            <w:r w:rsidRPr="00DE6661">
              <w:rPr>
                <w:rFonts w:ascii="Arial Narrow" w:hAnsi="Arial Narrow" w:cs="Calibri"/>
                <w:iCs/>
                <w:color w:val="000000"/>
                <w:w w:val="15"/>
                <w:sz w:val="20"/>
                <w:szCs w:val="20"/>
                <w:shd w:val="solid" w:color="000000" w:fill="000000"/>
                <w:fitText w:val="56" w:id="-962329074"/>
                <w14:textFill>
                  <w14:solidFill>
                    <w14:srgbClr w14:val="000000">
                      <w14:alpha w14:val="100000"/>
                    </w14:srgbClr>
                  </w14:solidFill>
                </w14:textFill>
              </w:rPr>
              <w:t>|</w:t>
            </w:r>
            <w:r w:rsidRPr="00DE6661">
              <w:rPr>
                <w:rFonts w:ascii="Arial Narrow" w:hAnsi="Arial Narrow" w:cs="Calibri" w:hint="eastAsia"/>
                <w:iCs/>
                <w:color w:val="000000"/>
                <w:spacing w:val="-9"/>
                <w:w w:val="15"/>
                <w:sz w:val="20"/>
                <w:szCs w:val="20"/>
                <w:shd w:val="solid" w:color="000000" w:fill="000000"/>
                <w:fitText w:val="56" w:id="-962329074"/>
                <w14:textFill>
                  <w14:solidFill>
                    <w14:srgbClr w14:val="000000">
                      <w14:alpha w14:val="100000"/>
                    </w14:srgbClr>
                  </w14:solidFill>
                </w14:textFill>
              </w:rPr>
              <w:t xml:space="preserve">　</w:t>
            </w:r>
            <w:r w:rsidR="00A76086">
              <w:rPr>
                <w:rFonts w:ascii="Arial Narrow" w:hAnsi="Arial Narrow" w:cs="Calibri"/>
                <w:bCs/>
                <w:color w:val="000000"/>
                <w:sz w:val="20"/>
                <w:szCs w:val="20"/>
                <w:vertAlign w:val="superscript"/>
              </w:rPr>
              <w:t>3</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715C9C6E" w14:textId="77777777" w:rsidR="007D00BA" w:rsidRPr="007A4E7E" w:rsidRDefault="007D00BA" w:rsidP="00EA6DFD">
            <w:pPr>
              <w:keepNext/>
              <w:keepLines/>
              <w:jc w:val="center"/>
              <w:rPr>
                <w:rFonts w:ascii="Arial Narrow" w:hAnsi="Arial Narrow" w:cs="Calibri"/>
                <w:iCs/>
                <w:color w:val="000000"/>
                <w:sz w:val="20"/>
                <w:szCs w:val="20"/>
              </w:rPr>
            </w:pPr>
            <w:r w:rsidRPr="007A4E7E">
              <w:rPr>
                <w:rFonts w:ascii="Arial Narrow" w:hAnsi="Arial Narrow" w:cs="Calibri"/>
                <w:iCs/>
                <w:color w:val="000000"/>
                <w:sz w:val="20"/>
                <w:szCs w:val="20"/>
              </w:rPr>
              <w:t>8%</w:t>
            </w:r>
          </w:p>
        </w:tc>
      </w:tr>
    </w:tbl>
    <w:p w14:paraId="1695AD27" w14:textId="0CE1452F" w:rsidR="007D00BA" w:rsidRPr="007A4E7E" w:rsidRDefault="007D00BA" w:rsidP="007D00BA">
      <w:pPr>
        <w:pStyle w:val="FooterTableFigure"/>
        <w:keepNext/>
        <w:keepLines/>
      </w:pPr>
      <w:r w:rsidRPr="007A4E7E">
        <w:t>Source: Table 4.6.1 of the resubmission</w:t>
      </w:r>
    </w:p>
    <w:p w14:paraId="072073DC" w14:textId="77777777" w:rsidR="007D00BA" w:rsidRPr="007A4E7E" w:rsidRDefault="007D00BA" w:rsidP="007D00BA">
      <w:pPr>
        <w:pStyle w:val="FooterTableFigure"/>
        <w:keepNext/>
        <w:keepLines/>
      </w:pPr>
      <w:r w:rsidRPr="007A4E7E">
        <w:t>ACTH = adrenocorticotropic hormone; CD = Cushing’s disease; yr = year</w:t>
      </w:r>
    </w:p>
    <w:p w14:paraId="0309655D" w14:textId="2CDD4656" w:rsidR="007D00BA" w:rsidRDefault="007D00BA" w:rsidP="007D00BA">
      <w:pPr>
        <w:pStyle w:val="FooterTableFigure"/>
        <w:keepNext/>
        <w:keepLines/>
      </w:pPr>
      <w:r w:rsidRPr="007A4E7E">
        <w:rPr>
          <w:vertAlign w:val="superscript"/>
        </w:rPr>
        <w:t>a</w:t>
      </w:r>
      <w:r w:rsidRPr="007A4E7E">
        <w:t xml:space="preserve"> </w:t>
      </w:r>
      <w:r w:rsidR="00CE2EF0">
        <w:t xml:space="preserve">cumulative </w:t>
      </w:r>
      <w:r w:rsidRPr="007A4E7E">
        <w:t xml:space="preserve">uptake rate = </w:t>
      </w:r>
      <w:r w:rsidR="00DE6661" w:rsidRPr="00DE6661">
        <w:rPr>
          <w:color w:val="000000"/>
          <w:spacing w:val="40"/>
          <w:shd w:val="solid" w:color="000000" w:fill="000000"/>
          <w:fitText w:val="280" w:id="-962329073"/>
          <w14:textFill>
            <w14:solidFill>
              <w14:srgbClr w14:val="000000">
                <w14:alpha w14:val="100000"/>
              </w14:srgbClr>
            </w14:solidFill>
          </w14:textFill>
        </w:rPr>
        <w:t xml:space="preserve">|  </w:t>
      </w:r>
      <w:r w:rsidR="00DE6661" w:rsidRPr="00DE6661">
        <w:rPr>
          <w:color w:val="000000"/>
          <w:spacing w:val="2"/>
          <w:shd w:val="solid" w:color="000000" w:fill="000000"/>
          <w:fitText w:val="280" w:id="-962329073"/>
          <w14:textFill>
            <w14:solidFill>
              <w14:srgbClr w14:val="000000">
                <w14:alpha w14:val="100000"/>
              </w14:srgbClr>
            </w14:solidFill>
          </w14:textFill>
        </w:rPr>
        <w:t>|</w:t>
      </w:r>
      <w:r w:rsidR="00AF781A" w:rsidRPr="007A4E7E">
        <w:t xml:space="preserve">% </w:t>
      </w:r>
      <w:r w:rsidRPr="007A4E7E">
        <w:t xml:space="preserve">Year 1, </w:t>
      </w:r>
      <w:r w:rsidR="00DE6661" w:rsidRPr="00DE6661">
        <w:rPr>
          <w:color w:val="000000"/>
          <w:spacing w:val="33"/>
          <w:shd w:val="solid" w:color="000000" w:fill="000000"/>
          <w:fitText w:val="260" w:id="-962329072"/>
          <w14:textFill>
            <w14:solidFill>
              <w14:srgbClr w14:val="000000">
                <w14:alpha w14:val="100000"/>
              </w14:srgbClr>
            </w14:solidFill>
          </w14:textFill>
        </w:rPr>
        <w:t xml:space="preserve">|  </w:t>
      </w:r>
      <w:r w:rsidR="00DE6661" w:rsidRPr="00DE6661">
        <w:rPr>
          <w:color w:val="000000"/>
          <w:spacing w:val="3"/>
          <w:shd w:val="solid" w:color="000000" w:fill="000000"/>
          <w:fitText w:val="260" w:id="-962329072"/>
          <w14:textFill>
            <w14:solidFill>
              <w14:srgbClr w14:val="000000">
                <w14:alpha w14:val="100000"/>
              </w14:srgbClr>
            </w14:solidFill>
          </w14:textFill>
        </w:rPr>
        <w:t>|</w:t>
      </w:r>
      <w:r w:rsidRPr="007A4E7E">
        <w:t xml:space="preserve">% Year 2, </w:t>
      </w:r>
      <w:r w:rsidR="00DE6661" w:rsidRPr="00DE6661">
        <w:rPr>
          <w:color w:val="000000"/>
          <w:spacing w:val="40"/>
          <w:shd w:val="solid" w:color="000000" w:fill="000000"/>
          <w:fitText w:val="279" w:id="-962329088"/>
          <w14:textFill>
            <w14:solidFill>
              <w14:srgbClr w14:val="000000">
                <w14:alpha w14:val="100000"/>
              </w14:srgbClr>
            </w14:solidFill>
          </w14:textFill>
        </w:rPr>
        <w:t xml:space="preserve">|  </w:t>
      </w:r>
      <w:r w:rsidR="00DE6661" w:rsidRPr="00DE6661">
        <w:rPr>
          <w:color w:val="000000"/>
          <w:spacing w:val="1"/>
          <w:shd w:val="solid" w:color="000000" w:fill="000000"/>
          <w:fitText w:val="279" w:id="-962329088"/>
          <w14:textFill>
            <w14:solidFill>
              <w14:srgbClr w14:val="000000">
                <w14:alpha w14:val="100000"/>
              </w14:srgbClr>
            </w14:solidFill>
          </w14:textFill>
        </w:rPr>
        <w:t>|</w:t>
      </w:r>
      <w:r w:rsidRPr="007A4E7E">
        <w:t>% Year 3+</w:t>
      </w:r>
    </w:p>
    <w:p w14:paraId="0FB85331" w14:textId="77777777" w:rsidR="006D45D9" w:rsidRPr="00914C1A" w:rsidRDefault="006D45D9" w:rsidP="006D45D9">
      <w:pPr>
        <w:pStyle w:val="FooterTableFigure"/>
        <w:keepNext/>
        <w:keepLines/>
        <w:rPr>
          <w:i/>
          <w:iCs/>
        </w:rPr>
      </w:pPr>
      <w:r w:rsidRPr="00914C1A">
        <w:rPr>
          <w:i/>
          <w:iCs/>
        </w:rPr>
        <w:t xml:space="preserve">The redacted values correspond to the following ranges: </w:t>
      </w:r>
    </w:p>
    <w:p w14:paraId="2D5C374C" w14:textId="6EFB77A4" w:rsidR="006D45D9" w:rsidRPr="00914C1A" w:rsidRDefault="006D45D9" w:rsidP="006D45D9">
      <w:pPr>
        <w:pStyle w:val="FooterTableFigure"/>
        <w:keepNext/>
        <w:keepLines/>
        <w:rPr>
          <w:i/>
          <w:iCs/>
        </w:rPr>
      </w:pPr>
      <w:r w:rsidRPr="00914C1A">
        <w:rPr>
          <w:i/>
          <w:iCs/>
          <w:vertAlign w:val="superscript"/>
        </w:rPr>
        <w:t xml:space="preserve">1 </w:t>
      </w:r>
      <w:r w:rsidRPr="00914C1A">
        <w:rPr>
          <w:i/>
          <w:iCs/>
        </w:rPr>
        <w:t>$0 to &lt; $10 million</w:t>
      </w:r>
    </w:p>
    <w:p w14:paraId="45C236CD" w14:textId="7230856B" w:rsidR="006D45D9" w:rsidRPr="00914C1A" w:rsidRDefault="006D45D9" w:rsidP="006D45D9">
      <w:pPr>
        <w:pStyle w:val="FooterTableFigure"/>
        <w:keepNext/>
        <w:keepLines/>
        <w:rPr>
          <w:i/>
          <w:iCs/>
        </w:rPr>
      </w:pPr>
      <w:r w:rsidRPr="00914C1A">
        <w:rPr>
          <w:i/>
          <w:iCs/>
          <w:vertAlign w:val="superscript"/>
        </w:rPr>
        <w:t>2</w:t>
      </w:r>
      <w:r w:rsidRPr="00914C1A">
        <w:rPr>
          <w:i/>
          <w:iCs/>
        </w:rPr>
        <w:t xml:space="preserve"> $10 million to &lt; $20 million</w:t>
      </w:r>
    </w:p>
    <w:p w14:paraId="46BD284B" w14:textId="5A5B4FD6" w:rsidR="006D45D9" w:rsidRPr="00914C1A" w:rsidRDefault="006D45D9" w:rsidP="006D45D9">
      <w:pPr>
        <w:pStyle w:val="FooterTableFigure"/>
        <w:keepNext/>
        <w:keepLines/>
        <w:rPr>
          <w:i/>
          <w:iCs/>
        </w:rPr>
      </w:pPr>
      <w:r w:rsidRPr="00914C1A">
        <w:rPr>
          <w:i/>
          <w:iCs/>
          <w:vertAlign w:val="superscript"/>
        </w:rPr>
        <w:t>3</w:t>
      </w:r>
      <w:r w:rsidRPr="00914C1A">
        <w:rPr>
          <w:i/>
          <w:iCs/>
        </w:rPr>
        <w:t xml:space="preserve"> $60 million to &lt; $70 million</w:t>
      </w:r>
    </w:p>
    <w:p w14:paraId="61BFAC92" w14:textId="5554D5A2" w:rsidR="006D45D9" w:rsidRPr="00914C1A" w:rsidRDefault="006D45D9" w:rsidP="006D45D9">
      <w:pPr>
        <w:pStyle w:val="FooterTableFigure"/>
        <w:keepNext/>
        <w:keepLines/>
        <w:rPr>
          <w:i/>
          <w:iCs/>
        </w:rPr>
      </w:pPr>
      <w:r w:rsidRPr="00914C1A">
        <w:rPr>
          <w:i/>
          <w:iCs/>
          <w:vertAlign w:val="superscript"/>
        </w:rPr>
        <w:t xml:space="preserve">4 </w:t>
      </w:r>
      <w:r w:rsidRPr="00914C1A">
        <w:rPr>
          <w:i/>
          <w:iCs/>
        </w:rPr>
        <w:t>$50 million to &lt; $60 million</w:t>
      </w:r>
    </w:p>
    <w:p w14:paraId="114C4963" w14:textId="395C5F23" w:rsidR="006D45D9" w:rsidRPr="00914C1A" w:rsidRDefault="006D45D9" w:rsidP="006D45D9">
      <w:pPr>
        <w:pStyle w:val="FooterTableFigure"/>
        <w:keepNext/>
        <w:keepLines/>
        <w:rPr>
          <w:i/>
          <w:iCs/>
        </w:rPr>
      </w:pPr>
      <w:r w:rsidRPr="00914C1A">
        <w:rPr>
          <w:i/>
          <w:iCs/>
          <w:vertAlign w:val="superscript"/>
        </w:rPr>
        <w:t xml:space="preserve">5 </w:t>
      </w:r>
      <w:r w:rsidRPr="00914C1A">
        <w:rPr>
          <w:i/>
          <w:iCs/>
        </w:rPr>
        <w:t>$70 million to &lt; $80 million</w:t>
      </w:r>
    </w:p>
    <w:p w14:paraId="74A37F7B" w14:textId="2A35F49B" w:rsidR="006D45D9" w:rsidRPr="00914C1A" w:rsidRDefault="006D45D9" w:rsidP="006D45D9">
      <w:pPr>
        <w:pStyle w:val="FooterTableFigure"/>
        <w:keepNext/>
        <w:keepLines/>
        <w:rPr>
          <w:i/>
          <w:iCs/>
        </w:rPr>
      </w:pPr>
      <w:r w:rsidRPr="00914C1A">
        <w:rPr>
          <w:i/>
          <w:iCs/>
          <w:vertAlign w:val="superscript"/>
        </w:rPr>
        <w:t>6</w:t>
      </w:r>
      <w:r w:rsidRPr="00914C1A">
        <w:rPr>
          <w:i/>
          <w:iCs/>
        </w:rPr>
        <w:t xml:space="preserve"> $80 million to &lt; $90 million</w:t>
      </w:r>
    </w:p>
    <w:p w14:paraId="7EA3FA75" w14:textId="1C10581D" w:rsidR="006D45D9" w:rsidRPr="007A4E7E" w:rsidRDefault="006D45D9" w:rsidP="00914C1A">
      <w:pPr>
        <w:pStyle w:val="FooterTableFigure"/>
      </w:pPr>
      <w:r w:rsidRPr="00914C1A">
        <w:rPr>
          <w:i/>
          <w:iCs/>
          <w:vertAlign w:val="superscript"/>
        </w:rPr>
        <w:t>7</w:t>
      </w:r>
      <w:r w:rsidRPr="00914C1A">
        <w:rPr>
          <w:i/>
          <w:iCs/>
        </w:rPr>
        <w:t xml:space="preserve"> $</w:t>
      </w:r>
      <w:r w:rsidR="00596F60" w:rsidRPr="00914C1A">
        <w:rPr>
          <w:i/>
          <w:iCs/>
        </w:rPr>
        <w:t>3</w:t>
      </w:r>
      <w:r w:rsidRPr="00914C1A">
        <w:rPr>
          <w:i/>
          <w:iCs/>
        </w:rPr>
        <w:t>0 million to &lt; $</w:t>
      </w:r>
      <w:r w:rsidR="00596F60" w:rsidRPr="00914C1A">
        <w:rPr>
          <w:i/>
          <w:iCs/>
        </w:rPr>
        <w:t>4</w:t>
      </w:r>
      <w:r w:rsidRPr="00914C1A">
        <w:rPr>
          <w:i/>
          <w:iCs/>
        </w:rPr>
        <w:t>0 million</w:t>
      </w:r>
    </w:p>
    <w:p w14:paraId="1A825B3B" w14:textId="3A11018A" w:rsidR="007D00BA" w:rsidRPr="007A4E7E" w:rsidRDefault="007D00BA" w:rsidP="007D00BA">
      <w:pPr>
        <w:pStyle w:val="ExecSumBodyText"/>
        <w:numPr>
          <w:ilvl w:val="1"/>
          <w:numId w:val="1"/>
        </w:numPr>
      </w:pPr>
      <w:r w:rsidRPr="007A4E7E">
        <w:lastRenderedPageBreak/>
        <w:t>Similarly noted in the March 2023 meeting (paragraph 6.45, osilodrostat, PSD, March</w:t>
      </w:r>
      <w:r w:rsidR="003D0B06">
        <w:t> </w:t>
      </w:r>
      <w:r w:rsidRPr="007A4E7E">
        <w:t>2023 PBAC meeting), the financial estimates were sensitive to:</w:t>
      </w:r>
    </w:p>
    <w:p w14:paraId="15F2B3FD" w14:textId="77777777" w:rsidR="007D00BA" w:rsidRPr="007A4E7E" w:rsidRDefault="007D00BA" w:rsidP="007D00BA">
      <w:pPr>
        <w:pStyle w:val="ListBullet"/>
        <w:spacing w:after="120"/>
        <w:ind w:left="1134" w:hanging="425"/>
        <w:contextualSpacing w:val="0"/>
      </w:pPr>
      <w:r w:rsidRPr="007A4E7E">
        <w:t>The prevalence rate (upper and lower limits) which led to -13% to +16% change in total costs; and</w:t>
      </w:r>
    </w:p>
    <w:p w14:paraId="1AEFBB51" w14:textId="77777777" w:rsidR="007D00BA" w:rsidRPr="007A4E7E" w:rsidRDefault="007D00BA" w:rsidP="007D00BA">
      <w:pPr>
        <w:pStyle w:val="ListBullet"/>
        <w:spacing w:after="120"/>
        <w:ind w:left="1134" w:hanging="425"/>
        <w:contextualSpacing w:val="0"/>
      </w:pPr>
      <w:r w:rsidRPr="007A4E7E">
        <w:t>Variations in the surgery rate and surgery success. The resubmission varied the surgery success rate by large magnitudes (&gt;20% from the base case):</w:t>
      </w:r>
    </w:p>
    <w:p w14:paraId="79F1D40F" w14:textId="77777777" w:rsidR="007D00BA" w:rsidRPr="007A4E7E" w:rsidRDefault="007D00BA" w:rsidP="007D00BA">
      <w:pPr>
        <w:pStyle w:val="ListParagraph"/>
        <w:numPr>
          <w:ilvl w:val="0"/>
          <w:numId w:val="7"/>
        </w:numPr>
        <w:ind w:left="1560" w:hanging="426"/>
      </w:pPr>
      <w:r w:rsidRPr="007A4E7E">
        <w:t>Changing the 1</w:t>
      </w:r>
      <w:r w:rsidRPr="007A4E7E">
        <w:rPr>
          <w:vertAlign w:val="superscript"/>
        </w:rPr>
        <w:t>st</w:t>
      </w:r>
      <w:r w:rsidRPr="007A4E7E">
        <w:t xml:space="preserve"> surgery success in the CD sub</w:t>
      </w:r>
      <w:r w:rsidRPr="007A4E7E">
        <w:noBreakHyphen/>
        <w:t>population from 60% (base case) to 80% and 40% led to -35% and +35% change in total costs. This large impact was expected given the CD sub-population contributed to the majority of the patient population (70%);</w:t>
      </w:r>
    </w:p>
    <w:p w14:paraId="4D614826" w14:textId="77777777" w:rsidR="007D00BA" w:rsidRPr="007A4E7E" w:rsidRDefault="007D00BA" w:rsidP="007D00BA">
      <w:pPr>
        <w:pStyle w:val="ListParagraph"/>
        <w:numPr>
          <w:ilvl w:val="0"/>
          <w:numId w:val="7"/>
        </w:numPr>
        <w:ind w:left="1560" w:hanging="426"/>
      </w:pPr>
      <w:r w:rsidRPr="007A4E7E">
        <w:t>Decreasing the 1</w:t>
      </w:r>
      <w:r w:rsidRPr="007A4E7E">
        <w:rPr>
          <w:vertAlign w:val="superscript"/>
        </w:rPr>
        <w:t>st</w:t>
      </w:r>
      <w:r w:rsidRPr="007A4E7E">
        <w:t xml:space="preserve"> surgery success rate in the ACTH independent sub-population from 95% (base case) to 60% and 40% led to 21% to 34% increase in total costs, respectively; and</w:t>
      </w:r>
    </w:p>
    <w:p w14:paraId="2819A7A8" w14:textId="77777777" w:rsidR="007D00BA" w:rsidRPr="004304DF" w:rsidRDefault="007D00BA" w:rsidP="007D00BA">
      <w:pPr>
        <w:pStyle w:val="ListParagraph"/>
        <w:numPr>
          <w:ilvl w:val="0"/>
          <w:numId w:val="7"/>
        </w:numPr>
        <w:ind w:left="1560" w:hanging="426"/>
      </w:pPr>
      <w:r w:rsidRPr="007A4E7E">
        <w:t xml:space="preserve">Changes in the surgery success rate in Other ACTH dependent sub-population had minimal impacts on total costs given that the initial proportion eligible for surgery was small (50%) </w:t>
      </w:r>
      <w:r w:rsidRPr="004304DF">
        <w:t xml:space="preserve">compared to the other sub-populations. </w:t>
      </w:r>
    </w:p>
    <w:p w14:paraId="7B41A74D" w14:textId="72490574" w:rsidR="007D00BA" w:rsidRPr="007A4E7E" w:rsidRDefault="007D00BA" w:rsidP="007D00BA">
      <w:pPr>
        <w:pStyle w:val="ExecSumBodyText"/>
        <w:numPr>
          <w:ilvl w:val="1"/>
          <w:numId w:val="1"/>
        </w:numPr>
        <w:rPr>
          <w:iCs/>
        </w:rPr>
      </w:pPr>
      <w:r w:rsidRPr="004304DF">
        <w:rPr>
          <w:iCs/>
        </w:rPr>
        <w:t>Applying the uptake rate suggested by the DUSC (60% in Year 1) led to an 8% increase in total cost but led to substantial changes in individual years (50% increase in Year 1 then a 28% decrease in Year 6 compared</w:t>
      </w:r>
      <w:r w:rsidRPr="007A4E7E">
        <w:rPr>
          <w:iCs/>
        </w:rPr>
        <w:t xml:space="preserve"> to the base case). </w:t>
      </w:r>
    </w:p>
    <w:p w14:paraId="70538574" w14:textId="3974DD08" w:rsidR="007D00BA" w:rsidRPr="00914C1A" w:rsidRDefault="007D00BA" w:rsidP="00914C1A">
      <w:pPr>
        <w:pStyle w:val="ExecSumBodyText"/>
        <w:numPr>
          <w:ilvl w:val="1"/>
          <w:numId w:val="1"/>
        </w:numPr>
        <w:rPr>
          <w:sz w:val="18"/>
          <w:szCs w:val="18"/>
        </w:rPr>
      </w:pPr>
      <w:r w:rsidRPr="007A4E7E">
        <w:rPr>
          <w:iCs/>
        </w:rPr>
        <w:t>Generally, the surgical success rates, particularly in the CD and ACTH-independent sub</w:t>
      </w:r>
      <w:r w:rsidRPr="007A4E7E">
        <w:rPr>
          <w:iCs/>
        </w:rPr>
        <w:noBreakHyphen/>
        <w:t xml:space="preserve">populations remains a source of considerable uncertainty. As an uptake rate that was lower than what the DUSC recommended was assumed in the base case, the financial estimates </w:t>
      </w:r>
      <w:r w:rsidR="00564980">
        <w:rPr>
          <w:iCs/>
        </w:rPr>
        <w:t xml:space="preserve">in the initial years </w:t>
      </w:r>
      <w:r w:rsidRPr="007A4E7E">
        <w:rPr>
          <w:iCs/>
        </w:rPr>
        <w:t>remain potentially underestimated. In addition, the resubmission did not consider patients who may require higher dose</w:t>
      </w:r>
      <w:r w:rsidR="002C2453">
        <w:rPr>
          <w:iCs/>
        </w:rPr>
        <w:t>s</w:t>
      </w:r>
      <w:r w:rsidRPr="007A4E7E">
        <w:rPr>
          <w:iCs/>
        </w:rPr>
        <w:t xml:space="preserve"> over the 26-week titration period</w:t>
      </w:r>
      <w:r w:rsidR="00564980">
        <w:rPr>
          <w:iCs/>
        </w:rPr>
        <w:t>. There is</w:t>
      </w:r>
      <w:r w:rsidR="00C1108E">
        <w:rPr>
          <w:iCs/>
        </w:rPr>
        <w:t xml:space="preserve"> </w:t>
      </w:r>
      <w:r w:rsidR="00564980">
        <w:rPr>
          <w:iCs/>
        </w:rPr>
        <w:t>a</w:t>
      </w:r>
      <w:r w:rsidRPr="007A4E7E">
        <w:rPr>
          <w:iCs/>
        </w:rPr>
        <w:t xml:space="preserve"> potential </w:t>
      </w:r>
      <w:r w:rsidR="00564980">
        <w:rPr>
          <w:iCs/>
        </w:rPr>
        <w:t xml:space="preserve">for </w:t>
      </w:r>
      <w:r w:rsidRPr="007A4E7E">
        <w:rPr>
          <w:iCs/>
        </w:rPr>
        <w:t xml:space="preserve">use beyond the restriction (e.g., patients who do not achieve CR or PR but are potential candidates to be retreated under the initial treatment </w:t>
      </w:r>
      <w:r w:rsidR="00D53951" w:rsidRPr="007A4E7E">
        <w:rPr>
          <w:iCs/>
        </w:rPr>
        <w:t>restriction and</w:t>
      </w:r>
      <w:r w:rsidRPr="007A4E7E">
        <w:rPr>
          <w:iCs/>
        </w:rPr>
        <w:t xml:space="preserve"> </w:t>
      </w:r>
      <w:r w:rsidR="002C2453">
        <w:rPr>
          <w:iCs/>
        </w:rPr>
        <w:t>use in</w:t>
      </w:r>
      <w:r w:rsidRPr="007A4E7E">
        <w:rPr>
          <w:iCs/>
        </w:rPr>
        <w:t xml:space="preserve"> patients before and during radiotherapy and surgery).</w:t>
      </w:r>
    </w:p>
    <w:p w14:paraId="4F33A03C" w14:textId="77777777" w:rsidR="007D00BA" w:rsidRPr="007A4E7E" w:rsidRDefault="007D00BA" w:rsidP="007D00BA">
      <w:pPr>
        <w:pStyle w:val="4-SubsectionHeading"/>
      </w:pPr>
      <w:bookmarkStart w:id="66" w:name="_Toc156988663"/>
      <w:r w:rsidRPr="007A4E7E">
        <w:t>Quality Use of Medicines</w:t>
      </w:r>
      <w:bookmarkEnd w:id="66"/>
    </w:p>
    <w:p w14:paraId="0A97099F" w14:textId="5EACB4E7" w:rsidR="007D00BA" w:rsidRPr="007A4E7E" w:rsidRDefault="007D00BA" w:rsidP="007D00BA">
      <w:pPr>
        <w:pStyle w:val="ExecSumBodyText"/>
        <w:numPr>
          <w:ilvl w:val="1"/>
          <w:numId w:val="1"/>
        </w:numPr>
      </w:pPr>
      <w:r w:rsidRPr="007A4E7E">
        <w:t xml:space="preserve">The resubmission did not include a discussion of the quality use of medicines. </w:t>
      </w:r>
      <w:r w:rsidR="00D53951">
        <w:t>In regard to</w:t>
      </w:r>
      <w:r w:rsidR="00C55C46">
        <w:t xml:space="preserve"> the previous submission i</w:t>
      </w:r>
      <w:r w:rsidRPr="007A4E7E">
        <w:t>t was noted that “the submission did not include discussion of the quality use of medicines despite there being risks of hypercortisolism, glucocorticoid withdrawal syndrome, QT prolongation and interaction with enzymes which break down other drugs. The DUSC noted that these risks could be mitigated by keeping the listing as a speciality endocrinology prescriber base” (paragraph 6.48, osilodrostat, March 2023 PBAC meeting).</w:t>
      </w:r>
    </w:p>
    <w:p w14:paraId="5F58DAD9" w14:textId="77777777" w:rsidR="007D00BA" w:rsidRPr="007A4E7E" w:rsidRDefault="007D00BA" w:rsidP="007D00BA">
      <w:pPr>
        <w:pStyle w:val="ExecSumBodyText"/>
        <w:ind w:firstLine="0"/>
        <w:rPr>
          <w:i/>
          <w:iCs/>
        </w:rPr>
      </w:pPr>
      <w:r w:rsidRPr="007A4E7E">
        <w:rPr>
          <w:i/>
          <w:iCs/>
        </w:rPr>
        <w:t>For more detail on PBAC’s view, see section 7 PBAC outcome.</w:t>
      </w:r>
    </w:p>
    <w:p w14:paraId="6ED0989C" w14:textId="77777777" w:rsidR="007D00BA" w:rsidRPr="007A4E7E" w:rsidRDefault="007D00BA" w:rsidP="007D00BA">
      <w:pPr>
        <w:pStyle w:val="2-SectionHeading"/>
      </w:pPr>
      <w:bookmarkStart w:id="67" w:name="_Hlk76381249"/>
      <w:bookmarkStart w:id="68" w:name="_Hlk76377955"/>
      <w:r w:rsidRPr="007A4E7E">
        <w:lastRenderedPageBreak/>
        <w:t>PBAC Outcome</w:t>
      </w:r>
    </w:p>
    <w:p w14:paraId="537B9A72" w14:textId="20A16A5B" w:rsidR="007D00BA" w:rsidRPr="007A4E7E" w:rsidRDefault="007D00BA" w:rsidP="007D00BA">
      <w:pPr>
        <w:pStyle w:val="3-BodyText"/>
        <w:ind w:left="720" w:hanging="720"/>
      </w:pPr>
      <w:r w:rsidRPr="007A4E7E">
        <w:t xml:space="preserve">The PBAC did not recommend osilodrostat for the treatment of adult patients with endogenous Cushing’s syndrome (CS) who are not candidates for surgery or for whom surgery was not curative. The PBAC accepted that osilodrostat represented an effective therapy for a disease where high clinical need exists. </w:t>
      </w:r>
      <w:r w:rsidR="00D53951" w:rsidRPr="007A4E7E">
        <w:t>However, the</w:t>
      </w:r>
      <w:r w:rsidRPr="007A4E7E">
        <w:t xml:space="preserve"> PBAC considered that the economic model was not </w:t>
      </w:r>
      <w:r w:rsidR="00DE4D77">
        <w:t>informative</w:t>
      </w:r>
      <w:r w:rsidR="00564980" w:rsidRPr="007A4E7E">
        <w:t xml:space="preserve"> </w:t>
      </w:r>
      <w:r w:rsidRPr="007A4E7E">
        <w:t xml:space="preserve">for decision-making as it did not capture the important long-term quality of life benefits associated with osilodrostat, resulting in an unreliable </w:t>
      </w:r>
      <w:r w:rsidR="00564980">
        <w:t>and</w:t>
      </w:r>
      <w:r w:rsidRPr="007A4E7E">
        <w:t xml:space="preserve"> very high and uncertain cost effectiveness ratio. The PBAC noted that the pre-PBAC response provided an alternative economic analysis using an incremental cost per responder. The PBAC noted that responders to osilodrostat may continue on therapy long-term, although it is likely that clinicians will continue to look for a surgical solution and treatment may be ceased for this, or other reasons related to morbidities of CS. As such, it is unclear how long patients will remain on treatment with osilodrostat. The PBAC considered that as osilodrostat may be used as a chronic therapy, the incremental cost per responder should be closer to those previously accepted for </w:t>
      </w:r>
      <w:r w:rsidR="00564980">
        <w:t>longer term treatments</w:t>
      </w:r>
      <w:r w:rsidRPr="007A4E7E">
        <w:t xml:space="preserve">. It was also considered the value of a response had been inadequately supported in the resubmission. The PBAC advised that additional justification of the cost per responder approach was </w:t>
      </w:r>
      <w:r w:rsidR="00D53951" w:rsidRPr="007A4E7E">
        <w:t>required,</w:t>
      </w:r>
      <w:r w:rsidRPr="007A4E7E">
        <w:t xml:space="preserve"> and a resubmission would need to provide a stronger interpretation of the </w:t>
      </w:r>
      <w:r w:rsidR="004E7A80" w:rsidRPr="007A4E7E">
        <w:t>quality-of-life</w:t>
      </w:r>
      <w:r w:rsidRPr="007A4E7E">
        <w:t xml:space="preserve"> benefit of cortisol control in the short-term (up to one year), medium-term (2</w:t>
      </w:r>
      <w:r w:rsidRPr="007A4E7E">
        <w:sym w:font="Symbol" w:char="F02D"/>
      </w:r>
      <w:r w:rsidRPr="007A4E7E">
        <w:t xml:space="preserve">3 years) and long-term (beyond 3 years). </w:t>
      </w:r>
    </w:p>
    <w:p w14:paraId="47E0F855" w14:textId="3DB826CD" w:rsidR="007D00BA" w:rsidRPr="007A4E7E" w:rsidRDefault="007D00BA" w:rsidP="007D00BA">
      <w:pPr>
        <w:pStyle w:val="ExecSumBodyText"/>
        <w:numPr>
          <w:ilvl w:val="1"/>
          <w:numId w:val="1"/>
        </w:numPr>
        <w:rPr>
          <w:rFonts w:ascii="Calibri" w:hAnsi="Calibri" w:cs="Calibri"/>
          <w:color w:val="000000"/>
          <w:lang w:eastAsia="en-GB"/>
        </w:rPr>
      </w:pPr>
      <w:r w:rsidRPr="007A4E7E">
        <w:t xml:space="preserve">The PBAC acknowledged that there was a high clinical need for new therapies for CS, due to high morbidity associated with the condition and given there is no PBS listed medicine for this condition. The PBAC recognised the multiple challenges associated with diagnosis and management of CS, which include difficulties in accessing neurosurgeons in certain regions, the risk of surgical failure and recurrence, complications such as Nelson’s syndrome following </w:t>
      </w:r>
      <w:r w:rsidR="00556BAF">
        <w:t>bilateral adrenalectomy</w:t>
      </w:r>
      <w:r w:rsidRPr="007A4E7E">
        <w:t xml:space="preserve">, and the challenges in locating ectopic tumours. In addition, the PBAC noted slow return to normal function with radiation therapy and toxicities associated with off-label oral therapies such as metyrapone and ketoconazole. As such, the PBAC highlighted that there is a high clinical need for novel effective medical therapies for CS. </w:t>
      </w:r>
    </w:p>
    <w:p w14:paraId="1CA3A475" w14:textId="1BE4C192" w:rsidR="007D00BA" w:rsidRPr="007A4E7E" w:rsidRDefault="007D00BA" w:rsidP="007D00BA">
      <w:pPr>
        <w:pStyle w:val="ExecSumBodyText"/>
        <w:numPr>
          <w:ilvl w:val="1"/>
          <w:numId w:val="1"/>
        </w:numPr>
        <w:rPr>
          <w:rFonts w:ascii="Calibri" w:hAnsi="Calibri" w:cs="Calibri"/>
          <w:color w:val="000000"/>
          <w:lang w:eastAsia="en-GB"/>
        </w:rPr>
      </w:pPr>
      <w:r w:rsidRPr="007A4E7E">
        <w:t xml:space="preserve">The PBAC further highlighted that the management of CS is complex with the primary aim being surgical clearance of either </w:t>
      </w:r>
      <w:r w:rsidR="009E03DA">
        <w:t xml:space="preserve">a </w:t>
      </w:r>
      <w:r w:rsidRPr="007A4E7E">
        <w:t xml:space="preserve">pituitary adenoma or </w:t>
      </w:r>
      <w:r w:rsidR="009E03DA">
        <w:t xml:space="preserve">an </w:t>
      </w:r>
      <w:r w:rsidRPr="007A4E7E">
        <w:t>ectopic</w:t>
      </w:r>
      <w:r w:rsidR="009E03DA">
        <w:t xml:space="preserve"> ACTH producing</w:t>
      </w:r>
      <w:r w:rsidRPr="007A4E7E">
        <w:t xml:space="preserve"> tumour. In cases where surgical intervention </w:t>
      </w:r>
      <w:r w:rsidR="009E03DA">
        <w:t>is unsuccessful</w:t>
      </w:r>
      <w:r w:rsidRPr="007A4E7E">
        <w:t xml:space="preserve">, medical therapy may be used as an interim measure until </w:t>
      </w:r>
      <w:r w:rsidR="009E03DA">
        <w:t xml:space="preserve">repeat surgery is attempted or where </w:t>
      </w:r>
      <w:r w:rsidRPr="007A4E7E">
        <w:t xml:space="preserve">further imaging </w:t>
      </w:r>
      <w:r w:rsidR="009E03DA">
        <w:t>locates an elusive ectopic ACTH producing tumour which may be amenable to surgical resection</w:t>
      </w:r>
      <w:r w:rsidRPr="007A4E7E">
        <w:t xml:space="preserve">. As such, the PBAC considered that the duration of treatment with osilodrostat may vary from life-long to time-limited duration if the tumour is identified at a later stage. </w:t>
      </w:r>
    </w:p>
    <w:p w14:paraId="4CE8CC3C" w14:textId="77777777" w:rsidR="007D00BA" w:rsidRPr="007A4E7E" w:rsidRDefault="007D00BA" w:rsidP="007D00BA">
      <w:pPr>
        <w:pStyle w:val="3-BodyText"/>
        <w:ind w:left="720" w:hanging="720"/>
      </w:pPr>
      <w:r w:rsidRPr="007A4E7E">
        <w:t xml:space="preserve">The PBAC noted </w:t>
      </w:r>
      <w:r w:rsidRPr="00314698">
        <w:t xml:space="preserve">the consumer comments were supportive of making osilodrostat available on the PBS as a treatment option. The PBAC noted that the benefits, as </w:t>
      </w:r>
      <w:r w:rsidRPr="00314698">
        <w:lastRenderedPageBreak/>
        <w:t>described by the consumers, included significant improvement in quality of life such as ability to work, ability to participate in family life and maintaining relationships, overall improvement in mental and emotional well-being; significant improvement in associated morbidities such as diabetes, osteoporosis, hypertension, coagulation, skin changes and psychiatric impact. The PBAC acknowledged that the clinician hearing highlighted the challenges associated with diagnosis, limited therapeutic options and the need for effective therapies.</w:t>
      </w:r>
    </w:p>
    <w:p w14:paraId="0FF53DB9" w14:textId="462EE259" w:rsidR="008414D9" w:rsidRPr="008414D9" w:rsidRDefault="007D00BA" w:rsidP="007D00BA">
      <w:pPr>
        <w:pStyle w:val="ExecSumBodyText"/>
        <w:numPr>
          <w:ilvl w:val="1"/>
          <w:numId w:val="1"/>
        </w:numPr>
        <w:rPr>
          <w:i/>
          <w:iCs/>
        </w:rPr>
      </w:pPr>
      <w:r w:rsidRPr="007A4E7E">
        <w:t xml:space="preserve">The PBAC noted the changes to the requested restriction in the resubmission presented in paragraph </w:t>
      </w:r>
      <w:r w:rsidRPr="007A4E7E">
        <w:fldChar w:fldCharType="begin" w:fldLock="1"/>
      </w:r>
      <w:r w:rsidRPr="007A4E7E">
        <w:instrText xml:space="preserve"> REF _Ref163144109 \r \h </w:instrText>
      </w:r>
      <w:r w:rsidRPr="007A4E7E">
        <w:fldChar w:fldCharType="separate"/>
      </w:r>
      <w:r w:rsidR="00043D39">
        <w:t>3.3</w:t>
      </w:r>
      <w:r w:rsidRPr="007A4E7E">
        <w:fldChar w:fldCharType="end"/>
      </w:r>
      <w:r w:rsidRPr="007A4E7E">
        <w:t xml:space="preserve">. These changes include having a mUFC&gt;1.3 x upper limit of normal (ULN) based on two urine samples instead of three samples; increasing initial treatment period to 6 months from 12 weeks; allowing partial response as an eligibility for continuing treatment. The PBAC noted the rationale for these changes and the support from the clinician in the sponsor hearing (see paragraph </w:t>
      </w:r>
      <w:r w:rsidRPr="007A4E7E">
        <w:fldChar w:fldCharType="begin" w:fldLock="1"/>
      </w:r>
      <w:r w:rsidRPr="007A4E7E">
        <w:instrText xml:space="preserve"> REF _Ref163463786 \r \h </w:instrText>
      </w:r>
      <w:r w:rsidRPr="007A4E7E">
        <w:fldChar w:fldCharType="separate"/>
      </w:r>
      <w:r w:rsidR="00043D39">
        <w:t>6.1</w:t>
      </w:r>
      <w:r w:rsidRPr="007A4E7E">
        <w:fldChar w:fldCharType="end"/>
      </w:r>
      <w:r w:rsidRPr="007A4E7E">
        <w:t xml:space="preserve">) and considered that these changes were reasonable, aligning better with the clinical practice. </w:t>
      </w:r>
    </w:p>
    <w:p w14:paraId="7623D3DE" w14:textId="043C0418" w:rsidR="00D95EFA" w:rsidRPr="00D95EFA" w:rsidRDefault="00411779" w:rsidP="007D00BA">
      <w:pPr>
        <w:pStyle w:val="ExecSumBodyText"/>
        <w:numPr>
          <w:ilvl w:val="1"/>
          <w:numId w:val="1"/>
        </w:numPr>
        <w:rPr>
          <w:i/>
          <w:iCs/>
        </w:rPr>
      </w:pPr>
      <w:bookmarkStart w:id="69" w:name="_Hlk164152087"/>
      <w:r>
        <w:t xml:space="preserve">The PBAC noted that the assessment of response should be conducted after </w:t>
      </w:r>
      <w:r w:rsidR="00D95EFA">
        <w:t>26</w:t>
      </w:r>
      <w:r>
        <w:t xml:space="preserve"> weeks </w:t>
      </w:r>
      <w:r w:rsidR="00EB72DD">
        <w:t>f</w:t>
      </w:r>
      <w:r>
        <w:t>rom start of therapy,</w:t>
      </w:r>
      <w:r w:rsidR="00D95EFA">
        <w:t xml:space="preserve"> with up to 6 repeats in initial and GF phase to allow adequate supply. </w:t>
      </w:r>
      <w:r w:rsidR="00F768D2" w:rsidRPr="00F768D2">
        <w:t>The PBAC also considered that a clinical criterion for patients transitioning to osilodrostat after improvement in UFC level with other non-PBS subsidised therapies such as ketoconazole and metyrapone should be added to the initial restriction.</w:t>
      </w:r>
      <w:r w:rsidR="00F768D2">
        <w:t xml:space="preserve"> Similarly, t</w:t>
      </w:r>
      <w:r w:rsidR="00F768D2" w:rsidRPr="00F768D2">
        <w:t xml:space="preserve">he PBAC also considered that the grandfather (GF) patients transitioning from non-PBS subsidised treatment </w:t>
      </w:r>
      <w:r w:rsidR="00F768D2">
        <w:t>to</w:t>
      </w:r>
      <w:r w:rsidR="00F768D2" w:rsidRPr="00F768D2">
        <w:t xml:space="preserve"> osilodrostat should have had mUFC &gt;1.3 times ULN at the time non-PBS subsidised osilodrostat was commenced in the GF treatment phase. </w:t>
      </w:r>
      <w:r w:rsidR="00D95EFA">
        <w:t>The PBAC also noted that this criterion should be considered as a balanced approach</w:t>
      </w:r>
      <w:r w:rsidR="008414D9">
        <w:t>, allowing for clinical judgement. The PBAC further considered that given the complexity of titration of doses and close monitoring, treatment should be limited to endocrinologists.</w:t>
      </w:r>
    </w:p>
    <w:bookmarkEnd w:id="69"/>
    <w:p w14:paraId="23B0796B" w14:textId="77777777" w:rsidR="007D00BA" w:rsidRPr="007A4E7E" w:rsidRDefault="007D00BA" w:rsidP="007D00BA">
      <w:pPr>
        <w:pStyle w:val="3-BodyText"/>
        <w:ind w:left="720" w:hanging="720"/>
      </w:pPr>
      <w:r w:rsidRPr="007A4E7E">
        <w:t>The PBAC reaffirmed its previous consideration that the placebo comparator was the most relevant given that ketoconazole was deregistered by the TGA and metyrapone was used as an off-label therapy (p</w:t>
      </w:r>
      <w:r w:rsidRPr="007A4E7E">
        <w:rPr>
          <w:bCs/>
        </w:rPr>
        <w:t>aragraph 7.5, osilodrostat, PSD, March 2023 PBAC meeting)</w:t>
      </w:r>
      <w:r w:rsidRPr="007A4E7E">
        <w:t>.</w:t>
      </w:r>
    </w:p>
    <w:p w14:paraId="442EB95D" w14:textId="68186EA7" w:rsidR="007D00BA" w:rsidRPr="007A4E7E" w:rsidRDefault="007D00BA" w:rsidP="007D00BA">
      <w:pPr>
        <w:pStyle w:val="ExecSumBodyText"/>
        <w:numPr>
          <w:ilvl w:val="1"/>
          <w:numId w:val="1"/>
        </w:numPr>
        <w:rPr>
          <w:rFonts w:eastAsia="Calibri"/>
          <w:iCs/>
        </w:rPr>
      </w:pPr>
      <w:r w:rsidRPr="007A4E7E">
        <w:t>The PBAC noted the comparative evidence between osilodrostat and placebo was the same as the previous submission. This comparison was based on 2 randomised placebo-controlled trials (LINC 3; LINC 4) and one open-label phase II study (C1202). In its previous consideration the PBAC noted the high risk of bias with the LINC 3 trial given the withdrawal study design where only responders (N=71) were randomised to the comparative stage after the 26 weeks open-label period (N=137). In particular, the high risk of selection bias with LINC 3 meant that any estimate of effect size was likely to be overestimated</w:t>
      </w:r>
      <w:r w:rsidR="007A4E7E">
        <w:t xml:space="preserve">. </w:t>
      </w:r>
      <w:r w:rsidRPr="007A4E7E">
        <w:t xml:space="preserve">Based on the LINC 4 outcomes, the PBAC noted that osilodrostat demonstrated a statistically significant improvement in complete response at week 12 (RD = </w:t>
      </w:r>
      <w:r w:rsidRPr="007A4E7E">
        <w:rPr>
          <w:rFonts w:cs="Calibri"/>
          <w:iCs/>
        </w:rPr>
        <w:t xml:space="preserve">0.69 (0.47, 0.80); OR = 43.4 (7.06, 343.19)). Overall, </w:t>
      </w:r>
      <w:r w:rsidRPr="007A4E7E">
        <w:t xml:space="preserve">the PBAC also </w:t>
      </w:r>
      <w:r w:rsidR="005A20F8">
        <w:t>reaffirmed</w:t>
      </w:r>
      <w:r w:rsidRPr="007A4E7E">
        <w:t xml:space="preserve"> that despite the limitations of the evidence, it was biologically plausible that if a </w:t>
      </w:r>
      <w:r w:rsidRPr="007A4E7E">
        <w:lastRenderedPageBreak/>
        <w:t>patient is tolerating and responding to osilodrostat, that the response would be maintained (p</w:t>
      </w:r>
      <w:r w:rsidRPr="007A4E7E">
        <w:rPr>
          <w:bCs/>
        </w:rPr>
        <w:t>aragraph 7.7, osilodrostat, PSD, March 2023 PBAC meeting).</w:t>
      </w:r>
    </w:p>
    <w:p w14:paraId="4F8A072A" w14:textId="0FAE3798" w:rsidR="007D00BA" w:rsidRPr="00314698" w:rsidRDefault="007D00BA" w:rsidP="007D00BA">
      <w:pPr>
        <w:pStyle w:val="ExecSumBodyText"/>
        <w:numPr>
          <w:ilvl w:val="1"/>
          <w:numId w:val="1"/>
        </w:numPr>
        <w:rPr>
          <w:u w:val="single"/>
        </w:rPr>
      </w:pPr>
      <w:r w:rsidRPr="007A4E7E">
        <w:t>The PBAC noted that the resubmission presented additional efficacy data for the optional extension periods for LINC 3 (up to 245.1 weeks) and LINC 4 (up to 126.6</w:t>
      </w:r>
      <w:r w:rsidR="003D0B06">
        <w:t> </w:t>
      </w:r>
      <w:r w:rsidRPr="007A4E7E">
        <w:t xml:space="preserve">weeks). The resubmission also employed different analytical approaches (see paragraph </w:t>
      </w:r>
      <w:r w:rsidRPr="007A4E7E">
        <w:fldChar w:fldCharType="begin" w:fldLock="1"/>
      </w:r>
      <w:r w:rsidRPr="007A4E7E">
        <w:instrText xml:space="preserve"> REF _Ref163372773 \r \h  \* MERGEFORMAT </w:instrText>
      </w:r>
      <w:r w:rsidRPr="007A4E7E">
        <w:fldChar w:fldCharType="separate"/>
      </w:r>
      <w:r w:rsidR="00043D39">
        <w:t>6.13</w:t>
      </w:r>
      <w:r w:rsidRPr="007A4E7E">
        <w:fldChar w:fldCharType="end"/>
      </w:r>
      <w:r w:rsidRPr="007A4E7E">
        <w:t xml:space="preserve">) including an unanchored ITC of pooled trial data vs the placebo arm from LINC 4; swimmer plots; and post-hoc analyses of a subgroup of responders who met the proposed PBS criteria. </w:t>
      </w:r>
      <w:r w:rsidR="005A20F8">
        <w:t>T</w:t>
      </w:r>
      <w:r w:rsidRPr="007A4E7E">
        <w:t>he reanalyses and longer-term efficacy data</w:t>
      </w:r>
      <w:r w:rsidR="005A20F8">
        <w:t xml:space="preserve"> supported</w:t>
      </w:r>
      <w:r w:rsidRPr="007A4E7E">
        <w:t xml:space="preserve"> the PBAC’s </w:t>
      </w:r>
      <w:r w:rsidRPr="007A4E7E">
        <w:rPr>
          <w:iCs/>
        </w:rPr>
        <w:t xml:space="preserve">previous conclusion that patients who tolerate and respond to osilodrostat would likely achieve and maintain improvements in CS symptoms and comorbidities, acknowledging that improvements are gradual with clinical benefit usually observed after a year of treatment given the considerable amount of time to adapt to normal cortisol levels (paragraph 7.8, osilodrostat, PSD, March 2023 PBAC meeting). </w:t>
      </w:r>
    </w:p>
    <w:p w14:paraId="7D41C30D" w14:textId="2EB082D2" w:rsidR="007D00BA" w:rsidRPr="00314698" w:rsidRDefault="007D00BA" w:rsidP="007D00BA">
      <w:pPr>
        <w:pStyle w:val="ExecSumBodyText"/>
        <w:widowControl w:val="0"/>
        <w:numPr>
          <w:ilvl w:val="1"/>
          <w:numId w:val="1"/>
        </w:numPr>
        <w:rPr>
          <w:u w:val="single"/>
        </w:rPr>
      </w:pPr>
      <w:r w:rsidRPr="007A4E7E">
        <w:t xml:space="preserve">Although there was no new </w:t>
      </w:r>
      <w:r w:rsidR="005A20F8">
        <w:t xml:space="preserve">osilodrostat </w:t>
      </w:r>
      <w:r w:rsidRPr="007A4E7E">
        <w:t xml:space="preserve">clinical trial evidence, the resubmission included additional retrospective studies (Mondin 2023; and Chihaoui 2023), detailing the impact on cardiovascular and metabolic outcomes of long-term sustained remission from hypercortisolism. This evidence suggested that sustained remission from hypercortisolism could improve CS comorbidities (see paragraph </w:t>
      </w:r>
      <w:r w:rsidRPr="007A4E7E">
        <w:fldChar w:fldCharType="begin" w:fldLock="1"/>
      </w:r>
      <w:r w:rsidRPr="007A4E7E">
        <w:instrText xml:space="preserve"> REF _Ref159498604 \r \h </w:instrText>
      </w:r>
      <w:r w:rsidRPr="007A4E7E">
        <w:fldChar w:fldCharType="separate"/>
      </w:r>
      <w:r w:rsidR="00043D39">
        <w:t>4.6</w:t>
      </w:r>
      <w:r w:rsidRPr="007A4E7E">
        <w:fldChar w:fldCharType="end"/>
      </w:r>
      <w:r w:rsidRPr="007A4E7E">
        <w:t>). However, this was not incorporated in the consideration of clinical evidence or the economic evaluation. Overall, the PBAC considered, that the claim of superior comparative effectiveness to placebo was reasonable for the surrogate outcomes of complete or partial response, and acknowledged the important long-term benefits associated with durable response to cortisol level.</w:t>
      </w:r>
    </w:p>
    <w:p w14:paraId="5EE4C008" w14:textId="6868C376" w:rsidR="007D00BA" w:rsidRPr="007A4E7E" w:rsidRDefault="007D00BA" w:rsidP="007D00BA">
      <w:pPr>
        <w:pStyle w:val="ExecSumBodyText"/>
        <w:numPr>
          <w:ilvl w:val="1"/>
          <w:numId w:val="1"/>
        </w:numPr>
        <w:rPr>
          <w:rFonts w:eastAsia="Calibri"/>
          <w:iCs/>
        </w:rPr>
      </w:pPr>
      <w:r w:rsidRPr="007A4E7E">
        <w:rPr>
          <w:iCs/>
        </w:rPr>
        <w:t>The PBAC noted that the evidence supporting the claim of non-inferior safety of osilodrostat compared to placebo was consistent with the previous submission. Additional details of the patient experience with pituitary tumour enlargement-related AEs suggested that at least half of these events were serious and of Grade</w:t>
      </w:r>
      <w:r w:rsidRPr="007A4E7E">
        <w:rPr>
          <w:rFonts w:cs="Calibri"/>
          <w:iCs/>
        </w:rPr>
        <w:t>≥</w:t>
      </w:r>
      <w:r w:rsidRPr="007A4E7E">
        <w:rPr>
          <w:iCs/>
        </w:rPr>
        <w:t xml:space="preserve">3, and patients were treated with pituitary surgery or radiotherapy which were resolved soon after (see paragraph </w:t>
      </w:r>
      <w:r w:rsidRPr="007A4E7E">
        <w:rPr>
          <w:iCs/>
        </w:rPr>
        <w:fldChar w:fldCharType="begin" w:fldLock="1"/>
      </w:r>
      <w:r w:rsidRPr="007A4E7E">
        <w:rPr>
          <w:iCs/>
        </w:rPr>
        <w:instrText xml:space="preserve"> REF _Ref163375448 \r \h </w:instrText>
      </w:r>
      <w:r w:rsidRPr="007A4E7E">
        <w:rPr>
          <w:iCs/>
        </w:rPr>
      </w:r>
      <w:r w:rsidRPr="007A4E7E">
        <w:rPr>
          <w:iCs/>
        </w:rPr>
        <w:fldChar w:fldCharType="separate"/>
      </w:r>
      <w:r w:rsidR="00043D39">
        <w:rPr>
          <w:iCs/>
        </w:rPr>
        <w:t>6.24</w:t>
      </w:r>
      <w:r w:rsidRPr="007A4E7E">
        <w:rPr>
          <w:iCs/>
        </w:rPr>
        <w:fldChar w:fldCharType="end"/>
      </w:r>
      <w:r w:rsidRPr="007A4E7E">
        <w:rPr>
          <w:iCs/>
        </w:rPr>
        <w:t>).</w:t>
      </w:r>
      <w:r w:rsidRPr="007A4E7E">
        <w:rPr>
          <w:rFonts w:eastAsia="Calibri"/>
          <w:iCs/>
        </w:rPr>
        <w:t xml:space="preserve"> Overall, </w:t>
      </w:r>
      <w:r w:rsidRPr="007A4E7E">
        <w:t xml:space="preserve">PBAC considered that </w:t>
      </w:r>
      <w:r w:rsidR="00EB72DD">
        <w:t>adverse</w:t>
      </w:r>
      <w:r w:rsidR="00997DE4">
        <w:t xml:space="preserve"> </w:t>
      </w:r>
      <w:r w:rsidR="00EB72DD">
        <w:t xml:space="preserve">events were generally manageable and </w:t>
      </w:r>
      <w:r w:rsidRPr="007A4E7E">
        <w:t xml:space="preserve">the claim of non-inferior safety to placebo was acceptable, noting </w:t>
      </w:r>
      <w:r w:rsidRPr="007A4E7E">
        <w:rPr>
          <w:bCs/>
        </w:rPr>
        <w:t xml:space="preserve">regular monitoring of side effects of </w:t>
      </w:r>
      <w:r w:rsidRPr="007A4E7E">
        <w:t>hypocortisolism</w:t>
      </w:r>
      <w:r w:rsidRPr="007A4E7E">
        <w:rPr>
          <w:bCs/>
        </w:rPr>
        <w:t xml:space="preserve"> was required</w:t>
      </w:r>
      <w:r w:rsidRPr="007A4E7E">
        <w:t>.</w:t>
      </w:r>
    </w:p>
    <w:p w14:paraId="08A7EBEB" w14:textId="6C47EA9B" w:rsidR="007D00BA" w:rsidRPr="007A4E7E" w:rsidRDefault="007D00BA" w:rsidP="007D00BA">
      <w:pPr>
        <w:pStyle w:val="ExecSumBodyText"/>
        <w:numPr>
          <w:ilvl w:val="1"/>
          <w:numId w:val="1"/>
        </w:numPr>
        <w:rPr>
          <w:rFonts w:eastAsia="Calibri"/>
          <w:iCs/>
        </w:rPr>
      </w:pPr>
      <w:r w:rsidRPr="007A4E7E">
        <w:t xml:space="preserve">The PBAC noted that the resubmission presented a stepped cost-utility analysis based on LINC 4 using a microsimulation and incorporating approximately 4 years of therapy. The economic evaluation was a complex, 50-year, microsimulation model informed by a small sample size from LINC 4 without incorporating the long-term QoL benefits of durable cortisol control and reduced costs from improvement in comorbidities. The PBAC agreed the ESC that the economic model was not informative for decision-making. The PBAC considered that despite the resubmission’s attempt to model long-term use of osilodrostat, the inputs informing the model, particularly survival and QoL remained uncertain, the base case ICER was too </w:t>
      </w:r>
      <w:r w:rsidR="00D53951" w:rsidRPr="007A4E7E">
        <w:t>high,</w:t>
      </w:r>
      <w:r w:rsidRPr="007A4E7E">
        <w:t xml:space="preserve"> and it was unlikely to adequately represent the cost-effectiveness of osilodrostat</w:t>
      </w:r>
      <w:r w:rsidR="007A4E7E">
        <w:t xml:space="preserve">. </w:t>
      </w:r>
    </w:p>
    <w:p w14:paraId="2D125743" w14:textId="310CB08A" w:rsidR="007D00BA" w:rsidRPr="007A4E7E" w:rsidRDefault="007D00BA" w:rsidP="007D00BA">
      <w:pPr>
        <w:pStyle w:val="ExecSumBodyText"/>
        <w:numPr>
          <w:ilvl w:val="1"/>
          <w:numId w:val="1"/>
        </w:numPr>
        <w:rPr>
          <w:rFonts w:eastAsia="Calibri"/>
          <w:iCs/>
        </w:rPr>
      </w:pPr>
      <w:r w:rsidRPr="007A4E7E">
        <w:lastRenderedPageBreak/>
        <w:t xml:space="preserve">The PBAC acknowledged the ESC had advised that given the high unmet clinical need for treatment of endogenous CS that, with the price reduction, the cost per responder might be a reasonable measure although this would entail separate consideration of the longer-term benefits (see paragraph </w:t>
      </w:r>
      <w:r w:rsidRPr="007A4E7E">
        <w:fldChar w:fldCharType="begin" w:fldLock="1"/>
      </w:r>
      <w:r w:rsidRPr="007A4E7E">
        <w:instrText xml:space="preserve"> REF _Ref163464308 \r \h </w:instrText>
      </w:r>
      <w:r w:rsidRPr="007A4E7E">
        <w:fldChar w:fldCharType="separate"/>
      </w:r>
      <w:r w:rsidR="00043D39">
        <w:t>6.38</w:t>
      </w:r>
      <w:r w:rsidRPr="007A4E7E">
        <w:fldChar w:fldCharType="end"/>
      </w:r>
      <w:r w:rsidRPr="007A4E7E">
        <w:t xml:space="preserve">). The PBAC noted that the pre-PBAC response </w:t>
      </w:r>
      <w:r w:rsidR="00C82C17">
        <w:t xml:space="preserve">estimated a cost per </w:t>
      </w:r>
      <w:r w:rsidR="00C82C17" w:rsidRPr="004304DF">
        <w:t>responder of</w:t>
      </w:r>
      <w:r w:rsidRPr="004304DF">
        <w:t xml:space="preserve"> $35,</w:t>
      </w:r>
      <w:r w:rsidR="00CC10FE" w:rsidRPr="004304DF">
        <w:t xml:space="preserve">000 to </w:t>
      </w:r>
      <w:r w:rsidR="00AF7142" w:rsidRPr="004304DF">
        <w:t>&lt; </w:t>
      </w:r>
      <w:r w:rsidR="00CC10FE" w:rsidRPr="004304DF">
        <w:t xml:space="preserve">$45,000 </w:t>
      </w:r>
      <w:r w:rsidR="00C82C17" w:rsidRPr="004304DF">
        <w:t>based</w:t>
      </w:r>
      <w:r w:rsidR="00C82C17">
        <w:t xml:space="preserve"> on</w:t>
      </w:r>
      <w:r w:rsidRPr="007A4E7E">
        <w:t xml:space="preserve"> overall response (at least a partial response) over 26 weeks using the revised effective price. </w:t>
      </w:r>
    </w:p>
    <w:p w14:paraId="33AA645B" w14:textId="2B54E7B6" w:rsidR="007D00BA" w:rsidRPr="007A4E7E" w:rsidRDefault="007D00BA" w:rsidP="007D00BA">
      <w:pPr>
        <w:pStyle w:val="ExecSumBodyText"/>
        <w:numPr>
          <w:ilvl w:val="1"/>
          <w:numId w:val="1"/>
        </w:numPr>
        <w:rPr>
          <w:rFonts w:eastAsia="Calibri"/>
          <w:iCs/>
        </w:rPr>
      </w:pPr>
      <w:r w:rsidRPr="007A4E7E">
        <w:t xml:space="preserve">The PBAC acknowledged previous decisions it had made using an incremental cost per responder approach (see paragraph </w:t>
      </w:r>
      <w:r w:rsidRPr="007A4E7E">
        <w:fldChar w:fldCharType="begin" w:fldLock="1"/>
      </w:r>
      <w:r w:rsidRPr="007A4E7E">
        <w:instrText xml:space="preserve"> REF _Ref163381281 \r \h  \* MERGEFORMAT </w:instrText>
      </w:r>
      <w:r w:rsidRPr="007A4E7E">
        <w:fldChar w:fldCharType="separate"/>
      </w:r>
      <w:r w:rsidR="00043D39">
        <w:t>6.40</w:t>
      </w:r>
      <w:r w:rsidRPr="007A4E7E">
        <w:fldChar w:fldCharType="end"/>
      </w:r>
      <w:r w:rsidRPr="007A4E7E">
        <w:t>) and considered that this approach was more difficult to justify</w:t>
      </w:r>
      <w:r w:rsidR="00C82C17">
        <w:t xml:space="preserve"> and value</w:t>
      </w:r>
      <w:r w:rsidRPr="007A4E7E">
        <w:t xml:space="preserve"> for a chronic therapy. The PBAC considered the </w:t>
      </w:r>
      <w:r w:rsidR="00EB72DD">
        <w:t xml:space="preserve">longer-term </w:t>
      </w:r>
      <w:r w:rsidR="00F768D2">
        <w:t>treatments</w:t>
      </w:r>
      <w:r w:rsidR="00F768D2" w:rsidRPr="007A4E7E">
        <w:t xml:space="preserve"> denosumab</w:t>
      </w:r>
      <w:r w:rsidRPr="007A4E7E">
        <w:t xml:space="preserve"> and Dysport® gave the closest representation of what </w:t>
      </w:r>
      <w:r w:rsidR="00997DE4">
        <w:t>might</w:t>
      </w:r>
      <w:r w:rsidR="00997DE4" w:rsidRPr="007A4E7E">
        <w:t xml:space="preserve"> </w:t>
      </w:r>
      <w:r w:rsidRPr="007A4E7E">
        <w:t>be an acceptable</w:t>
      </w:r>
      <w:r w:rsidR="00997DE4">
        <w:t xml:space="preserve"> ICER</w:t>
      </w:r>
      <w:r w:rsidRPr="007A4E7E">
        <w:t xml:space="preserve"> for this type of analysis</w:t>
      </w:r>
      <w:r w:rsidR="007A4E7E">
        <w:t xml:space="preserve">. </w:t>
      </w:r>
      <w:r w:rsidRPr="007A4E7E">
        <w:t xml:space="preserve">However, in the absence of longer-term benefits and with ambiguity regarding the duration of therapy, uncertainties regarding the </w:t>
      </w:r>
      <w:r w:rsidR="00997DE4">
        <w:t>appropriate value attached to each additional responder persist</w:t>
      </w:r>
      <w:r w:rsidRPr="007A4E7E">
        <w:t>. The PBAC advised that, a further price reduction may mitigate residual uncertainties around the cost per responder, but the key issue of how to value the response remained. The PBAC considered that more information on the potential variation in treatment duration and how QoL is impacted over short, medium and long-term cortisol control would be crucial to accepting a</w:t>
      </w:r>
      <w:r w:rsidR="00997DE4">
        <w:t>n ICER</w:t>
      </w:r>
      <w:r w:rsidRPr="007A4E7E">
        <w:t xml:space="preserve"> for the cost per responder </w:t>
      </w:r>
      <w:r w:rsidR="00997DE4">
        <w:t xml:space="preserve">analysis </w:t>
      </w:r>
      <w:r w:rsidRPr="007A4E7E">
        <w:t xml:space="preserve">that is </w:t>
      </w:r>
      <w:r w:rsidR="00C82C17">
        <w:t>consistent with</w:t>
      </w:r>
      <w:r w:rsidRPr="007A4E7E">
        <w:t xml:space="preserve"> the previous examples </w:t>
      </w:r>
      <w:r w:rsidR="00997DE4">
        <w:t xml:space="preserve">for </w:t>
      </w:r>
      <w:r w:rsidR="00EB72DD">
        <w:t>longer-term treatment</w:t>
      </w:r>
      <w:r w:rsidRPr="007A4E7E">
        <w:t>s.</w:t>
      </w:r>
    </w:p>
    <w:p w14:paraId="2AD8C7AF" w14:textId="2CDDE03D" w:rsidR="007D00BA" w:rsidRPr="007A4E7E" w:rsidRDefault="007D00BA" w:rsidP="007D00BA">
      <w:pPr>
        <w:pStyle w:val="ExecSumBodyText"/>
        <w:numPr>
          <w:ilvl w:val="1"/>
          <w:numId w:val="1"/>
        </w:numPr>
        <w:rPr>
          <w:rFonts w:eastAsia="Calibri"/>
          <w:iCs/>
        </w:rPr>
      </w:pPr>
      <w:r w:rsidRPr="007A4E7E">
        <w:t xml:space="preserve">The PBAC noted the uncertainty in the financial estimates (see paragraphs </w:t>
      </w:r>
      <w:r w:rsidRPr="007A4E7E">
        <w:fldChar w:fldCharType="begin" w:fldLock="1"/>
      </w:r>
      <w:r w:rsidRPr="007A4E7E">
        <w:instrText xml:space="preserve"> REF _Ref163382408 \r \h </w:instrText>
      </w:r>
      <w:r w:rsidRPr="007A4E7E">
        <w:fldChar w:fldCharType="separate"/>
      </w:r>
      <w:r w:rsidR="00043D39">
        <w:t>6.81</w:t>
      </w:r>
      <w:r w:rsidRPr="007A4E7E">
        <w:fldChar w:fldCharType="end"/>
      </w:r>
      <w:r w:rsidRPr="007A4E7E">
        <w:t xml:space="preserve"> and </w:t>
      </w:r>
      <w:r w:rsidRPr="007A4E7E">
        <w:fldChar w:fldCharType="begin" w:fldLock="1"/>
      </w:r>
      <w:r w:rsidRPr="007A4E7E">
        <w:instrText xml:space="preserve"> REF _Ref163382444 \r \h </w:instrText>
      </w:r>
      <w:r w:rsidRPr="007A4E7E">
        <w:fldChar w:fldCharType="separate"/>
      </w:r>
      <w:r w:rsidR="00043D39">
        <w:t>6.82</w:t>
      </w:r>
      <w:r w:rsidRPr="007A4E7E">
        <w:fldChar w:fldCharType="end"/>
      </w:r>
      <w:r w:rsidRPr="007A4E7E">
        <w:t>) and that the pre-PBAC response provided sensitivity analysis using a longer duration of therapy (5.3 years), MBS items for UFC testing and endocrinologists, and the mean dose from LINC</w:t>
      </w:r>
      <w:r w:rsidR="000371AA">
        <w:t xml:space="preserve"> </w:t>
      </w:r>
      <w:r w:rsidRPr="007A4E7E">
        <w:t xml:space="preserve">3. This analysis showed that </w:t>
      </w:r>
      <w:r w:rsidRPr="007A4E7E">
        <w:rPr>
          <w:szCs w:val="22"/>
        </w:rPr>
        <w:t xml:space="preserve">the net financial implication was a cost of </w:t>
      </w:r>
      <w:r w:rsidR="00AF006F" w:rsidRPr="00AF006F">
        <w:rPr>
          <w:szCs w:val="22"/>
        </w:rPr>
        <w:t>$0 to &lt; $10 million</w:t>
      </w:r>
      <w:r w:rsidR="00AF006F">
        <w:rPr>
          <w:szCs w:val="22"/>
        </w:rPr>
        <w:t xml:space="preserve"> </w:t>
      </w:r>
      <w:r w:rsidRPr="007A4E7E">
        <w:rPr>
          <w:szCs w:val="22"/>
        </w:rPr>
        <w:t xml:space="preserve">in Year 1, increasing to a cost of </w:t>
      </w:r>
      <w:r w:rsidR="00AF006F" w:rsidRPr="00AF006F">
        <w:rPr>
          <w:szCs w:val="22"/>
        </w:rPr>
        <w:t>$</w:t>
      </w:r>
      <w:r w:rsidR="00AF006F">
        <w:rPr>
          <w:szCs w:val="22"/>
        </w:rPr>
        <w:t>10</w:t>
      </w:r>
      <w:r w:rsidR="00AF006F" w:rsidRPr="00AF006F">
        <w:rPr>
          <w:szCs w:val="22"/>
        </w:rPr>
        <w:t xml:space="preserve"> to &lt;</w:t>
      </w:r>
      <w:r w:rsidR="00AF7142">
        <w:rPr>
          <w:szCs w:val="22"/>
        </w:rPr>
        <w:t> </w:t>
      </w:r>
      <w:r w:rsidR="00AF006F" w:rsidRPr="00AF006F">
        <w:rPr>
          <w:szCs w:val="22"/>
        </w:rPr>
        <w:t>$</w:t>
      </w:r>
      <w:r w:rsidR="00AF006F">
        <w:rPr>
          <w:szCs w:val="22"/>
        </w:rPr>
        <w:t>2</w:t>
      </w:r>
      <w:r w:rsidR="00AF006F" w:rsidRPr="00AF006F">
        <w:rPr>
          <w:szCs w:val="22"/>
        </w:rPr>
        <w:t>0</w:t>
      </w:r>
      <w:r w:rsidR="00AF7142">
        <w:rPr>
          <w:szCs w:val="22"/>
        </w:rPr>
        <w:t> </w:t>
      </w:r>
      <w:r w:rsidR="00AF006F" w:rsidRPr="00AF006F">
        <w:rPr>
          <w:szCs w:val="22"/>
        </w:rPr>
        <w:t>million</w:t>
      </w:r>
      <w:r w:rsidRPr="007A4E7E">
        <w:rPr>
          <w:szCs w:val="22"/>
        </w:rPr>
        <w:t xml:space="preserve"> in Year 6. The PBAC considered that the financial estimates</w:t>
      </w:r>
      <w:r w:rsidR="00DE4D77">
        <w:rPr>
          <w:szCs w:val="22"/>
        </w:rPr>
        <w:t xml:space="preserve"> were uncertain with a key uncertainty being the treatment duration.</w:t>
      </w:r>
      <w:r w:rsidRPr="007A4E7E">
        <w:rPr>
          <w:szCs w:val="22"/>
        </w:rPr>
        <w:t xml:space="preserve"> </w:t>
      </w:r>
      <w:r w:rsidR="00DE4D77">
        <w:rPr>
          <w:szCs w:val="22"/>
        </w:rPr>
        <w:t>The PBAC considered the</w:t>
      </w:r>
      <w:r w:rsidR="00DE4D77" w:rsidRPr="007A4E7E">
        <w:rPr>
          <w:szCs w:val="22"/>
        </w:rPr>
        <w:t xml:space="preserve"> </w:t>
      </w:r>
      <w:r w:rsidRPr="007A4E7E">
        <w:rPr>
          <w:szCs w:val="22"/>
        </w:rPr>
        <w:t>uptake rate</w:t>
      </w:r>
      <w:r w:rsidR="00DE4D77">
        <w:rPr>
          <w:szCs w:val="22"/>
        </w:rPr>
        <w:t xml:space="preserve"> in Year 1 for the prevalent pool of patients to be </w:t>
      </w:r>
      <w:r w:rsidR="00135B0B">
        <w:rPr>
          <w:szCs w:val="22"/>
        </w:rPr>
        <w:t>uncertain but</w:t>
      </w:r>
      <w:r w:rsidR="00DE4D77">
        <w:rPr>
          <w:szCs w:val="22"/>
        </w:rPr>
        <w:t xml:space="preserve"> noted that increasing this uptake impacted on the distribution of costs over the 6 years </w:t>
      </w:r>
      <w:r w:rsidR="00E453DA">
        <w:rPr>
          <w:szCs w:val="22"/>
        </w:rPr>
        <w:t>with minimal impact on the total cost as the uptake is appropriately applied in a cumulative manner such that the uptake in years 2 onwards is only applied to patients who have not previously initiated treatment.</w:t>
      </w:r>
    </w:p>
    <w:p w14:paraId="59714922" w14:textId="77777777" w:rsidR="007D00BA" w:rsidRPr="007A4E7E" w:rsidRDefault="007D00BA" w:rsidP="007D00BA">
      <w:pPr>
        <w:pStyle w:val="3-BodyText"/>
        <w:ind w:left="720" w:hanging="720"/>
      </w:pPr>
      <w:r w:rsidRPr="00314698">
        <w:t xml:space="preserve">The PBAC considered the outstanding issues could be easily resolved in a simple resubmission for osilodrostat. The PBAC also considered osilodrostat addresses a high and urgent unmet clinical need and was expected to provide a substantial and clinically relevant improvement in efficacy, over placebo. Therefore, the PBAC considered an early resolution pathway would be acceptable. If the sponsor accepts this pathway, the following changes may address these outstanding issues without requiring further re-evaluation. </w:t>
      </w:r>
    </w:p>
    <w:p w14:paraId="6A0F7EE8" w14:textId="77777777" w:rsidR="007D00BA" w:rsidRPr="007A4E7E" w:rsidRDefault="007D00BA" w:rsidP="00914C1A">
      <w:pPr>
        <w:pStyle w:val="3-BodyText"/>
        <w:numPr>
          <w:ilvl w:val="0"/>
          <w:numId w:val="13"/>
        </w:numPr>
        <w:ind w:left="1134"/>
      </w:pPr>
      <w:r w:rsidRPr="007A4E7E">
        <w:t xml:space="preserve">Provide expected duration of therapy (in years) entailing whether this would be a lifelong treatment or time-limited treatment considering ongoing attempts to </w:t>
      </w:r>
      <w:r w:rsidRPr="007A4E7E">
        <w:lastRenderedPageBreak/>
        <w:t>identify the source for surgical removal. This may be drawn from available evidence such as literature, clinical expert opinion or case studies.</w:t>
      </w:r>
    </w:p>
    <w:p w14:paraId="6F847726" w14:textId="114D2540" w:rsidR="007D00BA" w:rsidRDefault="007D00BA" w:rsidP="00914C1A">
      <w:pPr>
        <w:pStyle w:val="3-BodyText"/>
        <w:numPr>
          <w:ilvl w:val="0"/>
          <w:numId w:val="13"/>
        </w:numPr>
        <w:ind w:left="1134"/>
      </w:pPr>
      <w:r w:rsidRPr="007A4E7E">
        <w:t xml:space="preserve">Justify the value proposition of treatment over time, i.e., provide additional context on QoL improvements regarding cost per responder for at least partial response for expected duration of therapy (this may be short-term, medium-term, </w:t>
      </w:r>
      <w:r w:rsidR="001F62A1">
        <w:t>and/</w:t>
      </w:r>
      <w:r w:rsidRPr="007A4E7E">
        <w:t xml:space="preserve">or long-term depending on what the expected duration of therapy is deemed to be). If the </w:t>
      </w:r>
      <w:r w:rsidR="001F62A1">
        <w:t>majority of use</w:t>
      </w:r>
      <w:r w:rsidRPr="007A4E7E">
        <w:t xml:space="preserve"> is expected to be long-term, the cost per responder should be provided in the context of precedents for </w:t>
      </w:r>
      <w:r w:rsidR="00D55D63">
        <w:t>longer-term treatments</w:t>
      </w:r>
      <w:r w:rsidRPr="007A4E7E">
        <w:t xml:space="preserve"> for comparison. </w:t>
      </w:r>
    </w:p>
    <w:p w14:paraId="0DFD8A48" w14:textId="3EF38B44" w:rsidR="001F62A1" w:rsidRPr="007A4E7E" w:rsidRDefault="001F62A1" w:rsidP="00914C1A">
      <w:pPr>
        <w:pStyle w:val="3-BodyText"/>
        <w:numPr>
          <w:ilvl w:val="0"/>
          <w:numId w:val="13"/>
        </w:numPr>
        <w:ind w:left="1134"/>
      </w:pPr>
      <w:r>
        <w:t>Provide revised financial estimates incorporating the estimated duration of therapy.</w:t>
      </w:r>
      <w:r w:rsidR="00B546D5" w:rsidRPr="00B546D5">
        <w:t xml:space="preserve"> The PBAC noted that it</w:t>
      </w:r>
      <w:r w:rsidR="00F768D2">
        <w:t xml:space="preserve"> may</w:t>
      </w:r>
      <w:r w:rsidR="00B546D5" w:rsidRPr="00B546D5">
        <w:t xml:space="preserve"> be possible to address the uncertainty associated with the treatment duration through a Risk Sharing Arrangement.</w:t>
      </w:r>
    </w:p>
    <w:p w14:paraId="47DBEA16" w14:textId="77777777" w:rsidR="007D00BA" w:rsidRPr="007A4E7E" w:rsidRDefault="007D00BA" w:rsidP="00914C1A">
      <w:pPr>
        <w:pStyle w:val="3-BodyText"/>
        <w:numPr>
          <w:ilvl w:val="0"/>
          <w:numId w:val="13"/>
        </w:numPr>
        <w:ind w:left="1134"/>
      </w:pPr>
      <w:r w:rsidRPr="007A4E7E">
        <w:t xml:space="preserve">The </w:t>
      </w:r>
      <w:r w:rsidRPr="00314698">
        <w:t>early resolution resubmission must be lodged by week 7 of the current PBAC cycle or the next cycle. If the issues cannot be addressed by the sponsor in a simple resubmission and the early resolution timing is not acceptable, a standard re-entry pathway is available.</w:t>
      </w:r>
    </w:p>
    <w:p w14:paraId="7EA834BA" w14:textId="56F05216" w:rsidR="007D00BA" w:rsidRPr="003D0B06" w:rsidRDefault="007D00BA" w:rsidP="00914C1A">
      <w:pPr>
        <w:pStyle w:val="3-BodyText"/>
        <w:ind w:left="720" w:hanging="720"/>
        <w:rPr>
          <w:b/>
          <w:bCs/>
          <w:sz w:val="28"/>
          <w:szCs w:val="28"/>
        </w:rPr>
      </w:pPr>
      <w:r w:rsidRPr="00314698">
        <w:rPr>
          <w:bCs/>
        </w:rPr>
        <w:t>The PBAC noted that this submission is eligible for an Independent Review</w:t>
      </w:r>
      <w:r w:rsidR="00B546D5">
        <w:rPr>
          <w:bCs/>
        </w:rPr>
        <w:t>.</w:t>
      </w:r>
    </w:p>
    <w:p w14:paraId="15FBCBF1" w14:textId="77777777" w:rsidR="007D00BA" w:rsidRPr="007A4E7E" w:rsidRDefault="007D00BA" w:rsidP="00397E6D">
      <w:pPr>
        <w:pStyle w:val="3-BodyText"/>
        <w:numPr>
          <w:ilvl w:val="0"/>
          <w:numId w:val="0"/>
        </w:numPr>
        <w:rPr>
          <w:b/>
          <w:bCs/>
          <w:sz w:val="28"/>
          <w:szCs w:val="28"/>
        </w:rPr>
      </w:pPr>
      <w:r w:rsidRPr="007A4E7E">
        <w:rPr>
          <w:b/>
          <w:bCs/>
          <w:sz w:val="28"/>
          <w:szCs w:val="28"/>
        </w:rPr>
        <w:t>Outcome:</w:t>
      </w:r>
    </w:p>
    <w:p w14:paraId="7A29B98D" w14:textId="5C89EC3C" w:rsidR="007D00BA" w:rsidRDefault="007D00BA" w:rsidP="003D0B06">
      <w:pPr>
        <w:pStyle w:val="3-BodyText"/>
        <w:numPr>
          <w:ilvl w:val="0"/>
          <w:numId w:val="0"/>
        </w:numPr>
        <w:spacing w:after="0"/>
        <w:ind w:left="720" w:hanging="720"/>
      </w:pPr>
      <w:r w:rsidRPr="007A4E7E">
        <w:t>Not recommended</w:t>
      </w:r>
    </w:p>
    <w:bookmarkEnd w:id="67"/>
    <w:bookmarkEnd w:id="68"/>
    <w:p w14:paraId="79A8C7D8" w14:textId="4085DD7E" w:rsidR="00A50DED" w:rsidRPr="00061CBE" w:rsidRDefault="00A50DED" w:rsidP="00A50DED">
      <w:pPr>
        <w:pStyle w:val="2-SectionHeading"/>
        <w:numPr>
          <w:ilvl w:val="0"/>
          <w:numId w:val="0"/>
        </w:numPr>
        <w:ind w:left="720" w:hanging="720"/>
        <w:rPr>
          <w:lang w:val="en-GB"/>
        </w:rPr>
      </w:pPr>
      <w:r>
        <w:t>8</w:t>
      </w:r>
      <w:r w:rsidRPr="00061CBE">
        <w:tab/>
        <w:t>Context for Decision</w:t>
      </w:r>
    </w:p>
    <w:p w14:paraId="5B07A15A" w14:textId="77777777" w:rsidR="00A50DED" w:rsidRPr="00061CBE" w:rsidRDefault="00A50DED" w:rsidP="00A50DED">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EC5EB83" w14:textId="2A82C85C" w:rsidR="00A50DED" w:rsidRPr="00061CBE" w:rsidRDefault="00A50DED" w:rsidP="00A50DED">
      <w:pPr>
        <w:pStyle w:val="2-SectionHeading"/>
        <w:numPr>
          <w:ilvl w:val="0"/>
          <w:numId w:val="0"/>
        </w:numPr>
        <w:ind w:left="720" w:hanging="720"/>
      </w:pPr>
      <w:r>
        <w:t>9</w:t>
      </w:r>
      <w:r w:rsidRPr="00061CBE">
        <w:tab/>
        <w:t>Sponsor’s Comment</w:t>
      </w:r>
    </w:p>
    <w:p w14:paraId="148F2575" w14:textId="0A89190F" w:rsidR="005F2818" w:rsidRDefault="00A50DED" w:rsidP="00A50DED">
      <w:pPr>
        <w:ind w:firstLine="720"/>
        <w:rPr>
          <w:bCs/>
        </w:rPr>
      </w:pPr>
      <w:r w:rsidRPr="00061CBE">
        <w:rPr>
          <w:bCs/>
        </w:rPr>
        <w:t>The sponsor had no comment.</w:t>
      </w:r>
      <w:r w:rsidR="005F2818">
        <w:rPr>
          <w:bCs/>
        </w:rPr>
        <w:br w:type="page"/>
      </w:r>
    </w:p>
    <w:p w14:paraId="4E2AA3AC" w14:textId="42CE7394" w:rsidR="005F2818" w:rsidRDefault="005F2818" w:rsidP="005F2818">
      <w:pPr>
        <w:pStyle w:val="GeneralHeading"/>
      </w:pPr>
      <w:r w:rsidRPr="007A5667">
        <w:rPr>
          <w:color w:val="FF0000"/>
        </w:rPr>
        <w:lastRenderedPageBreak/>
        <w:t xml:space="preserve">Addendum to the March 2024 PBAC </w:t>
      </w:r>
      <w:r w:rsidR="007660E4">
        <w:rPr>
          <w:color w:val="FF0000"/>
        </w:rPr>
        <w:t>Public Summary Document</w:t>
      </w:r>
      <w:r w:rsidRPr="007A5667">
        <w:rPr>
          <w:color w:val="FF0000"/>
        </w:rPr>
        <w:t>:</w:t>
      </w:r>
    </w:p>
    <w:p w14:paraId="54D5D05B" w14:textId="77777777" w:rsidR="005F2818" w:rsidRPr="007A4E7E" w:rsidRDefault="005F2818" w:rsidP="007660E4">
      <w:pPr>
        <w:pStyle w:val="1-MainHeading"/>
        <w:ind w:left="851" w:hanging="851"/>
      </w:pPr>
      <w:r w:rsidRPr="007A4E7E">
        <w:t>7.0</w:t>
      </w:r>
      <w:r>
        <w:t>2</w:t>
      </w:r>
      <w:r w:rsidRPr="007A4E7E">
        <w:tab/>
        <w:t>OSILODROSTAT,</w:t>
      </w:r>
      <w:r w:rsidRPr="007A4E7E">
        <w:br/>
        <w:t>Tablet 1 mg,</w:t>
      </w:r>
      <w:r w:rsidRPr="007A4E7E">
        <w:br/>
        <w:t>Tablet 5 mg,</w:t>
      </w:r>
      <w:r w:rsidRPr="007A4E7E">
        <w:br/>
        <w:t>Isturisa®,</w:t>
      </w:r>
      <w:r w:rsidRPr="007A4E7E">
        <w:br/>
        <w:t>Recordati Rare Diseases Australia Pty. Ltd.</w:t>
      </w:r>
    </w:p>
    <w:p w14:paraId="29A708DA" w14:textId="77777777" w:rsidR="005F2818" w:rsidRDefault="005F2818" w:rsidP="005F2818">
      <w:pPr>
        <w:pStyle w:val="2-SectionHeading"/>
      </w:pPr>
      <w:r w:rsidRPr="00C400AE">
        <w:t>Background</w:t>
      </w:r>
    </w:p>
    <w:p w14:paraId="080B6C37" w14:textId="77777777" w:rsidR="005F2818" w:rsidRPr="007A5667" w:rsidRDefault="005F2818" w:rsidP="005F2818">
      <w:pPr>
        <w:pStyle w:val="3-BodyText"/>
        <w:numPr>
          <w:ilvl w:val="1"/>
          <w:numId w:val="29"/>
        </w:numPr>
        <w:spacing w:before="120"/>
        <w:ind w:left="720" w:hanging="720"/>
        <w:rPr>
          <w:bCs/>
        </w:rPr>
      </w:pPr>
      <w:r>
        <w:t xml:space="preserve">The early resolution resubmission requested a </w:t>
      </w:r>
      <w:r w:rsidRPr="007A4E7E">
        <w:t>General Schedule Authority Required (Telephone/Online) listing for osilodrostat for the treatment of endogenous Cushing’s syndrome (CS)</w:t>
      </w:r>
      <w:r>
        <w:t>. Osilodrostat was considered by the PBAC and not recommended for PBS listing at the March 2024 meeting. At that meeting, t</w:t>
      </w:r>
      <w:r w:rsidRPr="007A4E7E">
        <w:t xml:space="preserve">he PBAC accepted that osilodrostat represented an effective therapy for a disease where high clinical need exists. However, the PBAC considered that the economic model was not </w:t>
      </w:r>
      <w:r>
        <w:t>informative</w:t>
      </w:r>
      <w:r w:rsidRPr="007A4E7E">
        <w:t xml:space="preserve"> for decision-making as it did not capture the important long-term quality of life benefits associated with osilodrostat, resulting in an unreliable </w:t>
      </w:r>
      <w:r>
        <w:t>and</w:t>
      </w:r>
      <w:r w:rsidRPr="007A4E7E">
        <w:t xml:space="preserve"> very high and uncertain cost effectiveness ratio. The PBAC noted that the pre-PBAC response provided an alternative economic analysis using an incremental cost per responder. The PBAC noted that responders to osilodrostat </w:t>
      </w:r>
      <w:r>
        <w:t>would likely</w:t>
      </w:r>
      <w:r w:rsidRPr="007A4E7E">
        <w:t xml:space="preserve"> continue on therapy long-term, although it is likely that clinicians will continue to look for </w:t>
      </w:r>
      <w:r>
        <w:t>surgical options</w:t>
      </w:r>
      <w:r w:rsidRPr="007A4E7E">
        <w:t xml:space="preserve"> and </w:t>
      </w:r>
      <w:r>
        <w:t xml:space="preserve">osilodrostat </w:t>
      </w:r>
      <w:r w:rsidRPr="007A4E7E">
        <w:t xml:space="preserve">treatment may be ceased for this, or other reasons related to morbidities of CS. As such, it </w:t>
      </w:r>
      <w:r>
        <w:t>wa</w:t>
      </w:r>
      <w:r w:rsidRPr="007A4E7E">
        <w:t>s unclear how long patients will remain on treatment with osilodrostat. The PBAC considered that</w:t>
      </w:r>
      <w:r>
        <w:t>,</w:t>
      </w:r>
      <w:r w:rsidRPr="007A4E7E">
        <w:t xml:space="preserve"> as osilodrostat may be used as a chronic therapy, the incremental cost per responder should be closer to those previously accepted for </w:t>
      </w:r>
      <w:r>
        <w:t>longer term treatments</w:t>
      </w:r>
      <w:r w:rsidRPr="007A4E7E">
        <w:t xml:space="preserve">. It was also considered the </w:t>
      </w:r>
      <w:r>
        <w:t xml:space="preserve">overall benefits </w:t>
      </w:r>
      <w:r w:rsidRPr="007A4E7E">
        <w:t xml:space="preserve">of a response </w:t>
      </w:r>
      <w:r>
        <w:t xml:space="preserve">to osilodrostat </w:t>
      </w:r>
      <w:r w:rsidRPr="007A4E7E">
        <w:t>had been inadequately supported in the resubmission. The PBAC advised that additional justification of the cost per responder approach was required and a resubmission would need to provide a stronger interpretation of the quality-of-life benefit of cortisol control in the short-term (up to one year), medium-term (2</w:t>
      </w:r>
      <w:r w:rsidRPr="007A4E7E">
        <w:rPr>
          <w:rFonts w:ascii="Symbol" w:eastAsia="Symbol" w:hAnsi="Symbol" w:cs="Symbol"/>
        </w:rPr>
        <w:t></w:t>
      </w:r>
      <w:r w:rsidRPr="007A4E7E">
        <w:t xml:space="preserve">3 years) and long-term (beyond 3 years). </w:t>
      </w:r>
    </w:p>
    <w:p w14:paraId="3943255D" w14:textId="77777777" w:rsidR="005F2818" w:rsidRPr="007A5667" w:rsidRDefault="005F2818" w:rsidP="005F2818">
      <w:pPr>
        <w:pStyle w:val="3-BodyText"/>
        <w:numPr>
          <w:ilvl w:val="1"/>
          <w:numId w:val="29"/>
        </w:numPr>
        <w:spacing w:before="120"/>
        <w:ind w:left="720" w:hanging="720"/>
        <w:rPr>
          <w:bCs/>
        </w:rPr>
      </w:pPr>
      <w:r>
        <w:t xml:space="preserve">The PBAC considered that the outstanding issues could be addressed using the early resolution pathway if the matters were addressed as outlined in </w:t>
      </w:r>
      <w:r w:rsidRPr="00650A4E">
        <w:fldChar w:fldCharType="begin" w:fldLock="1"/>
      </w:r>
      <w:r w:rsidRPr="00650A4E">
        <w:instrText xml:space="preserve"> REF _Ref176769361 \h  \* MERGEFORMAT </w:instrText>
      </w:r>
      <w:r w:rsidRPr="00650A4E">
        <w:fldChar w:fldCharType="separate"/>
      </w:r>
      <w:r w:rsidRPr="00650A4E">
        <w:t xml:space="preserve">Table </w:t>
      </w:r>
      <w:r w:rsidRPr="00650A4E">
        <w:rPr>
          <w:noProof/>
        </w:rPr>
        <w:t>20</w:t>
      </w:r>
      <w:r w:rsidRPr="00650A4E">
        <w:fldChar w:fldCharType="end"/>
      </w:r>
      <w:r w:rsidRPr="00650A4E">
        <w:t xml:space="preserve">. </w:t>
      </w:r>
      <w:r>
        <w:t xml:space="preserve">A summary of the resubmission’s approach to these matters is also provided in </w:t>
      </w:r>
      <w:r w:rsidRPr="00650A4E">
        <w:fldChar w:fldCharType="begin" w:fldLock="1"/>
      </w:r>
      <w:r w:rsidRPr="00650A4E">
        <w:instrText xml:space="preserve"> REF _Ref176769361 \h  \* MERGEFORMAT </w:instrText>
      </w:r>
      <w:r w:rsidRPr="00650A4E">
        <w:fldChar w:fldCharType="separate"/>
      </w:r>
      <w:r w:rsidRPr="00650A4E">
        <w:t xml:space="preserve">Table </w:t>
      </w:r>
      <w:r w:rsidRPr="00650A4E">
        <w:rPr>
          <w:noProof/>
        </w:rPr>
        <w:t>20</w:t>
      </w:r>
      <w:r w:rsidRPr="00650A4E">
        <w:fldChar w:fldCharType="end"/>
      </w:r>
      <w:r w:rsidRPr="00650A4E">
        <w:t>.</w:t>
      </w:r>
    </w:p>
    <w:p w14:paraId="5FFD4124" w14:textId="77777777" w:rsidR="005F2818" w:rsidRPr="00AE5A3A" w:rsidRDefault="005F2818" w:rsidP="005F2818">
      <w:pPr>
        <w:pStyle w:val="COMtablefigcaption"/>
      </w:pPr>
      <w:bookmarkStart w:id="70" w:name="_Ref176769361"/>
      <w:r w:rsidRPr="00AE5A3A">
        <w:lastRenderedPageBreak/>
        <w:t>T</w:t>
      </w:r>
      <w:r w:rsidRPr="00650A4E">
        <w:rPr>
          <w:rFonts w:eastAsia="Times New Roman" w:cs="Arial"/>
          <w:szCs w:val="18"/>
          <w:lang w:eastAsia="en-AU"/>
        </w:rPr>
        <w:t xml:space="preserve">able </w:t>
      </w:r>
      <w:r w:rsidRPr="00650A4E">
        <w:rPr>
          <w:rFonts w:eastAsia="Times New Roman" w:cs="Arial"/>
          <w:szCs w:val="18"/>
          <w:lang w:eastAsia="en-AU"/>
        </w:rPr>
        <w:fldChar w:fldCharType="begin" w:fldLock="1"/>
      </w:r>
      <w:r w:rsidRPr="00650A4E">
        <w:rPr>
          <w:rFonts w:eastAsia="Times New Roman" w:cs="Arial"/>
          <w:szCs w:val="18"/>
          <w:lang w:eastAsia="en-AU"/>
        </w:rPr>
        <w:instrText xml:space="preserve"> SEQ Table \* ARABIC </w:instrText>
      </w:r>
      <w:r w:rsidRPr="00650A4E">
        <w:rPr>
          <w:rFonts w:eastAsia="Times New Roman" w:cs="Arial"/>
          <w:szCs w:val="18"/>
          <w:lang w:eastAsia="en-AU"/>
        </w:rPr>
        <w:fldChar w:fldCharType="separate"/>
      </w:r>
      <w:r>
        <w:rPr>
          <w:rFonts w:eastAsia="Times New Roman" w:cs="Arial"/>
          <w:noProof/>
          <w:szCs w:val="18"/>
          <w:lang w:eastAsia="en-AU"/>
        </w:rPr>
        <w:t>20</w:t>
      </w:r>
      <w:r w:rsidRPr="00650A4E">
        <w:rPr>
          <w:rFonts w:eastAsia="Times New Roman" w:cs="Arial"/>
          <w:szCs w:val="18"/>
          <w:lang w:eastAsia="en-AU"/>
        </w:rPr>
        <w:fldChar w:fldCharType="end"/>
      </w:r>
      <w:bookmarkEnd w:id="70"/>
      <w:r w:rsidRPr="00650A4E">
        <w:rPr>
          <w:rFonts w:eastAsia="Times New Roman" w:cs="Arial"/>
          <w:szCs w:val="18"/>
          <w:lang w:eastAsia="en-AU"/>
        </w:rPr>
        <w:t xml:space="preserve">: </w:t>
      </w:r>
      <w:r w:rsidRPr="00AE5A3A">
        <w:t>Issues to be addressed (March 2024 PBAC minutes)</w:t>
      </w:r>
    </w:p>
    <w:tbl>
      <w:tblPr>
        <w:tblStyle w:val="TableGrid"/>
        <w:tblW w:w="0" w:type="auto"/>
        <w:tblLook w:val="04A0" w:firstRow="1" w:lastRow="0" w:firstColumn="1" w:lastColumn="0" w:noHBand="0" w:noVBand="1"/>
        <w:tblCaption w:val="Table 20: Issues to be addressed (March 2024 PBAC minutes)"/>
      </w:tblPr>
      <w:tblGrid>
        <w:gridCol w:w="308"/>
        <w:gridCol w:w="4365"/>
        <w:gridCol w:w="4343"/>
      </w:tblGrid>
      <w:tr w:rsidR="005F2818" w:rsidRPr="00644F2A" w14:paraId="7CBBA25D" w14:textId="77777777" w:rsidTr="00660892">
        <w:trPr>
          <w:trHeight w:val="20"/>
        </w:trPr>
        <w:tc>
          <w:tcPr>
            <w:tcW w:w="4673" w:type="dxa"/>
            <w:gridSpan w:val="2"/>
          </w:tcPr>
          <w:p w14:paraId="11B8F28C" w14:textId="77777777" w:rsidR="005F2818" w:rsidRPr="00644F2A" w:rsidRDefault="005F2818" w:rsidP="00660892">
            <w:pPr>
              <w:pStyle w:val="COMTabletext"/>
              <w:rPr>
                <w:b/>
                <w:bCs w:val="0"/>
              </w:rPr>
            </w:pPr>
            <w:r w:rsidRPr="00644F2A">
              <w:rPr>
                <w:b/>
                <w:bCs w:val="0"/>
              </w:rPr>
              <w:t>Matter of Concern</w:t>
            </w:r>
          </w:p>
        </w:tc>
        <w:tc>
          <w:tcPr>
            <w:tcW w:w="4343" w:type="dxa"/>
          </w:tcPr>
          <w:p w14:paraId="7F3DB0FC" w14:textId="77777777" w:rsidR="005F2818" w:rsidRPr="00644F2A" w:rsidRDefault="005F2818" w:rsidP="00660892">
            <w:pPr>
              <w:pStyle w:val="COMTabletext"/>
              <w:rPr>
                <w:b/>
                <w:bCs w:val="0"/>
              </w:rPr>
            </w:pPr>
            <w:r w:rsidRPr="00644F2A">
              <w:rPr>
                <w:b/>
                <w:bCs w:val="0"/>
              </w:rPr>
              <w:t>Resubmission</w:t>
            </w:r>
          </w:p>
        </w:tc>
      </w:tr>
      <w:tr w:rsidR="005F2818" w:rsidRPr="00644F2A" w14:paraId="455C57F0" w14:textId="77777777" w:rsidTr="00660892">
        <w:trPr>
          <w:trHeight w:val="20"/>
        </w:trPr>
        <w:tc>
          <w:tcPr>
            <w:tcW w:w="0" w:type="auto"/>
            <w:gridSpan w:val="3"/>
          </w:tcPr>
          <w:p w14:paraId="4550BC80" w14:textId="77777777" w:rsidR="005F2818" w:rsidRPr="00644F2A" w:rsidRDefault="005F2818" w:rsidP="00660892">
            <w:pPr>
              <w:pStyle w:val="COMTabletext"/>
              <w:rPr>
                <w:b/>
                <w:bCs w:val="0"/>
              </w:rPr>
            </w:pPr>
            <w:r w:rsidRPr="00644F2A">
              <w:rPr>
                <w:b/>
                <w:bCs w:val="0"/>
              </w:rPr>
              <w:t>Matters Raised by PBAC (minutes, para 7.16)</w:t>
            </w:r>
          </w:p>
        </w:tc>
      </w:tr>
      <w:tr w:rsidR="005F2818" w:rsidRPr="00644F2A" w14:paraId="7CCC9943" w14:textId="77777777" w:rsidTr="00660892">
        <w:trPr>
          <w:trHeight w:val="20"/>
        </w:trPr>
        <w:tc>
          <w:tcPr>
            <w:tcW w:w="0" w:type="auto"/>
          </w:tcPr>
          <w:p w14:paraId="02A65913" w14:textId="77777777" w:rsidR="005F2818" w:rsidRPr="00644F2A" w:rsidRDefault="005F2818" w:rsidP="00660892">
            <w:pPr>
              <w:pStyle w:val="COMTabletext"/>
            </w:pPr>
            <w:r w:rsidRPr="00644F2A">
              <w:t>1</w:t>
            </w:r>
          </w:p>
        </w:tc>
        <w:tc>
          <w:tcPr>
            <w:tcW w:w="4365" w:type="dxa"/>
          </w:tcPr>
          <w:p w14:paraId="42B3DAEF" w14:textId="77777777" w:rsidR="005F2818" w:rsidRPr="00644F2A" w:rsidRDefault="005F2818" w:rsidP="00660892">
            <w:pPr>
              <w:pStyle w:val="COMTabletext"/>
              <w:rPr>
                <w:rFonts w:cs="Segoe UI"/>
                <w:i/>
                <w:iCs/>
              </w:rPr>
            </w:pPr>
            <w:r w:rsidRPr="007A4E7E">
              <w:t>Provide expected duration of therapy (in years) entailing whether this would be a lifelong treatment or time-limited treatment considering ongoing attempts to identify the source for surgical removal. This may be drawn from available evidence such as literature, clinical expert opinion or case studies</w:t>
            </w:r>
          </w:p>
        </w:tc>
        <w:tc>
          <w:tcPr>
            <w:tcW w:w="4343" w:type="dxa"/>
          </w:tcPr>
          <w:p w14:paraId="08E2E30A" w14:textId="77777777" w:rsidR="005F2818" w:rsidRDefault="005F2818" w:rsidP="00660892">
            <w:pPr>
              <w:pStyle w:val="COMTabletext"/>
            </w:pPr>
            <w:r w:rsidRPr="00AE5A3A">
              <w:t xml:space="preserve">The resubmission stated that no new data has become available that would provide a better estimate of the duration of treatment with osilodrostat than the estimated 4.62 years in the March 2024 submission. </w:t>
            </w:r>
          </w:p>
          <w:p w14:paraId="032CA372" w14:textId="77777777" w:rsidR="005F2818" w:rsidRDefault="005F2818" w:rsidP="00660892">
            <w:pPr>
              <w:pStyle w:val="COMTabletext"/>
            </w:pPr>
          </w:p>
          <w:p w14:paraId="6286F15A" w14:textId="77777777" w:rsidR="005F2818" w:rsidRDefault="005F2818" w:rsidP="00660892">
            <w:pPr>
              <w:pStyle w:val="COMTabletext"/>
            </w:pPr>
            <w:r w:rsidRPr="00305DA5">
              <w:t>Th</w:t>
            </w:r>
            <w:r>
              <w:t xml:space="preserve">e resubmission stated </w:t>
            </w:r>
            <w:bookmarkStart w:id="71" w:name="_Hlk176775556"/>
            <w:r>
              <w:t>f</w:t>
            </w:r>
            <w:r w:rsidRPr="00305DA5">
              <w:t>actors that may impact the duration of osilodrostat treatment include:</w:t>
            </w:r>
          </w:p>
          <w:p w14:paraId="6DE5F897" w14:textId="77777777" w:rsidR="005F2818" w:rsidRDefault="005F2818" w:rsidP="005F2818">
            <w:pPr>
              <w:pStyle w:val="COMTabletext"/>
              <w:numPr>
                <w:ilvl w:val="0"/>
                <w:numId w:val="28"/>
              </w:numPr>
            </w:pPr>
            <w:r w:rsidRPr="00305DA5">
              <w:t xml:space="preserve">whether </w:t>
            </w:r>
            <w:proofErr w:type="spellStart"/>
            <w:r w:rsidRPr="00305DA5">
              <w:t>eCS</w:t>
            </w:r>
            <w:proofErr w:type="spellEnd"/>
            <w:r w:rsidRPr="00305DA5">
              <w:t xml:space="preserve"> is caused by a malignant tumour</w:t>
            </w:r>
            <w:r>
              <w:t xml:space="preserve"> </w:t>
            </w:r>
          </w:p>
          <w:p w14:paraId="2A7EA31B" w14:textId="77777777" w:rsidR="005F2818" w:rsidRDefault="005F2818" w:rsidP="005F2818">
            <w:pPr>
              <w:pStyle w:val="COMTabletext"/>
              <w:numPr>
                <w:ilvl w:val="0"/>
                <w:numId w:val="28"/>
              </w:numPr>
            </w:pPr>
            <w:r w:rsidRPr="00305DA5">
              <w:t xml:space="preserve">subsequent surgery </w:t>
            </w:r>
          </w:p>
          <w:p w14:paraId="57440C2A" w14:textId="77777777" w:rsidR="005F2818" w:rsidRPr="00305DA5" w:rsidRDefault="005F2818" w:rsidP="005F2818">
            <w:pPr>
              <w:pStyle w:val="COMTabletext"/>
              <w:numPr>
                <w:ilvl w:val="0"/>
                <w:numId w:val="28"/>
              </w:numPr>
            </w:pPr>
            <w:r w:rsidRPr="00305DA5">
              <w:t>prior radiotherapy</w:t>
            </w:r>
          </w:p>
          <w:p w14:paraId="68937A6D" w14:textId="77777777" w:rsidR="005F2818" w:rsidRPr="00305DA5" w:rsidRDefault="005F2818" w:rsidP="005F2818">
            <w:pPr>
              <w:pStyle w:val="COMTabletext"/>
              <w:numPr>
                <w:ilvl w:val="0"/>
                <w:numId w:val="28"/>
              </w:numPr>
            </w:pPr>
            <w:r w:rsidRPr="00305DA5">
              <w:t>impact of osilodrostat on comorbidities and survival</w:t>
            </w:r>
            <w:r>
              <w:t xml:space="preserve"> </w:t>
            </w:r>
            <w:bookmarkEnd w:id="71"/>
          </w:p>
        </w:tc>
      </w:tr>
      <w:tr w:rsidR="005F2818" w:rsidRPr="00644F2A" w14:paraId="4B36FF71" w14:textId="77777777" w:rsidTr="00660892">
        <w:trPr>
          <w:trHeight w:val="20"/>
        </w:trPr>
        <w:tc>
          <w:tcPr>
            <w:tcW w:w="0" w:type="auto"/>
          </w:tcPr>
          <w:p w14:paraId="50208E3C" w14:textId="77777777" w:rsidR="005F2818" w:rsidRPr="00644F2A" w:rsidRDefault="005F2818" w:rsidP="00660892">
            <w:pPr>
              <w:pStyle w:val="COMTabletext"/>
            </w:pPr>
            <w:r w:rsidRPr="00644F2A">
              <w:t>2</w:t>
            </w:r>
          </w:p>
        </w:tc>
        <w:tc>
          <w:tcPr>
            <w:tcW w:w="4365" w:type="dxa"/>
          </w:tcPr>
          <w:p w14:paraId="0BFD670C" w14:textId="77777777" w:rsidR="005F2818" w:rsidRPr="00644F2A" w:rsidRDefault="005F2818" w:rsidP="00660892">
            <w:pPr>
              <w:pStyle w:val="COMTabletext"/>
            </w:pPr>
            <w:r w:rsidRPr="0062598D">
              <w:t>Justify the value proposition of treatment over time, i.e., provide additional context on QoL improvements regarding cost per responder for at least partial response for expected duration of therapy (this may be short-term, medium-term, and/or long-term depending on what the expected duration of therapy is deemed to be). If the majority of use is expected to be long-term, the cost per responder should be provided in the context of precedents for longer-term treatments for comparison</w:t>
            </w:r>
            <w:r>
              <w:t xml:space="preserve"> </w:t>
            </w:r>
          </w:p>
        </w:tc>
        <w:tc>
          <w:tcPr>
            <w:tcW w:w="4343" w:type="dxa"/>
          </w:tcPr>
          <w:p w14:paraId="1366E345" w14:textId="77777777" w:rsidR="005F2818" w:rsidRPr="00AE5A3A" w:rsidRDefault="005F2818" w:rsidP="00660892">
            <w:pPr>
              <w:pStyle w:val="COMTabletext"/>
            </w:pPr>
            <w:r w:rsidRPr="00AE5A3A">
              <w:t xml:space="preserve">The </w:t>
            </w:r>
            <w:r>
              <w:t xml:space="preserve">resubmission presented </w:t>
            </w:r>
            <w:r w:rsidRPr="00AE5A3A">
              <w:t xml:space="preserve">clinical evidence </w:t>
            </w:r>
            <w:r>
              <w:t xml:space="preserve">to demonstrate </w:t>
            </w:r>
            <w:r w:rsidRPr="00AE5A3A">
              <w:t>the following:</w:t>
            </w:r>
          </w:p>
          <w:p w14:paraId="6D299279" w14:textId="77777777" w:rsidR="005F2818" w:rsidRDefault="005F2818" w:rsidP="005F2818">
            <w:pPr>
              <w:pStyle w:val="COMTabletext"/>
              <w:numPr>
                <w:ilvl w:val="0"/>
                <w:numId w:val="27"/>
              </w:numPr>
            </w:pPr>
            <w:r w:rsidRPr="00AE5A3A">
              <w:t xml:space="preserve">The wide range of comorbidities experienced by patients with </w:t>
            </w:r>
            <w:proofErr w:type="spellStart"/>
            <w:r w:rsidRPr="00AE5A3A">
              <w:t>eCS</w:t>
            </w:r>
            <w:proofErr w:type="spellEnd"/>
            <w:r>
              <w:t>.</w:t>
            </w:r>
            <w:r w:rsidRPr="00AE5A3A">
              <w:t xml:space="preserve"> </w:t>
            </w:r>
          </w:p>
          <w:p w14:paraId="6EE525F0" w14:textId="77777777" w:rsidR="005F2818" w:rsidRDefault="005F2818" w:rsidP="005F2818">
            <w:pPr>
              <w:pStyle w:val="COMTabletext"/>
              <w:numPr>
                <w:ilvl w:val="0"/>
                <w:numId w:val="27"/>
              </w:numPr>
            </w:pPr>
            <w:r w:rsidRPr="00AE5A3A">
              <w:t xml:space="preserve">Normalising cortisol improves key clinical parameters that are well established surrogates for final outcomes of </w:t>
            </w:r>
            <w:proofErr w:type="spellStart"/>
            <w:r w:rsidRPr="00AE5A3A">
              <w:t>eCS</w:t>
            </w:r>
            <w:proofErr w:type="spellEnd"/>
            <w:r w:rsidRPr="00AE5A3A">
              <w:t xml:space="preserve"> associated comorbidities in the short- and long term</w:t>
            </w:r>
            <w:r>
              <w:t>.</w:t>
            </w:r>
            <w:r w:rsidRPr="00AE5A3A">
              <w:t xml:space="preserve"> </w:t>
            </w:r>
          </w:p>
          <w:p w14:paraId="67ED5D4C" w14:textId="77777777" w:rsidR="005F2818" w:rsidRDefault="005F2818" w:rsidP="005F2818">
            <w:pPr>
              <w:pStyle w:val="COMTabletext"/>
              <w:numPr>
                <w:ilvl w:val="0"/>
                <w:numId w:val="27"/>
              </w:numPr>
            </w:pPr>
            <w:r w:rsidRPr="00AE5A3A">
              <w:t xml:space="preserve">The improvements in the key clinical parameters (e.g., HbA1c, blood pressure, BMI, BMD) are maintained whilst the patient remains on treatment, irrespective of the </w:t>
            </w:r>
            <w:proofErr w:type="spellStart"/>
            <w:r w:rsidRPr="00AE5A3A">
              <w:t>eCS</w:t>
            </w:r>
            <w:proofErr w:type="spellEnd"/>
            <w:r w:rsidRPr="00AE5A3A">
              <w:t xml:space="preserve"> subtype. </w:t>
            </w:r>
          </w:p>
          <w:p w14:paraId="18212938" w14:textId="77777777" w:rsidR="005F2818" w:rsidRPr="00905135" w:rsidRDefault="005F2818" w:rsidP="005F2818">
            <w:pPr>
              <w:pStyle w:val="COMTabletext"/>
              <w:numPr>
                <w:ilvl w:val="0"/>
                <w:numId w:val="27"/>
              </w:numPr>
            </w:pPr>
            <w:r w:rsidRPr="00AE5A3A">
              <w:t>Longer term treatment with osilodrostat will avoid clinical events (e.g., stroke, myocardial infarction, kidney failure, fractures, sepsis) which allows patients to maintain or improve QoL for longer compared with those with uncontrolled cortisol. This is in addition to patients with controlled cortisol experiencing improved survival.</w:t>
            </w:r>
          </w:p>
        </w:tc>
      </w:tr>
      <w:tr w:rsidR="005F2818" w:rsidRPr="00644F2A" w14:paraId="282930E0" w14:textId="77777777" w:rsidTr="00660892">
        <w:trPr>
          <w:trHeight w:val="20"/>
        </w:trPr>
        <w:tc>
          <w:tcPr>
            <w:tcW w:w="0" w:type="auto"/>
          </w:tcPr>
          <w:p w14:paraId="17F27170" w14:textId="77777777" w:rsidR="005F2818" w:rsidRPr="00644F2A" w:rsidRDefault="005F2818" w:rsidP="00660892">
            <w:pPr>
              <w:pStyle w:val="COMTabletext"/>
            </w:pPr>
            <w:r w:rsidRPr="00644F2A">
              <w:t>3</w:t>
            </w:r>
          </w:p>
        </w:tc>
        <w:tc>
          <w:tcPr>
            <w:tcW w:w="4365" w:type="dxa"/>
          </w:tcPr>
          <w:p w14:paraId="4AF691EE" w14:textId="77777777" w:rsidR="005F2818" w:rsidRPr="00644F2A" w:rsidRDefault="005F2818" w:rsidP="00660892">
            <w:pPr>
              <w:pStyle w:val="COMTabletext"/>
            </w:pPr>
            <w:r>
              <w:t>Provide revised financial estimates incorporating the estimated duration of therapy.</w:t>
            </w:r>
            <w:r w:rsidRPr="00B546D5">
              <w:t xml:space="preserve"> The PBAC noted that it</w:t>
            </w:r>
            <w:r>
              <w:t xml:space="preserve"> may</w:t>
            </w:r>
            <w:r w:rsidRPr="00B546D5">
              <w:t xml:space="preserve"> be possible to address the uncertainty associated with the treatment duration through a Risk Sharing Arrangement</w:t>
            </w:r>
            <w:r>
              <w:t>.</w:t>
            </w:r>
          </w:p>
          <w:p w14:paraId="704932CC" w14:textId="77777777" w:rsidR="005F2818" w:rsidRPr="00644F2A" w:rsidRDefault="005F2818" w:rsidP="00660892">
            <w:pPr>
              <w:pStyle w:val="COMTabletext"/>
            </w:pPr>
          </w:p>
        </w:tc>
        <w:tc>
          <w:tcPr>
            <w:tcW w:w="4343" w:type="dxa"/>
          </w:tcPr>
          <w:p w14:paraId="432EA60F" w14:textId="77777777" w:rsidR="005F2818" w:rsidRDefault="005F2818" w:rsidP="00660892">
            <w:pPr>
              <w:pStyle w:val="COMTabletext"/>
            </w:pPr>
            <w:r w:rsidRPr="00AE5A3A">
              <w:t>The resubmission stated that</w:t>
            </w:r>
            <w:r>
              <w:t>,</w:t>
            </w:r>
            <w:r w:rsidRPr="00AE5A3A">
              <w:t xml:space="preserve"> except for some minor updates</w:t>
            </w:r>
            <w:r>
              <w:t xml:space="preserve"> to pharmacy fees and copayments</w:t>
            </w:r>
            <w:r w:rsidRPr="00AE5A3A">
              <w:t>, the financial estimates remain largely unchanged from those presented in the March 2024 submission.</w:t>
            </w:r>
          </w:p>
          <w:p w14:paraId="6FA5614B" w14:textId="77777777" w:rsidR="005F2818" w:rsidRDefault="005F2818" w:rsidP="00660892">
            <w:pPr>
              <w:pStyle w:val="COMTabletext"/>
            </w:pPr>
          </w:p>
          <w:p w14:paraId="36925DE7" w14:textId="77777777" w:rsidR="005F2818" w:rsidRPr="00502908" w:rsidRDefault="005F2818" w:rsidP="00660892">
            <w:pPr>
              <w:pStyle w:val="COMTabletext"/>
            </w:pPr>
            <w:r w:rsidRPr="00AE5A3A">
              <w:t>The resubmission stated that while the PBAC noted that the uncertainty associated with the treatment duration could be addressed with a risk sharing arrangement, the sponsor does not believe that such an arrangement would be required.</w:t>
            </w:r>
            <w:r w:rsidRPr="00502908">
              <w:t xml:space="preserve"> </w:t>
            </w:r>
          </w:p>
        </w:tc>
      </w:tr>
    </w:tbl>
    <w:p w14:paraId="4F44BF91" w14:textId="77777777" w:rsidR="005F2818" w:rsidRDefault="005F2818" w:rsidP="005F2818">
      <w:pPr>
        <w:rPr>
          <w:rFonts w:ascii="Arial Narrow" w:hAnsi="Arial Narrow"/>
          <w:sz w:val="18"/>
          <w:szCs w:val="18"/>
        </w:rPr>
      </w:pPr>
      <w:r w:rsidRPr="00406051">
        <w:rPr>
          <w:rFonts w:ascii="Arial Narrow" w:hAnsi="Arial Narrow"/>
          <w:sz w:val="18"/>
          <w:szCs w:val="18"/>
        </w:rPr>
        <w:t xml:space="preserve">BMD = bone mineral density; BMI = body mass index; </w:t>
      </w:r>
      <w:proofErr w:type="spellStart"/>
      <w:r w:rsidRPr="00406051">
        <w:rPr>
          <w:rFonts w:ascii="Arial Narrow" w:hAnsi="Arial Narrow"/>
          <w:sz w:val="18"/>
          <w:szCs w:val="18"/>
        </w:rPr>
        <w:t>eCS</w:t>
      </w:r>
      <w:proofErr w:type="spellEnd"/>
      <w:r w:rsidRPr="00406051">
        <w:rPr>
          <w:rFonts w:ascii="Arial Narrow" w:hAnsi="Arial Narrow"/>
          <w:sz w:val="18"/>
          <w:szCs w:val="18"/>
        </w:rPr>
        <w:t xml:space="preserve"> = endogenous Cushing’s syndrome</w:t>
      </w:r>
    </w:p>
    <w:p w14:paraId="1646A468" w14:textId="1B1169B9" w:rsidR="005F2818" w:rsidRPr="007660E4" w:rsidRDefault="005F2818" w:rsidP="005F2818">
      <w:pPr>
        <w:pStyle w:val="3-BodyText"/>
        <w:numPr>
          <w:ilvl w:val="1"/>
          <w:numId w:val="29"/>
        </w:numPr>
        <w:spacing w:before="120"/>
        <w:ind w:left="720" w:hanging="720"/>
      </w:pPr>
      <w:r>
        <w:t xml:space="preserve">The resubmission proposed the same ex-manufacturer price (EMP) as proposed in the March 2024 submission (EMP for 1 mg tablets= </w:t>
      </w:r>
      <w:r w:rsidRPr="00AE5A3A">
        <w:t>$</w:t>
      </w:r>
      <w:r w:rsidR="006103C4" w:rsidRPr="00001C23">
        <w:rPr>
          <w:color w:val="000000"/>
          <w:w w:val="15"/>
          <w:shd w:val="solid" w:color="000000" w:fill="000000"/>
          <w:fitText w:val="-20" w:id="-863222528"/>
          <w14:textFill>
            <w14:solidFill>
              <w14:srgbClr w14:val="000000">
                <w14:alpha w14:val="100000"/>
              </w14:srgbClr>
            </w14:solidFill>
          </w14:textFill>
        </w:rPr>
        <w:t xml:space="preserve">|  </w:t>
      </w:r>
      <w:r w:rsidR="006103C4" w:rsidRPr="00001C23">
        <w:rPr>
          <w:color w:val="000000"/>
          <w:spacing w:val="-69"/>
          <w:w w:val="15"/>
          <w:shd w:val="solid" w:color="000000" w:fill="000000"/>
          <w:fitText w:val="-20" w:id="-863222528"/>
          <w14:textFill>
            <w14:solidFill>
              <w14:srgbClr w14:val="000000">
                <w14:alpha w14:val="100000"/>
              </w14:srgbClr>
            </w14:solidFill>
          </w14:textFill>
        </w:rPr>
        <w:t>|</w:t>
      </w:r>
      <w:r w:rsidRPr="00AE5A3A">
        <w:t xml:space="preserve"> and </w:t>
      </w:r>
      <w:r>
        <w:t>for 5</w:t>
      </w:r>
      <w:r w:rsidRPr="00AE5A3A">
        <w:t xml:space="preserve"> mg tablets</w:t>
      </w:r>
      <w:r>
        <w:t xml:space="preserve"> = </w:t>
      </w:r>
      <w:r w:rsidRPr="00AE5A3A">
        <w:t>$</w:t>
      </w:r>
      <w:r w:rsidR="006103C4" w:rsidRPr="00001C23">
        <w:rPr>
          <w:color w:val="000000"/>
          <w:w w:val="15"/>
          <w:shd w:val="solid" w:color="000000" w:fill="000000"/>
          <w:fitText w:val="-20" w:id="-863223040"/>
          <w14:textFill>
            <w14:solidFill>
              <w14:srgbClr w14:val="000000">
                <w14:alpha w14:val="100000"/>
              </w14:srgbClr>
            </w14:solidFill>
          </w14:textFill>
        </w:rPr>
        <w:t xml:space="preserve">|  </w:t>
      </w:r>
      <w:r w:rsidR="006103C4" w:rsidRPr="00001C23">
        <w:rPr>
          <w:color w:val="000000"/>
          <w:spacing w:val="-69"/>
          <w:w w:val="15"/>
          <w:shd w:val="solid" w:color="000000" w:fill="000000"/>
          <w:fitText w:val="-20" w:id="-863223040"/>
          <w14:textFill>
            <w14:solidFill>
              <w14:srgbClr w14:val="000000">
                <w14:alpha w14:val="100000"/>
              </w14:srgbClr>
            </w14:solidFill>
          </w14:textFill>
        </w:rPr>
        <w:t>|</w:t>
      </w:r>
      <w:r>
        <w:t>)</w:t>
      </w:r>
      <w:r w:rsidRPr="00AE5A3A">
        <w:t>.</w:t>
      </w:r>
    </w:p>
    <w:p w14:paraId="2F1DE0DB" w14:textId="77777777" w:rsidR="005F2818" w:rsidRDefault="005F2818" w:rsidP="005F2818">
      <w:pPr>
        <w:pStyle w:val="2-SectionHeading"/>
      </w:pPr>
      <w:r w:rsidRPr="001D25FF">
        <w:t>Requested listing</w:t>
      </w:r>
    </w:p>
    <w:p w14:paraId="2847F871" w14:textId="77777777" w:rsidR="005F2818" w:rsidRDefault="005F2818" w:rsidP="005F2818">
      <w:pPr>
        <w:pStyle w:val="3-BodyText"/>
        <w:numPr>
          <w:ilvl w:val="1"/>
          <w:numId w:val="29"/>
        </w:numPr>
        <w:spacing w:before="120"/>
        <w:ind w:left="720" w:hanging="720"/>
      </w:pPr>
      <w:r>
        <w:t xml:space="preserve">The early resolution resubmission accepted the </w:t>
      </w:r>
      <w:r w:rsidRPr="007A4E7E">
        <w:t>Secretariat</w:t>
      </w:r>
      <w:r>
        <w:t xml:space="preserve"> revisions to the proposed restrictions as outlined in section 3 above. </w:t>
      </w:r>
    </w:p>
    <w:p w14:paraId="6C12DA72" w14:textId="77777777" w:rsidR="005F2818" w:rsidRDefault="005F2818" w:rsidP="005F2818">
      <w:pPr>
        <w:pStyle w:val="2-SectionHeading"/>
      </w:pPr>
      <w:r>
        <w:lastRenderedPageBreak/>
        <w:t>Consideration of the evidence</w:t>
      </w:r>
    </w:p>
    <w:p w14:paraId="2A5327A0" w14:textId="77777777" w:rsidR="005F2818" w:rsidRDefault="005F2818" w:rsidP="005F2818">
      <w:pPr>
        <w:pStyle w:val="4-SubsectionHeading"/>
      </w:pPr>
      <w:r>
        <w:t>Economic analysis</w:t>
      </w:r>
    </w:p>
    <w:p w14:paraId="5323E14B" w14:textId="77777777" w:rsidR="005F2818" w:rsidRDefault="005F2818" w:rsidP="005F2818">
      <w:pPr>
        <w:pStyle w:val="3-BodyText"/>
        <w:numPr>
          <w:ilvl w:val="1"/>
          <w:numId w:val="29"/>
        </w:numPr>
        <w:spacing w:before="120"/>
        <w:ind w:left="720" w:hanging="720"/>
      </w:pPr>
      <w:r>
        <w:t>The early resolution resubmission presented a</w:t>
      </w:r>
      <w:r w:rsidRPr="00E34231">
        <w:t xml:space="preserve"> summary of the value proposition of osilodrostat treatment over time</w:t>
      </w:r>
      <w:r>
        <w:t>,</w:t>
      </w:r>
      <w:r w:rsidRPr="00E34231">
        <w:t xml:space="preserve"> </w:t>
      </w:r>
      <w:r>
        <w:t xml:space="preserve">depicted </w:t>
      </w:r>
      <w:r w:rsidRPr="00E34231">
        <w:t>in Figure</w:t>
      </w:r>
      <w:r>
        <w:t xml:space="preserve"> 1 below</w:t>
      </w:r>
      <w:r w:rsidRPr="00E34231">
        <w:t>.</w:t>
      </w:r>
    </w:p>
    <w:p w14:paraId="2286CE9E" w14:textId="77777777" w:rsidR="005F2818" w:rsidRDefault="005F2818" w:rsidP="005F2818">
      <w:pPr>
        <w:pStyle w:val="3-BodyText"/>
        <w:numPr>
          <w:ilvl w:val="1"/>
          <w:numId w:val="29"/>
        </w:numPr>
        <w:spacing w:before="120"/>
        <w:ind w:left="720" w:hanging="720"/>
      </w:pPr>
      <w:r>
        <w:t xml:space="preserve">The resubmission stated that (page 30): </w:t>
      </w:r>
    </w:p>
    <w:p w14:paraId="38F35942" w14:textId="7ADC1215" w:rsidR="000C7859" w:rsidRDefault="005F2818" w:rsidP="000C7859">
      <w:pPr>
        <w:pStyle w:val="COMexecsumnumberedpara"/>
        <w:tabs>
          <w:tab w:val="clear" w:pos="360"/>
        </w:tabs>
        <w:ind w:left="1080" w:firstLine="0"/>
      </w:pPr>
      <w:r>
        <w:t xml:space="preserve">“Although osilodrostat only acts on reducing cortisol, the clinical evidence showed that the impact of reducing cortisol in patients with </w:t>
      </w:r>
      <w:proofErr w:type="spellStart"/>
      <w:r>
        <w:t>eCS</w:t>
      </w:r>
      <w:proofErr w:type="spellEnd"/>
      <w:r>
        <w:t xml:space="preserve"> extends well beyond the short-term QoL improvements. Indeed, reducing cortisol in patients with </w:t>
      </w:r>
      <w:proofErr w:type="spellStart"/>
      <w:r>
        <w:t>eCS</w:t>
      </w:r>
      <w:proofErr w:type="spellEnd"/>
      <w:r>
        <w:t xml:space="preserve"> also has a meaningful impact on key clinical parameters of a range of common comorbidities (e.g., hypertension, diabetes, obesity, dyslipidaemia, osteoporosis). For most key clinical parameters (e.g., systolic and diastolic blood pressure, HbA1c, body weight, BMI, cholesterol, bone mineral density, etc.) of the common comorbidities experienced by patients with </w:t>
      </w:r>
      <w:proofErr w:type="spellStart"/>
      <w:r>
        <w:t>eCS</w:t>
      </w:r>
      <w:proofErr w:type="spellEnd"/>
      <w:r>
        <w:t xml:space="preserve">, the PBAC has previously accepted that improvements are associated with reductions in clinically significant events (e.g., CVD, CKD, cancer, fractures, sepsis, depression), extension of overall survival and improvements in quality of life.” </w:t>
      </w:r>
      <w:bookmarkStart w:id="72" w:name="_Ref174104286"/>
    </w:p>
    <w:p w14:paraId="349B1E21" w14:textId="3577332F" w:rsidR="005F2818" w:rsidRDefault="005F2818" w:rsidP="00850A46">
      <w:pPr>
        <w:pStyle w:val="TableFigureHeading"/>
      </w:pPr>
      <w:r>
        <w:lastRenderedPageBreak/>
        <w:t xml:space="preserve">Figure </w:t>
      </w:r>
      <w:r w:rsidR="00545EA1">
        <w:fldChar w:fldCharType="begin" w:fldLock="1"/>
      </w:r>
      <w:r w:rsidR="00545EA1">
        <w:instrText xml:space="preserve"> SEQ Figure \* ARABIC </w:instrText>
      </w:r>
      <w:r w:rsidR="00545EA1">
        <w:fldChar w:fldCharType="separate"/>
      </w:r>
      <w:r>
        <w:rPr>
          <w:noProof/>
        </w:rPr>
        <w:t>4</w:t>
      </w:r>
      <w:r w:rsidR="00545EA1">
        <w:rPr>
          <w:noProof/>
        </w:rPr>
        <w:fldChar w:fldCharType="end"/>
      </w:r>
      <w:r>
        <w:t>:</w:t>
      </w:r>
      <w:r w:rsidRPr="008466A4">
        <w:t xml:space="preserve"> Summary of the value proposition of osilodrostat treatment over time</w:t>
      </w:r>
    </w:p>
    <w:p w14:paraId="3DDFB13A" w14:textId="77777777" w:rsidR="005F2818" w:rsidRPr="00DC4A40" w:rsidRDefault="005F2818" w:rsidP="00850A46">
      <w:pPr>
        <w:keepNext/>
        <w:jc w:val="center"/>
        <w:rPr>
          <w:rFonts w:asciiTheme="minorHAnsi" w:hAnsiTheme="minorHAnsi"/>
          <w:b/>
          <w:bCs/>
          <w:szCs w:val="18"/>
        </w:rPr>
      </w:pPr>
      <w:r w:rsidRPr="00001DC0">
        <w:rPr>
          <w:rFonts w:asciiTheme="minorHAnsi" w:hAnsiTheme="minorHAnsi"/>
          <w:b/>
          <w:bCs/>
          <w:noProof/>
          <w:szCs w:val="18"/>
        </w:rPr>
        <w:drawing>
          <wp:inline distT="0" distB="0" distL="0" distR="0" wp14:anchorId="6E46E788" wp14:editId="280B767B">
            <wp:extent cx="6202469" cy="3403040"/>
            <wp:effectExtent l="0" t="0" r="8255" b="6985"/>
            <wp:docPr id="266643533" name="Picture 2" descr="Figure 4: Summary of the value proposition of osilodrostat treatment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643533" name="Picture 2" descr="Figure 4: Summary of the value proposition of osilodrostat treatment over tim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13862" cy="3409291"/>
                    </a:xfrm>
                    <a:prstGeom prst="rect">
                      <a:avLst/>
                    </a:prstGeom>
                    <a:noFill/>
                    <a:ln>
                      <a:noFill/>
                    </a:ln>
                  </pic:spPr>
                </pic:pic>
              </a:graphicData>
            </a:graphic>
          </wp:inline>
        </w:drawing>
      </w:r>
    </w:p>
    <w:bookmarkEnd w:id="72"/>
    <w:p w14:paraId="499EE4B9" w14:textId="77777777" w:rsidR="005F2818" w:rsidRDefault="005F2818" w:rsidP="00063CEB">
      <w:pPr>
        <w:pStyle w:val="TableFigureFooter"/>
        <w:keepNext/>
        <w:keepLines/>
        <w:rPr>
          <w:rFonts w:asciiTheme="minorHAnsi" w:hAnsiTheme="minorHAnsi" w:cstheme="minorHAnsi"/>
        </w:rPr>
      </w:pPr>
      <w:r>
        <w:rPr>
          <w:rFonts w:eastAsia="Calibri"/>
        </w:rPr>
        <w:t xml:space="preserve">Adapted from Mondin et al (2023), Gadelha et al (2022), </w:t>
      </w:r>
      <w:r w:rsidRPr="009E2FB1">
        <w:rPr>
          <w:rFonts w:eastAsia="Calibri"/>
        </w:rPr>
        <w:t>Fleseriu</w:t>
      </w:r>
      <w:r>
        <w:rPr>
          <w:rFonts w:eastAsia="Calibri"/>
        </w:rPr>
        <w:t xml:space="preserve"> et al (2022), </w:t>
      </w:r>
      <w:r w:rsidRPr="009E2FB1">
        <w:rPr>
          <w:rFonts w:eastAsia="Calibri"/>
        </w:rPr>
        <w:t>Chihaoui et al. (2023)</w:t>
      </w:r>
      <w:r>
        <w:rPr>
          <w:rFonts w:eastAsia="Calibri"/>
        </w:rPr>
        <w:t xml:space="preserve">, Castinetti et al (2014), </w:t>
      </w:r>
      <w:hyperlink w:anchor="_ENREF_1" w:tooltip="Abimanyi-Ochom, 2015 #125" w:history="1">
        <w:r w:rsidRPr="00B97A75">
          <w:rPr>
            <w:noProof/>
          </w:rPr>
          <w:t>Abimanyi-Ochom et al. (2015)</w:t>
        </w:r>
      </w:hyperlink>
      <w:r w:rsidRPr="00B97A75">
        <w:rPr>
          <w:noProof/>
        </w:rPr>
        <w:t xml:space="preserve">, </w:t>
      </w:r>
      <w:hyperlink w:anchor="_ENREF_16" w:tooltip="Cho, 2019 #128" w:history="1">
        <w:r w:rsidRPr="00B97A75">
          <w:rPr>
            <w:noProof/>
          </w:rPr>
          <w:t>Cho et al. (2019)</w:t>
        </w:r>
      </w:hyperlink>
      <w:r w:rsidRPr="00B97A75">
        <w:rPr>
          <w:noProof/>
        </w:rPr>
        <w:t xml:space="preserve">, </w:t>
      </w:r>
      <w:hyperlink w:anchor="_ENREF_19" w:tooltip="Cuthbertson, 2013 #127" w:history="1">
        <w:r w:rsidRPr="00B97A75">
          <w:rPr>
            <w:noProof/>
          </w:rPr>
          <w:t>Cuthbertson et al. (2013)</w:t>
        </w:r>
      </w:hyperlink>
      <w:r w:rsidRPr="00B97A75">
        <w:rPr>
          <w:noProof/>
        </w:rPr>
        <w:t xml:space="preserve">, </w:t>
      </w:r>
      <w:hyperlink w:anchor="_ENREF_24" w:tooltip="Hakeem Ismael, 2020 #122" w:history="1">
        <w:r w:rsidRPr="00B97A75">
          <w:rPr>
            <w:noProof/>
          </w:rPr>
          <w:t>Hakeem Ismael and Omer Rashid (2020)</w:t>
        </w:r>
      </w:hyperlink>
      <w:r w:rsidRPr="00B97A75">
        <w:rPr>
          <w:noProof/>
        </w:rPr>
        <w:t xml:space="preserve">, </w:t>
      </w:r>
      <w:hyperlink w:anchor="_ENREF_27" w:tooltip="Juenger, 2002 #120" w:history="1">
        <w:r w:rsidRPr="00B97A75">
          <w:rPr>
            <w:noProof/>
          </w:rPr>
          <w:t>Juenger et al. (2002)</w:t>
        </w:r>
      </w:hyperlink>
      <w:r w:rsidRPr="00B97A75">
        <w:rPr>
          <w:noProof/>
        </w:rPr>
        <w:t xml:space="preserve">, </w:t>
      </w:r>
      <w:hyperlink w:anchor="_ENREF_35" w:tooltip="Luijks, 2024 #126" w:history="1">
        <w:r w:rsidRPr="00B97A75">
          <w:rPr>
            <w:noProof/>
          </w:rPr>
          <w:t>Luijks et al. (2024)</w:t>
        </w:r>
      </w:hyperlink>
      <w:r w:rsidRPr="00B97A75">
        <w:rPr>
          <w:noProof/>
        </w:rPr>
        <w:t xml:space="preserve">, </w:t>
      </w:r>
      <w:hyperlink w:anchor="_ENREF_36" w:tooltip="Madureira, 2012 #124" w:history="1">
        <w:r w:rsidRPr="00B97A75">
          <w:rPr>
            <w:noProof/>
          </w:rPr>
          <w:t>Madureira et al. (2012)</w:t>
        </w:r>
      </w:hyperlink>
      <w:r w:rsidRPr="00B97A75">
        <w:rPr>
          <w:noProof/>
        </w:rPr>
        <w:t xml:space="preserve">, </w:t>
      </w:r>
      <w:hyperlink w:anchor="_ENREF_41" w:tooltip="Nayak, 2017 #129" w:history="1">
        <w:r w:rsidRPr="00B97A75">
          <w:rPr>
            <w:noProof/>
          </w:rPr>
          <w:t>Nayak et al. (2017)</w:t>
        </w:r>
      </w:hyperlink>
      <w:r w:rsidRPr="00B97A75">
        <w:rPr>
          <w:noProof/>
        </w:rPr>
        <w:t xml:space="preserve">, </w:t>
      </w:r>
      <w:hyperlink w:anchor="_ENREF_42" w:tooltip="Nguyen, 2018 #121" w:history="1">
        <w:r w:rsidRPr="00B97A75">
          <w:rPr>
            <w:noProof/>
          </w:rPr>
          <w:t>Nguyen et al. (2018)</w:t>
        </w:r>
      </w:hyperlink>
      <w:r w:rsidRPr="00B97A75">
        <w:rPr>
          <w:noProof/>
        </w:rPr>
        <w:t xml:space="preserve">, </w:t>
      </w:r>
      <w:hyperlink w:anchor="_ENREF_50" w:tooltip="Pocock, 2021 #119" w:history="1">
        <w:r w:rsidRPr="00B97A75">
          <w:rPr>
            <w:noProof/>
          </w:rPr>
          <w:t>Pocock et al. (2021)</w:t>
        </w:r>
      </w:hyperlink>
      <w:r w:rsidRPr="00B97A75">
        <w:rPr>
          <w:noProof/>
        </w:rPr>
        <w:t xml:space="preserve">, </w:t>
      </w:r>
      <w:hyperlink w:anchor="_ENREF_53" w:tooltip="Rizzo, 2022 #123" w:history="1">
        <w:r w:rsidRPr="00B97A75">
          <w:rPr>
            <w:noProof/>
          </w:rPr>
          <w:t>Rizzo et al. (2022)</w:t>
        </w:r>
      </w:hyperlink>
      <w:r w:rsidRPr="00B97A75">
        <w:rPr>
          <w:noProof/>
        </w:rPr>
        <w:t xml:space="preserve">, </w:t>
      </w:r>
      <w:hyperlink w:anchor="_ENREF_56" w:tooltip="Shankar-Hari, 2016 #113" w:history="1">
        <w:r w:rsidRPr="00B97A75">
          <w:rPr>
            <w:noProof/>
          </w:rPr>
          <w:t>Shankar-Hari and Rubenfeld (2016)</w:t>
        </w:r>
      </w:hyperlink>
      <w:r w:rsidRPr="00B97A75">
        <w:rPr>
          <w:noProof/>
        </w:rPr>
        <w:t xml:space="preserve">, </w:t>
      </w:r>
      <w:hyperlink w:anchor="_ENREF_57" w:tooltip="Shirali, 2020 #130" w:history="1">
        <w:r w:rsidRPr="00B97A75">
          <w:rPr>
            <w:noProof/>
          </w:rPr>
          <w:t>Shirali et al. (2020)</w:t>
        </w:r>
      </w:hyperlink>
      <w:r w:rsidRPr="00B97A75">
        <w:rPr>
          <w:noProof/>
        </w:rPr>
        <w:t xml:space="preserve">, </w:t>
      </w:r>
      <w:hyperlink w:anchor="_ENREF_60" w:tooltip="UKPDS, 1999 #118" w:history="1">
        <w:r w:rsidRPr="00B97A75">
          <w:rPr>
            <w:noProof/>
          </w:rPr>
          <w:t>UKPDS (1999)</w:t>
        </w:r>
      </w:hyperlink>
      <w:r>
        <w:rPr>
          <w:noProof/>
        </w:rPr>
        <w:t>,</w:t>
      </w:r>
      <w:r w:rsidRPr="00B97A75">
        <w:t xml:space="preserve"> </w:t>
      </w:r>
      <w:hyperlink w:anchor="_ENREF_17" w:tooltip="Clarke, 2002 #131" w:history="1">
        <w:r w:rsidRPr="00B97A75">
          <w:fldChar w:fldCharType="begin" w:fldLock="1"/>
        </w:r>
        <w:r w:rsidRPr="00B97A75">
          <w:instrText xml:space="preserve"> ADDIN EN.CITE &lt;EndNote&gt;&lt;Cite AuthorYear="1"&gt;&lt;Author&gt;Clarke&lt;/Author&gt;&lt;Year&gt;2002&lt;/Year&gt;&lt;RecNum&gt;131&lt;/RecNum&gt;&lt;DisplayText&gt;Clarke et al. (2002)&lt;/DisplayText&gt;&lt;record&gt;&lt;rec-number&gt;131&lt;/rec-number&gt;&lt;foreign-keys&gt;&lt;key app="EN" db-id="s595afzzmedze6ea0pgvfpa9pde5vzwsvv9z" timestamp="1723439198"&gt;131&lt;/key&gt;&lt;/foreign-keys&gt;&lt;ref-type name="Journal Article"&gt;17&lt;/ref-type&gt;&lt;contributors&gt;&lt;authors&gt;&lt;author&gt;Clarke, P.&lt;/author&gt;&lt;author&gt;Gray, A.&lt;/author&gt;&lt;author&gt;Holman, R.&lt;/author&gt;&lt;/authors&gt;&lt;/contributors&gt;&lt;auth-address&gt;philip.clarke@dphpc.ox.ac.uk&lt;/auth-address&gt;&lt;titles&gt;&lt;title&gt;Estimating utility values for health states of type 2 diabetic patients using the EQ-5D (UKPDS 62)&lt;/title&gt;&lt;secondary-title&gt;Med Decis Making&lt;/secondary-title&gt;&lt;/titles&gt;&lt;periodical&gt;&lt;full-title&gt;Med Decis Making&lt;/full-title&gt;&lt;/periodical&gt;&lt;pages&gt;340-9&lt;/pages&gt;&lt;volume&gt;22&lt;/volume&gt;&lt;number&gt;4&lt;/number&gt;&lt;keywords&gt;&lt;keyword&gt;Adolescent&lt;/keyword&gt;&lt;keyword&gt;Child&lt;/keyword&gt;&lt;keyword&gt;Diabetes Mellitus, Type 2/*complications/psychology&lt;/keyword&gt;&lt;keyword&gt;Female&lt;/keyword&gt;&lt;keyword&gt;Humans&lt;/keyword&gt;&lt;keyword&gt;Male&lt;/keyword&gt;&lt;keyword&gt;Outcome Assessment, Health Care&lt;/keyword&gt;&lt;keyword&gt;Pain Measurement&lt;/keyword&gt;&lt;keyword&gt;Prospective Studies&lt;/keyword&gt;&lt;keyword&gt;Quality of Life/*psychology&lt;/keyword&gt;&lt;keyword&gt;Regression Analysis&lt;/keyword&gt;&lt;keyword&gt;*Sickness Impact Profile&lt;/keyword&gt;&lt;keyword&gt;Surveys and Questionnaires&lt;/keyword&gt;&lt;keyword&gt;United Kingdom&lt;/keyword&gt;&lt;/keywords&gt;&lt;dates&gt;&lt;year&gt;2002&lt;/year&gt;&lt;pub-dates&gt;&lt;date&gt;Jul-Aug&lt;/date&gt;&lt;/pub-dates&gt;&lt;/dates&gt;&lt;isbn&gt;0272-989X (Print)&amp;#xD;0272-989x&lt;/isbn&gt;&lt;accession-num&gt;12150599&lt;/accession-num&gt;&lt;urls&gt;&lt;/urls&gt;&lt;electronic-resource-num&gt;10.1177/0272989x0202200412&lt;/electronic-resource-num&gt;&lt;remote-database-provider&gt;NLM&lt;/remote-database-provider&gt;&lt;language&gt;eng&lt;/language&gt;&lt;/record&gt;&lt;/Cite&gt;&lt;/EndNote&gt;</w:instrText>
        </w:r>
        <w:r w:rsidRPr="00B97A75">
          <w:fldChar w:fldCharType="separate"/>
        </w:r>
        <w:r w:rsidRPr="00B97A75">
          <w:rPr>
            <w:noProof/>
          </w:rPr>
          <w:t>Clarke et al. (2002)</w:t>
        </w:r>
        <w:r w:rsidRPr="00B97A75">
          <w:fldChar w:fldCharType="end"/>
        </w:r>
      </w:hyperlink>
      <w:r>
        <w:t>,</w:t>
      </w:r>
      <w:r w:rsidRPr="00B97A75">
        <w:t xml:space="preserve"> </w:t>
      </w:r>
      <w:hyperlink w:anchor="_ENREF_6" w:tooltip="Bagust, 2005 #11" w:history="1">
        <w:r w:rsidRPr="00B97A75">
          <w:fldChar w:fldCharType="begin" w:fldLock="1">
            <w:fldData xml:space="preserve">PEVuZE5vdGU+PENpdGUgQXV0aG9yWWVhcj0iMSI+PEF1dGhvcj5CYWd1c3Q8L0F1dGhvcj48WWVh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</w:fldData>
          </w:fldChar>
        </w:r>
        <w:r w:rsidRPr="00B97A75">
          <w:instrText xml:space="preserve"> ADDIN EN.CITE </w:instrText>
        </w:r>
        <w:r w:rsidRPr="00B97A75">
          <w:fldChar w:fldCharType="begin" w:fldLock="1">
            <w:fldData xml:space="preserve">PEVuZE5vdGU+PENpdGUgQXV0aG9yWWVhcj0iMSI+PEF1dGhvcj5CYWd1c3Q8L0F1dGhvcj48WWVh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</w:fldData>
          </w:fldChar>
        </w:r>
        <w:r w:rsidRPr="00B97A75">
          <w:instrText xml:space="preserve"> ADDIN EN.CITE.DATA </w:instrText>
        </w:r>
        <w:r w:rsidRPr="00B97A75">
          <w:fldChar w:fldCharType="end"/>
        </w:r>
        <w:r w:rsidRPr="00B97A75">
          <w:fldChar w:fldCharType="separate"/>
        </w:r>
        <w:r w:rsidRPr="00B97A75">
          <w:rPr>
            <w:noProof/>
          </w:rPr>
          <w:t>Bagust and Beale (2005)</w:t>
        </w:r>
        <w:r w:rsidRPr="00B97A75">
          <w:fldChar w:fldCharType="end"/>
        </w:r>
      </w:hyperlink>
      <w:r>
        <w:t>,</w:t>
      </w:r>
      <w:r w:rsidRPr="00B97A75">
        <w:t xml:space="preserve"> </w:t>
      </w:r>
      <w:hyperlink w:anchor="_ENREF_39" w:tooltip="McEwan, 2022 #132" w:history="1">
        <w:r w:rsidRPr="00B97A75">
          <w:fldChar w:fldCharType="begin" w:fldLock="1">
            <w:fldData xml:space="preserve">PEVuZE5vdGU+PENpdGUgQXV0aG9yWWVhcj0iMSI+PEF1dGhvcj5NY0V3YW48L0F1dGhvcj48WWVh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</w:fldData>
          </w:fldChar>
        </w:r>
        <w:r w:rsidRPr="00B97A75">
          <w:instrText xml:space="preserve"> ADDIN EN.CITE </w:instrText>
        </w:r>
        <w:r w:rsidRPr="00B97A75">
          <w:fldChar w:fldCharType="begin" w:fldLock="1">
            <w:fldData xml:space="preserve">PEVuZE5vdGU+PENpdGUgQXV0aG9yWWVhcj0iMSI+PEF1dGhvcj5NY0V3YW48L0F1dGhvcj48WWVh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</w:fldData>
          </w:fldChar>
        </w:r>
        <w:r w:rsidRPr="00B97A75">
          <w:instrText xml:space="preserve"> ADDIN EN.CITE.DATA </w:instrText>
        </w:r>
        <w:r w:rsidRPr="00B97A75">
          <w:fldChar w:fldCharType="end"/>
        </w:r>
        <w:r w:rsidRPr="00B97A75">
          <w:fldChar w:fldCharType="separate"/>
        </w:r>
        <w:r w:rsidRPr="00B97A75">
          <w:rPr>
            <w:noProof/>
          </w:rPr>
          <w:t>McEwan et al. (2022)</w:t>
        </w:r>
        <w:r w:rsidRPr="00B97A75">
          <w:fldChar w:fldCharType="end"/>
        </w:r>
      </w:hyperlink>
      <w:r>
        <w:t>,</w:t>
      </w:r>
      <w:r w:rsidRPr="00B97A75">
        <w:t xml:space="preserve"> </w:t>
      </w:r>
      <w:hyperlink w:anchor="_ENREF_37" w:tooltip="Mangen, 2017 #133" w:history="1">
        <w:r w:rsidRPr="00B97A75">
          <w:fldChar w:fldCharType="begin" w:fldLock="1">
            <w:fldData xml:space="preserve">PEVuZE5vdGU+PENpdGUgQXV0aG9yWWVhcj0iMSI+PEF1dGhvcj5NYW5nZW48L0F1dGhvcj48WWVh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</w:fldData>
          </w:fldChar>
        </w:r>
        <w:r w:rsidRPr="00B97A75">
          <w:instrText xml:space="preserve"> ADDIN EN.CITE </w:instrText>
        </w:r>
        <w:r w:rsidRPr="00B97A75">
          <w:fldChar w:fldCharType="begin" w:fldLock="1">
            <w:fldData xml:space="preserve">PEVuZE5vdGU+PENpdGUgQXV0aG9yWWVhcj0iMSI+PEF1dGhvcj5NYW5nZW48L0F1dGhvcj48WWVh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</w:fldData>
          </w:fldChar>
        </w:r>
        <w:r w:rsidRPr="00B97A75">
          <w:instrText xml:space="preserve"> ADDIN EN.CITE.DATA </w:instrText>
        </w:r>
        <w:r w:rsidRPr="00B97A75">
          <w:fldChar w:fldCharType="end"/>
        </w:r>
        <w:r w:rsidRPr="00B97A75">
          <w:fldChar w:fldCharType="separate"/>
        </w:r>
        <w:r w:rsidRPr="00B97A75">
          <w:rPr>
            <w:noProof/>
          </w:rPr>
          <w:t>Mangen et al. (2017)</w:t>
        </w:r>
        <w:r w:rsidRPr="00B97A75">
          <w:fldChar w:fldCharType="end"/>
        </w:r>
      </w:hyperlink>
      <w:r>
        <w:t>,</w:t>
      </w:r>
      <w:r w:rsidRPr="00B97A75">
        <w:t xml:space="preserve"> </w:t>
      </w:r>
      <w:hyperlink w:anchor="_ENREF_35" w:tooltip="Luijks, 2024 #126" w:history="1">
        <w:r w:rsidRPr="00B97A75">
          <w:fldChar w:fldCharType="begin" w:fldLock="1">
            <w:fldData xml:space="preserve">PEVuZE5vdGU+PENpdGUgQXV0aG9yWWVhcj0iMSI+PEF1dGhvcj5MdWlqa3M8L0F1dGhvcj48WWVh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</w:fldData>
          </w:fldChar>
        </w:r>
        <w:r w:rsidRPr="00B97A75">
          <w:instrText xml:space="preserve"> ADDIN EN.CITE </w:instrText>
        </w:r>
        <w:r w:rsidRPr="00B97A75">
          <w:fldChar w:fldCharType="begin" w:fldLock="1">
            <w:fldData xml:space="preserve">PEVuZE5vdGU+PENpdGUgQXV0aG9yWWVhcj0iMSI+PEF1dGhvcj5MdWlqa3M8L0F1dGhvcj48WWVh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</w:fldData>
          </w:fldChar>
        </w:r>
        <w:r w:rsidRPr="00B97A75">
          <w:instrText xml:space="preserve"> ADDIN EN.CITE.DATA </w:instrText>
        </w:r>
        <w:r w:rsidRPr="00B97A75">
          <w:fldChar w:fldCharType="end"/>
        </w:r>
        <w:r w:rsidRPr="00B97A75">
          <w:fldChar w:fldCharType="separate"/>
        </w:r>
        <w:r w:rsidRPr="00B97A75">
          <w:rPr>
            <w:noProof/>
          </w:rPr>
          <w:t>Luijks et al. (2024)</w:t>
        </w:r>
        <w:r w:rsidRPr="00B97A75">
          <w:fldChar w:fldCharType="end"/>
        </w:r>
      </w:hyperlink>
      <w:r>
        <w:t>,</w:t>
      </w:r>
      <w:r w:rsidRPr="00B97A75">
        <w:t xml:space="preserve"> </w:t>
      </w:r>
      <w:hyperlink w:anchor="_ENREF_34" w:tooltip="Lloyd, 2006 #134" w:history="1">
        <w:r w:rsidRPr="00B97A75">
          <w:fldChar w:fldCharType="begin" w:fldLock="1"/>
        </w:r>
        <w:r w:rsidRPr="00B97A75">
          <w:instrText xml:space="preserve"> ADDIN EN.CITE &lt;EndNote&gt;&lt;Cite AuthorYear="1"&gt;&lt;Author&gt;Lloyd&lt;/Author&gt;&lt;Year&gt;2006&lt;/Year&gt;&lt;RecNum&gt;134&lt;/RecNum&gt;&lt;DisplayText&gt;Lloyd et al. (2006)&lt;/DisplayText&gt;&lt;record&gt;&lt;rec-number&gt;134&lt;/rec-number&gt;&lt;foreign-keys&gt;&lt;key app="EN" db-id="s595afzzmedze6ea0pgvfpa9pde5vzwsvv9z" timestamp="1723439350"&gt;134&lt;/key&gt;&lt;/foreign-keys&gt;&lt;ref-type name="Journal Article"&gt;17&lt;/ref-type&gt;&lt;contributors&gt;&lt;authors&gt;&lt;author&gt;Lloyd, A.&lt;/author&gt;&lt;author&gt;Nafees, B.&lt;/author&gt;&lt;author&gt;Narewska, J.&lt;/author&gt;&lt;author&gt;Dewilde, S.&lt;/author&gt;&lt;author&gt;Watkins, J.&lt;/author&gt;&lt;/authors&gt;&lt;/contributors&gt;&lt;auth-address&gt;United BioSource Corporation, 20 Bloomsbury Square, London WC1A 2NS, UK. andrew.lloyd@unitedbiosource.com&lt;/auth-address&gt;&lt;titles&gt;&lt;title&gt;Health state utilities for metastatic breast cancer&lt;/title&gt;&lt;secondary-title&gt;Br J Cancer&lt;/secondary-title&gt;&lt;/titles&gt;&lt;periodical&gt;&lt;full-title&gt;Br J Cancer&lt;/full-title&gt;&lt;/periodical&gt;&lt;pages&gt;683-90&lt;/pages&gt;&lt;volume&gt;95&lt;/volume&gt;&lt;number&gt;6&lt;/number&gt;&lt;keywords&gt;&lt;keyword&gt;Adult&lt;/keyword&gt;&lt;keyword&gt;Age Factors&lt;/keyword&gt;&lt;keyword&gt;*Attitude to Health&lt;/keyword&gt;&lt;keyword&gt;Breast Neoplasms/drug therapy/epidemiology/*psychology&lt;/keyword&gt;&lt;keyword&gt;Disease Progression&lt;/keyword&gt;&lt;keyword&gt;Female&lt;/keyword&gt;&lt;keyword&gt;*Health Status&lt;/keyword&gt;&lt;keyword&gt;Humans&lt;/keyword&gt;&lt;keyword&gt;Male&lt;/keyword&gt;&lt;keyword&gt;Pilot Projects&lt;/keyword&gt;&lt;keyword&gt;*Quality of Life&lt;/keyword&gt;&lt;keyword&gt;Recurrence&lt;/keyword&gt;&lt;keyword&gt;Sex Factors&lt;/keyword&gt;&lt;keyword&gt;*Sickness Impact Profile&lt;/keyword&gt;&lt;keyword&gt;United Kingdom/epidemiology&lt;/keyword&gt;&lt;/keywords&gt;&lt;dates&gt;&lt;year&gt;2006&lt;/year&gt;&lt;pub-dates&gt;&lt;date&gt;Sep 18&lt;/date&gt;&lt;/pub-dates&gt;&lt;/dates&gt;&lt;isbn&gt;0007-0920 (Print)&amp;#xD;0007-0920&lt;/isbn&gt;&lt;accession-num&gt;16967055&lt;/accession-num&gt;&lt;urls&gt;&lt;/urls&gt;&lt;custom2&gt;PMC2360509&lt;/custom2&gt;&lt;electronic-resource-num&gt;10.1038/sj.bjc.6603326&lt;/electronic-resource-num&gt;&lt;remote-database-provider&gt;NLM&lt;/remote-database-provider&gt;&lt;language&gt;eng&lt;/language&gt;&lt;/record&gt;&lt;/Cite&gt;&lt;/EndNote&gt;</w:instrText>
        </w:r>
        <w:r w:rsidRPr="00B97A75">
          <w:fldChar w:fldCharType="separate"/>
        </w:r>
        <w:r w:rsidRPr="00B97A75">
          <w:rPr>
            <w:noProof/>
          </w:rPr>
          <w:t>Lloyd et al. (2006)</w:t>
        </w:r>
        <w:r w:rsidRPr="00B97A75">
          <w:fldChar w:fldCharType="end"/>
        </w:r>
      </w:hyperlink>
      <w:r>
        <w:t>,</w:t>
      </w:r>
      <w:r w:rsidRPr="00B97A75">
        <w:t xml:space="preserve"> </w:t>
      </w:r>
      <w:hyperlink w:anchor="_ENREF_38" w:tooltip="Mason, 2023 #135" w:history="1">
        <w:r w:rsidRPr="00B97A75">
          <w:fldChar w:fldCharType="begin" w:fldLock="1">
            <w:fldData xml:space="preserve">PEVuZE5vdGU+PENpdGUgQXV0aG9yWWVhcj0iMSI+PEF1dGhvcj5NYXNvbjwvQXV0aG9yPjxZZWFy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</w:fldData>
          </w:fldChar>
        </w:r>
        <w:r w:rsidRPr="00B97A75">
          <w:instrText xml:space="preserve"> ADDIN EN.CITE </w:instrText>
        </w:r>
        <w:r w:rsidRPr="00B97A75">
          <w:fldChar w:fldCharType="begin" w:fldLock="1">
            <w:fldData xml:space="preserve">PEVuZE5vdGU+PENpdGUgQXV0aG9yWWVhcj0iMSI+PEF1dGhvcj5NYXNvbjwvQXV0aG9yPjxZZWFy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</w:fldData>
          </w:fldChar>
        </w:r>
        <w:r w:rsidRPr="00B97A75">
          <w:instrText xml:space="preserve"> ADDIN EN.CITE.DATA </w:instrText>
        </w:r>
        <w:r w:rsidRPr="00B97A75">
          <w:fldChar w:fldCharType="end"/>
        </w:r>
        <w:r w:rsidRPr="00B97A75">
          <w:fldChar w:fldCharType="separate"/>
        </w:r>
        <w:r w:rsidRPr="00B97A75">
          <w:rPr>
            <w:noProof/>
          </w:rPr>
          <w:t>Mason et al. (2023)</w:t>
        </w:r>
        <w:r w:rsidRPr="00B97A75">
          <w:fldChar w:fldCharType="end"/>
        </w:r>
      </w:hyperlink>
      <w:r>
        <w:t>,</w:t>
      </w:r>
      <w:r w:rsidRPr="00B97A75">
        <w:t xml:space="preserve"> tirzepatide PBAC PSD</w:t>
      </w:r>
      <w:r>
        <w:t xml:space="preserve"> (</w:t>
      </w:r>
      <w:r w:rsidRPr="00B97A75">
        <w:t>July 2023</w:t>
      </w:r>
      <w:r>
        <w:t>),</w:t>
      </w:r>
      <w:r w:rsidRPr="00B97A75">
        <w:t xml:space="preserve"> esketamine PBAC PSD</w:t>
      </w:r>
      <w:r>
        <w:t xml:space="preserve"> (</w:t>
      </w:r>
      <w:r w:rsidRPr="00B97A75">
        <w:t>July 2021</w:t>
      </w:r>
      <w:r>
        <w:t>),</w:t>
      </w:r>
      <w:r w:rsidRPr="00B97A75">
        <w:t xml:space="preserve"> abemaciclib PBAC PSD</w:t>
      </w:r>
      <w:r>
        <w:t xml:space="preserve"> (</w:t>
      </w:r>
      <w:r w:rsidRPr="00B97A75">
        <w:t>March 2022</w:t>
      </w:r>
      <w:r>
        <w:t xml:space="preserve">), Arnold et al (2024), </w:t>
      </w:r>
      <w:proofErr w:type="spellStart"/>
      <w:r>
        <w:t>Dormoy</w:t>
      </w:r>
      <w:proofErr w:type="spellEnd"/>
      <w:r>
        <w:t xml:space="preserve"> et al (2023)</w:t>
      </w:r>
    </w:p>
    <w:p w14:paraId="6FB96133" w14:textId="77777777" w:rsidR="005F2818" w:rsidRPr="005F2818" w:rsidRDefault="005F2818" w:rsidP="00063CEB">
      <w:pPr>
        <w:pStyle w:val="TableFigureFooter"/>
        <w:keepNext/>
        <w:keepLines/>
      </w:pPr>
      <w:r w:rsidRPr="005F2818">
        <w:t>* Additional evidence also provided in this submission</w:t>
      </w:r>
    </w:p>
    <w:p w14:paraId="35D2D31F" w14:textId="77777777" w:rsidR="005F2818" w:rsidRPr="005F2818" w:rsidRDefault="005F2818" w:rsidP="00063CEB">
      <w:pPr>
        <w:pStyle w:val="TableFigureFooter"/>
        <w:keepLines/>
      </w:pPr>
      <w:r w:rsidRPr="005F2818">
        <w:t>Abbreviations: ACTH = Adrenocorticotropic hormone; SBP = Systolic blood pressure; DBP = Diastolic blood pressure; HbA1c = Glycated haemoglobin; FBG = Fasting blood glucose; BW = Bodyweight; BMI = Body mass index; BMD = Bone mineral density; BDI = Beck Depression Inventory; CVD = Cardiovascular disease; CKD = Chronic kidney disease; MI = Myocardial infarction; CHF = Congestive heart failure; ADL = Activities of daily living; Tx = Treatment; SE = Side-effect; BC = Breast cancer; MDE = Major depressive episode</w:t>
      </w:r>
    </w:p>
    <w:p w14:paraId="73FA0DD2" w14:textId="77777777" w:rsidR="005F2818" w:rsidRPr="007A5667" w:rsidRDefault="005F2818" w:rsidP="005F2818">
      <w:pPr>
        <w:pStyle w:val="3-BodyText"/>
        <w:numPr>
          <w:ilvl w:val="1"/>
          <w:numId w:val="29"/>
        </w:numPr>
        <w:spacing w:before="120"/>
        <w:ind w:left="720" w:hanging="720"/>
        <w:rPr>
          <w:rFonts w:ascii="Arial Narrow" w:hAnsi="Arial Narrow"/>
        </w:rPr>
      </w:pPr>
      <w:r>
        <w:t xml:space="preserve">The early resolution resubmission argued that, in contrast to the precedents listed in </w:t>
      </w:r>
      <w:r>
        <w:fldChar w:fldCharType="begin" w:fldLock="1"/>
      </w:r>
      <w:r>
        <w:instrText xml:space="preserve"> REF _Ref176774075 \h </w:instrText>
      </w:r>
      <w:r>
        <w:fldChar w:fldCharType="separate"/>
      </w:r>
      <w:r w:rsidRPr="00043D39">
        <w:t xml:space="preserve">Table </w:t>
      </w:r>
      <w:r>
        <w:rPr>
          <w:noProof/>
        </w:rPr>
        <w:t>10</w:t>
      </w:r>
      <w:r>
        <w:fldChar w:fldCharType="end"/>
      </w:r>
      <w:r>
        <w:t xml:space="preserve"> above, the impact of osilodrostat on reducing cortisol is multifaceted. The early resolution resubmission suggested that the PBAC had not previously considered listing of a new medicine on an incremental cost per responder basis with similar characteristics to osilodrostat, whereby the reduction in one clinical parameter has significant flow-on impacts to multiple other clinical parameters that are associated with clinical events. As such it was reasoned there was no suitable frame of reference and therefore the PBAC was requested to consider the result of the incremental cost per responder analysis for osilodrostat on its own merits. </w:t>
      </w:r>
    </w:p>
    <w:p w14:paraId="5AF12F04" w14:textId="1545D59C" w:rsidR="005F2818" w:rsidRPr="007A5667" w:rsidRDefault="005F2818" w:rsidP="005F2818">
      <w:pPr>
        <w:pStyle w:val="3-BodyText"/>
        <w:numPr>
          <w:ilvl w:val="1"/>
          <w:numId w:val="29"/>
        </w:numPr>
        <w:spacing w:before="120"/>
        <w:ind w:left="720" w:hanging="720"/>
        <w:rPr>
          <w:rFonts w:ascii="Arial Narrow" w:hAnsi="Arial Narrow"/>
        </w:rPr>
      </w:pPr>
      <w:r>
        <w:t xml:space="preserve">The early resolution resubmission did not provide a revised price offer, instead requesting the PBAC accept the previously presented </w:t>
      </w:r>
      <w:r w:rsidRPr="00905135">
        <w:t>incremental cost of $</w:t>
      </w:r>
      <w:r w:rsidR="006103C4" w:rsidRPr="00001C23">
        <w:rPr>
          <w:color w:val="000000"/>
          <w:w w:val="15"/>
          <w:shd w:val="solid" w:color="000000" w:fill="000000"/>
          <w:fitText w:val="-20" w:id="-863223039"/>
          <w14:textFill>
            <w14:solidFill>
              <w14:srgbClr w14:val="000000">
                <w14:alpha w14:val="100000"/>
              </w14:srgbClr>
            </w14:solidFill>
          </w14:textFill>
        </w:rPr>
        <w:t xml:space="preserve">|  </w:t>
      </w:r>
      <w:r w:rsidR="006103C4" w:rsidRPr="00001C23">
        <w:rPr>
          <w:color w:val="000000"/>
          <w:spacing w:val="-69"/>
          <w:w w:val="15"/>
          <w:shd w:val="solid" w:color="000000" w:fill="000000"/>
          <w:fitText w:val="-20" w:id="-863223039"/>
          <w14:textFill>
            <w14:solidFill>
              <w14:srgbClr w14:val="000000">
                <w14:alpha w14:val="100000"/>
              </w14:srgbClr>
            </w14:solidFill>
          </w14:textFill>
        </w:rPr>
        <w:t>|</w:t>
      </w:r>
      <w:r w:rsidRPr="00905135">
        <w:t xml:space="preserve"> per responder</w:t>
      </w:r>
      <w:r>
        <w:t xml:space="preserve"> over 26 weeks (see </w:t>
      </w:r>
      <w:r>
        <w:fldChar w:fldCharType="begin" w:fldLock="1"/>
      </w:r>
      <w:r>
        <w:instrText xml:space="preserve"> REF _Ref163484041 \h </w:instrText>
      </w:r>
      <w:r>
        <w:fldChar w:fldCharType="separate"/>
      </w:r>
      <w:r w:rsidRPr="007A4E7E">
        <w:t xml:space="preserve">Table </w:t>
      </w:r>
      <w:r>
        <w:rPr>
          <w:noProof/>
        </w:rPr>
        <w:t>9</w:t>
      </w:r>
      <w:r>
        <w:fldChar w:fldCharType="end"/>
      </w:r>
      <w:r>
        <w:t>)</w:t>
      </w:r>
      <w:r w:rsidRPr="00905135">
        <w:t>.</w:t>
      </w:r>
      <w:r>
        <w:t xml:space="preserve"> It was argued this was justified g</w:t>
      </w:r>
      <w:r w:rsidRPr="00AE5A3A">
        <w:t xml:space="preserve">iven the multifaceted clinical impacts of osilodrostat, the high clinical need for new therapies due to the </w:t>
      </w:r>
      <w:r>
        <w:t>significant</w:t>
      </w:r>
      <w:r w:rsidRPr="00AE5A3A">
        <w:t xml:space="preserve"> morbidity </w:t>
      </w:r>
      <w:r>
        <w:t xml:space="preserve">of CS </w:t>
      </w:r>
      <w:r w:rsidRPr="00AE5A3A">
        <w:t>and the absence of any PBS listed medicines</w:t>
      </w:r>
      <w:r>
        <w:t xml:space="preserve">. It was noted </w:t>
      </w:r>
      <w:r w:rsidRPr="00AE5A3A">
        <w:t xml:space="preserve">the estimated mean duration of treatment </w:t>
      </w:r>
      <w:r>
        <w:t>was</w:t>
      </w:r>
      <w:r w:rsidRPr="00AE5A3A">
        <w:t xml:space="preserve"> 4.62 years</w:t>
      </w:r>
      <w:r>
        <w:t xml:space="preserve"> (unchanged from </w:t>
      </w:r>
      <w:r>
        <w:lastRenderedPageBreak/>
        <w:t>March 2024)</w:t>
      </w:r>
      <w:r w:rsidRPr="00AE5A3A">
        <w:t xml:space="preserve">, </w:t>
      </w:r>
      <w:r>
        <w:t xml:space="preserve">with </w:t>
      </w:r>
      <w:r w:rsidRPr="00AE5A3A">
        <w:t>an estimated cost of $</w:t>
      </w:r>
      <w:r w:rsidR="006103C4" w:rsidRPr="00001C23">
        <w:rPr>
          <w:color w:val="000000"/>
          <w:w w:val="15"/>
          <w:shd w:val="solid" w:color="000000" w:fill="000000"/>
          <w:fitText w:val="-20" w:id="-863223038"/>
          <w14:textFill>
            <w14:solidFill>
              <w14:srgbClr w14:val="000000">
                <w14:alpha w14:val="100000"/>
              </w14:srgbClr>
            </w14:solidFill>
          </w14:textFill>
        </w:rPr>
        <w:t xml:space="preserve">|  </w:t>
      </w:r>
      <w:r w:rsidR="006103C4" w:rsidRPr="00001C23">
        <w:rPr>
          <w:color w:val="000000"/>
          <w:spacing w:val="-69"/>
          <w:w w:val="15"/>
          <w:shd w:val="solid" w:color="000000" w:fill="000000"/>
          <w:fitText w:val="-20" w:id="-863223038"/>
          <w14:textFill>
            <w14:solidFill>
              <w14:srgbClr w14:val="000000">
                <w14:alpha w14:val="100000"/>
              </w14:srgbClr>
            </w14:solidFill>
          </w14:textFill>
        </w:rPr>
        <w:t>|</w:t>
      </w:r>
      <w:r w:rsidRPr="00AE5A3A">
        <w:t xml:space="preserve"> for responders in the first year and $</w:t>
      </w:r>
      <w:r w:rsidR="006103C4" w:rsidRPr="00001C23">
        <w:rPr>
          <w:color w:val="000000"/>
          <w:w w:val="15"/>
          <w:shd w:val="solid" w:color="000000" w:fill="000000"/>
          <w:fitText w:val="-20" w:id="-863223037"/>
          <w14:textFill>
            <w14:solidFill>
              <w14:srgbClr w14:val="000000">
                <w14:alpha w14:val="100000"/>
              </w14:srgbClr>
            </w14:solidFill>
          </w14:textFill>
        </w:rPr>
        <w:t xml:space="preserve">|  </w:t>
      </w:r>
      <w:r w:rsidR="006103C4" w:rsidRPr="00001C23">
        <w:rPr>
          <w:color w:val="000000"/>
          <w:spacing w:val="-69"/>
          <w:w w:val="15"/>
          <w:shd w:val="solid" w:color="000000" w:fill="000000"/>
          <w:fitText w:val="-20" w:id="-863223037"/>
          <w14:textFill>
            <w14:solidFill>
              <w14:srgbClr w14:val="000000">
                <w14:alpha w14:val="100000"/>
              </w14:srgbClr>
            </w14:solidFill>
          </w14:textFill>
        </w:rPr>
        <w:t>|</w:t>
      </w:r>
      <w:r w:rsidRPr="00AE5A3A">
        <w:t xml:space="preserve"> in the years thereafter</w:t>
      </w:r>
      <w:r>
        <w:t>.</w:t>
      </w:r>
    </w:p>
    <w:p w14:paraId="71A5A4DC" w14:textId="77777777" w:rsidR="005F2818" w:rsidRPr="00EF2CE0" w:rsidRDefault="005F2818" w:rsidP="005F2818">
      <w:pPr>
        <w:pStyle w:val="4-SubsectionHeading"/>
      </w:pPr>
      <w:r>
        <w:t>Estimated PBS usage and financial implications</w:t>
      </w:r>
    </w:p>
    <w:p w14:paraId="7AB28826" w14:textId="77777777" w:rsidR="005F2818" w:rsidRPr="007A5667" w:rsidRDefault="005F2818" w:rsidP="005F2818">
      <w:pPr>
        <w:pStyle w:val="3-BodyText"/>
        <w:numPr>
          <w:ilvl w:val="1"/>
          <w:numId w:val="29"/>
        </w:numPr>
        <w:spacing w:before="120"/>
        <w:ind w:left="720" w:hanging="720"/>
        <w:rPr>
          <w:bCs/>
        </w:rPr>
      </w:pPr>
      <w:r w:rsidRPr="00EB177E">
        <w:t xml:space="preserve">As noted in </w:t>
      </w:r>
      <w:r w:rsidRPr="00EB177E">
        <w:fldChar w:fldCharType="begin" w:fldLock="1"/>
      </w:r>
      <w:r w:rsidRPr="00EB177E">
        <w:instrText xml:space="preserve"> REF _Ref176769361 \h  \* MERGEFORMAT </w:instrText>
      </w:r>
      <w:r w:rsidRPr="00EB177E">
        <w:fldChar w:fldCharType="separate"/>
      </w:r>
      <w:r w:rsidRPr="00EB177E">
        <w:t xml:space="preserve">Table </w:t>
      </w:r>
      <w:r w:rsidRPr="00EB177E">
        <w:rPr>
          <w:noProof/>
        </w:rPr>
        <w:t>20</w:t>
      </w:r>
      <w:r w:rsidRPr="00EB177E">
        <w:fldChar w:fldCharType="end"/>
      </w:r>
      <w:r w:rsidRPr="00EB177E">
        <w:t xml:space="preserve">, the PBAC had requested further information regarding expected duration of therapy and that this be incorporated into revised financial estimates. The </w:t>
      </w:r>
      <w:r>
        <w:t xml:space="preserve">early resolution </w:t>
      </w:r>
      <w:r w:rsidRPr="00EB177E">
        <w:t xml:space="preserve">resubmission stated </w:t>
      </w:r>
      <w:r w:rsidRPr="007A5667">
        <w:rPr>
          <w:bCs/>
        </w:rPr>
        <w:t xml:space="preserve">factors that may impact the duration of osilodrostat treatment include: whether </w:t>
      </w:r>
      <w:proofErr w:type="spellStart"/>
      <w:r w:rsidRPr="007A5667">
        <w:rPr>
          <w:bCs/>
        </w:rPr>
        <w:t>eCS</w:t>
      </w:r>
      <w:proofErr w:type="spellEnd"/>
      <w:r w:rsidRPr="007A5667">
        <w:rPr>
          <w:bCs/>
        </w:rPr>
        <w:t xml:space="preserve"> is caused by a malignant tumour; subsequent surgery; prior radiotherapy; and the </w:t>
      </w:r>
      <w:r w:rsidRPr="00DC4A40">
        <w:t>impact of osilodrostat on comorbidities and survival</w:t>
      </w:r>
      <w:r w:rsidRPr="007A5667">
        <w:rPr>
          <w:bCs/>
        </w:rPr>
        <w:t>.</w:t>
      </w:r>
    </w:p>
    <w:p w14:paraId="2E1E204D" w14:textId="77777777" w:rsidR="005F2818" w:rsidRPr="00EB177E" w:rsidRDefault="005F2818" w:rsidP="005F2818">
      <w:pPr>
        <w:pStyle w:val="3-BodyText"/>
        <w:numPr>
          <w:ilvl w:val="1"/>
          <w:numId w:val="29"/>
        </w:numPr>
        <w:spacing w:before="120"/>
        <w:ind w:left="720" w:hanging="720"/>
      </w:pPr>
      <w:r>
        <w:t xml:space="preserve">The early resolution resubmission concluded that </w:t>
      </w:r>
      <w:r w:rsidRPr="00EB177E">
        <w:t xml:space="preserve">most patients with </w:t>
      </w:r>
      <w:proofErr w:type="spellStart"/>
      <w:r w:rsidRPr="00EB177E">
        <w:t>eCS</w:t>
      </w:r>
      <w:proofErr w:type="spellEnd"/>
      <w:r w:rsidRPr="00EB177E">
        <w:t xml:space="preserve"> would receive lifelong treatment with osilodrostat in the absence of any initial and continuing response assessment criteria. However, the PBS restriction requires patients to demonstrate at least a partial response to osilodrostat after 26 weeks of treatment </w:t>
      </w:r>
      <w:r>
        <w:t xml:space="preserve">and </w:t>
      </w:r>
      <w:r w:rsidRPr="00EB177E">
        <w:t xml:space="preserve">maintain </w:t>
      </w:r>
      <w:r>
        <w:t>a</w:t>
      </w:r>
      <w:r w:rsidRPr="00EB177E">
        <w:t xml:space="preserve"> response </w:t>
      </w:r>
      <w:r>
        <w:t xml:space="preserve">as assessed </w:t>
      </w:r>
      <w:r w:rsidRPr="00EB177E">
        <w:t xml:space="preserve">every six months thereafter </w:t>
      </w:r>
      <w:r>
        <w:t>to</w:t>
      </w:r>
      <w:r w:rsidRPr="00EB177E">
        <w:t xml:space="preserve"> continue PBS subsidised treatment. </w:t>
      </w:r>
    </w:p>
    <w:p w14:paraId="54CA059C" w14:textId="77777777" w:rsidR="005F2818" w:rsidRPr="00EB177E" w:rsidRDefault="005F2818" w:rsidP="005F2818">
      <w:pPr>
        <w:pStyle w:val="3-BodyText"/>
        <w:numPr>
          <w:ilvl w:val="1"/>
          <w:numId w:val="29"/>
        </w:numPr>
        <w:spacing w:before="120"/>
        <w:ind w:left="720" w:hanging="720"/>
      </w:pPr>
      <w:r>
        <w:t>The early resolution resubmission stated</w:t>
      </w:r>
      <w:r w:rsidRPr="00EB177E">
        <w:t xml:space="preserve"> there are no data from other countries that can be used to provide a real-world estimate of the duration of treatment with osilodrostat. The duration of treatment therefore continues to be informed by the estimated duration of response from </w:t>
      </w:r>
      <w:r>
        <w:t xml:space="preserve">the </w:t>
      </w:r>
      <w:r w:rsidRPr="00EB177E">
        <w:t>LINC 4</w:t>
      </w:r>
      <w:r>
        <w:t xml:space="preserve"> trial</w:t>
      </w:r>
      <w:r w:rsidRPr="00EB177E">
        <w:t xml:space="preserve">, extrapolated using a lognormal distribution resulting in a mean duration of treatment of 4.62 years. </w:t>
      </w:r>
    </w:p>
    <w:p w14:paraId="65461121" w14:textId="77777777" w:rsidR="005F2818" w:rsidRPr="00905135" w:rsidRDefault="005F2818" w:rsidP="005F2818">
      <w:pPr>
        <w:pStyle w:val="3-BodyText"/>
        <w:numPr>
          <w:ilvl w:val="1"/>
          <w:numId w:val="29"/>
        </w:numPr>
        <w:spacing w:before="120"/>
        <w:ind w:left="720" w:hanging="720"/>
      </w:pPr>
      <w:r w:rsidRPr="00905135">
        <w:t xml:space="preserve">The </w:t>
      </w:r>
      <w:r>
        <w:t xml:space="preserve">revised </w:t>
      </w:r>
      <w:r w:rsidRPr="00905135">
        <w:t xml:space="preserve">estimated financial implications of listing osilodrostat are presented </w:t>
      </w:r>
      <w:r w:rsidRPr="00F350D3">
        <w:t xml:space="preserve">in </w:t>
      </w:r>
      <w:r w:rsidRPr="00F350D3">
        <w:fldChar w:fldCharType="begin" w:fldLock="1"/>
      </w:r>
      <w:r w:rsidRPr="00F350D3">
        <w:instrText xml:space="preserve"> REF _Ref176775027 \h  \* MERGEFORMAT </w:instrText>
      </w:r>
      <w:r w:rsidRPr="00F350D3">
        <w:fldChar w:fldCharType="separate"/>
      </w:r>
      <w:r w:rsidRPr="00F350D3">
        <w:t xml:space="preserve">Table </w:t>
      </w:r>
      <w:r w:rsidRPr="00F350D3">
        <w:rPr>
          <w:noProof/>
        </w:rPr>
        <w:t>21</w:t>
      </w:r>
      <w:r w:rsidRPr="00F350D3">
        <w:fldChar w:fldCharType="end"/>
      </w:r>
      <w:r w:rsidRPr="00905135">
        <w:rPr>
          <w:noProof/>
        </w:rPr>
        <w:t>.</w:t>
      </w:r>
      <w:r w:rsidRPr="00305DA5">
        <w:t xml:space="preserve"> </w:t>
      </w:r>
      <w:r>
        <w:t xml:space="preserve">The early resolution resubmission stated </w:t>
      </w:r>
      <w:r w:rsidRPr="00305DA5">
        <w:t xml:space="preserve">the first year of listing </w:t>
      </w:r>
      <w:r>
        <w:t xml:space="preserve">was revised </w:t>
      </w:r>
      <w:r w:rsidRPr="00305DA5">
        <w:t>to reflect the calendar year 2025 and pharmacy fees and patient copayments</w:t>
      </w:r>
      <w:r>
        <w:t xml:space="preserve"> were updated.</w:t>
      </w:r>
    </w:p>
    <w:p w14:paraId="4C0C0890" w14:textId="77777777" w:rsidR="005F2818" w:rsidRPr="00905135" w:rsidRDefault="005F2818" w:rsidP="005F2818">
      <w:pPr>
        <w:keepNext/>
        <w:keepLines/>
        <w:rPr>
          <w:rFonts w:ascii="Arial Narrow" w:hAnsi="Arial Narrow"/>
          <w:b/>
          <w:bCs/>
          <w:sz w:val="20"/>
          <w:szCs w:val="18"/>
        </w:rPr>
      </w:pPr>
      <w:bookmarkStart w:id="73" w:name="_Ref176775027"/>
      <w:r w:rsidRPr="003B0CF8">
        <w:rPr>
          <w:rFonts w:ascii="Arial Narrow" w:hAnsi="Arial Narrow"/>
          <w:b/>
          <w:bCs/>
          <w:sz w:val="20"/>
          <w:szCs w:val="20"/>
        </w:rPr>
        <w:t>T</w:t>
      </w:r>
      <w:r w:rsidRPr="003B0CF8">
        <w:rPr>
          <w:rFonts w:ascii="Arial Narrow" w:hAnsi="Arial Narrow"/>
          <w:b/>
          <w:bCs/>
          <w:sz w:val="20"/>
          <w:szCs w:val="18"/>
        </w:rPr>
        <w:t xml:space="preserve">able </w:t>
      </w:r>
      <w:r w:rsidRPr="003B0CF8">
        <w:rPr>
          <w:rFonts w:ascii="Arial Narrow" w:hAnsi="Arial Narrow"/>
          <w:b/>
          <w:bCs/>
          <w:sz w:val="20"/>
          <w:szCs w:val="18"/>
        </w:rPr>
        <w:fldChar w:fldCharType="begin" w:fldLock="1"/>
      </w:r>
      <w:r w:rsidRPr="003B0CF8">
        <w:rPr>
          <w:rFonts w:ascii="Arial Narrow" w:hAnsi="Arial Narrow"/>
          <w:b/>
          <w:bCs/>
          <w:sz w:val="20"/>
          <w:szCs w:val="18"/>
        </w:rPr>
        <w:instrText xml:space="preserve"> SEQ Table \* ARABIC </w:instrText>
      </w:r>
      <w:r w:rsidRPr="003B0CF8">
        <w:rPr>
          <w:rFonts w:ascii="Arial Narrow" w:hAnsi="Arial Narrow"/>
          <w:b/>
          <w:bCs/>
          <w:sz w:val="20"/>
          <w:szCs w:val="18"/>
        </w:rPr>
        <w:fldChar w:fldCharType="separate"/>
      </w:r>
      <w:r w:rsidRPr="003B0CF8">
        <w:rPr>
          <w:rFonts w:ascii="Arial Narrow" w:hAnsi="Arial Narrow"/>
          <w:b/>
          <w:bCs/>
          <w:noProof/>
          <w:sz w:val="20"/>
          <w:szCs w:val="18"/>
        </w:rPr>
        <w:t>21</w:t>
      </w:r>
      <w:r w:rsidRPr="003B0CF8">
        <w:rPr>
          <w:rFonts w:ascii="Arial Narrow" w:hAnsi="Arial Narrow"/>
          <w:b/>
          <w:bCs/>
          <w:sz w:val="20"/>
          <w:szCs w:val="18"/>
        </w:rPr>
        <w:fldChar w:fldCharType="end"/>
      </w:r>
      <w:bookmarkEnd w:id="73"/>
      <w:r w:rsidRPr="003B0CF8">
        <w:rPr>
          <w:rFonts w:ascii="Arial Narrow" w:hAnsi="Arial Narrow"/>
          <w:b/>
          <w:bCs/>
          <w:sz w:val="20"/>
          <w:szCs w:val="18"/>
        </w:rPr>
        <w:t>:</w:t>
      </w:r>
      <w:r w:rsidRPr="003B0CF8">
        <w:rPr>
          <w:rFonts w:ascii="Arial Narrow" w:hAnsi="Arial Narrow"/>
          <w:b/>
          <w:bCs/>
          <w:sz w:val="20"/>
        </w:rPr>
        <w:t xml:space="preserve"> Estimated</w:t>
      </w:r>
      <w:r w:rsidRPr="00905135">
        <w:rPr>
          <w:rFonts w:ascii="Arial Narrow" w:hAnsi="Arial Narrow"/>
          <w:b/>
          <w:sz w:val="20"/>
        </w:rPr>
        <w:t xml:space="preserve"> use and financial implications</w:t>
      </w:r>
    </w:p>
    <w:tbl>
      <w:tblPr>
        <w:tblStyle w:val="HealthConsult1"/>
        <w:tblW w:w="5000" w:type="pct"/>
        <w:tblLook w:val="04A0" w:firstRow="1" w:lastRow="0" w:firstColumn="1" w:lastColumn="0" w:noHBand="0" w:noVBand="1"/>
        <w:tblCaption w:val="Table 21: Estimated use and financial implications"/>
      </w:tblPr>
      <w:tblGrid>
        <w:gridCol w:w="1359"/>
        <w:gridCol w:w="1038"/>
        <w:gridCol w:w="1325"/>
        <w:gridCol w:w="1325"/>
        <w:gridCol w:w="1325"/>
        <w:gridCol w:w="1325"/>
        <w:gridCol w:w="1320"/>
      </w:tblGrid>
      <w:tr w:rsidR="005F2818" w:rsidRPr="00905135" w14:paraId="056DA34D" w14:textId="77777777" w:rsidTr="00660892">
        <w:tc>
          <w:tcPr>
            <w:tcW w:w="753" w:type="pct"/>
            <w:shd w:val="clear" w:color="auto" w:fill="auto"/>
          </w:tcPr>
          <w:p w14:paraId="04B15388" w14:textId="77777777" w:rsidR="005F2818" w:rsidRPr="00905135" w:rsidRDefault="005F2818" w:rsidP="00660892">
            <w:pPr>
              <w:keepNext/>
              <w:rPr>
                <w:rFonts w:ascii="Arial Narrow" w:hAnsi="Arial Narrow" w:cstheme="minorHAnsi"/>
                <w:b/>
                <w:bCs/>
              </w:rPr>
            </w:pPr>
          </w:p>
        </w:tc>
        <w:tc>
          <w:tcPr>
            <w:tcW w:w="575" w:type="pct"/>
            <w:shd w:val="clear" w:color="auto" w:fill="auto"/>
            <w:vAlign w:val="center"/>
          </w:tcPr>
          <w:p w14:paraId="21DE4C5E" w14:textId="77777777" w:rsidR="005F2818" w:rsidRPr="00905135" w:rsidRDefault="005F2818" w:rsidP="00660892">
            <w:pPr>
              <w:keepNext/>
              <w:jc w:val="center"/>
              <w:rPr>
                <w:rFonts w:ascii="Arial Narrow" w:hAnsi="Arial Narrow" w:cstheme="minorHAnsi"/>
                <w:b/>
                <w:bCs/>
              </w:rPr>
            </w:pPr>
            <w:r w:rsidRPr="00905135">
              <w:rPr>
                <w:rFonts w:ascii="Arial Narrow" w:hAnsi="Arial Narrow" w:cstheme="minorHAnsi"/>
                <w:b/>
                <w:bCs/>
              </w:rPr>
              <w:t>Year 1</w:t>
            </w:r>
          </w:p>
        </w:tc>
        <w:tc>
          <w:tcPr>
            <w:tcW w:w="735" w:type="pct"/>
            <w:shd w:val="clear" w:color="auto" w:fill="auto"/>
            <w:vAlign w:val="center"/>
          </w:tcPr>
          <w:p w14:paraId="68248252" w14:textId="77777777" w:rsidR="005F2818" w:rsidRPr="00905135" w:rsidRDefault="005F2818" w:rsidP="00660892">
            <w:pPr>
              <w:keepNext/>
              <w:jc w:val="center"/>
              <w:rPr>
                <w:rFonts w:ascii="Arial Narrow" w:hAnsi="Arial Narrow" w:cstheme="minorHAnsi"/>
                <w:b/>
                <w:bCs/>
              </w:rPr>
            </w:pPr>
            <w:r w:rsidRPr="00905135">
              <w:rPr>
                <w:rFonts w:ascii="Arial Narrow" w:hAnsi="Arial Narrow" w:cstheme="minorHAnsi"/>
                <w:b/>
                <w:bCs/>
              </w:rPr>
              <w:t>Year 2</w:t>
            </w:r>
          </w:p>
        </w:tc>
        <w:tc>
          <w:tcPr>
            <w:tcW w:w="735" w:type="pct"/>
            <w:shd w:val="clear" w:color="auto" w:fill="auto"/>
            <w:vAlign w:val="center"/>
          </w:tcPr>
          <w:p w14:paraId="5BA86B43" w14:textId="77777777" w:rsidR="005F2818" w:rsidRPr="00905135" w:rsidRDefault="005F2818" w:rsidP="00660892">
            <w:pPr>
              <w:keepNext/>
              <w:jc w:val="center"/>
              <w:rPr>
                <w:rFonts w:ascii="Arial Narrow" w:hAnsi="Arial Narrow" w:cstheme="minorHAnsi"/>
                <w:b/>
                <w:bCs/>
              </w:rPr>
            </w:pPr>
            <w:r w:rsidRPr="00905135">
              <w:rPr>
                <w:rFonts w:ascii="Arial Narrow" w:hAnsi="Arial Narrow" w:cstheme="minorHAnsi"/>
                <w:b/>
                <w:bCs/>
              </w:rPr>
              <w:t>Year 3</w:t>
            </w:r>
          </w:p>
        </w:tc>
        <w:tc>
          <w:tcPr>
            <w:tcW w:w="735" w:type="pct"/>
            <w:shd w:val="clear" w:color="auto" w:fill="auto"/>
            <w:vAlign w:val="center"/>
          </w:tcPr>
          <w:p w14:paraId="6727E39F" w14:textId="77777777" w:rsidR="005F2818" w:rsidRPr="00905135" w:rsidRDefault="005F2818" w:rsidP="00660892">
            <w:pPr>
              <w:keepNext/>
              <w:jc w:val="center"/>
              <w:rPr>
                <w:rFonts w:ascii="Arial Narrow" w:hAnsi="Arial Narrow" w:cstheme="minorHAnsi"/>
                <w:b/>
                <w:bCs/>
              </w:rPr>
            </w:pPr>
            <w:r w:rsidRPr="00905135">
              <w:rPr>
                <w:rFonts w:ascii="Arial Narrow" w:hAnsi="Arial Narrow" w:cstheme="minorHAnsi"/>
                <w:b/>
                <w:bCs/>
              </w:rPr>
              <w:t>Year 4</w:t>
            </w:r>
          </w:p>
        </w:tc>
        <w:tc>
          <w:tcPr>
            <w:tcW w:w="735" w:type="pct"/>
            <w:shd w:val="clear" w:color="auto" w:fill="auto"/>
            <w:vAlign w:val="center"/>
          </w:tcPr>
          <w:p w14:paraId="00543564" w14:textId="77777777" w:rsidR="005F2818" w:rsidRPr="00905135" w:rsidRDefault="005F2818" w:rsidP="00660892">
            <w:pPr>
              <w:keepNext/>
              <w:jc w:val="center"/>
              <w:rPr>
                <w:rFonts w:ascii="Arial Narrow" w:hAnsi="Arial Narrow" w:cstheme="minorHAnsi"/>
                <w:b/>
                <w:bCs/>
              </w:rPr>
            </w:pPr>
            <w:r w:rsidRPr="00905135">
              <w:rPr>
                <w:rFonts w:ascii="Arial Narrow" w:hAnsi="Arial Narrow" w:cstheme="minorHAnsi"/>
                <w:b/>
                <w:bCs/>
              </w:rPr>
              <w:t>Year 5</w:t>
            </w:r>
          </w:p>
        </w:tc>
        <w:tc>
          <w:tcPr>
            <w:tcW w:w="733" w:type="pct"/>
            <w:shd w:val="clear" w:color="auto" w:fill="auto"/>
            <w:vAlign w:val="center"/>
          </w:tcPr>
          <w:p w14:paraId="3990DCA6" w14:textId="77777777" w:rsidR="005F2818" w:rsidRPr="00905135" w:rsidRDefault="005F2818" w:rsidP="00660892">
            <w:pPr>
              <w:keepNext/>
              <w:jc w:val="center"/>
              <w:rPr>
                <w:rFonts w:ascii="Arial Narrow" w:hAnsi="Arial Narrow" w:cstheme="minorHAnsi"/>
                <w:b/>
                <w:bCs/>
              </w:rPr>
            </w:pPr>
            <w:r w:rsidRPr="00905135">
              <w:rPr>
                <w:rFonts w:ascii="Arial Narrow" w:hAnsi="Arial Narrow" w:cstheme="minorHAnsi"/>
                <w:b/>
                <w:bCs/>
              </w:rPr>
              <w:t>Year 6</w:t>
            </w:r>
          </w:p>
        </w:tc>
      </w:tr>
      <w:tr w:rsidR="005F2818" w:rsidRPr="00905135" w14:paraId="5EE4803F" w14:textId="77777777" w:rsidTr="00660892">
        <w:tc>
          <w:tcPr>
            <w:tcW w:w="5000" w:type="pct"/>
            <w:gridSpan w:val="7"/>
            <w:shd w:val="clear" w:color="auto" w:fill="auto"/>
            <w:vAlign w:val="center"/>
          </w:tcPr>
          <w:p w14:paraId="5A1E7E6A" w14:textId="77777777" w:rsidR="005F2818" w:rsidRPr="00905135" w:rsidRDefault="005F2818" w:rsidP="00660892">
            <w:pPr>
              <w:keepNext/>
              <w:rPr>
                <w:rFonts w:ascii="Arial Narrow" w:hAnsi="Arial Narrow" w:cstheme="minorHAnsi"/>
                <w:bCs/>
                <w:color w:val="000000"/>
                <w:vertAlign w:val="superscript"/>
              </w:rPr>
            </w:pPr>
            <w:r w:rsidRPr="00905135">
              <w:rPr>
                <w:rFonts w:ascii="Arial Narrow" w:hAnsi="Arial Narrow" w:cstheme="minorHAnsi"/>
                <w:b/>
                <w:color w:val="000000"/>
              </w:rPr>
              <w:t xml:space="preserve">Financial implications </w:t>
            </w:r>
          </w:p>
        </w:tc>
      </w:tr>
      <w:tr w:rsidR="005F2818" w:rsidRPr="00905135" w14:paraId="29D71E8A" w14:textId="77777777" w:rsidTr="00660892">
        <w:tc>
          <w:tcPr>
            <w:tcW w:w="753" w:type="pct"/>
            <w:shd w:val="clear" w:color="auto" w:fill="auto"/>
            <w:vAlign w:val="center"/>
          </w:tcPr>
          <w:p w14:paraId="7F18E59F" w14:textId="580FF0D1" w:rsidR="005F2818" w:rsidRPr="00905135" w:rsidRDefault="005F2818" w:rsidP="00660892">
            <w:pPr>
              <w:keepNext/>
              <w:rPr>
                <w:rFonts w:ascii="Arial Narrow" w:hAnsi="Arial Narrow" w:cstheme="minorHAnsi"/>
                <w:bCs/>
                <w:color w:val="000000"/>
              </w:rPr>
            </w:pPr>
            <w:r w:rsidRPr="00905135">
              <w:rPr>
                <w:rFonts w:ascii="Arial Narrow" w:hAnsi="Arial Narrow"/>
              </w:rPr>
              <w:t xml:space="preserve">Net R/PBS cost </w:t>
            </w:r>
            <w:r>
              <w:rPr>
                <w:rFonts w:ascii="Arial Narrow" w:hAnsi="Arial Narrow"/>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792E04D0" w14:textId="7FBCD253" w:rsidR="005F2818" w:rsidRPr="00AD6926" w:rsidRDefault="006103C4" w:rsidP="00660892">
            <w:pPr>
              <w:keepNext/>
              <w:jc w:val="center"/>
              <w:rPr>
                <w:rFonts w:ascii="Arial Narrow" w:hAnsi="Arial Narrow" w:cstheme="minorHAnsi"/>
                <w:color w:val="000000"/>
                <w:highlight w:val="lightGray"/>
                <w:vertAlign w:val="superscript"/>
              </w:rPr>
            </w:pPr>
            <w:r w:rsidRPr="006103C4">
              <w:rPr>
                <w:rFonts w:ascii="Arial Narrow" w:hAnsi="Arial Narrow"/>
                <w:color w:val="000000"/>
                <w:spacing w:val="80"/>
                <w:shd w:val="solid" w:color="000000" w:fill="000000"/>
                <w:fitText w:val="166" w:id="-863223036"/>
                <w14:textFill>
                  <w14:solidFill>
                    <w14:srgbClr w14:val="000000">
                      <w14:alpha w14:val="100000"/>
                    </w14:srgbClr>
                  </w14:solidFill>
                </w14:textFill>
              </w:rPr>
              <w:t>|</w:t>
            </w:r>
            <w:r w:rsidRPr="006103C4">
              <w:rPr>
                <w:rFonts w:ascii="Arial Narrow" w:hAnsi="Arial Narrow"/>
                <w:color w:val="000000"/>
                <w:spacing w:val="1"/>
                <w:shd w:val="solid" w:color="000000" w:fill="000000"/>
                <w:fitText w:val="166" w:id="-863223036"/>
                <w14:textFill>
                  <w14:solidFill>
                    <w14:srgbClr w14:val="000000">
                      <w14:alpha w14:val="100000"/>
                    </w14:srgbClr>
                  </w14:solidFill>
                </w14:textFill>
              </w:rPr>
              <w:t>|</w:t>
            </w:r>
            <w:r w:rsidR="005F2818" w:rsidRPr="00AD6926">
              <w:rPr>
                <w:rFonts w:ascii="Arial Narrow" w:hAnsi="Arial Narrow"/>
                <w:color w:val="000000"/>
                <w:vertAlign w:val="superscript"/>
              </w:rPr>
              <w:t>1</w:t>
            </w:r>
          </w:p>
        </w:tc>
        <w:tc>
          <w:tcPr>
            <w:tcW w:w="735" w:type="pct"/>
            <w:tcBorders>
              <w:top w:val="single" w:sz="4" w:space="0" w:color="auto"/>
              <w:left w:val="nil"/>
              <w:bottom w:val="single" w:sz="4" w:space="0" w:color="auto"/>
              <w:right w:val="single" w:sz="4" w:space="0" w:color="auto"/>
            </w:tcBorders>
            <w:shd w:val="clear" w:color="auto" w:fill="auto"/>
            <w:vAlign w:val="center"/>
          </w:tcPr>
          <w:p w14:paraId="757B89BC" w14:textId="58412B8F" w:rsidR="005F2818" w:rsidRPr="00AD6926" w:rsidRDefault="006103C4" w:rsidP="00660892">
            <w:pPr>
              <w:keepNext/>
              <w:jc w:val="center"/>
              <w:rPr>
                <w:rFonts w:ascii="Arial Narrow" w:hAnsi="Arial Narrow" w:cstheme="minorHAnsi"/>
                <w:color w:val="000000"/>
                <w:highlight w:val="lightGray"/>
              </w:rPr>
            </w:pPr>
            <w:r w:rsidRPr="00001C23">
              <w:rPr>
                <w:rFonts w:ascii="Arial Narrow" w:hAnsi="Arial Narrow" w:hint="eastAsia"/>
                <w:color w:val="000000"/>
                <w:w w:val="15"/>
                <w:shd w:val="solid" w:color="000000" w:fill="000000"/>
                <w:fitText w:val="26" w:id="-863223035"/>
                <w14:textFill>
                  <w14:solidFill>
                    <w14:srgbClr w14:val="000000">
                      <w14:alpha w14:val="100000"/>
                    </w14:srgbClr>
                  </w14:solidFill>
                </w14:textFill>
              </w:rPr>
              <w:t xml:space="preserve">　</w:t>
            </w:r>
            <w:r w:rsidRPr="00001C23">
              <w:rPr>
                <w:rFonts w:ascii="Arial Narrow" w:hAnsi="Arial Narrow"/>
                <w:color w:val="000000"/>
                <w:w w:val="15"/>
                <w:shd w:val="solid" w:color="000000" w:fill="000000"/>
                <w:fitText w:val="26" w:id="-863223035"/>
                <w14:textFill>
                  <w14:solidFill>
                    <w14:srgbClr w14:val="000000">
                      <w14:alpha w14:val="100000"/>
                    </w14:srgbClr>
                  </w14:solidFill>
                </w14:textFill>
              </w:rPr>
              <w:t>|</w:t>
            </w:r>
            <w:r w:rsidRPr="00001C23">
              <w:rPr>
                <w:rFonts w:ascii="Arial Narrow" w:hAnsi="Arial Narrow" w:hint="eastAsia"/>
                <w:color w:val="000000"/>
                <w:spacing w:val="-39"/>
                <w:w w:val="15"/>
                <w:shd w:val="solid" w:color="000000" w:fill="000000"/>
                <w:fitText w:val="26" w:id="-863223035"/>
                <w14:textFill>
                  <w14:solidFill>
                    <w14:srgbClr w14:val="000000">
                      <w14:alpha w14:val="100000"/>
                    </w14:srgbClr>
                  </w14:solidFill>
                </w14:textFill>
              </w:rPr>
              <w:t xml:space="preserve">　</w:t>
            </w:r>
            <w:r w:rsidR="005F2818">
              <w:rPr>
                <w:rFonts w:ascii="Arial Narrow" w:hAnsi="Arial Narrow"/>
                <w:color w:val="000000"/>
                <w:vertAlign w:val="superscript"/>
              </w:rPr>
              <w:t>2</w:t>
            </w:r>
          </w:p>
        </w:tc>
        <w:tc>
          <w:tcPr>
            <w:tcW w:w="735" w:type="pct"/>
            <w:tcBorders>
              <w:top w:val="single" w:sz="4" w:space="0" w:color="auto"/>
              <w:left w:val="nil"/>
              <w:bottom w:val="single" w:sz="4" w:space="0" w:color="auto"/>
              <w:right w:val="single" w:sz="4" w:space="0" w:color="auto"/>
            </w:tcBorders>
            <w:shd w:val="clear" w:color="auto" w:fill="auto"/>
            <w:vAlign w:val="center"/>
          </w:tcPr>
          <w:p w14:paraId="1F5FD9F9" w14:textId="75FC6B34" w:rsidR="005F2818" w:rsidRPr="00AD6926" w:rsidRDefault="006103C4" w:rsidP="00660892">
            <w:pPr>
              <w:keepNext/>
              <w:jc w:val="center"/>
              <w:rPr>
                <w:rFonts w:ascii="Arial Narrow" w:hAnsi="Arial Narrow" w:cstheme="minorHAnsi"/>
                <w:color w:val="000000"/>
                <w:highlight w:val="lightGray"/>
              </w:rPr>
            </w:pPr>
            <w:r w:rsidRPr="006103C4">
              <w:rPr>
                <w:rFonts w:ascii="Arial Narrow" w:hAnsi="Arial Narrow" w:hint="eastAsia"/>
                <w:color w:val="000000"/>
                <w:w w:val="15"/>
                <w:shd w:val="solid" w:color="000000" w:fill="000000"/>
                <w:fitText w:val="27" w:id="-863223034"/>
                <w14:textFill>
                  <w14:solidFill>
                    <w14:srgbClr w14:val="000000">
                      <w14:alpha w14:val="100000"/>
                    </w14:srgbClr>
                  </w14:solidFill>
                </w14:textFill>
              </w:rPr>
              <w:t xml:space="preserve">　</w:t>
            </w:r>
            <w:r w:rsidRPr="006103C4">
              <w:rPr>
                <w:rFonts w:ascii="Arial Narrow" w:hAnsi="Arial Narrow"/>
                <w:color w:val="000000"/>
                <w:w w:val="15"/>
                <w:shd w:val="solid" w:color="000000" w:fill="000000"/>
                <w:fitText w:val="27" w:id="-863223034"/>
                <w14:textFill>
                  <w14:solidFill>
                    <w14:srgbClr w14:val="000000">
                      <w14:alpha w14:val="100000"/>
                    </w14:srgbClr>
                  </w14:solidFill>
                </w14:textFill>
              </w:rPr>
              <w:t>|</w:t>
            </w:r>
            <w:r w:rsidRPr="006103C4">
              <w:rPr>
                <w:rFonts w:ascii="Arial Narrow" w:hAnsi="Arial Narrow" w:hint="eastAsia"/>
                <w:color w:val="000000"/>
                <w:spacing w:val="-38"/>
                <w:w w:val="15"/>
                <w:shd w:val="solid" w:color="000000" w:fill="000000"/>
                <w:fitText w:val="27" w:id="-863223034"/>
                <w14:textFill>
                  <w14:solidFill>
                    <w14:srgbClr w14:val="000000">
                      <w14:alpha w14:val="100000"/>
                    </w14:srgbClr>
                  </w14:solidFill>
                </w14:textFill>
              </w:rPr>
              <w:t xml:space="preserve">　</w:t>
            </w:r>
            <w:r w:rsidR="005F2818">
              <w:rPr>
                <w:rFonts w:ascii="Arial Narrow" w:hAnsi="Arial Narrow"/>
                <w:color w:val="000000"/>
                <w:vertAlign w:val="superscript"/>
              </w:rPr>
              <w:t>2</w:t>
            </w:r>
          </w:p>
        </w:tc>
        <w:tc>
          <w:tcPr>
            <w:tcW w:w="735" w:type="pct"/>
            <w:tcBorders>
              <w:top w:val="single" w:sz="4" w:space="0" w:color="auto"/>
              <w:left w:val="nil"/>
              <w:bottom w:val="single" w:sz="4" w:space="0" w:color="auto"/>
              <w:right w:val="single" w:sz="4" w:space="0" w:color="auto"/>
            </w:tcBorders>
            <w:shd w:val="clear" w:color="auto" w:fill="auto"/>
            <w:vAlign w:val="center"/>
          </w:tcPr>
          <w:p w14:paraId="3B39F5DB" w14:textId="50BEAAC1" w:rsidR="005F2818" w:rsidRPr="00AD6926" w:rsidRDefault="006103C4" w:rsidP="00660892">
            <w:pPr>
              <w:keepNext/>
              <w:jc w:val="center"/>
              <w:rPr>
                <w:rFonts w:ascii="Arial Narrow" w:hAnsi="Arial Narrow" w:cstheme="minorHAnsi"/>
                <w:color w:val="000000"/>
                <w:highlight w:val="lightGray"/>
              </w:rPr>
            </w:pPr>
            <w:r w:rsidRPr="006103C4">
              <w:rPr>
                <w:rFonts w:ascii="Arial Narrow" w:hAnsi="Arial Narrow" w:hint="eastAsia"/>
                <w:color w:val="000000"/>
                <w:w w:val="15"/>
                <w:shd w:val="solid" w:color="000000" w:fill="000000"/>
                <w:fitText w:val="27" w:id="-863223033"/>
                <w14:textFill>
                  <w14:solidFill>
                    <w14:srgbClr w14:val="000000">
                      <w14:alpha w14:val="100000"/>
                    </w14:srgbClr>
                  </w14:solidFill>
                </w14:textFill>
              </w:rPr>
              <w:t xml:space="preserve">　</w:t>
            </w:r>
            <w:r w:rsidRPr="006103C4">
              <w:rPr>
                <w:rFonts w:ascii="Arial Narrow" w:hAnsi="Arial Narrow"/>
                <w:color w:val="000000"/>
                <w:w w:val="15"/>
                <w:shd w:val="solid" w:color="000000" w:fill="000000"/>
                <w:fitText w:val="27" w:id="-863223033"/>
                <w14:textFill>
                  <w14:solidFill>
                    <w14:srgbClr w14:val="000000">
                      <w14:alpha w14:val="100000"/>
                    </w14:srgbClr>
                  </w14:solidFill>
                </w14:textFill>
              </w:rPr>
              <w:t>|</w:t>
            </w:r>
            <w:r w:rsidRPr="006103C4">
              <w:rPr>
                <w:rFonts w:ascii="Arial Narrow" w:hAnsi="Arial Narrow" w:hint="eastAsia"/>
                <w:color w:val="000000"/>
                <w:spacing w:val="-38"/>
                <w:w w:val="15"/>
                <w:shd w:val="solid" w:color="000000" w:fill="000000"/>
                <w:fitText w:val="27" w:id="-863223033"/>
                <w14:textFill>
                  <w14:solidFill>
                    <w14:srgbClr w14:val="000000">
                      <w14:alpha w14:val="100000"/>
                    </w14:srgbClr>
                  </w14:solidFill>
                </w14:textFill>
              </w:rPr>
              <w:t xml:space="preserve">　</w:t>
            </w:r>
            <w:r w:rsidR="005F2818">
              <w:rPr>
                <w:rFonts w:ascii="Arial Narrow" w:hAnsi="Arial Narrow"/>
                <w:color w:val="000000"/>
                <w:vertAlign w:val="superscript"/>
              </w:rPr>
              <w:t>2</w:t>
            </w:r>
          </w:p>
        </w:tc>
        <w:tc>
          <w:tcPr>
            <w:tcW w:w="735" w:type="pct"/>
            <w:tcBorders>
              <w:top w:val="single" w:sz="4" w:space="0" w:color="auto"/>
              <w:left w:val="nil"/>
              <w:bottom w:val="single" w:sz="4" w:space="0" w:color="auto"/>
              <w:right w:val="single" w:sz="4" w:space="0" w:color="auto"/>
            </w:tcBorders>
            <w:shd w:val="clear" w:color="auto" w:fill="auto"/>
            <w:vAlign w:val="center"/>
          </w:tcPr>
          <w:p w14:paraId="3999A894" w14:textId="3B3A0F30" w:rsidR="005F2818" w:rsidRPr="00AD6926" w:rsidRDefault="006103C4" w:rsidP="00660892">
            <w:pPr>
              <w:keepNext/>
              <w:jc w:val="center"/>
              <w:rPr>
                <w:rFonts w:ascii="Arial Narrow" w:hAnsi="Arial Narrow" w:cstheme="minorHAnsi"/>
                <w:color w:val="000000"/>
                <w:highlight w:val="lightGray"/>
              </w:rPr>
            </w:pPr>
            <w:r w:rsidRPr="00001C23">
              <w:rPr>
                <w:rFonts w:ascii="Arial Narrow" w:hAnsi="Arial Narrow" w:hint="eastAsia"/>
                <w:color w:val="000000"/>
                <w:w w:val="15"/>
                <w:shd w:val="solid" w:color="000000" w:fill="000000"/>
                <w:fitText w:val="26" w:id="-863223032"/>
                <w14:textFill>
                  <w14:solidFill>
                    <w14:srgbClr w14:val="000000">
                      <w14:alpha w14:val="100000"/>
                    </w14:srgbClr>
                  </w14:solidFill>
                </w14:textFill>
              </w:rPr>
              <w:t xml:space="preserve">　</w:t>
            </w:r>
            <w:r w:rsidRPr="00001C23">
              <w:rPr>
                <w:rFonts w:ascii="Arial Narrow" w:hAnsi="Arial Narrow"/>
                <w:color w:val="000000"/>
                <w:w w:val="15"/>
                <w:shd w:val="solid" w:color="000000" w:fill="000000"/>
                <w:fitText w:val="26" w:id="-863223032"/>
                <w14:textFill>
                  <w14:solidFill>
                    <w14:srgbClr w14:val="000000">
                      <w14:alpha w14:val="100000"/>
                    </w14:srgbClr>
                  </w14:solidFill>
                </w14:textFill>
              </w:rPr>
              <w:t>|</w:t>
            </w:r>
            <w:r w:rsidRPr="00001C23">
              <w:rPr>
                <w:rFonts w:ascii="Arial Narrow" w:hAnsi="Arial Narrow" w:hint="eastAsia"/>
                <w:color w:val="000000"/>
                <w:spacing w:val="-39"/>
                <w:w w:val="15"/>
                <w:shd w:val="solid" w:color="000000" w:fill="000000"/>
                <w:fitText w:val="26" w:id="-863223032"/>
                <w14:textFill>
                  <w14:solidFill>
                    <w14:srgbClr w14:val="000000">
                      <w14:alpha w14:val="100000"/>
                    </w14:srgbClr>
                  </w14:solidFill>
                </w14:textFill>
              </w:rPr>
              <w:t xml:space="preserve">　</w:t>
            </w:r>
            <w:r w:rsidR="005F2818">
              <w:rPr>
                <w:rFonts w:ascii="Arial Narrow" w:hAnsi="Arial Narrow"/>
                <w:color w:val="000000"/>
                <w:vertAlign w:val="superscript"/>
              </w:rPr>
              <w:t>2</w:t>
            </w:r>
          </w:p>
        </w:tc>
        <w:tc>
          <w:tcPr>
            <w:tcW w:w="733" w:type="pct"/>
            <w:tcBorders>
              <w:top w:val="single" w:sz="4" w:space="0" w:color="auto"/>
              <w:left w:val="nil"/>
              <w:bottom w:val="single" w:sz="4" w:space="0" w:color="auto"/>
              <w:right w:val="single" w:sz="4" w:space="0" w:color="auto"/>
            </w:tcBorders>
            <w:shd w:val="clear" w:color="auto" w:fill="auto"/>
            <w:vAlign w:val="center"/>
          </w:tcPr>
          <w:p w14:paraId="56E4FD52" w14:textId="4E325AD4" w:rsidR="005F2818" w:rsidRPr="00AD6926" w:rsidRDefault="006103C4" w:rsidP="00660892">
            <w:pPr>
              <w:keepNext/>
              <w:jc w:val="center"/>
              <w:rPr>
                <w:rFonts w:ascii="Arial Narrow" w:hAnsi="Arial Narrow" w:cstheme="minorHAnsi"/>
                <w:color w:val="000000"/>
                <w:highlight w:val="lightGray"/>
              </w:rPr>
            </w:pPr>
            <w:r w:rsidRPr="00001C23">
              <w:rPr>
                <w:rFonts w:ascii="Arial Narrow" w:hAnsi="Arial Narrow" w:hint="eastAsia"/>
                <w:color w:val="000000"/>
                <w:w w:val="15"/>
                <w:shd w:val="solid" w:color="000000" w:fill="000000"/>
                <w:fitText w:val="20" w:id="-863223031"/>
                <w14:textFill>
                  <w14:solidFill>
                    <w14:srgbClr w14:val="000000">
                      <w14:alpha w14:val="100000"/>
                    </w14:srgbClr>
                  </w14:solidFill>
                </w14:textFill>
              </w:rPr>
              <w:t xml:space="preserve">　</w:t>
            </w:r>
            <w:r w:rsidRPr="00001C23">
              <w:rPr>
                <w:rFonts w:ascii="Arial Narrow" w:hAnsi="Arial Narrow"/>
                <w:color w:val="000000"/>
                <w:w w:val="15"/>
                <w:shd w:val="solid" w:color="000000" w:fill="000000"/>
                <w:fitText w:val="20" w:id="-863223031"/>
                <w14:textFill>
                  <w14:solidFill>
                    <w14:srgbClr w14:val="000000">
                      <w14:alpha w14:val="100000"/>
                    </w14:srgbClr>
                  </w14:solidFill>
                </w14:textFill>
              </w:rPr>
              <w:t>|</w:t>
            </w:r>
            <w:r w:rsidRPr="00001C23">
              <w:rPr>
                <w:rFonts w:ascii="Arial Narrow" w:hAnsi="Arial Narrow" w:hint="eastAsia"/>
                <w:color w:val="000000"/>
                <w:spacing w:val="-46"/>
                <w:w w:val="15"/>
                <w:shd w:val="solid" w:color="000000" w:fill="000000"/>
                <w:fitText w:val="20" w:id="-863223031"/>
                <w14:textFill>
                  <w14:solidFill>
                    <w14:srgbClr w14:val="000000">
                      <w14:alpha w14:val="100000"/>
                    </w14:srgbClr>
                  </w14:solidFill>
                </w14:textFill>
              </w:rPr>
              <w:t xml:space="preserve">　</w:t>
            </w:r>
            <w:r w:rsidR="005F2818">
              <w:rPr>
                <w:rFonts w:ascii="Arial Narrow" w:hAnsi="Arial Narrow"/>
                <w:color w:val="000000"/>
                <w:vertAlign w:val="superscript"/>
              </w:rPr>
              <w:t>2</w:t>
            </w:r>
          </w:p>
        </w:tc>
      </w:tr>
      <w:tr w:rsidR="005F2818" w:rsidRPr="00905135" w14:paraId="35D2C283" w14:textId="77777777" w:rsidTr="00660892">
        <w:tc>
          <w:tcPr>
            <w:tcW w:w="753" w:type="pct"/>
            <w:shd w:val="clear" w:color="auto" w:fill="auto"/>
            <w:vAlign w:val="center"/>
          </w:tcPr>
          <w:p w14:paraId="3CBB4F40" w14:textId="663EA1E1" w:rsidR="005F2818" w:rsidRPr="00905135" w:rsidRDefault="005F2818" w:rsidP="00660892">
            <w:pPr>
              <w:keepNext/>
              <w:rPr>
                <w:rFonts w:ascii="Arial Narrow" w:hAnsi="Arial Narrow"/>
              </w:rPr>
            </w:pPr>
            <w:r w:rsidRPr="00905135">
              <w:rPr>
                <w:rFonts w:ascii="Arial Narrow" w:hAnsi="Arial Narrow"/>
              </w:rPr>
              <w:t>MBS cost</w:t>
            </w:r>
            <w:r>
              <w:rPr>
                <w:rFonts w:ascii="Arial Narrow" w:hAnsi="Arial Narrow"/>
              </w:rPr>
              <w:t xml:space="preserve">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78DC3026" w14:textId="718CC818" w:rsidR="005F2818" w:rsidRPr="00AD6926" w:rsidRDefault="006103C4" w:rsidP="00660892">
            <w:pPr>
              <w:keepNext/>
              <w:jc w:val="center"/>
              <w:rPr>
                <w:rFonts w:ascii="Arial Narrow" w:hAnsi="Arial Narrow" w:cstheme="minorHAnsi"/>
                <w:color w:val="000000"/>
                <w:highlight w:val="lightGray"/>
              </w:rPr>
            </w:pPr>
            <w:r w:rsidRPr="006103C4">
              <w:rPr>
                <w:rFonts w:ascii="Arial Narrow" w:hAnsi="Arial Narrow"/>
                <w:color w:val="000000"/>
                <w:spacing w:val="80"/>
                <w:shd w:val="solid" w:color="000000" w:fill="000000"/>
                <w:fitText w:val="166" w:id="-863223030"/>
                <w14:textFill>
                  <w14:solidFill>
                    <w14:srgbClr w14:val="000000">
                      <w14:alpha w14:val="100000"/>
                    </w14:srgbClr>
                  </w14:solidFill>
                </w14:textFill>
              </w:rPr>
              <w:t>|</w:t>
            </w:r>
            <w:r w:rsidRPr="006103C4">
              <w:rPr>
                <w:rFonts w:ascii="Arial Narrow" w:hAnsi="Arial Narrow"/>
                <w:color w:val="000000"/>
                <w:spacing w:val="1"/>
                <w:shd w:val="solid" w:color="000000" w:fill="000000"/>
                <w:fitText w:val="166" w:id="-863223030"/>
                <w14:textFill>
                  <w14:solidFill>
                    <w14:srgbClr w14:val="000000">
                      <w14:alpha w14:val="100000"/>
                    </w14:srgbClr>
                  </w14:solidFill>
                </w14:textFill>
              </w:rPr>
              <w:t>|</w:t>
            </w:r>
            <w:r w:rsidR="005F2818" w:rsidRPr="00C96EF8">
              <w:rPr>
                <w:rFonts w:ascii="Arial Narrow" w:hAnsi="Arial Narrow"/>
                <w:color w:val="000000"/>
                <w:vertAlign w:val="superscript"/>
              </w:rPr>
              <w:t>1</w:t>
            </w:r>
          </w:p>
        </w:tc>
        <w:tc>
          <w:tcPr>
            <w:tcW w:w="735" w:type="pct"/>
            <w:tcBorders>
              <w:top w:val="single" w:sz="4" w:space="0" w:color="auto"/>
              <w:left w:val="nil"/>
              <w:bottom w:val="single" w:sz="4" w:space="0" w:color="auto"/>
              <w:right w:val="single" w:sz="4" w:space="0" w:color="auto"/>
            </w:tcBorders>
            <w:shd w:val="clear" w:color="auto" w:fill="auto"/>
            <w:vAlign w:val="center"/>
          </w:tcPr>
          <w:p w14:paraId="32302335" w14:textId="5EB6212C" w:rsidR="005F2818" w:rsidRPr="00AD6926" w:rsidRDefault="006103C4" w:rsidP="00660892">
            <w:pPr>
              <w:keepNext/>
              <w:jc w:val="center"/>
              <w:rPr>
                <w:rFonts w:ascii="Arial Narrow" w:hAnsi="Arial Narrow" w:cstheme="minorHAnsi"/>
                <w:color w:val="000000"/>
                <w:highlight w:val="lightGray"/>
              </w:rPr>
            </w:pPr>
            <w:r w:rsidRPr="00001C23">
              <w:rPr>
                <w:rFonts w:ascii="Arial Narrow" w:hAnsi="Arial Narrow" w:hint="eastAsia"/>
                <w:color w:val="000000"/>
                <w:w w:val="15"/>
                <w:shd w:val="solid" w:color="000000" w:fill="000000"/>
                <w:fitText w:val="26" w:id="-863223029"/>
                <w14:textFill>
                  <w14:solidFill>
                    <w14:srgbClr w14:val="000000">
                      <w14:alpha w14:val="100000"/>
                    </w14:srgbClr>
                  </w14:solidFill>
                </w14:textFill>
              </w:rPr>
              <w:t xml:space="preserve">　</w:t>
            </w:r>
            <w:r w:rsidRPr="00001C23">
              <w:rPr>
                <w:rFonts w:ascii="Arial Narrow" w:hAnsi="Arial Narrow"/>
                <w:color w:val="000000"/>
                <w:w w:val="15"/>
                <w:shd w:val="solid" w:color="000000" w:fill="000000"/>
                <w:fitText w:val="26" w:id="-863223029"/>
                <w14:textFill>
                  <w14:solidFill>
                    <w14:srgbClr w14:val="000000">
                      <w14:alpha w14:val="100000"/>
                    </w14:srgbClr>
                  </w14:solidFill>
                </w14:textFill>
              </w:rPr>
              <w:t>|</w:t>
            </w:r>
            <w:r w:rsidRPr="00001C23">
              <w:rPr>
                <w:rFonts w:ascii="Arial Narrow" w:hAnsi="Arial Narrow" w:hint="eastAsia"/>
                <w:color w:val="000000"/>
                <w:spacing w:val="-39"/>
                <w:w w:val="15"/>
                <w:shd w:val="solid" w:color="000000" w:fill="000000"/>
                <w:fitText w:val="26" w:id="-863223029"/>
                <w14:textFill>
                  <w14:solidFill>
                    <w14:srgbClr w14:val="000000">
                      <w14:alpha w14:val="100000"/>
                    </w14:srgbClr>
                  </w14:solidFill>
                </w14:textFill>
              </w:rPr>
              <w:t xml:space="preserve">　</w:t>
            </w:r>
            <w:r w:rsidR="005F2818" w:rsidRPr="00C96EF8">
              <w:rPr>
                <w:rFonts w:ascii="Arial Narrow" w:hAnsi="Arial Narrow"/>
                <w:color w:val="000000"/>
                <w:vertAlign w:val="superscript"/>
              </w:rPr>
              <w:t>1</w:t>
            </w:r>
          </w:p>
        </w:tc>
        <w:tc>
          <w:tcPr>
            <w:tcW w:w="735" w:type="pct"/>
            <w:tcBorders>
              <w:top w:val="single" w:sz="4" w:space="0" w:color="auto"/>
              <w:left w:val="nil"/>
              <w:bottom w:val="single" w:sz="4" w:space="0" w:color="auto"/>
              <w:right w:val="single" w:sz="4" w:space="0" w:color="auto"/>
            </w:tcBorders>
            <w:shd w:val="clear" w:color="auto" w:fill="auto"/>
            <w:vAlign w:val="center"/>
          </w:tcPr>
          <w:p w14:paraId="7BC37667" w14:textId="36E9D42F" w:rsidR="005F2818" w:rsidRPr="00AD6926" w:rsidRDefault="006103C4" w:rsidP="00660892">
            <w:pPr>
              <w:keepNext/>
              <w:jc w:val="center"/>
              <w:rPr>
                <w:rFonts w:ascii="Arial Narrow" w:hAnsi="Arial Narrow" w:cstheme="minorHAnsi"/>
                <w:color w:val="000000"/>
                <w:highlight w:val="lightGray"/>
              </w:rPr>
            </w:pPr>
            <w:r w:rsidRPr="006103C4">
              <w:rPr>
                <w:rFonts w:ascii="Arial Narrow" w:hAnsi="Arial Narrow" w:hint="eastAsia"/>
                <w:color w:val="000000"/>
                <w:w w:val="15"/>
                <w:shd w:val="solid" w:color="000000" w:fill="000000"/>
                <w:fitText w:val="27" w:id="-863223028"/>
                <w14:textFill>
                  <w14:solidFill>
                    <w14:srgbClr w14:val="000000">
                      <w14:alpha w14:val="100000"/>
                    </w14:srgbClr>
                  </w14:solidFill>
                </w14:textFill>
              </w:rPr>
              <w:t xml:space="preserve">　</w:t>
            </w:r>
            <w:r w:rsidRPr="006103C4">
              <w:rPr>
                <w:rFonts w:ascii="Arial Narrow" w:hAnsi="Arial Narrow"/>
                <w:color w:val="000000"/>
                <w:w w:val="15"/>
                <w:shd w:val="solid" w:color="000000" w:fill="000000"/>
                <w:fitText w:val="27" w:id="-863223028"/>
                <w14:textFill>
                  <w14:solidFill>
                    <w14:srgbClr w14:val="000000">
                      <w14:alpha w14:val="100000"/>
                    </w14:srgbClr>
                  </w14:solidFill>
                </w14:textFill>
              </w:rPr>
              <w:t>|</w:t>
            </w:r>
            <w:r w:rsidRPr="006103C4">
              <w:rPr>
                <w:rFonts w:ascii="Arial Narrow" w:hAnsi="Arial Narrow" w:hint="eastAsia"/>
                <w:color w:val="000000"/>
                <w:spacing w:val="-38"/>
                <w:w w:val="15"/>
                <w:shd w:val="solid" w:color="000000" w:fill="000000"/>
                <w:fitText w:val="27" w:id="-863223028"/>
                <w14:textFill>
                  <w14:solidFill>
                    <w14:srgbClr w14:val="000000">
                      <w14:alpha w14:val="100000"/>
                    </w14:srgbClr>
                  </w14:solidFill>
                </w14:textFill>
              </w:rPr>
              <w:t xml:space="preserve">　</w:t>
            </w:r>
            <w:r w:rsidR="005F2818" w:rsidRPr="00C96EF8">
              <w:rPr>
                <w:rFonts w:ascii="Arial Narrow" w:hAnsi="Arial Narrow"/>
                <w:color w:val="000000"/>
                <w:vertAlign w:val="superscript"/>
              </w:rPr>
              <w:t>1</w:t>
            </w:r>
          </w:p>
        </w:tc>
        <w:tc>
          <w:tcPr>
            <w:tcW w:w="735" w:type="pct"/>
            <w:tcBorders>
              <w:top w:val="single" w:sz="4" w:space="0" w:color="auto"/>
              <w:left w:val="nil"/>
              <w:bottom w:val="single" w:sz="4" w:space="0" w:color="auto"/>
              <w:right w:val="single" w:sz="4" w:space="0" w:color="auto"/>
            </w:tcBorders>
            <w:shd w:val="clear" w:color="auto" w:fill="auto"/>
            <w:vAlign w:val="center"/>
          </w:tcPr>
          <w:p w14:paraId="14A23892" w14:textId="36C5D9AC" w:rsidR="005F2818" w:rsidRPr="00AD6926" w:rsidRDefault="006103C4" w:rsidP="00660892">
            <w:pPr>
              <w:keepNext/>
              <w:jc w:val="center"/>
              <w:rPr>
                <w:rFonts w:ascii="Arial Narrow" w:hAnsi="Arial Narrow" w:cstheme="minorHAnsi"/>
                <w:color w:val="000000"/>
                <w:highlight w:val="lightGray"/>
              </w:rPr>
            </w:pPr>
            <w:r w:rsidRPr="006103C4">
              <w:rPr>
                <w:rFonts w:ascii="Arial Narrow" w:hAnsi="Arial Narrow" w:hint="eastAsia"/>
                <w:color w:val="000000"/>
                <w:w w:val="15"/>
                <w:shd w:val="solid" w:color="000000" w:fill="000000"/>
                <w:fitText w:val="27" w:id="-863223027"/>
                <w14:textFill>
                  <w14:solidFill>
                    <w14:srgbClr w14:val="000000">
                      <w14:alpha w14:val="100000"/>
                    </w14:srgbClr>
                  </w14:solidFill>
                </w14:textFill>
              </w:rPr>
              <w:t xml:space="preserve">　</w:t>
            </w:r>
            <w:r w:rsidRPr="006103C4">
              <w:rPr>
                <w:rFonts w:ascii="Arial Narrow" w:hAnsi="Arial Narrow"/>
                <w:color w:val="000000"/>
                <w:w w:val="15"/>
                <w:shd w:val="solid" w:color="000000" w:fill="000000"/>
                <w:fitText w:val="27" w:id="-863223027"/>
                <w14:textFill>
                  <w14:solidFill>
                    <w14:srgbClr w14:val="000000">
                      <w14:alpha w14:val="100000"/>
                    </w14:srgbClr>
                  </w14:solidFill>
                </w14:textFill>
              </w:rPr>
              <w:t>|</w:t>
            </w:r>
            <w:r w:rsidRPr="006103C4">
              <w:rPr>
                <w:rFonts w:ascii="Arial Narrow" w:hAnsi="Arial Narrow" w:hint="eastAsia"/>
                <w:color w:val="000000"/>
                <w:spacing w:val="-38"/>
                <w:w w:val="15"/>
                <w:shd w:val="solid" w:color="000000" w:fill="000000"/>
                <w:fitText w:val="27" w:id="-863223027"/>
                <w14:textFill>
                  <w14:solidFill>
                    <w14:srgbClr w14:val="000000">
                      <w14:alpha w14:val="100000"/>
                    </w14:srgbClr>
                  </w14:solidFill>
                </w14:textFill>
              </w:rPr>
              <w:t xml:space="preserve">　</w:t>
            </w:r>
            <w:r w:rsidR="005F2818" w:rsidRPr="00C96EF8">
              <w:rPr>
                <w:rFonts w:ascii="Arial Narrow" w:hAnsi="Arial Narrow"/>
                <w:color w:val="000000"/>
                <w:vertAlign w:val="superscript"/>
              </w:rPr>
              <w:t>1</w:t>
            </w:r>
          </w:p>
        </w:tc>
        <w:tc>
          <w:tcPr>
            <w:tcW w:w="735" w:type="pct"/>
            <w:tcBorders>
              <w:top w:val="single" w:sz="4" w:space="0" w:color="auto"/>
              <w:left w:val="nil"/>
              <w:bottom w:val="single" w:sz="4" w:space="0" w:color="auto"/>
              <w:right w:val="single" w:sz="4" w:space="0" w:color="auto"/>
            </w:tcBorders>
            <w:shd w:val="clear" w:color="auto" w:fill="auto"/>
            <w:vAlign w:val="center"/>
          </w:tcPr>
          <w:p w14:paraId="2E60E2ED" w14:textId="6CA467BF" w:rsidR="005F2818" w:rsidRPr="00AD6926" w:rsidRDefault="006103C4" w:rsidP="00660892">
            <w:pPr>
              <w:keepNext/>
              <w:jc w:val="center"/>
              <w:rPr>
                <w:rFonts w:ascii="Arial Narrow" w:hAnsi="Arial Narrow" w:cstheme="minorHAnsi"/>
                <w:color w:val="000000"/>
                <w:highlight w:val="lightGray"/>
              </w:rPr>
            </w:pPr>
            <w:r w:rsidRPr="00001C23">
              <w:rPr>
                <w:rFonts w:ascii="Arial Narrow" w:hAnsi="Arial Narrow" w:hint="eastAsia"/>
                <w:color w:val="000000"/>
                <w:w w:val="15"/>
                <w:shd w:val="solid" w:color="000000" w:fill="000000"/>
                <w:fitText w:val="26" w:id="-863223026"/>
                <w14:textFill>
                  <w14:solidFill>
                    <w14:srgbClr w14:val="000000">
                      <w14:alpha w14:val="100000"/>
                    </w14:srgbClr>
                  </w14:solidFill>
                </w14:textFill>
              </w:rPr>
              <w:t xml:space="preserve">　</w:t>
            </w:r>
            <w:r w:rsidRPr="00001C23">
              <w:rPr>
                <w:rFonts w:ascii="Arial Narrow" w:hAnsi="Arial Narrow"/>
                <w:color w:val="000000"/>
                <w:w w:val="15"/>
                <w:shd w:val="solid" w:color="000000" w:fill="000000"/>
                <w:fitText w:val="26" w:id="-863223026"/>
                <w14:textFill>
                  <w14:solidFill>
                    <w14:srgbClr w14:val="000000">
                      <w14:alpha w14:val="100000"/>
                    </w14:srgbClr>
                  </w14:solidFill>
                </w14:textFill>
              </w:rPr>
              <w:t>|</w:t>
            </w:r>
            <w:r w:rsidRPr="00001C23">
              <w:rPr>
                <w:rFonts w:ascii="Arial Narrow" w:hAnsi="Arial Narrow" w:hint="eastAsia"/>
                <w:color w:val="000000"/>
                <w:spacing w:val="-39"/>
                <w:w w:val="15"/>
                <w:shd w:val="solid" w:color="000000" w:fill="000000"/>
                <w:fitText w:val="26" w:id="-863223026"/>
                <w14:textFill>
                  <w14:solidFill>
                    <w14:srgbClr w14:val="000000">
                      <w14:alpha w14:val="100000"/>
                    </w14:srgbClr>
                  </w14:solidFill>
                </w14:textFill>
              </w:rPr>
              <w:t xml:space="preserve">　</w:t>
            </w:r>
            <w:r w:rsidR="005F2818" w:rsidRPr="00C96EF8">
              <w:rPr>
                <w:rFonts w:ascii="Arial Narrow" w:hAnsi="Arial Narrow"/>
                <w:color w:val="000000"/>
                <w:vertAlign w:val="superscript"/>
              </w:rPr>
              <w:t>1</w:t>
            </w:r>
          </w:p>
        </w:tc>
        <w:tc>
          <w:tcPr>
            <w:tcW w:w="733" w:type="pct"/>
            <w:tcBorders>
              <w:top w:val="single" w:sz="4" w:space="0" w:color="auto"/>
              <w:left w:val="nil"/>
              <w:bottom w:val="single" w:sz="4" w:space="0" w:color="auto"/>
              <w:right w:val="single" w:sz="4" w:space="0" w:color="auto"/>
            </w:tcBorders>
            <w:shd w:val="clear" w:color="auto" w:fill="auto"/>
            <w:vAlign w:val="center"/>
          </w:tcPr>
          <w:p w14:paraId="55EE662D" w14:textId="36A75B89" w:rsidR="005F2818" w:rsidRPr="00AD6926" w:rsidRDefault="006103C4" w:rsidP="00660892">
            <w:pPr>
              <w:keepNext/>
              <w:jc w:val="center"/>
              <w:rPr>
                <w:rFonts w:ascii="Arial Narrow" w:hAnsi="Arial Narrow" w:cstheme="minorHAnsi"/>
                <w:color w:val="000000"/>
                <w:highlight w:val="lightGray"/>
              </w:rPr>
            </w:pPr>
            <w:r w:rsidRPr="00001C23">
              <w:rPr>
                <w:rFonts w:ascii="Arial Narrow" w:hAnsi="Arial Narrow" w:hint="eastAsia"/>
                <w:color w:val="000000"/>
                <w:w w:val="15"/>
                <w:shd w:val="solid" w:color="000000" w:fill="000000"/>
                <w:fitText w:val="20" w:id="-863223025"/>
                <w14:textFill>
                  <w14:solidFill>
                    <w14:srgbClr w14:val="000000">
                      <w14:alpha w14:val="100000"/>
                    </w14:srgbClr>
                  </w14:solidFill>
                </w14:textFill>
              </w:rPr>
              <w:t xml:space="preserve">　</w:t>
            </w:r>
            <w:r w:rsidRPr="00001C23">
              <w:rPr>
                <w:rFonts w:ascii="Arial Narrow" w:hAnsi="Arial Narrow"/>
                <w:color w:val="000000"/>
                <w:w w:val="15"/>
                <w:shd w:val="solid" w:color="000000" w:fill="000000"/>
                <w:fitText w:val="20" w:id="-863223025"/>
                <w14:textFill>
                  <w14:solidFill>
                    <w14:srgbClr w14:val="000000">
                      <w14:alpha w14:val="100000"/>
                    </w14:srgbClr>
                  </w14:solidFill>
                </w14:textFill>
              </w:rPr>
              <w:t>|</w:t>
            </w:r>
            <w:r w:rsidRPr="00001C23">
              <w:rPr>
                <w:rFonts w:ascii="Arial Narrow" w:hAnsi="Arial Narrow" w:hint="eastAsia"/>
                <w:color w:val="000000"/>
                <w:spacing w:val="-46"/>
                <w:w w:val="15"/>
                <w:shd w:val="solid" w:color="000000" w:fill="000000"/>
                <w:fitText w:val="20" w:id="-863223025"/>
                <w14:textFill>
                  <w14:solidFill>
                    <w14:srgbClr w14:val="000000">
                      <w14:alpha w14:val="100000"/>
                    </w14:srgbClr>
                  </w14:solidFill>
                </w14:textFill>
              </w:rPr>
              <w:t xml:space="preserve">　</w:t>
            </w:r>
            <w:r w:rsidR="005F2818" w:rsidRPr="00C96EF8">
              <w:rPr>
                <w:rFonts w:ascii="Arial Narrow" w:hAnsi="Arial Narrow"/>
                <w:color w:val="000000"/>
                <w:vertAlign w:val="superscript"/>
              </w:rPr>
              <w:t>1</w:t>
            </w:r>
          </w:p>
        </w:tc>
      </w:tr>
      <w:tr w:rsidR="005F2818" w:rsidRPr="00905135" w14:paraId="4A45C4FD" w14:textId="77777777" w:rsidTr="00660892">
        <w:tc>
          <w:tcPr>
            <w:tcW w:w="753" w:type="pct"/>
            <w:shd w:val="clear" w:color="auto" w:fill="auto"/>
            <w:vAlign w:val="center"/>
          </w:tcPr>
          <w:p w14:paraId="717CE039" w14:textId="131C69BE" w:rsidR="005F2818" w:rsidRPr="00905135" w:rsidRDefault="005F2818" w:rsidP="00660892">
            <w:pPr>
              <w:keepNext/>
              <w:rPr>
                <w:rFonts w:ascii="Arial Narrow" w:hAnsi="Arial Narrow"/>
              </w:rPr>
            </w:pPr>
            <w:r w:rsidRPr="00905135">
              <w:rPr>
                <w:rFonts w:ascii="Arial Narrow" w:hAnsi="Arial Narrow"/>
              </w:rPr>
              <w:t>Net cost health budget</w:t>
            </w:r>
            <w:r>
              <w:rPr>
                <w:rFonts w:ascii="Arial Narrow" w:hAnsi="Arial Narrow"/>
              </w:rPr>
              <w:t xml:space="preserve">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5EB2D33B" w14:textId="4B13D6FB" w:rsidR="005F2818" w:rsidRPr="00AD6926" w:rsidRDefault="006103C4" w:rsidP="00660892">
            <w:pPr>
              <w:keepNext/>
              <w:jc w:val="center"/>
              <w:rPr>
                <w:rFonts w:ascii="Arial Narrow" w:hAnsi="Arial Narrow" w:cstheme="minorHAnsi"/>
                <w:color w:val="000000"/>
                <w:highlight w:val="lightGray"/>
              </w:rPr>
            </w:pPr>
            <w:r w:rsidRPr="006103C4">
              <w:rPr>
                <w:rFonts w:ascii="Arial Narrow" w:hAnsi="Arial Narrow"/>
                <w:color w:val="000000"/>
                <w:spacing w:val="80"/>
                <w:shd w:val="solid" w:color="000000" w:fill="000000"/>
                <w:fitText w:val="166" w:id="-863223024"/>
                <w14:textFill>
                  <w14:solidFill>
                    <w14:srgbClr w14:val="000000">
                      <w14:alpha w14:val="100000"/>
                    </w14:srgbClr>
                  </w14:solidFill>
                </w14:textFill>
              </w:rPr>
              <w:t>|</w:t>
            </w:r>
            <w:r w:rsidRPr="006103C4">
              <w:rPr>
                <w:rFonts w:ascii="Arial Narrow" w:hAnsi="Arial Narrow"/>
                <w:color w:val="000000"/>
                <w:spacing w:val="1"/>
                <w:shd w:val="solid" w:color="000000" w:fill="000000"/>
                <w:fitText w:val="166" w:id="-863223024"/>
                <w14:textFill>
                  <w14:solidFill>
                    <w14:srgbClr w14:val="000000">
                      <w14:alpha w14:val="100000"/>
                    </w14:srgbClr>
                  </w14:solidFill>
                </w14:textFill>
              </w:rPr>
              <w:t>|</w:t>
            </w:r>
            <w:r w:rsidR="005F2818" w:rsidRPr="00C96EF8">
              <w:rPr>
                <w:rFonts w:ascii="Arial Narrow" w:hAnsi="Arial Narrow"/>
                <w:color w:val="000000"/>
                <w:vertAlign w:val="superscript"/>
              </w:rPr>
              <w:t>1</w:t>
            </w:r>
          </w:p>
        </w:tc>
        <w:tc>
          <w:tcPr>
            <w:tcW w:w="735" w:type="pct"/>
            <w:tcBorders>
              <w:top w:val="single" w:sz="4" w:space="0" w:color="auto"/>
              <w:left w:val="nil"/>
              <w:bottom w:val="single" w:sz="4" w:space="0" w:color="auto"/>
              <w:right w:val="single" w:sz="4" w:space="0" w:color="auto"/>
            </w:tcBorders>
            <w:shd w:val="clear" w:color="auto" w:fill="auto"/>
            <w:vAlign w:val="center"/>
          </w:tcPr>
          <w:p w14:paraId="0D5E6743" w14:textId="3D279BB9" w:rsidR="005F2818" w:rsidRPr="00AD6926" w:rsidRDefault="006103C4" w:rsidP="00660892">
            <w:pPr>
              <w:keepNext/>
              <w:jc w:val="center"/>
              <w:rPr>
                <w:rFonts w:ascii="Arial Narrow" w:hAnsi="Arial Narrow" w:cstheme="minorHAnsi"/>
                <w:color w:val="000000"/>
                <w:highlight w:val="lightGray"/>
              </w:rPr>
            </w:pPr>
            <w:r w:rsidRPr="00001C23">
              <w:rPr>
                <w:rFonts w:ascii="Arial Narrow" w:hAnsi="Arial Narrow" w:hint="eastAsia"/>
                <w:color w:val="000000"/>
                <w:w w:val="15"/>
                <w:shd w:val="solid" w:color="000000" w:fill="000000"/>
                <w:fitText w:val="26" w:id="-863223040"/>
                <w14:textFill>
                  <w14:solidFill>
                    <w14:srgbClr w14:val="000000">
                      <w14:alpha w14:val="100000"/>
                    </w14:srgbClr>
                  </w14:solidFill>
                </w14:textFill>
              </w:rPr>
              <w:t xml:space="preserve">　</w:t>
            </w:r>
            <w:r w:rsidRPr="00001C23">
              <w:rPr>
                <w:rFonts w:ascii="Arial Narrow" w:hAnsi="Arial Narrow"/>
                <w:color w:val="000000"/>
                <w:w w:val="15"/>
                <w:shd w:val="solid" w:color="000000" w:fill="000000"/>
                <w:fitText w:val="26" w:id="-863223040"/>
                <w14:textFill>
                  <w14:solidFill>
                    <w14:srgbClr w14:val="000000">
                      <w14:alpha w14:val="100000"/>
                    </w14:srgbClr>
                  </w14:solidFill>
                </w14:textFill>
              </w:rPr>
              <w:t>|</w:t>
            </w:r>
            <w:r w:rsidRPr="00001C23">
              <w:rPr>
                <w:rFonts w:ascii="Arial Narrow" w:hAnsi="Arial Narrow" w:hint="eastAsia"/>
                <w:color w:val="000000"/>
                <w:spacing w:val="-39"/>
                <w:w w:val="15"/>
                <w:shd w:val="solid" w:color="000000" w:fill="000000"/>
                <w:fitText w:val="26" w:id="-863223040"/>
                <w14:textFill>
                  <w14:solidFill>
                    <w14:srgbClr w14:val="000000">
                      <w14:alpha w14:val="100000"/>
                    </w14:srgbClr>
                  </w14:solidFill>
                </w14:textFill>
              </w:rPr>
              <w:t xml:space="preserve">　</w:t>
            </w:r>
            <w:r w:rsidR="005F2818">
              <w:rPr>
                <w:rFonts w:ascii="Arial Narrow" w:hAnsi="Arial Narrow"/>
                <w:color w:val="000000"/>
                <w:vertAlign w:val="superscript"/>
              </w:rPr>
              <w:t>2</w:t>
            </w:r>
          </w:p>
        </w:tc>
        <w:tc>
          <w:tcPr>
            <w:tcW w:w="735" w:type="pct"/>
            <w:tcBorders>
              <w:top w:val="single" w:sz="4" w:space="0" w:color="auto"/>
              <w:left w:val="nil"/>
              <w:bottom w:val="single" w:sz="4" w:space="0" w:color="auto"/>
              <w:right w:val="single" w:sz="4" w:space="0" w:color="auto"/>
            </w:tcBorders>
            <w:shd w:val="clear" w:color="auto" w:fill="auto"/>
            <w:vAlign w:val="center"/>
          </w:tcPr>
          <w:p w14:paraId="79AC2D3C" w14:textId="6BE733C4" w:rsidR="005F2818" w:rsidRPr="00AD6926" w:rsidRDefault="006103C4" w:rsidP="00660892">
            <w:pPr>
              <w:keepNext/>
              <w:jc w:val="center"/>
              <w:rPr>
                <w:rFonts w:ascii="Arial Narrow" w:hAnsi="Arial Narrow" w:cstheme="minorHAnsi"/>
                <w:color w:val="000000"/>
                <w:highlight w:val="lightGray"/>
              </w:rPr>
            </w:pPr>
            <w:r w:rsidRPr="006103C4">
              <w:rPr>
                <w:rFonts w:ascii="Arial Narrow" w:hAnsi="Arial Narrow" w:hint="eastAsia"/>
                <w:color w:val="000000"/>
                <w:w w:val="15"/>
                <w:shd w:val="solid" w:color="000000" w:fill="000000"/>
                <w:fitText w:val="27" w:id="-863223039"/>
                <w14:textFill>
                  <w14:solidFill>
                    <w14:srgbClr w14:val="000000">
                      <w14:alpha w14:val="100000"/>
                    </w14:srgbClr>
                  </w14:solidFill>
                </w14:textFill>
              </w:rPr>
              <w:t xml:space="preserve">　</w:t>
            </w:r>
            <w:r w:rsidRPr="006103C4">
              <w:rPr>
                <w:rFonts w:ascii="Arial Narrow" w:hAnsi="Arial Narrow"/>
                <w:color w:val="000000"/>
                <w:w w:val="15"/>
                <w:shd w:val="solid" w:color="000000" w:fill="000000"/>
                <w:fitText w:val="27" w:id="-863223039"/>
                <w14:textFill>
                  <w14:solidFill>
                    <w14:srgbClr w14:val="000000">
                      <w14:alpha w14:val="100000"/>
                    </w14:srgbClr>
                  </w14:solidFill>
                </w14:textFill>
              </w:rPr>
              <w:t>|</w:t>
            </w:r>
            <w:r w:rsidRPr="006103C4">
              <w:rPr>
                <w:rFonts w:ascii="Arial Narrow" w:hAnsi="Arial Narrow" w:hint="eastAsia"/>
                <w:color w:val="000000"/>
                <w:spacing w:val="-38"/>
                <w:w w:val="15"/>
                <w:shd w:val="solid" w:color="000000" w:fill="000000"/>
                <w:fitText w:val="27" w:id="-863223039"/>
                <w14:textFill>
                  <w14:solidFill>
                    <w14:srgbClr w14:val="000000">
                      <w14:alpha w14:val="100000"/>
                    </w14:srgbClr>
                  </w14:solidFill>
                </w14:textFill>
              </w:rPr>
              <w:t xml:space="preserve">　</w:t>
            </w:r>
            <w:r w:rsidR="005F2818">
              <w:rPr>
                <w:rFonts w:ascii="Arial Narrow" w:hAnsi="Arial Narrow"/>
                <w:color w:val="000000"/>
                <w:vertAlign w:val="superscript"/>
              </w:rPr>
              <w:t>2</w:t>
            </w:r>
          </w:p>
        </w:tc>
        <w:tc>
          <w:tcPr>
            <w:tcW w:w="735" w:type="pct"/>
            <w:tcBorders>
              <w:top w:val="single" w:sz="4" w:space="0" w:color="auto"/>
              <w:left w:val="nil"/>
              <w:bottom w:val="single" w:sz="4" w:space="0" w:color="auto"/>
              <w:right w:val="single" w:sz="4" w:space="0" w:color="auto"/>
            </w:tcBorders>
            <w:shd w:val="clear" w:color="auto" w:fill="auto"/>
            <w:vAlign w:val="center"/>
          </w:tcPr>
          <w:p w14:paraId="5D5043F7" w14:textId="625C35CD" w:rsidR="005F2818" w:rsidRPr="00AD6926" w:rsidRDefault="006103C4" w:rsidP="00660892">
            <w:pPr>
              <w:keepNext/>
              <w:jc w:val="center"/>
              <w:rPr>
                <w:rFonts w:ascii="Arial Narrow" w:hAnsi="Arial Narrow" w:cstheme="minorHAnsi"/>
                <w:color w:val="000000"/>
                <w:highlight w:val="lightGray"/>
              </w:rPr>
            </w:pPr>
            <w:r w:rsidRPr="006103C4">
              <w:rPr>
                <w:rFonts w:ascii="Arial Narrow" w:hAnsi="Arial Narrow" w:hint="eastAsia"/>
                <w:color w:val="000000"/>
                <w:w w:val="15"/>
                <w:shd w:val="solid" w:color="000000" w:fill="000000"/>
                <w:fitText w:val="27" w:id="-863223038"/>
                <w14:textFill>
                  <w14:solidFill>
                    <w14:srgbClr w14:val="000000">
                      <w14:alpha w14:val="100000"/>
                    </w14:srgbClr>
                  </w14:solidFill>
                </w14:textFill>
              </w:rPr>
              <w:t xml:space="preserve">　</w:t>
            </w:r>
            <w:r w:rsidRPr="006103C4">
              <w:rPr>
                <w:rFonts w:ascii="Arial Narrow" w:hAnsi="Arial Narrow"/>
                <w:color w:val="000000"/>
                <w:w w:val="15"/>
                <w:shd w:val="solid" w:color="000000" w:fill="000000"/>
                <w:fitText w:val="27" w:id="-863223038"/>
                <w14:textFill>
                  <w14:solidFill>
                    <w14:srgbClr w14:val="000000">
                      <w14:alpha w14:val="100000"/>
                    </w14:srgbClr>
                  </w14:solidFill>
                </w14:textFill>
              </w:rPr>
              <w:t>|</w:t>
            </w:r>
            <w:r w:rsidRPr="006103C4">
              <w:rPr>
                <w:rFonts w:ascii="Arial Narrow" w:hAnsi="Arial Narrow" w:hint="eastAsia"/>
                <w:color w:val="000000"/>
                <w:spacing w:val="-38"/>
                <w:w w:val="15"/>
                <w:shd w:val="solid" w:color="000000" w:fill="000000"/>
                <w:fitText w:val="27" w:id="-863223038"/>
                <w14:textFill>
                  <w14:solidFill>
                    <w14:srgbClr w14:val="000000">
                      <w14:alpha w14:val="100000"/>
                    </w14:srgbClr>
                  </w14:solidFill>
                </w14:textFill>
              </w:rPr>
              <w:t xml:space="preserve">　</w:t>
            </w:r>
            <w:r w:rsidR="005F2818">
              <w:rPr>
                <w:rFonts w:ascii="Arial Narrow" w:hAnsi="Arial Narrow"/>
                <w:color w:val="000000"/>
                <w:vertAlign w:val="superscript"/>
              </w:rPr>
              <w:t>2</w:t>
            </w:r>
          </w:p>
        </w:tc>
        <w:tc>
          <w:tcPr>
            <w:tcW w:w="735" w:type="pct"/>
            <w:tcBorders>
              <w:top w:val="single" w:sz="4" w:space="0" w:color="auto"/>
              <w:left w:val="nil"/>
              <w:bottom w:val="single" w:sz="4" w:space="0" w:color="auto"/>
              <w:right w:val="single" w:sz="4" w:space="0" w:color="auto"/>
            </w:tcBorders>
            <w:shd w:val="clear" w:color="auto" w:fill="auto"/>
            <w:vAlign w:val="center"/>
          </w:tcPr>
          <w:p w14:paraId="6B4C4D98" w14:textId="11072098" w:rsidR="005F2818" w:rsidRPr="00AD6926" w:rsidRDefault="006103C4" w:rsidP="00660892">
            <w:pPr>
              <w:keepNext/>
              <w:jc w:val="center"/>
              <w:rPr>
                <w:rFonts w:ascii="Arial Narrow" w:hAnsi="Arial Narrow" w:cstheme="minorHAnsi"/>
                <w:color w:val="000000"/>
                <w:highlight w:val="lightGray"/>
              </w:rPr>
            </w:pPr>
            <w:r w:rsidRPr="00001C23">
              <w:rPr>
                <w:rFonts w:ascii="Arial Narrow" w:hAnsi="Arial Narrow" w:hint="eastAsia"/>
                <w:color w:val="000000"/>
                <w:w w:val="15"/>
                <w:shd w:val="solid" w:color="000000" w:fill="000000"/>
                <w:fitText w:val="26" w:id="-863223037"/>
                <w14:textFill>
                  <w14:solidFill>
                    <w14:srgbClr w14:val="000000">
                      <w14:alpha w14:val="100000"/>
                    </w14:srgbClr>
                  </w14:solidFill>
                </w14:textFill>
              </w:rPr>
              <w:t xml:space="preserve">　</w:t>
            </w:r>
            <w:r w:rsidRPr="00001C23">
              <w:rPr>
                <w:rFonts w:ascii="Arial Narrow" w:hAnsi="Arial Narrow"/>
                <w:color w:val="000000"/>
                <w:w w:val="15"/>
                <w:shd w:val="solid" w:color="000000" w:fill="000000"/>
                <w:fitText w:val="26" w:id="-863223037"/>
                <w14:textFill>
                  <w14:solidFill>
                    <w14:srgbClr w14:val="000000">
                      <w14:alpha w14:val="100000"/>
                    </w14:srgbClr>
                  </w14:solidFill>
                </w14:textFill>
              </w:rPr>
              <w:t>|</w:t>
            </w:r>
            <w:r w:rsidRPr="00001C23">
              <w:rPr>
                <w:rFonts w:ascii="Arial Narrow" w:hAnsi="Arial Narrow" w:hint="eastAsia"/>
                <w:color w:val="000000"/>
                <w:spacing w:val="-39"/>
                <w:w w:val="15"/>
                <w:shd w:val="solid" w:color="000000" w:fill="000000"/>
                <w:fitText w:val="26" w:id="-863223037"/>
                <w14:textFill>
                  <w14:solidFill>
                    <w14:srgbClr w14:val="000000">
                      <w14:alpha w14:val="100000"/>
                    </w14:srgbClr>
                  </w14:solidFill>
                </w14:textFill>
              </w:rPr>
              <w:t xml:space="preserve">　</w:t>
            </w:r>
            <w:r w:rsidR="005F2818">
              <w:rPr>
                <w:rFonts w:ascii="Arial Narrow" w:hAnsi="Arial Narrow"/>
                <w:color w:val="000000"/>
                <w:vertAlign w:val="superscript"/>
              </w:rPr>
              <w:t>2</w:t>
            </w:r>
          </w:p>
        </w:tc>
        <w:tc>
          <w:tcPr>
            <w:tcW w:w="733" w:type="pct"/>
            <w:tcBorders>
              <w:top w:val="single" w:sz="4" w:space="0" w:color="auto"/>
              <w:left w:val="nil"/>
              <w:bottom w:val="single" w:sz="4" w:space="0" w:color="auto"/>
              <w:right w:val="single" w:sz="4" w:space="0" w:color="auto"/>
            </w:tcBorders>
            <w:shd w:val="clear" w:color="auto" w:fill="auto"/>
            <w:vAlign w:val="center"/>
          </w:tcPr>
          <w:p w14:paraId="6949AB84" w14:textId="445B867A" w:rsidR="005F2818" w:rsidRPr="00AD6926" w:rsidRDefault="006103C4" w:rsidP="00660892">
            <w:pPr>
              <w:keepNext/>
              <w:jc w:val="center"/>
              <w:rPr>
                <w:rFonts w:ascii="Arial Narrow" w:hAnsi="Arial Narrow" w:cstheme="minorHAnsi"/>
                <w:color w:val="000000"/>
                <w:highlight w:val="lightGray"/>
              </w:rPr>
            </w:pPr>
            <w:r w:rsidRPr="00001C23">
              <w:rPr>
                <w:rFonts w:ascii="Arial Narrow" w:hAnsi="Arial Narrow" w:hint="eastAsia"/>
                <w:color w:val="000000"/>
                <w:w w:val="15"/>
                <w:shd w:val="solid" w:color="000000" w:fill="000000"/>
                <w:fitText w:val="20" w:id="-863223036"/>
                <w14:textFill>
                  <w14:solidFill>
                    <w14:srgbClr w14:val="000000">
                      <w14:alpha w14:val="100000"/>
                    </w14:srgbClr>
                  </w14:solidFill>
                </w14:textFill>
              </w:rPr>
              <w:t xml:space="preserve">　</w:t>
            </w:r>
            <w:r w:rsidRPr="00001C23">
              <w:rPr>
                <w:rFonts w:ascii="Arial Narrow" w:hAnsi="Arial Narrow"/>
                <w:color w:val="000000"/>
                <w:w w:val="15"/>
                <w:shd w:val="solid" w:color="000000" w:fill="000000"/>
                <w:fitText w:val="20" w:id="-863223036"/>
                <w14:textFill>
                  <w14:solidFill>
                    <w14:srgbClr w14:val="000000">
                      <w14:alpha w14:val="100000"/>
                    </w14:srgbClr>
                  </w14:solidFill>
                </w14:textFill>
              </w:rPr>
              <w:t>|</w:t>
            </w:r>
            <w:r w:rsidRPr="00001C23">
              <w:rPr>
                <w:rFonts w:ascii="Arial Narrow" w:hAnsi="Arial Narrow" w:hint="eastAsia"/>
                <w:color w:val="000000"/>
                <w:spacing w:val="-46"/>
                <w:w w:val="15"/>
                <w:shd w:val="solid" w:color="000000" w:fill="000000"/>
                <w:fitText w:val="20" w:id="-863223036"/>
                <w14:textFill>
                  <w14:solidFill>
                    <w14:srgbClr w14:val="000000">
                      <w14:alpha w14:val="100000"/>
                    </w14:srgbClr>
                  </w14:solidFill>
                </w14:textFill>
              </w:rPr>
              <w:t xml:space="preserve">　</w:t>
            </w:r>
            <w:r w:rsidR="005F2818">
              <w:rPr>
                <w:rFonts w:ascii="Arial Narrow" w:hAnsi="Arial Narrow"/>
                <w:color w:val="000000"/>
                <w:vertAlign w:val="superscript"/>
              </w:rPr>
              <w:t>2</w:t>
            </w:r>
          </w:p>
        </w:tc>
      </w:tr>
      <w:tr w:rsidR="005F2818" w:rsidRPr="00905135" w14:paraId="36DFD3C1" w14:textId="77777777" w:rsidTr="00660892">
        <w:tc>
          <w:tcPr>
            <w:tcW w:w="753" w:type="pct"/>
            <w:shd w:val="clear" w:color="auto" w:fill="D9D9D9" w:themeFill="background1" w:themeFillShade="D9"/>
            <w:vAlign w:val="center"/>
          </w:tcPr>
          <w:p w14:paraId="71A2F62C" w14:textId="0DBEEA9B" w:rsidR="005F2818" w:rsidRPr="00905135" w:rsidRDefault="005F2818" w:rsidP="00660892">
            <w:pPr>
              <w:keepNext/>
              <w:rPr>
                <w:rFonts w:ascii="Arial Narrow" w:hAnsi="Arial Narrow"/>
              </w:rPr>
            </w:pPr>
            <w:r>
              <w:rPr>
                <w:rFonts w:ascii="Arial Narrow" w:hAnsi="Arial Narrow"/>
              </w:rPr>
              <w:t>Net cost health budget, March 2024 ($)</w:t>
            </w:r>
          </w:p>
        </w:tc>
        <w:tc>
          <w:tcPr>
            <w:tcW w:w="575" w:type="pct"/>
            <w:shd w:val="clear" w:color="auto" w:fill="D9D9D9" w:themeFill="background1" w:themeFillShade="D9"/>
            <w:vAlign w:val="center"/>
          </w:tcPr>
          <w:p w14:paraId="13CAF524" w14:textId="704C7BE0" w:rsidR="005F2818" w:rsidRPr="00AD6926" w:rsidRDefault="006103C4" w:rsidP="00660892">
            <w:pPr>
              <w:keepNext/>
              <w:jc w:val="center"/>
              <w:rPr>
                <w:rFonts w:ascii="Arial Narrow" w:hAnsi="Arial Narrow"/>
                <w:color w:val="000000"/>
                <w:highlight w:val="lightGray"/>
              </w:rPr>
            </w:pPr>
            <w:r w:rsidRPr="006103C4">
              <w:rPr>
                <w:rFonts w:ascii="Arial Narrow" w:hAnsi="Arial Narrow" w:cstheme="minorHAnsi"/>
                <w:color w:val="000000"/>
                <w:spacing w:val="80"/>
                <w:shd w:val="solid" w:color="000000" w:fill="000000"/>
                <w:fitText w:val="166" w:id="-863223035"/>
                <w14:textFill>
                  <w14:solidFill>
                    <w14:srgbClr w14:val="000000">
                      <w14:alpha w14:val="100000"/>
                    </w14:srgbClr>
                  </w14:solidFill>
                </w14:textFill>
              </w:rPr>
              <w:t>|</w:t>
            </w:r>
            <w:r w:rsidRPr="006103C4">
              <w:rPr>
                <w:rFonts w:ascii="Arial Narrow" w:hAnsi="Arial Narrow" w:cstheme="minorHAnsi"/>
                <w:color w:val="000000"/>
                <w:spacing w:val="1"/>
                <w:shd w:val="solid" w:color="000000" w:fill="000000"/>
                <w:fitText w:val="166" w:id="-863223035"/>
                <w14:textFill>
                  <w14:solidFill>
                    <w14:srgbClr w14:val="000000">
                      <w14:alpha w14:val="100000"/>
                    </w14:srgbClr>
                  </w14:solidFill>
                </w14:textFill>
              </w:rPr>
              <w:t>|</w:t>
            </w:r>
            <w:r w:rsidR="005F2818" w:rsidRPr="00C96EF8">
              <w:rPr>
                <w:rFonts w:ascii="Arial Narrow" w:hAnsi="Arial Narrow"/>
                <w:color w:val="000000"/>
                <w:vertAlign w:val="superscript"/>
              </w:rPr>
              <w:t>1</w:t>
            </w:r>
          </w:p>
        </w:tc>
        <w:tc>
          <w:tcPr>
            <w:tcW w:w="735" w:type="pct"/>
            <w:shd w:val="clear" w:color="auto" w:fill="D9D9D9" w:themeFill="background1" w:themeFillShade="D9"/>
            <w:vAlign w:val="center"/>
          </w:tcPr>
          <w:p w14:paraId="6C2B22FE" w14:textId="62D36E4F" w:rsidR="005F2818" w:rsidRPr="00AD6926" w:rsidRDefault="006103C4" w:rsidP="00660892">
            <w:pPr>
              <w:keepNext/>
              <w:jc w:val="center"/>
              <w:rPr>
                <w:rFonts w:ascii="Arial Narrow" w:hAnsi="Arial Narrow"/>
                <w:color w:val="000000"/>
                <w:highlight w:val="lightGray"/>
              </w:rPr>
            </w:pPr>
            <w:r w:rsidRPr="00001C23">
              <w:rPr>
                <w:rFonts w:ascii="Arial Narrow" w:hAnsi="Arial Narrow" w:cstheme="minorHAnsi" w:hint="eastAsia"/>
                <w:color w:val="000000"/>
                <w:w w:val="15"/>
                <w:shd w:val="solid" w:color="000000" w:fill="000000"/>
                <w:fitText w:val="26" w:id="-863223034"/>
                <w14:textFill>
                  <w14:solidFill>
                    <w14:srgbClr w14:val="000000">
                      <w14:alpha w14:val="100000"/>
                    </w14:srgbClr>
                  </w14:solidFill>
                </w14:textFill>
              </w:rPr>
              <w:t xml:space="preserve">　</w:t>
            </w:r>
            <w:r w:rsidRPr="00001C23">
              <w:rPr>
                <w:rFonts w:ascii="Arial Narrow" w:hAnsi="Arial Narrow" w:cstheme="minorHAnsi"/>
                <w:color w:val="000000"/>
                <w:w w:val="15"/>
                <w:shd w:val="solid" w:color="000000" w:fill="000000"/>
                <w:fitText w:val="26" w:id="-863223034"/>
                <w14:textFill>
                  <w14:solidFill>
                    <w14:srgbClr w14:val="000000">
                      <w14:alpha w14:val="100000"/>
                    </w14:srgbClr>
                  </w14:solidFill>
                </w14:textFill>
              </w:rPr>
              <w:t>|</w:t>
            </w:r>
            <w:r w:rsidRPr="00001C23">
              <w:rPr>
                <w:rFonts w:ascii="Arial Narrow" w:hAnsi="Arial Narrow" w:cstheme="minorHAnsi" w:hint="eastAsia"/>
                <w:color w:val="000000"/>
                <w:spacing w:val="-39"/>
                <w:w w:val="15"/>
                <w:shd w:val="solid" w:color="000000" w:fill="000000"/>
                <w:fitText w:val="26" w:id="-863223034"/>
                <w14:textFill>
                  <w14:solidFill>
                    <w14:srgbClr w14:val="000000">
                      <w14:alpha w14:val="100000"/>
                    </w14:srgbClr>
                  </w14:solidFill>
                </w14:textFill>
              </w:rPr>
              <w:t xml:space="preserve">　</w:t>
            </w:r>
            <w:r w:rsidR="005F2818">
              <w:rPr>
                <w:rFonts w:ascii="Arial Narrow" w:hAnsi="Arial Narrow"/>
                <w:color w:val="000000"/>
                <w:vertAlign w:val="superscript"/>
              </w:rPr>
              <w:t>2</w:t>
            </w:r>
          </w:p>
        </w:tc>
        <w:tc>
          <w:tcPr>
            <w:tcW w:w="735" w:type="pct"/>
            <w:shd w:val="clear" w:color="auto" w:fill="D9D9D9" w:themeFill="background1" w:themeFillShade="D9"/>
            <w:vAlign w:val="center"/>
          </w:tcPr>
          <w:p w14:paraId="4DEA5DF6" w14:textId="48C75B3E" w:rsidR="005F2818" w:rsidRPr="00AD6926" w:rsidRDefault="006103C4" w:rsidP="00660892">
            <w:pPr>
              <w:keepNext/>
              <w:jc w:val="center"/>
              <w:rPr>
                <w:rFonts w:ascii="Arial Narrow" w:hAnsi="Arial Narrow"/>
                <w:color w:val="000000"/>
                <w:highlight w:val="lightGray"/>
              </w:rPr>
            </w:pPr>
            <w:r w:rsidRPr="00001C23">
              <w:rPr>
                <w:rFonts w:ascii="Arial Narrow" w:hAnsi="Arial Narrow" w:cstheme="minorHAnsi" w:hint="eastAsia"/>
                <w:color w:val="000000"/>
                <w:w w:val="15"/>
                <w:shd w:val="solid" w:color="000000" w:fill="000000"/>
                <w:fitText w:val="26" w:id="-863223033"/>
                <w14:textFill>
                  <w14:solidFill>
                    <w14:srgbClr w14:val="000000">
                      <w14:alpha w14:val="100000"/>
                    </w14:srgbClr>
                  </w14:solidFill>
                </w14:textFill>
              </w:rPr>
              <w:t xml:space="preserve">　</w:t>
            </w:r>
            <w:r w:rsidRPr="00001C23">
              <w:rPr>
                <w:rFonts w:ascii="Arial Narrow" w:hAnsi="Arial Narrow" w:cstheme="minorHAnsi"/>
                <w:color w:val="000000"/>
                <w:w w:val="15"/>
                <w:shd w:val="solid" w:color="000000" w:fill="000000"/>
                <w:fitText w:val="26" w:id="-863223033"/>
                <w14:textFill>
                  <w14:solidFill>
                    <w14:srgbClr w14:val="000000">
                      <w14:alpha w14:val="100000"/>
                    </w14:srgbClr>
                  </w14:solidFill>
                </w14:textFill>
              </w:rPr>
              <w:t>|</w:t>
            </w:r>
            <w:r w:rsidRPr="00001C23">
              <w:rPr>
                <w:rFonts w:ascii="Arial Narrow" w:hAnsi="Arial Narrow" w:cstheme="minorHAnsi" w:hint="eastAsia"/>
                <w:color w:val="000000"/>
                <w:spacing w:val="-39"/>
                <w:w w:val="15"/>
                <w:shd w:val="solid" w:color="000000" w:fill="000000"/>
                <w:fitText w:val="26" w:id="-863223033"/>
                <w14:textFill>
                  <w14:solidFill>
                    <w14:srgbClr w14:val="000000">
                      <w14:alpha w14:val="100000"/>
                    </w14:srgbClr>
                  </w14:solidFill>
                </w14:textFill>
              </w:rPr>
              <w:t xml:space="preserve">　</w:t>
            </w:r>
            <w:r w:rsidR="005F2818">
              <w:rPr>
                <w:rFonts w:ascii="Arial Narrow" w:hAnsi="Arial Narrow"/>
                <w:color w:val="000000"/>
                <w:vertAlign w:val="superscript"/>
              </w:rPr>
              <w:t>2</w:t>
            </w:r>
          </w:p>
        </w:tc>
        <w:tc>
          <w:tcPr>
            <w:tcW w:w="735" w:type="pct"/>
            <w:shd w:val="clear" w:color="auto" w:fill="D9D9D9" w:themeFill="background1" w:themeFillShade="D9"/>
            <w:vAlign w:val="center"/>
          </w:tcPr>
          <w:p w14:paraId="33239197" w14:textId="36575991" w:rsidR="005F2818" w:rsidRPr="00AD6926" w:rsidRDefault="006103C4" w:rsidP="00660892">
            <w:pPr>
              <w:keepNext/>
              <w:jc w:val="center"/>
              <w:rPr>
                <w:rFonts w:ascii="Arial Narrow" w:hAnsi="Arial Narrow"/>
                <w:color w:val="000000"/>
                <w:highlight w:val="lightGray"/>
              </w:rPr>
            </w:pPr>
            <w:r w:rsidRPr="006103C4">
              <w:rPr>
                <w:rFonts w:ascii="Arial Narrow" w:hAnsi="Arial Narrow" w:cstheme="minorHAnsi" w:hint="eastAsia"/>
                <w:color w:val="000000"/>
                <w:w w:val="15"/>
                <w:shd w:val="solid" w:color="000000" w:fill="000000"/>
                <w:fitText w:val="27" w:id="-863223032"/>
                <w14:textFill>
                  <w14:solidFill>
                    <w14:srgbClr w14:val="000000">
                      <w14:alpha w14:val="100000"/>
                    </w14:srgbClr>
                  </w14:solidFill>
                </w14:textFill>
              </w:rPr>
              <w:t xml:space="preserve">　</w:t>
            </w:r>
            <w:r w:rsidRPr="006103C4">
              <w:rPr>
                <w:rFonts w:ascii="Arial Narrow" w:hAnsi="Arial Narrow" w:cstheme="minorHAnsi"/>
                <w:color w:val="000000"/>
                <w:w w:val="15"/>
                <w:shd w:val="solid" w:color="000000" w:fill="000000"/>
                <w:fitText w:val="27" w:id="-863223032"/>
                <w14:textFill>
                  <w14:solidFill>
                    <w14:srgbClr w14:val="000000">
                      <w14:alpha w14:val="100000"/>
                    </w14:srgbClr>
                  </w14:solidFill>
                </w14:textFill>
              </w:rPr>
              <w:t>|</w:t>
            </w:r>
            <w:r w:rsidRPr="006103C4">
              <w:rPr>
                <w:rFonts w:ascii="Arial Narrow" w:hAnsi="Arial Narrow" w:cstheme="minorHAnsi" w:hint="eastAsia"/>
                <w:color w:val="000000"/>
                <w:spacing w:val="-38"/>
                <w:w w:val="15"/>
                <w:shd w:val="solid" w:color="000000" w:fill="000000"/>
                <w:fitText w:val="27" w:id="-863223032"/>
                <w14:textFill>
                  <w14:solidFill>
                    <w14:srgbClr w14:val="000000">
                      <w14:alpha w14:val="100000"/>
                    </w14:srgbClr>
                  </w14:solidFill>
                </w14:textFill>
              </w:rPr>
              <w:t xml:space="preserve">　</w:t>
            </w:r>
            <w:r w:rsidR="005F2818">
              <w:rPr>
                <w:rFonts w:ascii="Arial Narrow" w:hAnsi="Arial Narrow"/>
                <w:color w:val="000000"/>
                <w:vertAlign w:val="superscript"/>
              </w:rPr>
              <w:t>2</w:t>
            </w:r>
          </w:p>
        </w:tc>
        <w:tc>
          <w:tcPr>
            <w:tcW w:w="735" w:type="pct"/>
            <w:shd w:val="clear" w:color="auto" w:fill="D9D9D9" w:themeFill="background1" w:themeFillShade="D9"/>
            <w:vAlign w:val="center"/>
          </w:tcPr>
          <w:p w14:paraId="769524EB" w14:textId="6DF351B8" w:rsidR="005F2818" w:rsidRPr="00AD6926" w:rsidRDefault="006103C4" w:rsidP="00660892">
            <w:pPr>
              <w:keepNext/>
              <w:jc w:val="center"/>
              <w:rPr>
                <w:rFonts w:ascii="Arial Narrow" w:hAnsi="Arial Narrow"/>
                <w:color w:val="000000"/>
                <w:highlight w:val="lightGray"/>
              </w:rPr>
            </w:pPr>
            <w:r w:rsidRPr="006103C4">
              <w:rPr>
                <w:rFonts w:ascii="Arial Narrow" w:hAnsi="Arial Narrow" w:cstheme="minorHAnsi" w:hint="eastAsia"/>
                <w:color w:val="000000"/>
                <w:w w:val="15"/>
                <w:shd w:val="solid" w:color="000000" w:fill="000000"/>
                <w:fitText w:val="27" w:id="-863223031"/>
                <w14:textFill>
                  <w14:solidFill>
                    <w14:srgbClr w14:val="000000">
                      <w14:alpha w14:val="100000"/>
                    </w14:srgbClr>
                  </w14:solidFill>
                </w14:textFill>
              </w:rPr>
              <w:t xml:space="preserve">　</w:t>
            </w:r>
            <w:r w:rsidRPr="006103C4">
              <w:rPr>
                <w:rFonts w:ascii="Arial Narrow" w:hAnsi="Arial Narrow" w:cstheme="minorHAnsi"/>
                <w:color w:val="000000"/>
                <w:w w:val="15"/>
                <w:shd w:val="solid" w:color="000000" w:fill="000000"/>
                <w:fitText w:val="27" w:id="-863223031"/>
                <w14:textFill>
                  <w14:solidFill>
                    <w14:srgbClr w14:val="000000">
                      <w14:alpha w14:val="100000"/>
                    </w14:srgbClr>
                  </w14:solidFill>
                </w14:textFill>
              </w:rPr>
              <w:t>|</w:t>
            </w:r>
            <w:r w:rsidRPr="006103C4">
              <w:rPr>
                <w:rFonts w:ascii="Arial Narrow" w:hAnsi="Arial Narrow" w:cstheme="minorHAnsi" w:hint="eastAsia"/>
                <w:color w:val="000000"/>
                <w:spacing w:val="-38"/>
                <w:w w:val="15"/>
                <w:shd w:val="solid" w:color="000000" w:fill="000000"/>
                <w:fitText w:val="27" w:id="-863223031"/>
                <w14:textFill>
                  <w14:solidFill>
                    <w14:srgbClr w14:val="000000">
                      <w14:alpha w14:val="100000"/>
                    </w14:srgbClr>
                  </w14:solidFill>
                </w14:textFill>
              </w:rPr>
              <w:t xml:space="preserve">　</w:t>
            </w:r>
            <w:r w:rsidR="005F2818">
              <w:rPr>
                <w:rFonts w:ascii="Arial Narrow" w:hAnsi="Arial Narrow"/>
                <w:color w:val="000000"/>
                <w:vertAlign w:val="superscript"/>
              </w:rPr>
              <w:t>2</w:t>
            </w:r>
          </w:p>
        </w:tc>
        <w:tc>
          <w:tcPr>
            <w:tcW w:w="733" w:type="pct"/>
            <w:shd w:val="clear" w:color="auto" w:fill="D9D9D9" w:themeFill="background1" w:themeFillShade="D9"/>
            <w:vAlign w:val="center"/>
          </w:tcPr>
          <w:p w14:paraId="52B64E1F" w14:textId="5FE2B9EC" w:rsidR="005F2818" w:rsidRPr="00AD6926" w:rsidRDefault="006103C4" w:rsidP="00660892">
            <w:pPr>
              <w:keepNext/>
              <w:jc w:val="center"/>
              <w:rPr>
                <w:rFonts w:ascii="Arial Narrow" w:hAnsi="Arial Narrow"/>
                <w:color w:val="000000"/>
                <w:highlight w:val="lightGray"/>
              </w:rPr>
            </w:pPr>
            <w:r w:rsidRPr="00001C23">
              <w:rPr>
                <w:rFonts w:ascii="Arial Narrow" w:hAnsi="Arial Narrow" w:cstheme="minorHAnsi" w:hint="eastAsia"/>
                <w:color w:val="000000"/>
                <w:w w:val="15"/>
                <w:shd w:val="solid" w:color="000000" w:fill="000000"/>
                <w:fitText w:val="20" w:id="-863223030"/>
                <w14:textFill>
                  <w14:solidFill>
                    <w14:srgbClr w14:val="000000">
                      <w14:alpha w14:val="100000"/>
                    </w14:srgbClr>
                  </w14:solidFill>
                </w14:textFill>
              </w:rPr>
              <w:t xml:space="preserve">　</w:t>
            </w:r>
            <w:r w:rsidRPr="00001C23">
              <w:rPr>
                <w:rFonts w:ascii="Arial Narrow" w:hAnsi="Arial Narrow" w:cstheme="minorHAnsi"/>
                <w:color w:val="000000"/>
                <w:w w:val="15"/>
                <w:shd w:val="solid" w:color="000000" w:fill="000000"/>
                <w:fitText w:val="20" w:id="-863223030"/>
                <w14:textFill>
                  <w14:solidFill>
                    <w14:srgbClr w14:val="000000">
                      <w14:alpha w14:val="100000"/>
                    </w14:srgbClr>
                  </w14:solidFill>
                </w14:textFill>
              </w:rPr>
              <w:t>|</w:t>
            </w:r>
            <w:r w:rsidRPr="00001C23">
              <w:rPr>
                <w:rFonts w:ascii="Arial Narrow" w:hAnsi="Arial Narrow" w:cstheme="minorHAnsi" w:hint="eastAsia"/>
                <w:color w:val="000000"/>
                <w:spacing w:val="-46"/>
                <w:w w:val="15"/>
                <w:shd w:val="solid" w:color="000000" w:fill="000000"/>
                <w:fitText w:val="20" w:id="-863223030"/>
                <w14:textFill>
                  <w14:solidFill>
                    <w14:srgbClr w14:val="000000">
                      <w14:alpha w14:val="100000"/>
                    </w14:srgbClr>
                  </w14:solidFill>
                </w14:textFill>
              </w:rPr>
              <w:t xml:space="preserve">　</w:t>
            </w:r>
            <w:r w:rsidR="005F2818">
              <w:rPr>
                <w:rFonts w:ascii="Arial Narrow" w:hAnsi="Arial Narrow"/>
                <w:color w:val="000000"/>
                <w:vertAlign w:val="superscript"/>
              </w:rPr>
              <w:t>2</w:t>
            </w:r>
          </w:p>
        </w:tc>
      </w:tr>
    </w:tbl>
    <w:p w14:paraId="2158743E" w14:textId="77777777" w:rsidR="005F2818" w:rsidRDefault="005F2818" w:rsidP="005F2818">
      <w:pPr>
        <w:spacing w:after="120"/>
        <w:contextualSpacing/>
        <w:rPr>
          <w:rFonts w:ascii="Arial Narrow" w:hAnsi="Arial Narrow"/>
          <w:snapToGrid w:val="0"/>
          <w:sz w:val="18"/>
          <w:szCs w:val="22"/>
        </w:rPr>
      </w:pPr>
      <w:r w:rsidRPr="00905135">
        <w:rPr>
          <w:rFonts w:ascii="Arial Narrow" w:hAnsi="Arial Narrow"/>
          <w:snapToGrid w:val="0"/>
          <w:sz w:val="18"/>
          <w:szCs w:val="22"/>
        </w:rPr>
        <w:t>Source:</w:t>
      </w:r>
      <w:r>
        <w:rPr>
          <w:rFonts w:ascii="Arial Narrow" w:hAnsi="Arial Narrow"/>
          <w:snapToGrid w:val="0"/>
          <w:sz w:val="18"/>
          <w:szCs w:val="22"/>
        </w:rPr>
        <w:t xml:space="preserve"> Table 4-1 of resubmission; </w:t>
      </w:r>
      <w:r w:rsidRPr="00905135">
        <w:rPr>
          <w:rFonts w:ascii="Arial Narrow" w:hAnsi="Arial Narrow"/>
          <w:snapToGrid w:val="0"/>
          <w:sz w:val="18"/>
          <w:szCs w:val="22"/>
        </w:rPr>
        <w:t xml:space="preserve">Isturisa (osilodrostat) – endogenous CS – </w:t>
      </w:r>
      <w:r>
        <w:rPr>
          <w:rFonts w:ascii="Arial Narrow" w:hAnsi="Arial Narrow"/>
          <w:snapToGrid w:val="0"/>
          <w:sz w:val="18"/>
          <w:szCs w:val="22"/>
        </w:rPr>
        <w:t xml:space="preserve">Early resolution – </w:t>
      </w:r>
      <w:r w:rsidRPr="00905135">
        <w:rPr>
          <w:rFonts w:ascii="Arial Narrow" w:hAnsi="Arial Narrow"/>
          <w:snapToGrid w:val="0"/>
          <w:sz w:val="18"/>
          <w:szCs w:val="22"/>
        </w:rPr>
        <w:t>UCM</w:t>
      </w:r>
      <w:r>
        <w:rPr>
          <w:rFonts w:ascii="Arial Narrow" w:hAnsi="Arial Narrow"/>
          <w:snapToGrid w:val="0"/>
          <w:sz w:val="18"/>
          <w:szCs w:val="22"/>
        </w:rPr>
        <w:t>.xls; Table 18, osilodrostat minutes, March 2024 PBAC meeting</w:t>
      </w:r>
    </w:p>
    <w:p w14:paraId="3B259318" w14:textId="77777777" w:rsidR="005F2818" w:rsidRPr="009A6D58" w:rsidRDefault="005F2818" w:rsidP="005F281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B88C361" w14:textId="10CF5DA2" w:rsidR="005F2818" w:rsidRPr="009A6D58" w:rsidRDefault="005F2818" w:rsidP="005F2818">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F2818">
        <w:rPr>
          <w:rFonts w:ascii="Arial Narrow" w:hAnsi="Arial Narrow"/>
          <w:i/>
          <w:sz w:val="18"/>
          <w:szCs w:val="18"/>
        </w:rPr>
        <w:t>$0 to &lt; $10 million</w:t>
      </w:r>
    </w:p>
    <w:p w14:paraId="43CB5A72" w14:textId="57C97AB1" w:rsidR="005F2818" w:rsidRPr="00905135" w:rsidRDefault="005F2818" w:rsidP="005F2818">
      <w:pPr>
        <w:spacing w:after="120"/>
        <w:contextualSpacing/>
        <w:rPr>
          <w:rFonts w:ascii="Arial Narrow" w:hAnsi="Arial Narrow"/>
          <w:snapToGrid w:val="0"/>
          <w:sz w:val="18"/>
          <w:szCs w:val="22"/>
        </w:rPr>
      </w:pPr>
      <w:r w:rsidRPr="009A6D58">
        <w:rPr>
          <w:rFonts w:ascii="Arial Narrow" w:hAnsi="Arial Narrow"/>
          <w:i/>
          <w:sz w:val="18"/>
          <w:szCs w:val="18"/>
          <w:vertAlign w:val="superscript"/>
        </w:rPr>
        <w:t>2</w:t>
      </w:r>
      <w:r>
        <w:rPr>
          <w:rFonts w:ascii="Arial Narrow" w:hAnsi="Arial Narrow"/>
          <w:i/>
          <w:sz w:val="18"/>
          <w:szCs w:val="18"/>
        </w:rPr>
        <w:t xml:space="preserve"> </w:t>
      </w:r>
      <w:r w:rsidRPr="005F2818">
        <w:rPr>
          <w:rFonts w:ascii="Arial Narrow" w:hAnsi="Arial Narrow"/>
          <w:i/>
          <w:sz w:val="18"/>
          <w:szCs w:val="18"/>
        </w:rPr>
        <w:t>$10 million to &lt; $20 million</w:t>
      </w:r>
    </w:p>
    <w:p w14:paraId="6B599E41" w14:textId="5117BCAE" w:rsidR="005F2818" w:rsidRDefault="005F2818" w:rsidP="005F2818">
      <w:pPr>
        <w:pStyle w:val="3-BodyText"/>
        <w:numPr>
          <w:ilvl w:val="1"/>
          <w:numId w:val="29"/>
        </w:numPr>
        <w:spacing w:before="120"/>
        <w:ind w:left="720" w:hanging="720"/>
      </w:pPr>
      <w:r w:rsidRPr="007A4E7E">
        <w:t xml:space="preserve">The total cost to the PBS/RPBS of listing osilodrostat was estimated to be </w:t>
      </w:r>
      <w:r w:rsidR="001631CE" w:rsidRPr="001631CE">
        <w:t>$0 to &lt;</w:t>
      </w:r>
      <w:r w:rsidR="00302BC7">
        <w:t> </w:t>
      </w:r>
      <w:r w:rsidR="001631CE" w:rsidRPr="001631CE">
        <w:t>$10</w:t>
      </w:r>
      <w:r w:rsidR="00302BC7">
        <w:t> </w:t>
      </w:r>
      <w:r w:rsidR="001631CE" w:rsidRPr="001631CE">
        <w:t>million</w:t>
      </w:r>
      <w:r w:rsidR="001631CE">
        <w:t xml:space="preserve"> </w:t>
      </w:r>
      <w:r w:rsidRPr="007A4E7E">
        <w:t xml:space="preserve">in Year 1 and increases to </w:t>
      </w:r>
      <w:r w:rsidR="001631CE" w:rsidRPr="001631CE">
        <w:t>$10 million to &lt; $20 million</w:t>
      </w:r>
      <w:r w:rsidR="001631CE">
        <w:t xml:space="preserve"> </w:t>
      </w:r>
      <w:r w:rsidRPr="007A4E7E">
        <w:t xml:space="preserve">in Year 6, and a total of </w:t>
      </w:r>
      <w:r w:rsidR="001631CE" w:rsidRPr="001631CE">
        <w:t>$60 million to &lt; $70 million</w:t>
      </w:r>
      <w:r w:rsidR="001631CE">
        <w:t xml:space="preserve"> </w:t>
      </w:r>
      <w:r w:rsidRPr="007A4E7E">
        <w:t xml:space="preserve">in the first 6 years of listing. Including the MBS costs for monitoring patients, the net cost to the health budget is </w:t>
      </w:r>
      <w:r w:rsidR="001631CE" w:rsidRPr="001631CE">
        <w:t>$0 to &lt;</w:t>
      </w:r>
      <w:r w:rsidR="00302BC7">
        <w:t> </w:t>
      </w:r>
      <w:r w:rsidR="001631CE" w:rsidRPr="001631CE">
        <w:t>$10</w:t>
      </w:r>
      <w:r w:rsidR="00302BC7">
        <w:t> </w:t>
      </w:r>
      <w:r w:rsidR="001631CE" w:rsidRPr="001631CE">
        <w:t>million</w:t>
      </w:r>
      <w:r w:rsidR="001631CE">
        <w:t xml:space="preserve"> </w:t>
      </w:r>
      <w:r w:rsidRPr="007A4E7E">
        <w:lastRenderedPageBreak/>
        <w:t xml:space="preserve">in Year 1 increasing to </w:t>
      </w:r>
      <w:r w:rsidR="001631CE" w:rsidRPr="001631CE">
        <w:t>$10 million to &lt; $20 million</w:t>
      </w:r>
      <w:r w:rsidR="001631CE">
        <w:t xml:space="preserve"> </w:t>
      </w:r>
      <w:r w:rsidRPr="007A4E7E">
        <w:t xml:space="preserve">in Year 6, and the total cost of </w:t>
      </w:r>
      <w:r w:rsidR="001631CE" w:rsidRPr="001631CE">
        <w:t>$60</w:t>
      </w:r>
      <w:r w:rsidR="00302BC7">
        <w:t> </w:t>
      </w:r>
      <w:r w:rsidR="001631CE" w:rsidRPr="001631CE">
        <w:t>million to &lt; $70 million</w:t>
      </w:r>
      <w:r w:rsidR="001631CE">
        <w:t xml:space="preserve"> </w:t>
      </w:r>
      <w:r w:rsidRPr="007A4E7E">
        <w:t>in the first 6 years of listing</w:t>
      </w:r>
      <w:r>
        <w:t xml:space="preserve"> (previous total cost was </w:t>
      </w:r>
      <w:r w:rsidR="001631CE" w:rsidRPr="001631CE">
        <w:t>$60</w:t>
      </w:r>
      <w:r w:rsidR="00302BC7">
        <w:t> </w:t>
      </w:r>
      <w:r w:rsidR="001631CE" w:rsidRPr="001631CE">
        <w:t>million to &lt; $70 million</w:t>
      </w:r>
      <w:r w:rsidR="001631CE">
        <w:t xml:space="preserve"> </w:t>
      </w:r>
      <w:r>
        <w:t xml:space="preserve">in March 2024 </w:t>
      </w:r>
      <w:r w:rsidRPr="007A5667">
        <w:rPr>
          <w:rFonts w:cstheme="minorHAnsi"/>
        </w:rPr>
        <w:t>—</w:t>
      </w:r>
      <w:r>
        <w:t xml:space="preserve"> see paragraph </w:t>
      </w:r>
      <w:r>
        <w:fldChar w:fldCharType="begin" w:fldLock="1"/>
      </w:r>
      <w:r>
        <w:instrText xml:space="preserve"> REF _Ref163382408 \r \h </w:instrText>
      </w:r>
      <w:r>
        <w:fldChar w:fldCharType="separate"/>
      </w:r>
      <w:r>
        <w:t>6.81</w:t>
      </w:r>
      <w:r>
        <w:fldChar w:fldCharType="end"/>
      </w:r>
      <w:r>
        <w:t>)</w:t>
      </w:r>
      <w:r w:rsidRPr="007A4E7E">
        <w:t>.</w:t>
      </w:r>
    </w:p>
    <w:p w14:paraId="68191175" w14:textId="77777777" w:rsidR="005F2818" w:rsidRDefault="005F2818" w:rsidP="005F2818">
      <w:pPr>
        <w:pStyle w:val="2-SectionHeading"/>
      </w:pPr>
      <w:r>
        <w:t>PBAC Outcome</w:t>
      </w:r>
    </w:p>
    <w:p w14:paraId="24BF9A6F" w14:textId="77777777" w:rsidR="005F2818" w:rsidRPr="00095AE2" w:rsidRDefault="005F2818" w:rsidP="005F2818">
      <w:pPr>
        <w:pStyle w:val="3-BodyText"/>
        <w:numPr>
          <w:ilvl w:val="1"/>
          <w:numId w:val="29"/>
        </w:numPr>
        <w:spacing w:before="120"/>
        <w:ind w:left="720" w:hanging="720"/>
      </w:pPr>
      <w:r>
        <w:t xml:space="preserve">The </w:t>
      </w:r>
      <w:r w:rsidRPr="00EE634C">
        <w:t>PBAC recommended</w:t>
      </w:r>
      <w:r>
        <w:t xml:space="preserve"> the </w:t>
      </w:r>
      <w:r w:rsidRPr="007A4E7E">
        <w:t xml:space="preserve">General Schedule Authority Required (Telephone/Online) listing </w:t>
      </w:r>
      <w:r>
        <w:t>of</w:t>
      </w:r>
      <w:r w:rsidRPr="007A4E7E">
        <w:t xml:space="preserve"> osilodrostat for the treatment of endogenous Cushing’s syndrome (CS)</w:t>
      </w:r>
      <w:r>
        <w:t xml:space="preserve"> in adults. </w:t>
      </w:r>
      <w:r w:rsidRPr="007A5667">
        <w:rPr>
          <w:lang w:val="en-GB"/>
        </w:rPr>
        <w:t>The PBAC was satisfied that osilodrostat provides, for some patients, a significant improvement in efficacy over placebo.</w:t>
      </w:r>
      <w:r>
        <w:t xml:space="preserve"> </w:t>
      </w:r>
      <w:r w:rsidRPr="00452F1F">
        <w:t>In making this recommendation</w:t>
      </w:r>
      <w:r>
        <w:t>, the PBAC acknowledged the high unmet clinical need for effective treatments for CS, and the Committee recalled it had previously considered that osilodrostat was superior to placebo in normalising cortisol in the majority of treated patients. The PBAC noted the information presented in the early resolution resubmission to support the value of at least a partial cortisol response over the short</w:t>
      </w:r>
      <w:r>
        <w:noBreakHyphen/>
        <w:t xml:space="preserve">, medium-, and long-term and the estimated duration of therapy. </w:t>
      </w:r>
      <w:r w:rsidRPr="007A5667">
        <w:rPr>
          <w:lang w:val="en-US"/>
        </w:rPr>
        <w:t xml:space="preserve">The PBAC agreed with the early resolution resubmission that the value proposition for osilodrostat over time reflects multiple factors beyond cortisol response and this represented a point of difference to the precedents for other chronic therapies that had been recommended </w:t>
      </w:r>
      <w:proofErr w:type="gramStart"/>
      <w:r w:rsidRPr="007A5667">
        <w:rPr>
          <w:lang w:val="en-US"/>
        </w:rPr>
        <w:t>on the basis of</w:t>
      </w:r>
      <w:proofErr w:type="gramEnd"/>
      <w:r w:rsidRPr="007A5667">
        <w:rPr>
          <w:lang w:val="en-US"/>
        </w:rPr>
        <w:t xml:space="preserve"> an incremental cost per responder analyses. Overall,</w:t>
      </w:r>
      <w:r w:rsidRPr="003D75AE">
        <w:t xml:space="preserve"> </w:t>
      </w:r>
      <w:r w:rsidRPr="007A5667">
        <w:rPr>
          <w:lang w:val="en-US"/>
        </w:rPr>
        <w:t xml:space="preserve">the PBAC accepted osilodrostat would be cost-effective based on the </w:t>
      </w:r>
      <w:r w:rsidRPr="00905135">
        <w:t>incremental cost</w:t>
      </w:r>
      <w:r w:rsidRPr="007A5667">
        <w:rPr>
          <w:lang w:val="en-US"/>
        </w:rPr>
        <w:t xml:space="preserve"> per responder as presented in this resubmission. The PBAC noted no additional information was available to support the estimated duration of therapy or the proportion of patients who may discontinue but that use is expected to be </w:t>
      </w:r>
      <w:r w:rsidRPr="00DC4A40">
        <w:t>lifelong</w:t>
      </w:r>
      <w:r>
        <w:t xml:space="preserve"> in patients who respond to treatment. </w:t>
      </w:r>
      <w:r w:rsidRPr="00095AE2">
        <w:t>The PBAC considered th</w:t>
      </w:r>
      <w:r>
        <w:t>at, as the</w:t>
      </w:r>
      <w:r w:rsidRPr="00095AE2">
        <w:t xml:space="preserve"> expected </w:t>
      </w:r>
      <w:r>
        <w:t xml:space="preserve">mean </w:t>
      </w:r>
      <w:r w:rsidRPr="00095AE2">
        <w:t xml:space="preserve">duration of use remained uncertain and </w:t>
      </w:r>
      <w:r>
        <w:t xml:space="preserve">therefore the financial estimates also uncertain, </w:t>
      </w:r>
      <w:r w:rsidRPr="00095AE2">
        <w:t xml:space="preserve">a risk sharing arrangement was required to manage the estimated cost </w:t>
      </w:r>
      <w:r>
        <w:t xml:space="preserve">and uncertainty </w:t>
      </w:r>
      <w:r w:rsidRPr="00095AE2">
        <w:t>to Government.</w:t>
      </w:r>
    </w:p>
    <w:p w14:paraId="65946180" w14:textId="77777777" w:rsidR="005F2818" w:rsidRPr="00E34231" w:rsidRDefault="005F2818" w:rsidP="005F2818">
      <w:pPr>
        <w:pStyle w:val="3-BodyText"/>
        <w:numPr>
          <w:ilvl w:val="1"/>
          <w:numId w:val="29"/>
        </w:numPr>
        <w:spacing w:before="120"/>
        <w:ind w:left="720" w:hanging="720"/>
      </w:pPr>
      <w:r>
        <w:t xml:space="preserve">The early resolution resubmission described how cortisol control may translate into improvements in important clinical parameters, such as blood glucose, blood pressure, body mass index (BMI), and bone mineral density (BMD) leading to multifaceted long-term quality of life benefits for patients from avoiding events such as stroke, myocardial infarction, kidney failure, fractures, and sepsis. The PBAC noted the wide range of </w:t>
      </w:r>
      <w:r w:rsidRPr="007A5667">
        <w:rPr>
          <w:lang w:val="en-US"/>
        </w:rPr>
        <w:t>short-, medium- and long-term impacts of cortisol control on clinical outcomes and quality of life.</w:t>
      </w:r>
    </w:p>
    <w:p w14:paraId="086D48CA" w14:textId="20B4728F" w:rsidR="005F2818" w:rsidRPr="00E34231" w:rsidRDefault="005F2818" w:rsidP="005F2818">
      <w:pPr>
        <w:pStyle w:val="3-BodyText"/>
        <w:spacing w:before="120"/>
        <w:ind w:left="720" w:hanging="720"/>
      </w:pPr>
      <w:r w:rsidRPr="3DAD5F40">
        <w:rPr>
          <w:lang w:val="en-US"/>
        </w:rPr>
        <w:t xml:space="preserve">The PBAC noted that the March 2024 incremental cost-utility analysis did not adequately quantify and translate these long-term benefits into QALY gains. The PBAC accepted that such an analysis would be complex and involve multiple and variable data sources beyond the trial evidence and, as such, would likely result in a highly uncertain ICER. The PBAC reaffirmed that an incremental cost per responder analysis provides a reasonable alternative assessment of cost-effectiveness in this instance. The PBAC noted the incremental cost per responder proposed in this resubmission was considerably higher than the precedents previously noted for other chronic </w:t>
      </w:r>
      <w:r w:rsidRPr="3DAD5F40">
        <w:rPr>
          <w:lang w:val="en-US"/>
        </w:rPr>
        <w:lastRenderedPageBreak/>
        <w:t xml:space="preserve">therapies. The PBAC agreed with the early resolution resubmission that the multifaceted benefits of cortisol control should be taken into consideration when determining the acceptable ICER. The PBAC considered that, combined with the high unmet need for effective therapy, that </w:t>
      </w:r>
      <w:r w:rsidRPr="001631CE">
        <w:rPr>
          <w:lang w:val="en-US"/>
        </w:rPr>
        <w:t>the cost-effectiveness</w:t>
      </w:r>
      <w:r w:rsidRPr="3DAD5F40">
        <w:rPr>
          <w:lang w:val="en-US"/>
        </w:rPr>
        <w:t xml:space="preserve"> of osilodrostat based on the incremental cost of $</w:t>
      </w:r>
      <w:r w:rsidR="006103C4" w:rsidRPr="00001C23">
        <w:rPr>
          <w:color w:val="000000"/>
          <w:w w:val="15"/>
          <w:shd w:val="solid" w:color="000000" w:fill="000000"/>
          <w:fitText w:val="-20" w:id="-863223029"/>
          <w:lang w:val="en-US"/>
          <w14:textFill>
            <w14:solidFill>
              <w14:srgbClr w14:val="000000">
                <w14:alpha w14:val="100000"/>
              </w14:srgbClr>
            </w14:solidFill>
          </w14:textFill>
        </w:rPr>
        <w:t xml:space="preserve">|  </w:t>
      </w:r>
      <w:r w:rsidR="006103C4" w:rsidRPr="00001C23">
        <w:rPr>
          <w:color w:val="000000"/>
          <w:spacing w:val="-69"/>
          <w:w w:val="15"/>
          <w:shd w:val="solid" w:color="000000" w:fill="000000"/>
          <w:fitText w:val="-20" w:id="-863223029"/>
          <w:lang w:val="en-US"/>
          <w14:textFill>
            <w14:solidFill>
              <w14:srgbClr w14:val="000000">
                <w14:alpha w14:val="100000"/>
              </w14:srgbClr>
            </w14:solidFill>
          </w14:textFill>
        </w:rPr>
        <w:t>|</w:t>
      </w:r>
      <w:r w:rsidRPr="3DAD5F40">
        <w:rPr>
          <w:lang w:val="en-US"/>
        </w:rPr>
        <w:t xml:space="preserve"> per responder over a period of 26 weeks was adequately supported by the descriptive analyses of the longer-term impacts of cortisol </w:t>
      </w:r>
      <w:r>
        <w:t>normalisation</w:t>
      </w:r>
      <w:r w:rsidRPr="3DAD5F40">
        <w:rPr>
          <w:lang w:val="en-US"/>
        </w:rPr>
        <w:t xml:space="preserve">. </w:t>
      </w:r>
    </w:p>
    <w:p w14:paraId="638E2654" w14:textId="1CB5B801" w:rsidR="005F2818" w:rsidRDefault="005F2818" w:rsidP="005F2818">
      <w:pPr>
        <w:pStyle w:val="3-BodyText"/>
        <w:numPr>
          <w:ilvl w:val="1"/>
          <w:numId w:val="29"/>
        </w:numPr>
        <w:spacing w:before="120"/>
        <w:ind w:left="720" w:hanging="720"/>
      </w:pPr>
      <w:r>
        <w:t xml:space="preserve">The PBAC recalled it had requested more information on the expected duration of treatment and whether it would be expected to be lifelong or time limited. The PBAC noted the early resolution resubmission explored the circumstances under which treatment may need to be time-limited, but that there was no reliable data or real-world evidence on such use and that treatment is expected to be lifelong in patients who respond to treatment. The PBAC noted the early resolution resubmission assumed no change in the previously estimated duration of treatment which was 4.62 years. The PBAC noted the uncertainty in the extrapolated duration of treatment, as discussed in paragraphs </w:t>
      </w:r>
      <w:r>
        <w:fldChar w:fldCharType="begin" w:fldLock="1"/>
      </w:r>
      <w:r>
        <w:instrText xml:space="preserve"> REF _Ref176854783 \r \h </w:instrText>
      </w:r>
      <w:r>
        <w:fldChar w:fldCharType="separate"/>
      </w:r>
      <w:r>
        <w:t>6.50</w:t>
      </w:r>
      <w:r>
        <w:fldChar w:fldCharType="end"/>
      </w:r>
      <w:r>
        <w:t xml:space="preserve"> and </w:t>
      </w:r>
      <w:r>
        <w:fldChar w:fldCharType="begin" w:fldLock="1"/>
      </w:r>
      <w:r>
        <w:instrText xml:space="preserve"> REF _Ref176854786 \r \h </w:instrText>
      </w:r>
      <w:r>
        <w:fldChar w:fldCharType="separate"/>
      </w:r>
      <w:r>
        <w:t>6.51</w:t>
      </w:r>
      <w:r>
        <w:fldChar w:fldCharType="end"/>
      </w:r>
      <w:r>
        <w:t xml:space="preserve">. As such, the PBAC considered that the residual uncertainty of time on treatment and subsequently overall cost to Government should be managed with a risk sharing arrangement. </w:t>
      </w:r>
      <w:bookmarkStart w:id="74" w:name="_Hlk176871675"/>
      <w:r>
        <w:t xml:space="preserve">The PBAC accepted that 4.62 years duration of treatment was the best available estimate, however in context of uncertain cost-effectiveness for longer-term use, a rebate of at least </w:t>
      </w:r>
      <w:r w:rsidR="006103C4" w:rsidRPr="00001C23">
        <w:rPr>
          <w:color w:val="000000"/>
          <w:w w:val="15"/>
          <w:shd w:val="solid" w:color="000000" w:fill="000000"/>
          <w:fitText w:val="-20" w:id="-863223028"/>
          <w14:textFill>
            <w14:solidFill>
              <w14:srgbClr w14:val="000000">
                <w14:alpha w14:val="100000"/>
              </w14:srgbClr>
            </w14:solidFill>
          </w14:textFill>
        </w:rPr>
        <w:t xml:space="preserve">|  </w:t>
      </w:r>
      <w:r w:rsidR="006103C4" w:rsidRPr="00001C23">
        <w:rPr>
          <w:color w:val="000000"/>
          <w:spacing w:val="-69"/>
          <w:w w:val="15"/>
          <w:shd w:val="solid" w:color="000000" w:fill="000000"/>
          <w:fitText w:val="-20" w:id="-863223028"/>
          <w14:textFill>
            <w14:solidFill>
              <w14:srgbClr w14:val="000000">
                <w14:alpha w14:val="100000"/>
              </w14:srgbClr>
            </w14:solidFill>
          </w14:textFill>
        </w:rPr>
        <w:t>|</w:t>
      </w:r>
      <w:r>
        <w:t>% for expenditure above the estimated financial estimates would be required.</w:t>
      </w:r>
    </w:p>
    <w:bookmarkEnd w:id="74"/>
    <w:p w14:paraId="5F614027" w14:textId="77777777" w:rsidR="005F2818" w:rsidRDefault="005F2818" w:rsidP="005F2818">
      <w:pPr>
        <w:pStyle w:val="3-BodyText"/>
        <w:spacing w:before="120"/>
        <w:ind w:left="720" w:hanging="720"/>
      </w:pPr>
      <w:r>
        <w:t xml:space="preserve">The PBAC affirmed the Secretariat revised restrictions in section 3 were appropriate. The PBAC recommended a Telephone/Online Authority is appropriate. The PBAC recommended the grandfather restriction is appropriate. The PBAC recommended a maximum quantity of 1 pack, with 6 repeats for initial and </w:t>
      </w:r>
      <w:r w:rsidRPr="001631CE">
        <w:t>grandfathered treatment, to allow up to 28 weeks (approximately 7 months) to assess response; with 5 repeats for continuing treatment.</w:t>
      </w:r>
    </w:p>
    <w:p w14:paraId="30E6F7A1" w14:textId="77777777" w:rsidR="005F2818" w:rsidRDefault="005F2818" w:rsidP="005F2818">
      <w:pPr>
        <w:pStyle w:val="3-BodyText"/>
        <w:numPr>
          <w:ilvl w:val="1"/>
          <w:numId w:val="29"/>
        </w:numPr>
        <w:spacing w:before="120"/>
        <w:ind w:left="720" w:hanging="720"/>
      </w:pPr>
      <w:r w:rsidRPr="00691A60">
        <w:t xml:space="preserve">The PBAC recommended that </w:t>
      </w:r>
      <w:r>
        <w:t>osilodrostat</w:t>
      </w:r>
      <w:r w:rsidRPr="00691A60">
        <w:t xml:space="preserve"> should </w:t>
      </w:r>
      <w:r>
        <w:t xml:space="preserve">not </w:t>
      </w:r>
      <w:r w:rsidRPr="00691A60">
        <w:t>be treated as interchangeable with any other drugs.</w:t>
      </w:r>
    </w:p>
    <w:p w14:paraId="27B69EB3" w14:textId="77777777" w:rsidR="005F2818" w:rsidRPr="009A3F0D" w:rsidRDefault="005F2818" w:rsidP="005F2818">
      <w:pPr>
        <w:pStyle w:val="3-BodyText"/>
        <w:numPr>
          <w:ilvl w:val="1"/>
          <w:numId w:val="29"/>
        </w:numPr>
        <w:spacing w:before="120"/>
        <w:ind w:left="720" w:hanging="720"/>
      </w:pPr>
      <w:r w:rsidRPr="007A5667">
        <w:rPr>
          <w:lang w:val="en-GB"/>
        </w:rPr>
        <w:t>The PBAC advised that osilodrostat is not suitable for prescribing by nurse practitioners.</w:t>
      </w:r>
    </w:p>
    <w:p w14:paraId="23F3103F" w14:textId="77777777" w:rsidR="005F2818" w:rsidRPr="009A3F0D" w:rsidRDefault="005F2818" w:rsidP="005F2818">
      <w:pPr>
        <w:pStyle w:val="3-BodyText"/>
        <w:spacing w:before="120"/>
        <w:ind w:left="720" w:hanging="720"/>
      </w:pPr>
      <w:r w:rsidRPr="007A5667">
        <w:rPr>
          <w:lang w:val="en-GB"/>
        </w:rPr>
        <w:t xml:space="preserve">The PBAC recommended that the </w:t>
      </w:r>
      <w:r w:rsidRPr="001631CE">
        <w:rPr>
          <w:lang w:val="en-GB"/>
        </w:rPr>
        <w:t>Early Supply Rule should not apply.</w:t>
      </w:r>
    </w:p>
    <w:p w14:paraId="3EC304D9" w14:textId="77777777" w:rsidR="005F2818" w:rsidRPr="001B1274" w:rsidRDefault="005F2818" w:rsidP="005F2818">
      <w:pPr>
        <w:widowControl w:val="0"/>
        <w:numPr>
          <w:ilvl w:val="1"/>
          <w:numId w:val="1"/>
        </w:numPr>
        <w:spacing w:after="120"/>
        <w:ind w:left="720" w:hanging="720"/>
        <w:rPr>
          <w:rFonts w:asciiTheme="minorHAnsi" w:hAnsiTheme="minorHAnsi" w:cstheme="minorHAnsi"/>
          <w:b/>
          <w:lang w:val="en-GB"/>
        </w:rPr>
      </w:pPr>
      <w:r w:rsidRPr="001B1274">
        <w:rPr>
          <w:rFonts w:asciiTheme="minorHAnsi" w:hAnsiTheme="minorHAnsi" w:cstheme="minorHAnsi"/>
          <w:lang w:val="en-GB"/>
        </w:rPr>
        <w:t xml:space="preserve">The PBAC found that the criteria prescribed by the </w:t>
      </w:r>
      <w:r w:rsidRPr="001B1274">
        <w:rPr>
          <w:rFonts w:asciiTheme="minorHAnsi" w:hAnsiTheme="minorHAnsi" w:cstheme="minorHAnsi"/>
          <w:i/>
          <w:lang w:val="en-GB"/>
        </w:rPr>
        <w:t>National Health (Pharmaceuticals and Vaccines – Cost Recovery) Regulations 2022</w:t>
      </w:r>
      <w:r w:rsidRPr="001B1274">
        <w:rPr>
          <w:rFonts w:asciiTheme="minorHAnsi" w:hAnsiTheme="minorHAnsi" w:cstheme="minorHAnsi"/>
          <w:lang w:val="en-GB"/>
        </w:rPr>
        <w:t xml:space="preserve"> for Pricing Pathway A were met. </w:t>
      </w:r>
      <w:proofErr w:type="gramStart"/>
      <w:r w:rsidRPr="001B1274">
        <w:rPr>
          <w:rFonts w:asciiTheme="minorHAnsi" w:hAnsiTheme="minorHAnsi" w:cstheme="minorHAnsi"/>
          <w:lang w:val="en-GB"/>
        </w:rPr>
        <w:t>Specifically</w:t>
      </w:r>
      <w:proofErr w:type="gramEnd"/>
      <w:r w:rsidRPr="001B1274">
        <w:rPr>
          <w:rFonts w:asciiTheme="minorHAnsi" w:hAnsiTheme="minorHAnsi" w:cstheme="minorHAnsi"/>
          <w:lang w:val="en-GB"/>
        </w:rPr>
        <w:t xml:space="preserve"> the PBAC found that in the circumstances of its recommendation for </w:t>
      </w:r>
      <w:r>
        <w:rPr>
          <w:rFonts w:asciiTheme="minorHAnsi" w:hAnsiTheme="minorHAnsi" w:cstheme="minorHAnsi"/>
          <w:lang w:val="en-GB"/>
        </w:rPr>
        <w:t>osilodrostat</w:t>
      </w:r>
      <w:r w:rsidRPr="001B1274">
        <w:rPr>
          <w:rFonts w:asciiTheme="minorHAnsi" w:hAnsiTheme="minorHAnsi" w:cstheme="minorHAnsi"/>
          <w:lang w:val="en-GB"/>
        </w:rPr>
        <w:t>:</w:t>
      </w:r>
    </w:p>
    <w:p w14:paraId="5A9DC901" w14:textId="77777777" w:rsidR="005F2818" w:rsidRPr="00763DFB" w:rsidRDefault="005F2818" w:rsidP="005F2818">
      <w:pPr>
        <w:widowControl w:val="0"/>
        <w:numPr>
          <w:ilvl w:val="1"/>
          <w:numId w:val="31"/>
        </w:numPr>
        <w:spacing w:after="120"/>
        <w:ind w:left="1134"/>
        <w:rPr>
          <w:rFonts w:asciiTheme="minorHAnsi" w:hAnsiTheme="minorHAnsi" w:cstheme="minorHAnsi"/>
          <w:lang w:val="en-GB"/>
        </w:rPr>
      </w:pPr>
      <w:r w:rsidRPr="00763DFB">
        <w:rPr>
          <w:rFonts w:asciiTheme="minorHAnsi" w:hAnsiTheme="minorHAnsi" w:cstheme="minorHAnsi"/>
          <w:lang w:val="en-GB"/>
        </w:rPr>
        <w:t>The treatment is</w:t>
      </w:r>
      <w:r>
        <w:rPr>
          <w:rFonts w:asciiTheme="minorHAnsi" w:hAnsiTheme="minorHAnsi" w:cstheme="minorHAnsi"/>
          <w:lang w:val="en-GB"/>
        </w:rPr>
        <w:t xml:space="preserve"> </w:t>
      </w:r>
      <w:r w:rsidRPr="00763DFB">
        <w:rPr>
          <w:rFonts w:asciiTheme="minorHAnsi" w:hAnsiTheme="minorHAnsi" w:cstheme="minorHAnsi"/>
          <w:lang w:val="en-GB"/>
        </w:rPr>
        <w:t xml:space="preserve">expected to provide a substantial and clinically relevant improvement in efficacy over </w:t>
      </w:r>
      <w:r>
        <w:rPr>
          <w:rFonts w:asciiTheme="minorHAnsi" w:hAnsiTheme="minorHAnsi" w:cstheme="minorHAnsi"/>
          <w:lang w:val="en-GB"/>
        </w:rPr>
        <w:t xml:space="preserve">placebo by </w:t>
      </w:r>
      <w:r>
        <w:t xml:space="preserve">normalising cortisol in the majority of treated patients with endogenous Cushing’s </w:t>
      </w:r>
      <w:proofErr w:type="gramStart"/>
      <w:r>
        <w:t>syndrome</w:t>
      </w:r>
      <w:r w:rsidRPr="00763DFB">
        <w:rPr>
          <w:rFonts w:asciiTheme="minorHAnsi" w:hAnsiTheme="minorHAnsi" w:cstheme="minorHAnsi"/>
          <w:lang w:val="en-GB"/>
        </w:rPr>
        <w:t>;</w:t>
      </w:r>
      <w:proofErr w:type="gramEnd"/>
      <w:r w:rsidRPr="00763DFB">
        <w:rPr>
          <w:rFonts w:asciiTheme="minorHAnsi" w:hAnsiTheme="minorHAnsi" w:cstheme="minorHAnsi"/>
          <w:lang w:val="en-GB"/>
        </w:rPr>
        <w:t xml:space="preserve"> </w:t>
      </w:r>
    </w:p>
    <w:p w14:paraId="723512D6" w14:textId="77777777" w:rsidR="005F2818" w:rsidRDefault="005F2818" w:rsidP="005F2818">
      <w:pPr>
        <w:widowControl w:val="0"/>
        <w:numPr>
          <w:ilvl w:val="1"/>
          <w:numId w:val="31"/>
        </w:numPr>
        <w:spacing w:after="120"/>
        <w:ind w:left="1134"/>
        <w:rPr>
          <w:rFonts w:asciiTheme="minorHAnsi" w:hAnsiTheme="minorHAnsi" w:cstheme="minorHAnsi"/>
          <w:lang w:val="en-GB"/>
        </w:rPr>
      </w:pPr>
      <w:r w:rsidRPr="00763DFB">
        <w:rPr>
          <w:rFonts w:asciiTheme="minorHAnsi" w:hAnsiTheme="minorHAnsi" w:cstheme="minorHAnsi"/>
          <w:lang w:val="en-GB"/>
        </w:rPr>
        <w:t>The treatment is</w:t>
      </w:r>
      <w:r>
        <w:rPr>
          <w:rFonts w:asciiTheme="minorHAnsi" w:hAnsiTheme="minorHAnsi" w:cstheme="minorHAnsi"/>
          <w:lang w:val="en-GB"/>
        </w:rPr>
        <w:t xml:space="preserve"> </w:t>
      </w:r>
      <w:r w:rsidRPr="00763DFB">
        <w:rPr>
          <w:rFonts w:asciiTheme="minorHAnsi" w:hAnsiTheme="minorHAnsi" w:cstheme="minorHAnsi"/>
          <w:lang w:val="en-GB"/>
        </w:rPr>
        <w:t>expected to address a high and urgent unmet clinical need</w:t>
      </w:r>
      <w:r>
        <w:rPr>
          <w:rFonts w:asciiTheme="minorHAnsi" w:hAnsiTheme="minorHAnsi" w:cstheme="minorHAnsi"/>
          <w:lang w:val="en-GB"/>
        </w:rPr>
        <w:t xml:space="preserve"> as </w:t>
      </w:r>
      <w:r>
        <w:rPr>
          <w:rFonts w:asciiTheme="minorHAnsi" w:hAnsiTheme="minorHAnsi" w:cstheme="minorHAnsi"/>
          <w:lang w:val="en-GB"/>
        </w:rPr>
        <w:lastRenderedPageBreak/>
        <w:t xml:space="preserve">there are currently no approved safe and effective medical </w:t>
      </w:r>
      <w:proofErr w:type="gramStart"/>
      <w:r>
        <w:rPr>
          <w:rFonts w:asciiTheme="minorHAnsi" w:hAnsiTheme="minorHAnsi" w:cstheme="minorHAnsi"/>
          <w:lang w:val="en-GB"/>
        </w:rPr>
        <w:t>alternatives</w:t>
      </w:r>
      <w:r w:rsidRPr="00763DFB">
        <w:rPr>
          <w:rFonts w:asciiTheme="minorHAnsi" w:hAnsiTheme="minorHAnsi" w:cstheme="minorHAnsi"/>
          <w:lang w:val="en-GB"/>
        </w:rPr>
        <w:t>;</w:t>
      </w:r>
      <w:proofErr w:type="gramEnd"/>
    </w:p>
    <w:p w14:paraId="79209606" w14:textId="77777777" w:rsidR="005F2818" w:rsidRDefault="005F2818" w:rsidP="005F2818">
      <w:pPr>
        <w:widowControl w:val="0"/>
        <w:numPr>
          <w:ilvl w:val="1"/>
          <w:numId w:val="31"/>
        </w:numPr>
        <w:spacing w:after="120"/>
        <w:ind w:left="1134"/>
        <w:rPr>
          <w:rFonts w:asciiTheme="minorHAnsi" w:hAnsiTheme="minorHAnsi" w:cstheme="minorHAnsi"/>
        </w:rPr>
      </w:pPr>
      <w:r>
        <w:rPr>
          <w:rFonts w:asciiTheme="minorHAnsi" w:hAnsiTheme="minorHAnsi" w:cstheme="minorHAnsi"/>
        </w:rPr>
        <w:t xml:space="preserve">It would be in the public interest for the subsequent pricing application to be progressed under Pricing Pathway A on the basis of the preceding findings. </w:t>
      </w:r>
    </w:p>
    <w:p w14:paraId="72284ECD" w14:textId="77777777" w:rsidR="005F2818" w:rsidRDefault="005F2818" w:rsidP="005F2818">
      <w:pPr>
        <w:pStyle w:val="3-BodyText"/>
        <w:spacing w:before="120"/>
        <w:ind w:left="720" w:hanging="720"/>
      </w:pPr>
      <w:r>
        <w:t>The PBAC advised that this submission would not meet the criteria for an Independent Review as received a positive PBAC recommendation.</w:t>
      </w:r>
    </w:p>
    <w:p w14:paraId="0F63FA99" w14:textId="77777777" w:rsidR="005F2818" w:rsidRDefault="005F2818" w:rsidP="005F2818">
      <w:pPr>
        <w:pStyle w:val="COMexecsumnumberedpara"/>
        <w:tabs>
          <w:tab w:val="clear" w:pos="360"/>
        </w:tabs>
        <w:ind w:left="0" w:firstLine="0"/>
      </w:pPr>
      <w:r w:rsidRPr="007A5667">
        <w:rPr>
          <w:b/>
          <w:bCs/>
        </w:rPr>
        <w:t>Outcome:</w:t>
      </w:r>
      <w:r w:rsidRPr="007A5667">
        <w:rPr>
          <w:b/>
          <w:bCs/>
        </w:rPr>
        <w:br/>
      </w:r>
      <w:r w:rsidRPr="00B73DEF">
        <w:t>Recommended</w:t>
      </w:r>
    </w:p>
    <w:p w14:paraId="09917742" w14:textId="77777777" w:rsidR="005F2818" w:rsidRDefault="005F2818" w:rsidP="005F2818">
      <w:pPr>
        <w:pStyle w:val="2-SectionHeading"/>
        <w:numPr>
          <w:ilvl w:val="0"/>
          <w:numId w:val="29"/>
        </w:numPr>
      </w:pPr>
      <w:r w:rsidRPr="00B73DEF">
        <w:t xml:space="preserve">Recommended listing </w:t>
      </w:r>
    </w:p>
    <w:p w14:paraId="2C98D0E1" w14:textId="77777777" w:rsidR="005F2818" w:rsidRDefault="005F2818" w:rsidP="005F2818">
      <w:pPr>
        <w:pStyle w:val="3-BodyText"/>
        <w:numPr>
          <w:ilvl w:val="1"/>
          <w:numId w:val="29"/>
        </w:numPr>
        <w:spacing w:before="120"/>
        <w:ind w:left="720" w:hanging="720"/>
      </w:pPr>
      <w:r w:rsidRPr="00B73DEF">
        <w:t>Add new item:</w:t>
      </w:r>
    </w:p>
    <w:tbl>
      <w:tblPr>
        <w:tblW w:w="52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12 Recommended listing "/>
      </w:tblPr>
      <w:tblGrid>
        <w:gridCol w:w="394"/>
        <w:gridCol w:w="736"/>
        <w:gridCol w:w="143"/>
        <w:gridCol w:w="2118"/>
        <w:gridCol w:w="1510"/>
        <w:gridCol w:w="925"/>
        <w:gridCol w:w="925"/>
        <w:gridCol w:w="925"/>
        <w:gridCol w:w="1792"/>
      </w:tblGrid>
      <w:tr w:rsidR="005F2818" w14:paraId="76A63154" w14:textId="77777777" w:rsidTr="00660892">
        <w:trPr>
          <w:cantSplit/>
          <w:trHeight w:val="20"/>
        </w:trPr>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7D922086" w14:textId="77777777" w:rsidR="005F2818" w:rsidRDefault="005F2818" w:rsidP="00660892">
            <w:pPr>
              <w:keepNext/>
              <w:keepLines/>
              <w:spacing w:line="254" w:lineRule="auto"/>
              <w:rPr>
                <w:rFonts w:ascii="Arial Narrow" w:hAnsi="Arial Narrow"/>
                <w:b/>
                <w:bCs/>
                <w:kern w:val="2"/>
                <w:sz w:val="20"/>
                <w:szCs w:val="20"/>
              </w:rPr>
            </w:pPr>
            <w:r>
              <w:rPr>
                <w:rFonts w:ascii="Arial Narrow" w:hAnsi="Arial Narrow"/>
                <w:b/>
                <w:bCs/>
                <w:kern w:val="2"/>
                <w:sz w:val="20"/>
                <w:szCs w:val="20"/>
              </w:rPr>
              <w:t>MEDICINAL PRODUCT</w:t>
            </w:r>
          </w:p>
          <w:p w14:paraId="69F6BE3F" w14:textId="77777777" w:rsidR="005F2818" w:rsidRDefault="005F2818" w:rsidP="00660892">
            <w:pPr>
              <w:keepNext/>
              <w:keepLines/>
              <w:spacing w:line="254" w:lineRule="auto"/>
              <w:rPr>
                <w:rFonts w:ascii="Arial Narrow" w:hAnsi="Arial Narrow"/>
                <w:b/>
                <w:kern w:val="2"/>
                <w:sz w:val="20"/>
                <w:szCs w:val="20"/>
              </w:rPr>
            </w:pPr>
            <w:r>
              <w:rPr>
                <w:rFonts w:ascii="Arial Narrow" w:hAnsi="Arial Narrow"/>
                <w:b/>
                <w:bCs/>
                <w:kern w:val="2"/>
                <w:sz w:val="20"/>
                <w:szCs w:val="20"/>
              </w:rPr>
              <w:t>medicinal product pack</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9ED639C" w14:textId="77777777" w:rsidR="005F2818" w:rsidRDefault="005F2818" w:rsidP="00660892">
            <w:pPr>
              <w:keepNext/>
              <w:keepLines/>
              <w:spacing w:line="254" w:lineRule="auto"/>
              <w:jc w:val="center"/>
              <w:rPr>
                <w:rFonts w:ascii="Arial Narrow" w:hAnsi="Arial Narrow"/>
                <w:b/>
                <w:kern w:val="2"/>
                <w:sz w:val="20"/>
                <w:szCs w:val="20"/>
              </w:rPr>
            </w:pPr>
            <w:r>
              <w:rPr>
                <w:rFonts w:ascii="Arial Narrow" w:hAnsi="Arial Narrow"/>
                <w:b/>
                <w:kern w:val="2"/>
                <w:sz w:val="20"/>
                <w:szCs w:val="20"/>
              </w:rPr>
              <w:t>PBS item code</w:t>
            </w:r>
          </w:p>
        </w:tc>
        <w:tc>
          <w:tcPr>
            <w:tcW w:w="928" w:type="dxa"/>
            <w:tcBorders>
              <w:top w:val="single" w:sz="4" w:space="0" w:color="auto"/>
              <w:left w:val="single" w:sz="4" w:space="0" w:color="auto"/>
              <w:bottom w:val="single" w:sz="4" w:space="0" w:color="auto"/>
              <w:right w:val="single" w:sz="4" w:space="0" w:color="auto"/>
            </w:tcBorders>
            <w:vAlign w:val="center"/>
            <w:hideMark/>
          </w:tcPr>
          <w:p w14:paraId="631320A6" w14:textId="77777777" w:rsidR="005F2818" w:rsidRDefault="005F2818" w:rsidP="00660892">
            <w:pPr>
              <w:keepNext/>
              <w:keepLines/>
              <w:spacing w:line="254" w:lineRule="auto"/>
              <w:jc w:val="center"/>
              <w:rPr>
                <w:rFonts w:ascii="Arial Narrow" w:hAnsi="Arial Narrow"/>
                <w:b/>
                <w:kern w:val="2"/>
                <w:sz w:val="20"/>
                <w:szCs w:val="20"/>
              </w:rPr>
            </w:pPr>
            <w:r>
              <w:rPr>
                <w:rFonts w:ascii="Arial Narrow" w:hAnsi="Arial Narrow"/>
                <w:b/>
                <w:kern w:val="2"/>
                <w:sz w:val="20"/>
                <w:szCs w:val="20"/>
              </w:rPr>
              <w:t>Max. qty packs</w:t>
            </w:r>
          </w:p>
        </w:tc>
        <w:tc>
          <w:tcPr>
            <w:tcW w:w="928" w:type="dxa"/>
            <w:tcBorders>
              <w:top w:val="single" w:sz="4" w:space="0" w:color="auto"/>
              <w:left w:val="single" w:sz="4" w:space="0" w:color="auto"/>
              <w:bottom w:val="single" w:sz="4" w:space="0" w:color="auto"/>
              <w:right w:val="single" w:sz="4" w:space="0" w:color="auto"/>
            </w:tcBorders>
            <w:vAlign w:val="center"/>
            <w:hideMark/>
          </w:tcPr>
          <w:p w14:paraId="6FD87D5B" w14:textId="77777777" w:rsidR="005F2818" w:rsidRDefault="005F2818" w:rsidP="00660892">
            <w:pPr>
              <w:keepNext/>
              <w:keepLines/>
              <w:spacing w:line="254" w:lineRule="auto"/>
              <w:jc w:val="center"/>
              <w:rPr>
                <w:rFonts w:ascii="Arial Narrow" w:hAnsi="Arial Narrow"/>
                <w:b/>
                <w:kern w:val="2"/>
                <w:sz w:val="20"/>
                <w:szCs w:val="20"/>
              </w:rPr>
            </w:pPr>
            <w:r>
              <w:rPr>
                <w:rFonts w:ascii="Arial Narrow" w:hAnsi="Arial Narrow"/>
                <w:b/>
                <w:kern w:val="2"/>
                <w:sz w:val="20"/>
                <w:szCs w:val="20"/>
              </w:rPr>
              <w:t>Max. qty units</w:t>
            </w:r>
          </w:p>
        </w:tc>
        <w:tc>
          <w:tcPr>
            <w:tcW w:w="928" w:type="dxa"/>
            <w:tcBorders>
              <w:top w:val="single" w:sz="4" w:space="0" w:color="auto"/>
              <w:left w:val="single" w:sz="4" w:space="0" w:color="auto"/>
              <w:bottom w:val="single" w:sz="4" w:space="0" w:color="auto"/>
              <w:right w:val="single" w:sz="4" w:space="0" w:color="auto"/>
            </w:tcBorders>
            <w:vAlign w:val="center"/>
            <w:hideMark/>
          </w:tcPr>
          <w:p w14:paraId="5F4E1254" w14:textId="77777777" w:rsidR="005F2818" w:rsidRDefault="005F2818" w:rsidP="00660892">
            <w:pPr>
              <w:keepNext/>
              <w:keepLines/>
              <w:spacing w:line="254" w:lineRule="auto"/>
              <w:jc w:val="center"/>
              <w:rPr>
                <w:rFonts w:ascii="Arial Narrow" w:hAnsi="Arial Narrow"/>
                <w:b/>
                <w:kern w:val="2"/>
                <w:sz w:val="20"/>
                <w:szCs w:val="20"/>
              </w:rPr>
            </w:pPr>
            <w:r>
              <w:rPr>
                <w:rFonts w:ascii="Arial Narrow" w:hAnsi="Arial Narrow"/>
                <w:b/>
                <w:kern w:val="2"/>
                <w:sz w:val="20"/>
                <w:szCs w:val="20"/>
              </w:rPr>
              <w:t>№.of</w:t>
            </w:r>
          </w:p>
          <w:p w14:paraId="51220D89" w14:textId="77777777" w:rsidR="005F2818" w:rsidRDefault="005F2818" w:rsidP="00660892">
            <w:pPr>
              <w:keepNext/>
              <w:keepLines/>
              <w:spacing w:line="254" w:lineRule="auto"/>
              <w:jc w:val="center"/>
              <w:rPr>
                <w:rFonts w:ascii="Arial Narrow" w:hAnsi="Arial Narrow"/>
                <w:b/>
                <w:kern w:val="2"/>
                <w:sz w:val="20"/>
                <w:szCs w:val="20"/>
              </w:rPr>
            </w:pPr>
            <w:r>
              <w:rPr>
                <w:rFonts w:ascii="Arial Narrow" w:hAnsi="Arial Narrow"/>
                <w:b/>
                <w:kern w:val="2"/>
                <w:sz w:val="20"/>
                <w:szCs w:val="20"/>
              </w:rPr>
              <w:t>Rpts</w:t>
            </w:r>
          </w:p>
        </w:tc>
        <w:tc>
          <w:tcPr>
            <w:tcW w:w="1798" w:type="dxa"/>
            <w:tcBorders>
              <w:top w:val="single" w:sz="4" w:space="0" w:color="auto"/>
              <w:left w:val="single" w:sz="4" w:space="0" w:color="auto"/>
              <w:bottom w:val="single" w:sz="4" w:space="0" w:color="auto"/>
              <w:right w:val="single" w:sz="4" w:space="0" w:color="auto"/>
            </w:tcBorders>
            <w:vAlign w:val="center"/>
            <w:hideMark/>
          </w:tcPr>
          <w:p w14:paraId="226E25A0" w14:textId="77777777" w:rsidR="005F2818" w:rsidRDefault="005F2818" w:rsidP="00660892">
            <w:pPr>
              <w:keepNext/>
              <w:keepLines/>
              <w:spacing w:line="254" w:lineRule="auto"/>
              <w:rPr>
                <w:rFonts w:ascii="Arial Narrow" w:hAnsi="Arial Narrow"/>
                <w:b/>
                <w:kern w:val="2"/>
                <w:sz w:val="20"/>
                <w:szCs w:val="20"/>
              </w:rPr>
            </w:pPr>
            <w:r>
              <w:rPr>
                <w:rFonts w:ascii="Arial Narrow" w:hAnsi="Arial Narrow"/>
                <w:b/>
                <w:kern w:val="2"/>
                <w:sz w:val="20"/>
                <w:szCs w:val="20"/>
              </w:rPr>
              <w:t>Available brands</w:t>
            </w:r>
          </w:p>
        </w:tc>
      </w:tr>
      <w:tr w:rsidR="005F2818" w14:paraId="2A83AE75" w14:textId="77777777" w:rsidTr="00660892">
        <w:trPr>
          <w:cantSplit/>
          <w:trHeight w:val="20"/>
        </w:trPr>
        <w:tc>
          <w:tcPr>
            <w:tcW w:w="9499" w:type="dxa"/>
            <w:gridSpan w:val="9"/>
            <w:tcBorders>
              <w:top w:val="single" w:sz="4" w:space="0" w:color="auto"/>
              <w:left w:val="single" w:sz="4" w:space="0" w:color="auto"/>
              <w:bottom w:val="single" w:sz="4" w:space="0" w:color="auto"/>
              <w:right w:val="single" w:sz="4" w:space="0" w:color="auto"/>
            </w:tcBorders>
            <w:hideMark/>
          </w:tcPr>
          <w:p w14:paraId="60BF6B49" w14:textId="77777777" w:rsidR="005F2818" w:rsidRDefault="005F2818" w:rsidP="00660892">
            <w:pPr>
              <w:pStyle w:val="TableText0"/>
              <w:keepLines/>
              <w:spacing w:line="254" w:lineRule="auto"/>
              <w:rPr>
                <w:rFonts w:cs="Arial"/>
                <w:kern w:val="2"/>
                <w:szCs w:val="20"/>
              </w:rPr>
            </w:pPr>
            <w:r>
              <w:rPr>
                <w:rFonts w:cs="Arial"/>
                <w:kern w:val="2"/>
                <w:szCs w:val="20"/>
              </w:rPr>
              <w:t>OSILODROSTAT</w:t>
            </w:r>
          </w:p>
        </w:tc>
      </w:tr>
      <w:tr w:rsidR="005F2818" w:rsidRPr="00C952AC" w14:paraId="522A64B9" w14:textId="77777777" w:rsidTr="00660892">
        <w:trPr>
          <w:cantSplit/>
          <w:trHeight w:val="20"/>
        </w:trPr>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18C8774D" w14:textId="77777777" w:rsidR="005F2818" w:rsidRDefault="005F2818" w:rsidP="00660892">
            <w:pPr>
              <w:pStyle w:val="TableText0"/>
              <w:keepLines/>
              <w:spacing w:line="254" w:lineRule="auto"/>
              <w:rPr>
                <w:color w:val="0066FF"/>
                <w:kern w:val="2"/>
                <w:szCs w:val="20"/>
              </w:rPr>
            </w:pPr>
            <w:r>
              <w:rPr>
                <w:kern w:val="2"/>
                <w:szCs w:val="20"/>
              </w:rPr>
              <w:t>Osilodrostat 1 mg tablet, 60</w:t>
            </w:r>
            <w:r>
              <w:rPr>
                <w:color w:val="0066FF"/>
                <w:kern w:val="2"/>
                <w:szCs w:val="20"/>
              </w:rPr>
              <w:t xml:space="preserve"> </w:t>
            </w:r>
          </w:p>
        </w:tc>
        <w:tc>
          <w:tcPr>
            <w:tcW w:w="1515" w:type="dxa"/>
            <w:tcBorders>
              <w:top w:val="single" w:sz="4" w:space="0" w:color="auto"/>
              <w:left w:val="single" w:sz="4" w:space="0" w:color="auto"/>
              <w:bottom w:val="single" w:sz="4" w:space="0" w:color="auto"/>
              <w:right w:val="single" w:sz="4" w:space="0" w:color="auto"/>
            </w:tcBorders>
            <w:vAlign w:val="center"/>
            <w:hideMark/>
          </w:tcPr>
          <w:p w14:paraId="5D9592AC" w14:textId="77777777" w:rsidR="005F2818" w:rsidRDefault="005F2818" w:rsidP="00660892">
            <w:pPr>
              <w:keepNext/>
              <w:keepLines/>
              <w:spacing w:line="254" w:lineRule="auto"/>
              <w:jc w:val="center"/>
              <w:rPr>
                <w:rFonts w:ascii="Arial Narrow" w:hAnsi="Arial Narrow"/>
                <w:kern w:val="2"/>
                <w:sz w:val="20"/>
                <w:szCs w:val="20"/>
              </w:rPr>
            </w:pPr>
            <w:r>
              <w:rPr>
                <w:rFonts w:ascii="Arial Narrow" w:hAnsi="Arial Narrow"/>
                <w:kern w:val="2"/>
                <w:sz w:val="20"/>
                <w:szCs w:val="20"/>
              </w:rPr>
              <w:t>NEW</w:t>
            </w:r>
          </w:p>
        </w:tc>
        <w:tc>
          <w:tcPr>
            <w:tcW w:w="928" w:type="dxa"/>
            <w:tcBorders>
              <w:top w:val="single" w:sz="4" w:space="0" w:color="auto"/>
              <w:left w:val="single" w:sz="4" w:space="0" w:color="auto"/>
              <w:bottom w:val="single" w:sz="4" w:space="0" w:color="auto"/>
              <w:right w:val="single" w:sz="4" w:space="0" w:color="auto"/>
            </w:tcBorders>
            <w:vAlign w:val="center"/>
            <w:hideMark/>
          </w:tcPr>
          <w:p w14:paraId="4E28B82F" w14:textId="77777777" w:rsidR="005F2818" w:rsidRDefault="005F2818" w:rsidP="00660892">
            <w:pPr>
              <w:keepNext/>
              <w:keepLines/>
              <w:spacing w:line="254" w:lineRule="auto"/>
              <w:jc w:val="center"/>
              <w:rPr>
                <w:rFonts w:ascii="Arial Narrow" w:hAnsi="Arial Narrow"/>
                <w:kern w:val="2"/>
                <w:sz w:val="20"/>
                <w:szCs w:val="20"/>
              </w:rPr>
            </w:pPr>
            <w:r>
              <w:rPr>
                <w:rFonts w:ascii="Arial Narrow" w:hAnsi="Arial Narrow"/>
                <w:kern w:val="2"/>
                <w:sz w:val="20"/>
                <w:szCs w:val="20"/>
              </w:rPr>
              <w:t>1</w:t>
            </w:r>
          </w:p>
        </w:tc>
        <w:tc>
          <w:tcPr>
            <w:tcW w:w="928" w:type="dxa"/>
            <w:tcBorders>
              <w:top w:val="single" w:sz="4" w:space="0" w:color="auto"/>
              <w:left w:val="single" w:sz="4" w:space="0" w:color="auto"/>
              <w:bottom w:val="single" w:sz="4" w:space="0" w:color="auto"/>
              <w:right w:val="single" w:sz="4" w:space="0" w:color="auto"/>
            </w:tcBorders>
            <w:vAlign w:val="center"/>
            <w:hideMark/>
          </w:tcPr>
          <w:p w14:paraId="0B2ECBE7" w14:textId="77777777" w:rsidR="005F2818" w:rsidRDefault="005F2818" w:rsidP="00660892">
            <w:pPr>
              <w:keepNext/>
              <w:keepLines/>
              <w:spacing w:line="254" w:lineRule="auto"/>
              <w:jc w:val="center"/>
              <w:rPr>
                <w:rFonts w:ascii="Arial Narrow" w:hAnsi="Arial Narrow"/>
                <w:kern w:val="2"/>
                <w:sz w:val="20"/>
                <w:szCs w:val="20"/>
              </w:rPr>
            </w:pPr>
            <w:r>
              <w:rPr>
                <w:rFonts w:ascii="Arial Narrow" w:hAnsi="Arial Narrow"/>
                <w:kern w:val="2"/>
                <w:sz w:val="20"/>
                <w:szCs w:val="20"/>
              </w:rPr>
              <w:t>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1D5114D1" w14:textId="77777777" w:rsidR="005F2818" w:rsidRDefault="005F2818" w:rsidP="00660892">
            <w:pPr>
              <w:keepNext/>
              <w:keepLines/>
              <w:spacing w:line="254" w:lineRule="auto"/>
              <w:jc w:val="center"/>
              <w:rPr>
                <w:rFonts w:ascii="Arial Narrow" w:hAnsi="Arial Narrow"/>
                <w:strike/>
                <w:kern w:val="2"/>
                <w:sz w:val="20"/>
                <w:szCs w:val="20"/>
              </w:rPr>
            </w:pPr>
            <w:r>
              <w:rPr>
                <w:rFonts w:ascii="Arial Narrow" w:hAnsi="Arial Narrow"/>
                <w:kern w:val="2"/>
                <w:sz w:val="20"/>
                <w:szCs w:val="20"/>
              </w:rPr>
              <w:t>6</w:t>
            </w:r>
          </w:p>
        </w:tc>
        <w:tc>
          <w:tcPr>
            <w:tcW w:w="1798" w:type="dxa"/>
            <w:tcBorders>
              <w:top w:val="single" w:sz="4" w:space="0" w:color="auto"/>
              <w:left w:val="single" w:sz="4" w:space="0" w:color="auto"/>
              <w:bottom w:val="single" w:sz="4" w:space="0" w:color="auto"/>
              <w:right w:val="single" w:sz="4" w:space="0" w:color="auto"/>
            </w:tcBorders>
            <w:vAlign w:val="center"/>
            <w:hideMark/>
          </w:tcPr>
          <w:p w14:paraId="4A985CBC" w14:textId="77777777" w:rsidR="005F2818" w:rsidRPr="00C952AC" w:rsidRDefault="005F2818" w:rsidP="00660892">
            <w:pPr>
              <w:keepNext/>
              <w:keepLines/>
              <w:spacing w:line="254" w:lineRule="auto"/>
              <w:rPr>
                <w:rFonts w:ascii="Arial Narrow" w:hAnsi="Arial Narrow"/>
                <w:kern w:val="2"/>
                <w:sz w:val="20"/>
                <w:szCs w:val="20"/>
                <w:lang w:val="pt-PT"/>
              </w:rPr>
            </w:pPr>
            <w:r w:rsidRPr="00C952AC">
              <w:rPr>
                <w:rFonts w:ascii="Arial Narrow" w:hAnsi="Arial Narrow"/>
                <w:kern w:val="2"/>
                <w:sz w:val="20"/>
                <w:szCs w:val="20"/>
                <w:lang w:val="pt-PT"/>
              </w:rPr>
              <w:t>Isturisa, Recordati Rare Diseases Australia Pty Ltd.</w:t>
            </w:r>
          </w:p>
        </w:tc>
      </w:tr>
      <w:tr w:rsidR="005F2818" w:rsidRPr="00C952AC" w14:paraId="1257FA2C" w14:textId="77777777" w:rsidTr="00660892">
        <w:trPr>
          <w:cantSplit/>
          <w:trHeight w:val="20"/>
        </w:trPr>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3F66F189" w14:textId="77777777" w:rsidR="005F2818" w:rsidRDefault="005F2818" w:rsidP="00660892">
            <w:pPr>
              <w:pStyle w:val="TableText0"/>
              <w:keepLines/>
              <w:spacing w:line="254" w:lineRule="auto"/>
              <w:rPr>
                <w:kern w:val="2"/>
                <w:szCs w:val="20"/>
              </w:rPr>
            </w:pPr>
            <w:r>
              <w:rPr>
                <w:kern w:val="2"/>
                <w:szCs w:val="20"/>
              </w:rPr>
              <w:t>Osilodrostat 5 mg tablet, 60</w:t>
            </w:r>
            <w:r>
              <w:rPr>
                <w:color w:val="0066FF"/>
                <w:kern w:val="2"/>
                <w:szCs w:val="20"/>
              </w:rPr>
              <w:t xml:space="preserve"> </w:t>
            </w:r>
          </w:p>
        </w:tc>
        <w:tc>
          <w:tcPr>
            <w:tcW w:w="1515" w:type="dxa"/>
            <w:tcBorders>
              <w:top w:val="single" w:sz="4" w:space="0" w:color="auto"/>
              <w:left w:val="single" w:sz="4" w:space="0" w:color="auto"/>
              <w:bottom w:val="single" w:sz="4" w:space="0" w:color="auto"/>
              <w:right w:val="single" w:sz="4" w:space="0" w:color="auto"/>
            </w:tcBorders>
            <w:vAlign w:val="center"/>
          </w:tcPr>
          <w:p w14:paraId="02A9B9FE" w14:textId="77777777" w:rsidR="005F2818" w:rsidRDefault="005F2818" w:rsidP="00660892">
            <w:pPr>
              <w:keepNext/>
              <w:keepLines/>
              <w:spacing w:line="254" w:lineRule="auto"/>
              <w:jc w:val="center"/>
              <w:rPr>
                <w:rFonts w:ascii="Arial Narrow" w:hAnsi="Arial Narrow"/>
                <w:kern w:val="2"/>
                <w:sz w:val="20"/>
                <w:szCs w:val="20"/>
              </w:rPr>
            </w:pPr>
            <w:r>
              <w:rPr>
                <w:rFonts w:ascii="Arial Narrow" w:hAnsi="Arial Narrow"/>
                <w:kern w:val="2"/>
                <w:sz w:val="20"/>
                <w:szCs w:val="20"/>
              </w:rPr>
              <w:t>NEW</w:t>
            </w:r>
          </w:p>
        </w:tc>
        <w:tc>
          <w:tcPr>
            <w:tcW w:w="928" w:type="dxa"/>
            <w:tcBorders>
              <w:top w:val="single" w:sz="4" w:space="0" w:color="auto"/>
              <w:left w:val="single" w:sz="4" w:space="0" w:color="auto"/>
              <w:bottom w:val="single" w:sz="4" w:space="0" w:color="auto"/>
              <w:right w:val="single" w:sz="4" w:space="0" w:color="auto"/>
            </w:tcBorders>
            <w:vAlign w:val="center"/>
            <w:hideMark/>
          </w:tcPr>
          <w:p w14:paraId="4450FB4C" w14:textId="77777777" w:rsidR="005F2818" w:rsidRDefault="005F2818" w:rsidP="00660892">
            <w:pPr>
              <w:keepNext/>
              <w:keepLines/>
              <w:spacing w:line="254" w:lineRule="auto"/>
              <w:jc w:val="center"/>
              <w:rPr>
                <w:rFonts w:ascii="Arial Narrow" w:hAnsi="Arial Narrow"/>
                <w:kern w:val="2"/>
                <w:sz w:val="20"/>
                <w:szCs w:val="20"/>
              </w:rPr>
            </w:pPr>
            <w:r>
              <w:rPr>
                <w:rFonts w:ascii="Arial Narrow" w:hAnsi="Arial Narrow"/>
                <w:kern w:val="2"/>
                <w:sz w:val="20"/>
                <w:szCs w:val="20"/>
              </w:rPr>
              <w:t>1</w:t>
            </w:r>
          </w:p>
        </w:tc>
        <w:tc>
          <w:tcPr>
            <w:tcW w:w="928" w:type="dxa"/>
            <w:tcBorders>
              <w:top w:val="single" w:sz="4" w:space="0" w:color="auto"/>
              <w:left w:val="single" w:sz="4" w:space="0" w:color="auto"/>
              <w:bottom w:val="single" w:sz="4" w:space="0" w:color="auto"/>
              <w:right w:val="single" w:sz="4" w:space="0" w:color="auto"/>
            </w:tcBorders>
            <w:vAlign w:val="center"/>
            <w:hideMark/>
          </w:tcPr>
          <w:p w14:paraId="71C56B06" w14:textId="77777777" w:rsidR="005F2818" w:rsidRDefault="005F2818" w:rsidP="00660892">
            <w:pPr>
              <w:keepNext/>
              <w:keepLines/>
              <w:spacing w:line="254" w:lineRule="auto"/>
              <w:jc w:val="center"/>
              <w:rPr>
                <w:rFonts w:ascii="Arial Narrow" w:hAnsi="Arial Narrow"/>
                <w:kern w:val="2"/>
                <w:sz w:val="20"/>
                <w:szCs w:val="20"/>
              </w:rPr>
            </w:pPr>
            <w:r>
              <w:rPr>
                <w:rFonts w:ascii="Arial Narrow" w:hAnsi="Arial Narrow"/>
                <w:kern w:val="2"/>
                <w:sz w:val="20"/>
                <w:szCs w:val="20"/>
              </w:rPr>
              <w:t>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3DA7C2E9" w14:textId="77777777" w:rsidR="005F2818" w:rsidRDefault="005F2818" w:rsidP="00660892">
            <w:pPr>
              <w:keepNext/>
              <w:keepLines/>
              <w:spacing w:line="254" w:lineRule="auto"/>
              <w:jc w:val="center"/>
              <w:rPr>
                <w:rFonts w:ascii="Arial Narrow" w:hAnsi="Arial Narrow"/>
                <w:strike/>
                <w:kern w:val="2"/>
                <w:sz w:val="20"/>
                <w:szCs w:val="20"/>
              </w:rPr>
            </w:pPr>
            <w:r>
              <w:rPr>
                <w:rFonts w:ascii="Arial Narrow" w:hAnsi="Arial Narrow"/>
                <w:kern w:val="2"/>
                <w:sz w:val="20"/>
                <w:szCs w:val="20"/>
              </w:rPr>
              <w:t>6</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7ED36B0" w14:textId="77777777" w:rsidR="005F2818" w:rsidRPr="00C952AC" w:rsidRDefault="005F2818" w:rsidP="00660892">
            <w:pPr>
              <w:keepNext/>
              <w:keepLines/>
              <w:spacing w:line="254" w:lineRule="auto"/>
              <w:rPr>
                <w:rFonts w:ascii="Arial Narrow" w:hAnsi="Arial Narrow"/>
                <w:kern w:val="2"/>
                <w:sz w:val="20"/>
                <w:szCs w:val="20"/>
                <w:lang w:val="pt-PT"/>
              </w:rPr>
            </w:pPr>
            <w:r w:rsidRPr="00C952AC">
              <w:rPr>
                <w:rFonts w:ascii="Arial Narrow" w:hAnsi="Arial Narrow"/>
                <w:kern w:val="2"/>
                <w:sz w:val="20"/>
                <w:szCs w:val="20"/>
                <w:lang w:val="pt-PT"/>
              </w:rPr>
              <w:t>Isturisa, Recordati Rare Diseases Australia Pty Ltd.</w:t>
            </w:r>
          </w:p>
        </w:tc>
      </w:tr>
      <w:tr w:rsidR="005F2818" w:rsidRPr="00C952AC" w14:paraId="2FD3BEF0" w14:textId="77777777" w:rsidTr="00660892">
        <w:trPr>
          <w:cantSplit/>
          <w:trHeight w:val="20"/>
        </w:trPr>
        <w:tc>
          <w:tcPr>
            <w:tcW w:w="9499" w:type="dxa"/>
            <w:gridSpan w:val="9"/>
            <w:tcBorders>
              <w:top w:val="single" w:sz="4" w:space="0" w:color="auto"/>
              <w:left w:val="single" w:sz="4" w:space="0" w:color="auto"/>
              <w:bottom w:val="single" w:sz="4" w:space="0" w:color="auto"/>
              <w:right w:val="single" w:sz="4" w:space="0" w:color="auto"/>
            </w:tcBorders>
            <w:vAlign w:val="center"/>
          </w:tcPr>
          <w:p w14:paraId="5425239A" w14:textId="77777777" w:rsidR="005F2818" w:rsidRPr="00C952AC" w:rsidRDefault="005F2818" w:rsidP="00660892">
            <w:pPr>
              <w:keepNext/>
              <w:keepLines/>
              <w:spacing w:line="254" w:lineRule="auto"/>
              <w:rPr>
                <w:rFonts w:ascii="Arial Narrow" w:hAnsi="Arial Narrow"/>
                <w:kern w:val="2"/>
                <w:sz w:val="20"/>
                <w:szCs w:val="20"/>
                <w:lang w:val="pt-PT"/>
              </w:rPr>
            </w:pPr>
          </w:p>
        </w:tc>
      </w:tr>
      <w:tr w:rsidR="005F2818" w14:paraId="589EAF88" w14:textId="77777777" w:rsidTr="00660892">
        <w:tc>
          <w:tcPr>
            <w:tcW w:w="9499" w:type="dxa"/>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50B78E" w14:textId="77777777" w:rsidR="005F2818" w:rsidRDefault="005F2818" w:rsidP="00660892">
            <w:pPr>
              <w:keepNext/>
              <w:spacing w:line="254" w:lineRule="auto"/>
              <w:rPr>
                <w:rFonts w:ascii="Arial Narrow" w:eastAsia="Calibri" w:hAnsi="Arial Narrow"/>
                <w:b/>
                <w:kern w:val="2"/>
                <w:sz w:val="20"/>
                <w:szCs w:val="20"/>
              </w:rPr>
            </w:pPr>
            <w:r>
              <w:rPr>
                <w:rFonts w:ascii="Arial Narrow" w:hAnsi="Arial Narrow"/>
                <w:b/>
                <w:kern w:val="2"/>
                <w:sz w:val="20"/>
                <w:szCs w:val="20"/>
              </w:rPr>
              <w:t>Restriction Summary [new1]</w:t>
            </w:r>
            <w:r>
              <w:rPr>
                <w:rFonts w:ascii="Arial Narrow" w:hAnsi="Arial Narrow"/>
                <w:b/>
                <w:color w:val="FF0000"/>
                <w:kern w:val="2"/>
                <w:sz w:val="20"/>
                <w:szCs w:val="20"/>
              </w:rPr>
              <w:t xml:space="preserve"> </w:t>
            </w:r>
            <w:r>
              <w:rPr>
                <w:rFonts w:ascii="Arial Narrow" w:hAnsi="Arial Narrow"/>
                <w:b/>
                <w:kern w:val="2"/>
                <w:sz w:val="20"/>
                <w:szCs w:val="20"/>
              </w:rPr>
              <w:t xml:space="preserve">/ Treatment of Concept: [new2] </w:t>
            </w:r>
          </w:p>
        </w:tc>
      </w:tr>
      <w:tr w:rsidR="005F2818" w14:paraId="6CB54646" w14:textId="77777777" w:rsidTr="00660892">
        <w:tc>
          <w:tcPr>
            <w:tcW w:w="1133"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C0D24A" w14:textId="77777777" w:rsidR="005F2818" w:rsidRDefault="005F2818" w:rsidP="00660892">
            <w:pPr>
              <w:keepNext/>
              <w:spacing w:line="254" w:lineRule="auto"/>
              <w:jc w:val="center"/>
              <w:rPr>
                <w:rFonts w:ascii="Arial Narrow" w:eastAsia="Calibri" w:hAnsi="Arial Narrow"/>
                <w:b/>
                <w:kern w:val="2"/>
                <w:sz w:val="20"/>
                <w:szCs w:val="20"/>
              </w:rPr>
            </w:pPr>
            <w:r>
              <w:rPr>
                <w:rFonts w:ascii="Arial Narrow" w:eastAsia="Calibri" w:hAnsi="Arial Narrow"/>
                <w:b/>
                <w:kern w:val="2"/>
                <w:sz w:val="20"/>
                <w:szCs w:val="20"/>
              </w:rPr>
              <w:t>Concept ID</w:t>
            </w:r>
          </w:p>
          <w:p w14:paraId="32505193" w14:textId="77777777" w:rsidR="005F2818" w:rsidRDefault="005F2818" w:rsidP="00660892">
            <w:pPr>
              <w:keepNext/>
              <w:spacing w:line="254" w:lineRule="auto"/>
              <w:rPr>
                <w:rFonts w:ascii="Arial Narrow" w:eastAsia="Calibri" w:hAnsi="Arial Narrow"/>
                <w:kern w:val="2"/>
                <w:sz w:val="20"/>
                <w:szCs w:val="20"/>
              </w:rPr>
            </w:pPr>
          </w:p>
          <w:p w14:paraId="611865C7" w14:textId="0D471462" w:rsidR="005F2818" w:rsidRPr="00001C23" w:rsidRDefault="005F2818" w:rsidP="00001C23">
            <w:pPr>
              <w:keepNext/>
              <w:spacing w:line="254" w:lineRule="auto"/>
              <w:jc w:val="center"/>
              <w:rPr>
                <w:rFonts w:ascii="Arial Narrow" w:eastAsia="Calibri" w:hAnsi="Arial Narrow"/>
                <w:kern w:val="2"/>
                <w:sz w:val="20"/>
                <w:szCs w:val="20"/>
              </w:rPr>
            </w:pPr>
            <w:r>
              <w:rPr>
                <w:rFonts w:ascii="Arial Narrow" w:eastAsia="Calibri" w:hAnsi="Arial Narrow"/>
                <w:kern w:val="2"/>
                <w:sz w:val="20"/>
                <w:szCs w:val="20"/>
              </w:rPr>
              <w:t>(for internal Dept. use)</w:t>
            </w: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057710" w14:textId="77777777" w:rsidR="005F2818" w:rsidRDefault="005F2818" w:rsidP="00660892">
            <w:pPr>
              <w:keepNext/>
              <w:spacing w:line="254" w:lineRule="auto"/>
              <w:rPr>
                <w:rFonts w:ascii="Arial Narrow" w:eastAsia="Calibri" w:hAnsi="Arial Narrow"/>
                <w:kern w:val="2"/>
                <w:sz w:val="20"/>
                <w:szCs w:val="20"/>
              </w:rPr>
            </w:pPr>
            <w:r>
              <w:rPr>
                <w:rFonts w:ascii="Arial Narrow" w:eastAsia="Calibri" w:hAnsi="Arial Narrow"/>
                <w:b/>
                <w:kern w:val="2"/>
                <w:sz w:val="20"/>
                <w:szCs w:val="20"/>
              </w:rPr>
              <w:t xml:space="preserve">Category / Program: </w:t>
            </w:r>
            <w:r>
              <w:rPr>
                <w:rFonts w:ascii="Arial Narrow" w:eastAsia="Calibri" w:hAnsi="Arial Narrow"/>
                <w:kern w:val="2"/>
                <w:sz w:val="20"/>
                <w:szCs w:val="20"/>
              </w:rPr>
              <w:t xml:space="preserve">Section 85 – General Schedule </w:t>
            </w:r>
          </w:p>
        </w:tc>
      </w:tr>
      <w:tr w:rsidR="005F2818" w14:paraId="29E4E335" w14:textId="77777777" w:rsidTr="00660892">
        <w:trPr>
          <w:trHeight w:val="24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155E4BF" w14:textId="77777777" w:rsidR="005F2818" w:rsidRDefault="005F2818" w:rsidP="00660892">
            <w:pPr>
              <w:spacing w:line="256" w:lineRule="auto"/>
              <w:jc w:val="left"/>
              <w:rPr>
                <w:rFonts w:ascii="Arial Narrow" w:eastAsia="Calibri" w:hAnsi="Arial Narrow"/>
                <w:b/>
                <w:kern w:val="2"/>
                <w:sz w:val="20"/>
                <w:szCs w:val="20"/>
                <w14:ligatures w14:val="standardContextual"/>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351148" w14:textId="77777777" w:rsidR="005F2818" w:rsidRDefault="005F2818" w:rsidP="00660892">
            <w:pPr>
              <w:keepNext/>
              <w:spacing w:line="254" w:lineRule="auto"/>
              <w:rPr>
                <w:rFonts w:ascii="Arial Narrow" w:eastAsia="Calibri" w:hAnsi="Arial Narrow"/>
                <w:b/>
                <w:kern w:val="2"/>
                <w:sz w:val="20"/>
                <w:szCs w:val="20"/>
              </w:rPr>
            </w:pPr>
            <w:r>
              <w:rPr>
                <w:rFonts w:ascii="Arial Narrow" w:eastAsia="Calibri" w:hAnsi="Arial Narrow"/>
                <w:b/>
                <w:kern w:val="2"/>
                <w:sz w:val="20"/>
                <w:szCs w:val="20"/>
              </w:rPr>
              <w:t xml:space="preserve">Prescriber type: </w:t>
            </w:r>
            <w:r>
              <w:rPr>
                <w:rFonts w:ascii="Arial Narrow" w:eastAsia="Calibri" w:hAnsi="Arial Narrow"/>
                <w:kern w:val="2"/>
                <w:sz w:val="20"/>
                <w:szCs w:val="20"/>
              </w:rPr>
              <w:fldChar w:fldCharType="begin" w:fldLock="1">
                <w:ffData>
                  <w:name w:val=""/>
                  <w:enabled/>
                  <w:calcOnExit w:val="0"/>
                  <w:checkBox>
                    <w:sizeAuto/>
                    <w:default w:val="1"/>
                  </w:checkBox>
                </w:ffData>
              </w:fldChar>
            </w:r>
            <w:r>
              <w:rPr>
                <w:rFonts w:ascii="Arial Narrow" w:eastAsia="Calibri" w:hAnsi="Arial Narrow"/>
                <w:kern w:val="2"/>
                <w:sz w:val="20"/>
                <w:szCs w:val="20"/>
              </w:rPr>
              <w:instrText xml:space="preserve"> FORMCHECKBOX </w:instrText>
            </w:r>
            <w:r>
              <w:rPr>
                <w:rFonts w:ascii="Arial Narrow" w:eastAsia="Calibri" w:hAnsi="Arial Narrow"/>
                <w:kern w:val="2"/>
                <w:sz w:val="20"/>
                <w:szCs w:val="20"/>
              </w:rPr>
            </w:r>
            <w:r>
              <w:rPr>
                <w:rFonts w:ascii="Arial Narrow" w:eastAsia="Calibri" w:hAnsi="Arial Narrow"/>
                <w:kern w:val="2"/>
                <w:sz w:val="20"/>
                <w:szCs w:val="20"/>
              </w:rPr>
              <w:fldChar w:fldCharType="separate"/>
            </w:r>
            <w:r>
              <w:rPr>
                <w:rFonts w:ascii="Arial Narrow" w:eastAsia="Calibri" w:hAnsi="Arial Narrow"/>
                <w:kern w:val="2"/>
                <w:sz w:val="20"/>
                <w:szCs w:val="20"/>
              </w:rPr>
              <w:fldChar w:fldCharType="end"/>
            </w:r>
            <w:r>
              <w:rPr>
                <w:rFonts w:ascii="Arial Narrow" w:eastAsia="Calibri" w:hAnsi="Arial Narrow"/>
                <w:kern w:val="2"/>
                <w:sz w:val="20"/>
                <w:szCs w:val="20"/>
              </w:rPr>
              <w:t xml:space="preserve">Medical Practitioners </w:t>
            </w:r>
          </w:p>
        </w:tc>
      </w:tr>
      <w:tr w:rsidR="005F2818" w14:paraId="2A9EF320" w14:textId="77777777" w:rsidTr="00660892">
        <w:trPr>
          <w:trHeight w:val="422"/>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CED2459" w14:textId="77777777" w:rsidR="005F2818" w:rsidRDefault="005F2818" w:rsidP="00660892">
            <w:pPr>
              <w:spacing w:line="256" w:lineRule="auto"/>
              <w:jc w:val="left"/>
              <w:rPr>
                <w:rFonts w:ascii="Arial Narrow" w:eastAsia="Calibri" w:hAnsi="Arial Narrow"/>
                <w:b/>
                <w:kern w:val="2"/>
                <w:sz w:val="20"/>
                <w:szCs w:val="20"/>
                <w14:ligatures w14:val="standardContextual"/>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9837BC" w14:textId="77777777" w:rsidR="005F2818" w:rsidRDefault="005F2818" w:rsidP="00660892">
            <w:pPr>
              <w:keepNext/>
              <w:spacing w:line="254" w:lineRule="auto"/>
              <w:rPr>
                <w:rFonts w:ascii="Arial Narrow" w:eastAsia="Calibri" w:hAnsi="Arial Narrow"/>
                <w:b/>
                <w:kern w:val="2"/>
                <w:sz w:val="20"/>
                <w:szCs w:val="20"/>
              </w:rPr>
            </w:pPr>
            <w:r>
              <w:rPr>
                <w:rFonts w:ascii="Arial Narrow" w:eastAsia="Calibri" w:hAnsi="Arial Narrow"/>
                <w:b/>
                <w:kern w:val="2"/>
                <w:sz w:val="20"/>
                <w:szCs w:val="20"/>
              </w:rPr>
              <w:t>Restriction Type –</w:t>
            </w:r>
            <w:r>
              <w:rPr>
                <w:rFonts w:ascii="Arial Narrow" w:eastAsia="Calibri" w:hAnsi="Arial Narrow"/>
                <w:kern w:val="2"/>
                <w:sz w:val="20"/>
                <w:szCs w:val="20"/>
              </w:rPr>
              <w:fldChar w:fldCharType="begin" w:fldLock="1">
                <w:ffData>
                  <w:name w:val="Check3"/>
                  <w:enabled/>
                  <w:calcOnExit w:val="0"/>
                  <w:checkBox>
                    <w:sizeAuto/>
                    <w:default w:val="1"/>
                  </w:checkBox>
                </w:ffData>
              </w:fldChar>
            </w:r>
            <w:r>
              <w:rPr>
                <w:rFonts w:ascii="Arial Narrow" w:eastAsia="Calibri" w:hAnsi="Arial Narrow"/>
                <w:kern w:val="2"/>
                <w:sz w:val="20"/>
                <w:szCs w:val="20"/>
              </w:rPr>
              <w:instrText xml:space="preserve"> FORMCHECKBOX </w:instrText>
            </w:r>
            <w:r>
              <w:rPr>
                <w:rFonts w:ascii="Arial Narrow" w:eastAsia="Calibri" w:hAnsi="Arial Narrow"/>
                <w:kern w:val="2"/>
                <w:sz w:val="20"/>
                <w:szCs w:val="20"/>
              </w:rPr>
            </w:r>
            <w:r>
              <w:rPr>
                <w:rFonts w:ascii="Arial Narrow" w:eastAsia="Calibri" w:hAnsi="Arial Narrow"/>
                <w:kern w:val="2"/>
                <w:sz w:val="20"/>
                <w:szCs w:val="20"/>
              </w:rPr>
              <w:fldChar w:fldCharType="separate"/>
            </w:r>
            <w:r>
              <w:rPr>
                <w:rFonts w:ascii="Arial Narrow" w:eastAsia="Calibri" w:hAnsi="Arial Narrow"/>
                <w:kern w:val="2"/>
                <w:sz w:val="20"/>
                <w:szCs w:val="20"/>
              </w:rPr>
              <w:fldChar w:fldCharType="end"/>
            </w:r>
            <w:r>
              <w:rPr>
                <w:rFonts w:ascii="Arial Narrow" w:eastAsia="Calibri" w:hAnsi="Arial Narrow"/>
                <w:kern w:val="2"/>
                <w:sz w:val="20"/>
                <w:szCs w:val="20"/>
              </w:rPr>
              <w:t>Authority Required – immediate/real time assessment by Services Australia (telephone/online application avenues)</w:t>
            </w:r>
          </w:p>
        </w:tc>
      </w:tr>
      <w:tr w:rsidR="005F2818" w14:paraId="3B4F273E" w14:textId="77777777" w:rsidTr="00AD6926">
        <w:tc>
          <w:tcPr>
            <w:tcW w:w="39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E1E592" w14:textId="18D2D575" w:rsidR="005F2818" w:rsidRDefault="005F2818" w:rsidP="00660892">
            <w:pPr>
              <w:spacing w:line="254" w:lineRule="auto"/>
              <w:jc w:val="center"/>
              <w:rPr>
                <w:rFonts w:ascii="Arial Narrow" w:hAnsi="Arial Narrow"/>
                <w:color w:val="333333"/>
                <w:kern w:val="2"/>
                <w:sz w:val="20"/>
                <w:szCs w:val="20"/>
              </w:rPr>
            </w:pPr>
          </w:p>
        </w:tc>
        <w:tc>
          <w:tcPr>
            <w:tcW w:w="7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30EECD" w14:textId="6B53B148"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46035F"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Caution:</w:t>
            </w:r>
            <w:r>
              <w:rPr>
                <w:rFonts w:ascii="Arial Narrow" w:hAnsi="Arial Narrow"/>
                <w:color w:val="333333"/>
                <w:kern w:val="2"/>
                <w:sz w:val="20"/>
                <w:szCs w:val="20"/>
              </w:rPr>
              <w:t xml:space="preserve"> </w:t>
            </w:r>
          </w:p>
          <w:p w14:paraId="0BFBFF46"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The following should be assessed prior to receiving treatment and closely monitored throughout the treatment period:</w:t>
            </w:r>
          </w:p>
          <w:p w14:paraId="5D7CD6E7" w14:textId="77777777" w:rsidR="005F2818" w:rsidRDefault="005F2818" w:rsidP="00660892">
            <w:pPr>
              <w:numPr>
                <w:ilvl w:val="0"/>
                <w:numId w:val="10"/>
              </w:numPr>
              <w:spacing w:line="254" w:lineRule="auto"/>
              <w:contextualSpacing/>
              <w:rPr>
                <w:rFonts w:ascii="Arial Narrow" w:hAnsi="Arial Narrow"/>
                <w:strike/>
                <w:color w:val="333333"/>
                <w:kern w:val="2"/>
                <w:sz w:val="20"/>
                <w:szCs w:val="20"/>
              </w:rPr>
            </w:pPr>
            <w:r>
              <w:rPr>
                <w:rFonts w:ascii="Arial Narrow" w:hAnsi="Arial Narrow"/>
                <w:color w:val="333333"/>
                <w:kern w:val="2"/>
                <w:sz w:val="20"/>
                <w:szCs w:val="20"/>
              </w:rPr>
              <w:t>QTc prolongation via an electrocardiogram</w:t>
            </w:r>
          </w:p>
          <w:p w14:paraId="194D37C8" w14:textId="77777777" w:rsidR="005F2818" w:rsidRDefault="005F2818" w:rsidP="00660892">
            <w:pPr>
              <w:numPr>
                <w:ilvl w:val="0"/>
                <w:numId w:val="10"/>
              </w:numPr>
              <w:spacing w:line="254" w:lineRule="auto"/>
              <w:contextualSpacing/>
              <w:rPr>
                <w:rFonts w:ascii="Arial Narrow" w:hAnsi="Arial Narrow"/>
                <w:color w:val="333333"/>
                <w:kern w:val="2"/>
                <w:sz w:val="20"/>
                <w:szCs w:val="20"/>
              </w:rPr>
            </w:pPr>
            <w:r>
              <w:rPr>
                <w:rFonts w:ascii="Arial Narrow" w:hAnsi="Arial Narrow"/>
                <w:color w:val="333333"/>
                <w:kern w:val="2"/>
                <w:sz w:val="20"/>
                <w:szCs w:val="20"/>
              </w:rPr>
              <w:t>Hypocortisolism</w:t>
            </w:r>
          </w:p>
          <w:p w14:paraId="4261C1A8" w14:textId="77777777" w:rsidR="005F2818" w:rsidRDefault="005F2818" w:rsidP="00660892">
            <w:pPr>
              <w:numPr>
                <w:ilvl w:val="0"/>
                <w:numId w:val="10"/>
              </w:numPr>
              <w:spacing w:line="254" w:lineRule="auto"/>
              <w:contextualSpacing/>
              <w:rPr>
                <w:rFonts w:ascii="Arial Narrow" w:hAnsi="Arial Narrow"/>
                <w:color w:val="333333"/>
                <w:kern w:val="2"/>
                <w:sz w:val="20"/>
                <w:szCs w:val="20"/>
              </w:rPr>
            </w:pPr>
            <w:r>
              <w:rPr>
                <w:rFonts w:ascii="Arial Narrow" w:hAnsi="Arial Narrow"/>
                <w:color w:val="333333"/>
                <w:kern w:val="2"/>
                <w:sz w:val="20"/>
                <w:szCs w:val="20"/>
              </w:rPr>
              <w:t>Corticotroph tumour growth</w:t>
            </w:r>
          </w:p>
        </w:tc>
      </w:tr>
      <w:tr w:rsidR="005F2818" w14:paraId="1E83B13F" w14:textId="77777777" w:rsidTr="00AD6926">
        <w:tc>
          <w:tcPr>
            <w:tcW w:w="300" w:type="dxa"/>
            <w:vMerge/>
            <w:tcBorders>
              <w:top w:val="single" w:sz="4" w:space="0" w:color="auto"/>
              <w:left w:val="single" w:sz="4" w:space="0" w:color="auto"/>
              <w:bottom w:val="single" w:sz="4" w:space="0" w:color="auto"/>
              <w:right w:val="single" w:sz="4" w:space="0" w:color="auto"/>
            </w:tcBorders>
            <w:vAlign w:val="center"/>
          </w:tcPr>
          <w:p w14:paraId="66A14DDD" w14:textId="77777777" w:rsidR="005F2818" w:rsidRDefault="005F2818" w:rsidP="00660892">
            <w:pPr>
              <w:spacing w:line="256" w:lineRule="auto"/>
              <w:jc w:val="left"/>
              <w:rPr>
                <w:rFonts w:ascii="Arial Narrow" w:hAnsi="Arial Narrow"/>
                <w:color w:val="333333"/>
                <w:kern w:val="2"/>
                <w:sz w:val="20"/>
                <w:szCs w:val="20"/>
                <w14:ligatures w14:val="standardContextual"/>
              </w:rPr>
            </w:pPr>
          </w:p>
        </w:tc>
        <w:tc>
          <w:tcPr>
            <w:tcW w:w="7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34F70B" w14:textId="04C517D0"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F64014" w14:textId="77777777" w:rsidR="005F2818" w:rsidRDefault="005F2818" w:rsidP="00660892">
            <w:pPr>
              <w:spacing w:line="254" w:lineRule="auto"/>
              <w:rPr>
                <w:rFonts w:ascii="Arial Narrow" w:eastAsia="Calibri" w:hAnsi="Arial Narrow"/>
                <w:b/>
                <w:kern w:val="2"/>
                <w:sz w:val="20"/>
                <w:szCs w:val="20"/>
              </w:rPr>
            </w:pPr>
            <w:r>
              <w:rPr>
                <w:rFonts w:ascii="Arial Narrow" w:eastAsia="Calibri" w:hAnsi="Arial Narrow"/>
                <w:b/>
                <w:kern w:val="2"/>
                <w:sz w:val="20"/>
                <w:szCs w:val="20"/>
              </w:rPr>
              <w:t xml:space="preserve">Administrative advice: </w:t>
            </w:r>
          </w:p>
          <w:p w14:paraId="61052C5C" w14:textId="77777777" w:rsidR="005F2818" w:rsidRDefault="005F2818" w:rsidP="00660892">
            <w:pPr>
              <w:spacing w:line="254" w:lineRule="auto"/>
              <w:rPr>
                <w:rFonts w:ascii="Arial Narrow" w:hAnsi="Arial Narrow"/>
                <w:b/>
                <w:bCs/>
                <w:color w:val="333333"/>
                <w:kern w:val="2"/>
                <w:sz w:val="20"/>
                <w:szCs w:val="20"/>
              </w:rPr>
            </w:pPr>
            <w:r>
              <w:rPr>
                <w:rFonts w:ascii="Arial Narrow" w:hAnsi="Arial Narrow"/>
                <w:color w:val="333333"/>
                <w:kern w:val="2"/>
                <w:sz w:val="20"/>
                <w:szCs w:val="20"/>
              </w:rPr>
              <w:t>Cortisol levels should be monitored at regular intervals, since hypocortisolism-related events can occur at any time during treatment.</w:t>
            </w:r>
          </w:p>
        </w:tc>
      </w:tr>
      <w:tr w:rsidR="005F2818" w14:paraId="68945393" w14:textId="77777777" w:rsidTr="00AD6926">
        <w:trPr>
          <w:trHeight w:val="55"/>
        </w:trPr>
        <w:tc>
          <w:tcPr>
            <w:tcW w:w="300" w:type="dxa"/>
            <w:vMerge/>
            <w:tcBorders>
              <w:top w:val="single" w:sz="4" w:space="0" w:color="auto"/>
              <w:left w:val="single" w:sz="4" w:space="0" w:color="auto"/>
              <w:bottom w:val="single" w:sz="4" w:space="0" w:color="auto"/>
              <w:right w:val="single" w:sz="4" w:space="0" w:color="auto"/>
            </w:tcBorders>
            <w:vAlign w:val="center"/>
          </w:tcPr>
          <w:p w14:paraId="3D337FF9" w14:textId="77777777" w:rsidR="005F2818" w:rsidRDefault="005F2818" w:rsidP="00660892">
            <w:pPr>
              <w:spacing w:line="256" w:lineRule="auto"/>
              <w:jc w:val="left"/>
              <w:rPr>
                <w:rFonts w:ascii="Arial Narrow" w:hAnsi="Arial Narrow"/>
                <w:color w:val="333333"/>
                <w:kern w:val="2"/>
                <w:sz w:val="20"/>
                <w:szCs w:val="20"/>
                <w14:ligatures w14:val="standardContextual"/>
              </w:rPr>
            </w:pPr>
          </w:p>
        </w:tc>
        <w:tc>
          <w:tcPr>
            <w:tcW w:w="7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C1553C" w14:textId="182F3565"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EFE093" w14:textId="77777777" w:rsidR="005F2818" w:rsidRDefault="005F2818" w:rsidP="00660892">
            <w:pPr>
              <w:spacing w:line="254" w:lineRule="auto"/>
              <w:rPr>
                <w:rFonts w:ascii="Arial Narrow" w:eastAsia="Calibri" w:hAnsi="Arial Narrow"/>
                <w:b/>
                <w:kern w:val="2"/>
                <w:sz w:val="20"/>
                <w:szCs w:val="20"/>
              </w:rPr>
            </w:pPr>
            <w:r>
              <w:rPr>
                <w:rFonts w:ascii="Arial Narrow" w:eastAsia="Calibri" w:hAnsi="Arial Narrow"/>
                <w:b/>
                <w:kern w:val="2"/>
                <w:sz w:val="20"/>
                <w:szCs w:val="20"/>
              </w:rPr>
              <w:t xml:space="preserve">Administrative advice: </w:t>
            </w:r>
          </w:p>
          <w:p w14:paraId="078731F6" w14:textId="77777777" w:rsidR="005F2818" w:rsidRDefault="005F2818" w:rsidP="00660892">
            <w:pPr>
              <w:spacing w:line="254" w:lineRule="auto"/>
              <w:rPr>
                <w:rFonts w:ascii="Arial Narrow" w:hAnsi="Arial Narrow"/>
                <w:b/>
                <w:bCs/>
                <w:color w:val="333333"/>
                <w:kern w:val="2"/>
                <w:sz w:val="20"/>
                <w:szCs w:val="20"/>
              </w:rPr>
            </w:pPr>
            <w:r>
              <w:rPr>
                <w:rFonts w:ascii="Arial Narrow" w:eastAsia="Calibri" w:hAnsi="Arial Narrow"/>
                <w:kern w:val="2"/>
                <w:sz w:val="20"/>
                <w:szCs w:val="20"/>
              </w:rPr>
              <w:t>No increase in the maximum number of repeats may be authorised.</w:t>
            </w:r>
          </w:p>
        </w:tc>
      </w:tr>
      <w:tr w:rsidR="005F2818" w14:paraId="05B7A7F2" w14:textId="77777777" w:rsidTr="00AD6926">
        <w:tc>
          <w:tcPr>
            <w:tcW w:w="300" w:type="dxa"/>
            <w:vMerge/>
            <w:tcBorders>
              <w:top w:val="single" w:sz="4" w:space="0" w:color="auto"/>
              <w:left w:val="single" w:sz="4" w:space="0" w:color="auto"/>
              <w:bottom w:val="single" w:sz="4" w:space="0" w:color="auto"/>
              <w:right w:val="single" w:sz="4" w:space="0" w:color="auto"/>
            </w:tcBorders>
            <w:vAlign w:val="center"/>
          </w:tcPr>
          <w:p w14:paraId="1D572ADC" w14:textId="77777777" w:rsidR="005F2818" w:rsidRDefault="005F2818" w:rsidP="00660892">
            <w:pPr>
              <w:spacing w:line="256" w:lineRule="auto"/>
              <w:jc w:val="left"/>
              <w:rPr>
                <w:rFonts w:ascii="Arial Narrow" w:hAnsi="Arial Narrow"/>
                <w:color w:val="333333"/>
                <w:kern w:val="2"/>
                <w:sz w:val="20"/>
                <w:szCs w:val="20"/>
                <w14:ligatures w14:val="standardContextual"/>
              </w:rPr>
            </w:pPr>
          </w:p>
        </w:tc>
        <w:tc>
          <w:tcPr>
            <w:tcW w:w="7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140873" w14:textId="66202B52"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94E509" w14:textId="77777777" w:rsidR="005F2818" w:rsidRDefault="005F2818" w:rsidP="00660892">
            <w:pPr>
              <w:spacing w:line="254" w:lineRule="auto"/>
              <w:rPr>
                <w:rFonts w:ascii="Arial Narrow" w:eastAsia="Calibri" w:hAnsi="Arial Narrow"/>
                <w:b/>
                <w:kern w:val="2"/>
                <w:sz w:val="20"/>
                <w:szCs w:val="20"/>
              </w:rPr>
            </w:pPr>
            <w:r>
              <w:rPr>
                <w:rFonts w:ascii="Arial Narrow" w:eastAsia="Calibri" w:hAnsi="Arial Narrow"/>
                <w:b/>
                <w:kern w:val="2"/>
                <w:sz w:val="20"/>
                <w:szCs w:val="20"/>
              </w:rPr>
              <w:t xml:space="preserve">Administrative Advice: </w:t>
            </w:r>
          </w:p>
          <w:p w14:paraId="0E23927E" w14:textId="77777777" w:rsidR="005F2818" w:rsidRDefault="005F2818" w:rsidP="00660892">
            <w:pPr>
              <w:spacing w:line="254" w:lineRule="auto"/>
              <w:rPr>
                <w:rFonts w:ascii="Arial Narrow" w:hAnsi="Arial Narrow"/>
                <w:b/>
                <w:bCs/>
                <w:color w:val="333333"/>
                <w:kern w:val="2"/>
                <w:sz w:val="20"/>
                <w:szCs w:val="20"/>
              </w:rPr>
            </w:pPr>
            <w:r>
              <w:rPr>
                <w:rFonts w:ascii="Arial Narrow" w:eastAsia="Calibri" w:hAnsi="Arial Narrow"/>
                <w:bCs/>
                <w:kern w:val="2"/>
                <w:sz w:val="20"/>
                <w:szCs w:val="20"/>
              </w:rPr>
              <w:t>Special Pricing Arrangements apply.</w:t>
            </w:r>
          </w:p>
        </w:tc>
      </w:tr>
      <w:tr w:rsidR="005F2818" w14:paraId="2781AF73" w14:textId="77777777" w:rsidTr="00660892">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B29CEB" w14:textId="77777777"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3AD170" w14:textId="77777777" w:rsidR="005F2818" w:rsidRDefault="005F2818" w:rsidP="00660892">
            <w:pPr>
              <w:spacing w:line="254" w:lineRule="auto"/>
              <w:rPr>
                <w:rFonts w:ascii="Arial Narrow" w:hAnsi="Arial Narrow"/>
                <w:bCs/>
                <w:color w:val="AEAAAA" w:themeColor="background2" w:themeShade="BF"/>
                <w:kern w:val="2"/>
                <w:sz w:val="20"/>
                <w:szCs w:val="20"/>
              </w:rPr>
            </w:pPr>
            <w:r>
              <w:rPr>
                <w:rFonts w:ascii="Arial Narrow" w:hAnsi="Arial Narrow"/>
                <w:b/>
                <w:bCs/>
                <w:color w:val="AEAAAA" w:themeColor="background2" w:themeShade="BF"/>
                <w:kern w:val="2"/>
                <w:sz w:val="20"/>
                <w:szCs w:val="20"/>
              </w:rPr>
              <w:t xml:space="preserve">Episodicity: </w:t>
            </w:r>
            <w:r>
              <w:rPr>
                <w:rFonts w:ascii="Arial Narrow" w:hAnsi="Arial Narrow"/>
                <w:color w:val="AEAAAA" w:themeColor="background2" w:themeShade="BF"/>
                <w:kern w:val="2"/>
                <w:sz w:val="20"/>
                <w:szCs w:val="20"/>
              </w:rPr>
              <w:t>Chronic</w:t>
            </w:r>
          </w:p>
        </w:tc>
      </w:tr>
      <w:tr w:rsidR="005F2818" w14:paraId="5F5F6181" w14:textId="77777777" w:rsidTr="00660892">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3488B3" w14:textId="77777777"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6CFE2A" w14:textId="77777777" w:rsidR="005F2818" w:rsidRDefault="005F2818" w:rsidP="00660892">
            <w:pPr>
              <w:spacing w:line="254" w:lineRule="auto"/>
              <w:rPr>
                <w:rFonts w:ascii="Arial Narrow" w:hAnsi="Arial Narrow"/>
                <w:b/>
                <w:bCs/>
                <w:color w:val="AEAAAA" w:themeColor="background2" w:themeShade="BF"/>
                <w:kern w:val="2"/>
                <w:sz w:val="20"/>
                <w:szCs w:val="20"/>
              </w:rPr>
            </w:pPr>
            <w:r>
              <w:rPr>
                <w:rFonts w:ascii="Arial Narrow" w:hAnsi="Arial Narrow"/>
                <w:b/>
                <w:bCs/>
                <w:color w:val="AEAAAA" w:themeColor="background2" w:themeShade="BF"/>
                <w:kern w:val="2"/>
                <w:sz w:val="20"/>
                <w:szCs w:val="20"/>
              </w:rPr>
              <w:t xml:space="preserve">Severity: </w:t>
            </w:r>
            <w:r>
              <w:rPr>
                <w:rFonts w:ascii="Arial Narrow" w:hAnsi="Arial Narrow"/>
                <w:color w:val="AEAAAA" w:themeColor="background2" w:themeShade="BF"/>
                <w:kern w:val="2"/>
                <w:sz w:val="20"/>
                <w:szCs w:val="20"/>
              </w:rPr>
              <w:t>NA</w:t>
            </w:r>
          </w:p>
        </w:tc>
      </w:tr>
      <w:tr w:rsidR="005F2818" w14:paraId="0A28C123" w14:textId="77777777" w:rsidTr="00660892">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2C804E" w14:textId="77777777"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43267F" w14:textId="77777777" w:rsidR="005F2818" w:rsidRDefault="005F2818" w:rsidP="00660892">
            <w:pPr>
              <w:spacing w:line="254" w:lineRule="auto"/>
              <w:rPr>
                <w:rFonts w:ascii="Arial Narrow" w:hAnsi="Arial Narrow"/>
                <w:b/>
                <w:bCs/>
                <w:color w:val="AEAAAA" w:themeColor="background2" w:themeShade="BF"/>
                <w:kern w:val="2"/>
                <w:sz w:val="20"/>
                <w:szCs w:val="20"/>
              </w:rPr>
            </w:pPr>
            <w:r>
              <w:rPr>
                <w:rFonts w:ascii="Arial Narrow" w:hAnsi="Arial Narrow"/>
                <w:b/>
                <w:bCs/>
                <w:color w:val="AEAAAA" w:themeColor="background2" w:themeShade="BF"/>
                <w:kern w:val="2"/>
                <w:sz w:val="20"/>
                <w:szCs w:val="20"/>
              </w:rPr>
              <w:t xml:space="preserve">Condition: </w:t>
            </w:r>
            <w:r>
              <w:rPr>
                <w:rFonts w:ascii="Arial Narrow" w:hAnsi="Arial Narrow"/>
                <w:color w:val="AEAAAA" w:themeColor="background2" w:themeShade="BF"/>
                <w:kern w:val="2"/>
                <w:sz w:val="20"/>
                <w:szCs w:val="20"/>
              </w:rPr>
              <w:t xml:space="preserve">Endogenous </w:t>
            </w:r>
            <w:r>
              <w:rPr>
                <w:rFonts w:ascii="Arial Narrow" w:hAnsi="Arial Narrow"/>
                <w:bCs/>
                <w:color w:val="AEAAAA" w:themeColor="background2" w:themeShade="BF"/>
                <w:kern w:val="2"/>
                <w:sz w:val="20"/>
                <w:szCs w:val="20"/>
              </w:rPr>
              <w:t>Cushing’s Syndrome</w:t>
            </w:r>
          </w:p>
        </w:tc>
      </w:tr>
      <w:tr w:rsidR="005F2818" w14:paraId="08C5B9EC" w14:textId="77777777" w:rsidTr="00AD6926">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861DE0" w14:textId="7B2ADB80"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350320"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Indication:</w:t>
            </w:r>
            <w:r>
              <w:rPr>
                <w:rFonts w:ascii="Arial Narrow" w:hAnsi="Arial Narrow"/>
                <w:color w:val="333333"/>
                <w:kern w:val="2"/>
                <w:sz w:val="20"/>
                <w:szCs w:val="20"/>
              </w:rPr>
              <w:t xml:space="preserve"> Endogenous Cushing’s syndrome</w:t>
            </w:r>
          </w:p>
        </w:tc>
      </w:tr>
      <w:tr w:rsidR="005F2818" w14:paraId="77393B07" w14:textId="77777777" w:rsidTr="00AD6926">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7A374D" w14:textId="77777777" w:rsidR="005F2818" w:rsidRDefault="005F2818" w:rsidP="00660892">
            <w:pP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A85105" w14:textId="77777777" w:rsidR="005F2818" w:rsidRDefault="005F2818" w:rsidP="00660892">
            <w:pPr>
              <w:spacing w:line="254" w:lineRule="auto"/>
              <w:rPr>
                <w:rFonts w:ascii="Arial Narrow" w:hAnsi="Arial Narrow"/>
                <w:color w:val="333333"/>
                <w:kern w:val="2"/>
                <w:sz w:val="20"/>
                <w:szCs w:val="20"/>
                <w14:ligatures w14:val="standardContextual"/>
              </w:rPr>
            </w:pPr>
            <w:r>
              <w:rPr>
                <w:rFonts w:ascii="Arial Narrow" w:hAnsi="Arial Narrow"/>
                <w:b/>
                <w:bCs/>
                <w:color w:val="333333"/>
                <w:kern w:val="2"/>
                <w:sz w:val="20"/>
                <w:szCs w:val="20"/>
              </w:rPr>
              <w:t>Treatment Phase:</w:t>
            </w:r>
            <w:r>
              <w:rPr>
                <w:rFonts w:ascii="Arial Narrow" w:hAnsi="Arial Narrow"/>
                <w:color w:val="333333"/>
                <w:kern w:val="2"/>
                <w:sz w:val="20"/>
                <w:szCs w:val="20"/>
              </w:rPr>
              <w:t xml:space="preserve"> Initial treatment</w:t>
            </w:r>
          </w:p>
        </w:tc>
      </w:tr>
      <w:tr w:rsidR="005F2818" w14:paraId="71E44E44" w14:textId="77777777" w:rsidTr="00AD6926">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9A7274" w14:textId="3633C13A"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25B02B"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Clinical criteria:</w:t>
            </w:r>
          </w:p>
        </w:tc>
      </w:tr>
      <w:tr w:rsidR="005F2818" w14:paraId="5BB3F4E8" w14:textId="77777777" w:rsidTr="00AD6926">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9B6F14" w14:textId="7A888E21"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012D28"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The condition must be, at least one of:</w:t>
            </w:r>
          </w:p>
          <w:p w14:paraId="242E17AC" w14:textId="77777777" w:rsidR="005F2818" w:rsidRDefault="005F2818" w:rsidP="00660892">
            <w:pPr>
              <w:spacing w:line="254" w:lineRule="auto"/>
              <w:rPr>
                <w:rFonts w:ascii="Arial Narrow" w:hAnsi="Arial Narrow"/>
                <w:b/>
                <w:bCs/>
                <w:color w:val="333333"/>
                <w:kern w:val="2"/>
                <w:sz w:val="20"/>
                <w:szCs w:val="20"/>
              </w:rPr>
            </w:pPr>
            <w:r>
              <w:rPr>
                <w:rFonts w:ascii="Arial Narrow" w:hAnsi="Arial Narrow"/>
                <w:color w:val="333333"/>
                <w:kern w:val="2"/>
                <w:sz w:val="20"/>
                <w:szCs w:val="20"/>
              </w:rPr>
              <w:lastRenderedPageBreak/>
              <w:t>(i) persistent hypercortisolism after surgery,</w:t>
            </w:r>
          </w:p>
          <w:p w14:paraId="174EE78C" w14:textId="77777777" w:rsidR="005F2818" w:rsidRDefault="005F2818" w:rsidP="00660892">
            <w:pPr>
              <w:spacing w:line="254" w:lineRule="auto"/>
              <w:rPr>
                <w:rFonts w:ascii="Arial Narrow" w:hAnsi="Arial Narrow"/>
                <w:b/>
                <w:bCs/>
                <w:color w:val="333333"/>
                <w:kern w:val="2"/>
                <w:sz w:val="20"/>
                <w:szCs w:val="20"/>
              </w:rPr>
            </w:pPr>
            <w:r>
              <w:rPr>
                <w:rFonts w:ascii="Arial Narrow" w:hAnsi="Arial Narrow"/>
                <w:color w:val="333333"/>
                <w:kern w:val="2"/>
                <w:sz w:val="20"/>
                <w:szCs w:val="20"/>
              </w:rPr>
              <w:t xml:space="preserve">(ii) recurrent hypercortisolism after surgery, </w:t>
            </w:r>
          </w:p>
          <w:p w14:paraId="491592F7"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(iii) inappropriate for surgery.</w:t>
            </w:r>
          </w:p>
        </w:tc>
      </w:tr>
      <w:tr w:rsidR="005F2818" w14:paraId="2E00958C" w14:textId="77777777" w:rsidTr="00660892">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C746B1" w14:textId="77777777"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EFC90B" w14:textId="77777777" w:rsidR="005F2818" w:rsidRDefault="005F2818" w:rsidP="00660892">
            <w:pPr>
              <w:spacing w:line="254" w:lineRule="auto"/>
              <w:rPr>
                <w:rFonts w:ascii="Arial Narrow" w:hAnsi="Arial Narrow"/>
                <w:b/>
                <w:bCs/>
                <w:color w:val="333333"/>
                <w:kern w:val="2"/>
                <w:sz w:val="20"/>
                <w:szCs w:val="20"/>
              </w:rPr>
            </w:pPr>
            <w:r>
              <w:rPr>
                <w:rFonts w:ascii="Arial Narrow" w:hAnsi="Arial Narrow"/>
                <w:b/>
                <w:bCs/>
                <w:color w:val="333333"/>
                <w:kern w:val="2"/>
                <w:sz w:val="20"/>
                <w:szCs w:val="20"/>
              </w:rPr>
              <w:t>AND</w:t>
            </w:r>
          </w:p>
        </w:tc>
      </w:tr>
      <w:tr w:rsidR="005F2818" w14:paraId="645FB4C7" w14:textId="77777777" w:rsidTr="00AD6926">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75DAB9" w14:textId="63C193CD"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54D442" w14:textId="77777777" w:rsidR="005F2818" w:rsidRDefault="005F2818" w:rsidP="00660892">
            <w:pPr>
              <w:spacing w:line="254" w:lineRule="auto"/>
              <w:rPr>
                <w:rFonts w:ascii="Arial Narrow" w:hAnsi="Arial Narrow"/>
                <w:b/>
                <w:bCs/>
                <w:color w:val="333333"/>
                <w:kern w:val="2"/>
                <w:sz w:val="20"/>
                <w:szCs w:val="20"/>
              </w:rPr>
            </w:pPr>
            <w:r>
              <w:rPr>
                <w:rFonts w:ascii="Arial Narrow" w:hAnsi="Arial Narrow"/>
                <w:b/>
                <w:bCs/>
                <w:color w:val="333333"/>
                <w:kern w:val="2"/>
                <w:sz w:val="20"/>
                <w:szCs w:val="20"/>
              </w:rPr>
              <w:t>Clinical criteria:</w:t>
            </w:r>
          </w:p>
        </w:tc>
      </w:tr>
      <w:tr w:rsidR="005F2818" w14:paraId="68DBC966" w14:textId="77777777" w:rsidTr="00AD6926">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A7171A" w14:textId="14501D94" w:rsidR="005F2818" w:rsidRDefault="005F2818" w:rsidP="00660892">
            <w:pPr>
              <w:spacing w:line="254" w:lineRule="auto"/>
              <w:jc w:val="center"/>
              <w:rPr>
                <w:rFonts w:ascii="Arial Narrow" w:hAnsi="Arial Narrow"/>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2E0E00" w14:textId="77777777" w:rsidR="005F2818" w:rsidRDefault="005F2818" w:rsidP="00660892">
            <w:pPr>
              <w:spacing w:line="254" w:lineRule="auto"/>
              <w:rPr>
                <w:rFonts w:ascii="Arial Narrow" w:hAnsi="Arial Narrow"/>
                <w:b/>
                <w:bCs/>
                <w:kern w:val="2"/>
                <w:sz w:val="20"/>
                <w:szCs w:val="20"/>
              </w:rPr>
            </w:pPr>
            <w:r>
              <w:rPr>
                <w:rFonts w:ascii="Arial Narrow" w:hAnsi="Arial Narrow"/>
                <w:kern w:val="2"/>
                <w:sz w:val="20"/>
                <w:szCs w:val="20"/>
              </w:rPr>
              <w:t xml:space="preserve">Patient must have active endogenous Cushing’s Syndrome determined by a mean urinary free cortisol (UFC) level greater than 1.3 times the upper limit of normal (ULN). </w:t>
            </w:r>
            <w:r>
              <w:rPr>
                <w:rFonts w:ascii="Arial Narrow" w:hAnsi="Arial Narrow"/>
                <w:b/>
                <w:bCs/>
                <w:kern w:val="2"/>
                <w:sz w:val="20"/>
                <w:szCs w:val="20"/>
              </w:rPr>
              <w:t>OR</w:t>
            </w:r>
          </w:p>
        </w:tc>
      </w:tr>
      <w:tr w:rsidR="005F2818" w14:paraId="5C212AC7" w14:textId="77777777" w:rsidTr="00AD6926">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CA3F1F" w14:textId="608B8524" w:rsidR="005F2818" w:rsidRDefault="005F2818" w:rsidP="00660892">
            <w:pPr>
              <w:spacing w:line="254" w:lineRule="auto"/>
              <w:jc w:val="center"/>
              <w:rPr>
                <w:rFonts w:ascii="Arial Narrow" w:hAnsi="Arial Narrow"/>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E465C6" w14:textId="77777777" w:rsidR="005F2818" w:rsidRDefault="005F2818" w:rsidP="00660892">
            <w:pPr>
              <w:spacing w:line="254" w:lineRule="auto"/>
              <w:rPr>
                <w:rFonts w:ascii="Arial Narrow" w:hAnsi="Arial Narrow"/>
                <w:kern w:val="2"/>
                <w:sz w:val="20"/>
                <w:szCs w:val="20"/>
              </w:rPr>
            </w:pPr>
            <w:r>
              <w:rPr>
                <w:rFonts w:ascii="Arial Narrow" w:hAnsi="Arial Narrow"/>
                <w:kern w:val="2"/>
                <w:sz w:val="20"/>
                <w:szCs w:val="20"/>
              </w:rPr>
              <w:t>Patient must have undergone treatment for this condition with conventional therapies to control cortisol production resulting in an improved UFC level prior to applying for the initial authority application of this drug.</w:t>
            </w:r>
          </w:p>
        </w:tc>
      </w:tr>
      <w:tr w:rsidR="005F2818" w14:paraId="664A1514" w14:textId="77777777" w:rsidTr="00660892">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7309ED" w14:textId="77777777" w:rsidR="005F2818" w:rsidRDefault="005F2818" w:rsidP="00660892">
            <w:pPr>
              <w:spacing w:line="254" w:lineRule="auto"/>
              <w:jc w:val="center"/>
              <w:rPr>
                <w:rFonts w:ascii="Arial Narrow" w:hAnsi="Arial Narrow"/>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50D00A" w14:textId="77777777" w:rsidR="005F2818" w:rsidRDefault="005F2818" w:rsidP="00660892">
            <w:pPr>
              <w:spacing w:line="254" w:lineRule="auto"/>
              <w:rPr>
                <w:rFonts w:ascii="Arial Narrow" w:hAnsi="Arial Narrow"/>
                <w:b/>
                <w:bCs/>
                <w:kern w:val="2"/>
                <w:sz w:val="20"/>
                <w:szCs w:val="20"/>
              </w:rPr>
            </w:pPr>
            <w:r>
              <w:rPr>
                <w:rFonts w:ascii="Arial Narrow" w:hAnsi="Arial Narrow"/>
                <w:b/>
                <w:bCs/>
                <w:kern w:val="2"/>
                <w:sz w:val="20"/>
                <w:szCs w:val="20"/>
              </w:rPr>
              <w:t>AND</w:t>
            </w:r>
          </w:p>
        </w:tc>
      </w:tr>
      <w:tr w:rsidR="005F2818" w14:paraId="1C8512DE" w14:textId="77777777" w:rsidTr="00AD6926">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178D70" w14:textId="637F8FC4" w:rsidR="005F2818" w:rsidRDefault="005F2818" w:rsidP="00660892">
            <w:pPr>
              <w:spacing w:line="254" w:lineRule="auto"/>
              <w:jc w:val="center"/>
              <w:rPr>
                <w:rFonts w:ascii="Arial Narrow" w:hAnsi="Arial Narrow"/>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99CE1C" w14:textId="77777777" w:rsidR="005F2818" w:rsidRDefault="005F2818" w:rsidP="00660892">
            <w:pPr>
              <w:spacing w:line="254" w:lineRule="auto"/>
              <w:rPr>
                <w:rFonts w:ascii="Arial Narrow" w:hAnsi="Arial Narrow"/>
                <w:kern w:val="2"/>
                <w:sz w:val="20"/>
                <w:szCs w:val="20"/>
              </w:rPr>
            </w:pPr>
            <w:r>
              <w:rPr>
                <w:rFonts w:ascii="Arial Narrow" w:hAnsi="Arial Narrow"/>
                <w:b/>
                <w:bCs/>
                <w:kern w:val="2"/>
                <w:sz w:val="20"/>
                <w:szCs w:val="20"/>
              </w:rPr>
              <w:t>Treatment criteria:</w:t>
            </w:r>
          </w:p>
        </w:tc>
      </w:tr>
      <w:tr w:rsidR="005F2818" w14:paraId="7673ABC0" w14:textId="77777777" w:rsidTr="00AD6926">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318A84" w14:textId="2FBB3C4E" w:rsidR="005F2818" w:rsidRDefault="005F2818" w:rsidP="00660892">
            <w:pPr>
              <w:spacing w:line="254" w:lineRule="auto"/>
              <w:jc w:val="center"/>
              <w:rPr>
                <w:rFonts w:ascii="Arial Narrow" w:hAnsi="Arial Narrow"/>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9BC8D0" w14:textId="77777777" w:rsidR="005F2818" w:rsidRDefault="005F2818" w:rsidP="00660892">
            <w:pPr>
              <w:autoSpaceDE w:val="0"/>
              <w:autoSpaceDN w:val="0"/>
              <w:adjustRightInd w:val="0"/>
              <w:spacing w:line="254" w:lineRule="auto"/>
              <w:rPr>
                <w:rFonts w:ascii="Arial Narrow" w:eastAsia="Calibri" w:hAnsi="Arial Narrow" w:cs="Arial Narrow"/>
                <w:kern w:val="2"/>
                <w:sz w:val="20"/>
                <w:szCs w:val="20"/>
              </w:rPr>
            </w:pPr>
            <w:r>
              <w:rPr>
                <w:rFonts w:ascii="Arial Narrow" w:hAnsi="Arial Narrow"/>
                <w:kern w:val="2"/>
                <w:sz w:val="20"/>
                <w:szCs w:val="20"/>
              </w:rPr>
              <w:t xml:space="preserve">Must be treated by an endocrinologist. </w:t>
            </w:r>
          </w:p>
        </w:tc>
      </w:tr>
      <w:tr w:rsidR="005F2818" w14:paraId="7D3E3226" w14:textId="77777777" w:rsidTr="00660892">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90DCEF" w14:textId="77777777"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78A427" w14:textId="77777777" w:rsidR="005F2818" w:rsidRDefault="005F2818" w:rsidP="00660892">
            <w:pPr>
              <w:autoSpaceDE w:val="0"/>
              <w:autoSpaceDN w:val="0"/>
              <w:adjustRightInd w:val="0"/>
              <w:spacing w:line="254" w:lineRule="auto"/>
              <w:rPr>
                <w:rFonts w:ascii="Arial Narrow" w:hAnsi="Arial Narrow"/>
                <w:strike/>
                <w:color w:val="333333"/>
                <w:kern w:val="2"/>
                <w:sz w:val="20"/>
                <w:szCs w:val="20"/>
              </w:rPr>
            </w:pPr>
          </w:p>
        </w:tc>
      </w:tr>
      <w:tr w:rsidR="005F2818" w14:paraId="50C003C7" w14:textId="77777777" w:rsidTr="00660892">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16CEAB" w14:textId="77777777"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03617E"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Population criteria:</w:t>
            </w:r>
          </w:p>
        </w:tc>
      </w:tr>
      <w:tr w:rsidR="005F2818" w14:paraId="14F96D08" w14:textId="77777777" w:rsidTr="00AD6926">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5DBD6F" w14:textId="3D05379B"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394ADA"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Patient must be at least 18 years of age.</w:t>
            </w:r>
          </w:p>
        </w:tc>
      </w:tr>
      <w:tr w:rsidR="005F2818" w14:paraId="77CF56FF" w14:textId="77777777" w:rsidTr="00660892">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D88B98" w14:textId="77777777"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702F31" w14:textId="77777777" w:rsidR="005F2818" w:rsidRDefault="005F2818" w:rsidP="00660892">
            <w:pPr>
              <w:spacing w:line="254" w:lineRule="auto"/>
              <w:rPr>
                <w:rFonts w:ascii="Arial Narrow" w:hAnsi="Arial Narrow"/>
                <w:color w:val="333333"/>
                <w:kern w:val="2"/>
                <w:sz w:val="20"/>
                <w:szCs w:val="20"/>
              </w:rPr>
            </w:pPr>
          </w:p>
        </w:tc>
      </w:tr>
      <w:tr w:rsidR="005F2818" w14:paraId="61DDDBE2" w14:textId="77777777" w:rsidTr="00AD6926">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495990" w14:textId="0C3302CA"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FDDCED"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Prescribing Instructions:</w:t>
            </w:r>
            <w:r>
              <w:rPr>
                <w:rFonts w:ascii="Arial Narrow" w:hAnsi="Arial Narrow"/>
                <w:color w:val="333333"/>
                <w:kern w:val="2"/>
                <w:sz w:val="20"/>
                <w:szCs w:val="20"/>
              </w:rPr>
              <w:t xml:space="preserve"> </w:t>
            </w:r>
          </w:p>
          <w:p w14:paraId="0611545B"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For the purposes of administering this restriction, the mean UFC is the average of at least two values being 1.3 times greater than the ULN.</w:t>
            </w:r>
          </w:p>
        </w:tc>
      </w:tr>
      <w:tr w:rsidR="005F2818" w14:paraId="2E4FFC57" w14:textId="77777777" w:rsidTr="00AD6926">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49491E" w14:textId="1BFEABD1"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86B978"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Prescribing Instructions:</w:t>
            </w:r>
            <w:r>
              <w:rPr>
                <w:rFonts w:ascii="Arial Narrow" w:hAnsi="Arial Narrow"/>
                <w:color w:val="333333"/>
                <w:kern w:val="2"/>
                <w:sz w:val="20"/>
                <w:szCs w:val="20"/>
              </w:rPr>
              <w:t xml:space="preserve"> </w:t>
            </w:r>
          </w:p>
          <w:p w14:paraId="58862BED"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Patient must undergo a dose titration period whereby responses must be assessed every 1-2 weeks until the mean UFC levels are within the normal range.</w:t>
            </w:r>
            <w:r>
              <w:rPr>
                <w:rFonts w:eastAsia="Calibri"/>
                <w:kern w:val="2"/>
                <w:sz w:val="20"/>
                <w:szCs w:val="20"/>
              </w:rPr>
              <w:t xml:space="preserve"> </w:t>
            </w:r>
          </w:p>
        </w:tc>
      </w:tr>
      <w:tr w:rsidR="005F2818" w14:paraId="7F5FA3AE" w14:textId="77777777" w:rsidTr="00AD6926">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9055E5" w14:textId="14123FC1"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3C0630"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Prescribing Instructions:</w:t>
            </w:r>
            <w:r>
              <w:rPr>
                <w:rFonts w:ascii="Arial Narrow" w:hAnsi="Arial Narrow"/>
                <w:color w:val="333333"/>
                <w:kern w:val="2"/>
                <w:sz w:val="20"/>
                <w:szCs w:val="20"/>
              </w:rPr>
              <w:t xml:space="preserve"> </w:t>
            </w:r>
          </w:p>
          <w:p w14:paraId="5AC62AAA" w14:textId="1B2485E3" w:rsidR="005F2818" w:rsidRDefault="005F2818" w:rsidP="00660892">
            <w:pPr>
              <w:spacing w:line="254" w:lineRule="auto"/>
              <w:rPr>
                <w:rFonts w:ascii="Arial Narrow" w:hAnsi="Arial Narrow"/>
                <w:strike/>
                <w:color w:val="333333"/>
                <w:kern w:val="2"/>
                <w:sz w:val="20"/>
                <w:szCs w:val="20"/>
              </w:rPr>
            </w:pPr>
            <w:r>
              <w:rPr>
                <w:rFonts w:ascii="Arial Narrow" w:hAnsi="Arial Narrow"/>
                <w:color w:val="333333"/>
                <w:kern w:val="2"/>
                <w:sz w:val="20"/>
                <w:szCs w:val="20"/>
              </w:rPr>
              <w:t>At the time of authority application, medical practitioners must request the appropriate number of packs to provide sufficient drug, based on the prescribed dose of the patient, for 4 weeks of treatment. A separate authority prescription form must be completed for each strength requested. The dose must not exceed 30 mg twice daily. Up to a maximum of</w:t>
            </w:r>
            <w:r w:rsidR="00373894">
              <w:rPr>
                <w:rFonts w:ascii="Arial Narrow" w:hAnsi="Arial Narrow"/>
                <w:color w:val="333333"/>
                <w:kern w:val="2"/>
                <w:sz w:val="20"/>
                <w:szCs w:val="20"/>
              </w:rPr>
              <w:t xml:space="preserve"> </w:t>
            </w:r>
            <w:r w:rsidR="00057E25">
              <w:rPr>
                <w:rFonts w:ascii="Arial Narrow" w:hAnsi="Arial Narrow"/>
                <w:color w:val="333333"/>
                <w:kern w:val="2"/>
                <w:sz w:val="20"/>
                <w:szCs w:val="20"/>
              </w:rPr>
              <w:t>6</w:t>
            </w:r>
            <w:r w:rsidR="002651E4">
              <w:rPr>
                <w:rFonts w:ascii="Arial Narrow" w:hAnsi="Arial Narrow"/>
                <w:color w:val="333333"/>
                <w:kern w:val="2"/>
                <w:sz w:val="20"/>
                <w:szCs w:val="20"/>
              </w:rPr>
              <w:t xml:space="preserve"> </w:t>
            </w:r>
            <w:r>
              <w:rPr>
                <w:rFonts w:ascii="Arial Narrow" w:hAnsi="Arial Narrow"/>
                <w:color w:val="333333"/>
                <w:kern w:val="2"/>
                <w:sz w:val="20"/>
                <w:szCs w:val="20"/>
              </w:rPr>
              <w:t>repeats will be authorised</w:t>
            </w:r>
            <w:r>
              <w:rPr>
                <w:rFonts w:ascii="Arial Narrow" w:hAnsi="Arial Narrow"/>
                <w:strike/>
                <w:color w:val="333333"/>
                <w:kern w:val="2"/>
                <w:sz w:val="20"/>
                <w:szCs w:val="20"/>
              </w:rPr>
              <w:t xml:space="preserve"> </w:t>
            </w:r>
          </w:p>
        </w:tc>
      </w:tr>
      <w:tr w:rsidR="005F2818" w14:paraId="24D8FCEA" w14:textId="77777777" w:rsidTr="00AD6926">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1747F2" w14:textId="633126D6"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2FBA98"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Prescribing Instructions:</w:t>
            </w:r>
            <w:r>
              <w:rPr>
                <w:rFonts w:ascii="Arial Narrow" w:hAnsi="Arial Narrow"/>
                <w:color w:val="333333"/>
                <w:kern w:val="2"/>
                <w:sz w:val="20"/>
                <w:szCs w:val="20"/>
              </w:rPr>
              <w:t xml:space="preserve"> </w:t>
            </w:r>
          </w:p>
          <w:p w14:paraId="65165573" w14:textId="77777777" w:rsidR="005F2818" w:rsidRDefault="005F2818" w:rsidP="00660892">
            <w:pPr>
              <w:spacing w:line="254" w:lineRule="auto"/>
              <w:rPr>
                <w:rFonts w:ascii="Arial Narrow" w:hAnsi="Arial Narrow"/>
                <w:b/>
                <w:bCs/>
                <w:color w:val="333333"/>
                <w:kern w:val="2"/>
                <w:sz w:val="20"/>
                <w:szCs w:val="20"/>
              </w:rPr>
            </w:pPr>
            <w:r>
              <w:rPr>
                <w:rFonts w:ascii="Arial Narrow" w:hAnsi="Arial Narrow"/>
                <w:color w:val="333333"/>
                <w:kern w:val="2"/>
                <w:sz w:val="20"/>
                <w:szCs w:val="20"/>
              </w:rPr>
              <w:t>Where there is a current, approved PBS prescription with valid repeat prescriptions specified (i.e., where the dose is changing), mark the prescription that is intended for no further supply as 'Cancelled'.</w:t>
            </w:r>
          </w:p>
        </w:tc>
      </w:tr>
      <w:tr w:rsidR="005F2818" w14:paraId="7FE5A7C1" w14:textId="77777777" w:rsidTr="00AD6926">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6B5235" w14:textId="6FABC39E"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3D93BF"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Prescribing Instructions:</w:t>
            </w:r>
            <w:r>
              <w:rPr>
                <w:rFonts w:ascii="Arial Narrow" w:hAnsi="Arial Narrow"/>
                <w:color w:val="333333"/>
                <w:kern w:val="2"/>
                <w:sz w:val="20"/>
                <w:szCs w:val="20"/>
              </w:rPr>
              <w:t xml:space="preserve"> </w:t>
            </w:r>
          </w:p>
          <w:p w14:paraId="5059CDB8" w14:textId="77777777" w:rsidR="005F2818" w:rsidRDefault="005F2818" w:rsidP="00660892">
            <w:pPr>
              <w:spacing w:line="254" w:lineRule="auto"/>
              <w:rPr>
                <w:rFonts w:ascii="Arial Narrow" w:hAnsi="Arial Narrow"/>
                <w:strike/>
                <w:color w:val="333333"/>
                <w:kern w:val="2"/>
                <w:sz w:val="20"/>
                <w:szCs w:val="20"/>
              </w:rPr>
            </w:pPr>
            <w:r>
              <w:rPr>
                <w:rFonts w:ascii="Arial Narrow" w:hAnsi="Arial Narrow"/>
                <w:color w:val="333333"/>
                <w:kern w:val="2"/>
                <w:sz w:val="20"/>
                <w:szCs w:val="20"/>
              </w:rPr>
              <w:t>The condition is inappropriate for surgery if the patient:</w:t>
            </w:r>
          </w:p>
          <w:p w14:paraId="2035E2B0" w14:textId="77777777" w:rsidR="005F2818" w:rsidRDefault="005F2818" w:rsidP="00660892">
            <w:pPr>
              <w:numPr>
                <w:ilvl w:val="0"/>
                <w:numId w:val="11"/>
              </w:numPr>
              <w:spacing w:line="254" w:lineRule="auto"/>
              <w:rPr>
                <w:rFonts w:ascii="Arial Narrow" w:hAnsi="Arial Narrow"/>
                <w:color w:val="333333"/>
                <w:kern w:val="2"/>
                <w:sz w:val="20"/>
                <w:szCs w:val="20"/>
              </w:rPr>
            </w:pPr>
            <w:r>
              <w:rPr>
                <w:rFonts w:ascii="Arial Narrow" w:hAnsi="Arial Narrow"/>
                <w:color w:val="333333"/>
                <w:kern w:val="2"/>
                <w:sz w:val="20"/>
                <w:szCs w:val="20"/>
              </w:rPr>
              <w:t>has a medical contraindication for surgery</w:t>
            </w:r>
          </w:p>
          <w:p w14:paraId="4E46416B" w14:textId="77777777" w:rsidR="005F2818" w:rsidRDefault="005F2818" w:rsidP="00660892">
            <w:pPr>
              <w:numPr>
                <w:ilvl w:val="0"/>
                <w:numId w:val="11"/>
              </w:numPr>
              <w:spacing w:line="254" w:lineRule="auto"/>
              <w:rPr>
                <w:rFonts w:ascii="Arial Narrow" w:hAnsi="Arial Narrow"/>
                <w:color w:val="333333"/>
                <w:kern w:val="2"/>
                <w:sz w:val="20"/>
                <w:szCs w:val="20"/>
              </w:rPr>
            </w:pPr>
            <w:r>
              <w:rPr>
                <w:rFonts w:ascii="Arial Narrow" w:hAnsi="Arial Narrow"/>
                <w:color w:val="333333"/>
                <w:kern w:val="2"/>
                <w:sz w:val="20"/>
                <w:szCs w:val="20"/>
              </w:rPr>
              <w:t>has inoperable tumours</w:t>
            </w:r>
          </w:p>
          <w:p w14:paraId="78488AA6" w14:textId="77777777" w:rsidR="005F2818" w:rsidRDefault="005F2818" w:rsidP="00660892">
            <w:pPr>
              <w:numPr>
                <w:ilvl w:val="0"/>
                <w:numId w:val="11"/>
              </w:numPr>
              <w:spacing w:line="254" w:lineRule="auto"/>
              <w:rPr>
                <w:rFonts w:ascii="Arial Narrow" w:hAnsi="Arial Narrow"/>
                <w:color w:val="333333"/>
                <w:kern w:val="2"/>
                <w:sz w:val="20"/>
                <w:szCs w:val="20"/>
              </w:rPr>
            </w:pPr>
            <w:r>
              <w:rPr>
                <w:rFonts w:ascii="Arial Narrow" w:hAnsi="Arial Narrow"/>
                <w:color w:val="333333"/>
                <w:kern w:val="2"/>
                <w:sz w:val="20"/>
                <w:szCs w:val="20"/>
              </w:rPr>
              <w:t>has been determined that surgery is unlikely to reduce hypercortisolism</w:t>
            </w:r>
          </w:p>
          <w:p w14:paraId="11FBE7E9" w14:textId="77777777" w:rsidR="005F2818" w:rsidRDefault="005F2818" w:rsidP="00660892">
            <w:pPr>
              <w:numPr>
                <w:ilvl w:val="0"/>
                <w:numId w:val="11"/>
              </w:numPr>
              <w:spacing w:line="254" w:lineRule="auto"/>
              <w:rPr>
                <w:rFonts w:ascii="Arial Narrow" w:hAnsi="Arial Narrow"/>
                <w:color w:val="333333"/>
                <w:kern w:val="2"/>
                <w:sz w:val="20"/>
                <w:szCs w:val="20"/>
              </w:rPr>
            </w:pPr>
            <w:r>
              <w:rPr>
                <w:rFonts w:ascii="Arial Narrow" w:hAnsi="Arial Narrow"/>
                <w:color w:val="333333"/>
                <w:kern w:val="2"/>
                <w:sz w:val="20"/>
                <w:szCs w:val="20"/>
              </w:rPr>
              <w:t>refuses surgery</w:t>
            </w:r>
          </w:p>
          <w:p w14:paraId="07FC94D0" w14:textId="77777777" w:rsidR="005F2818" w:rsidRDefault="005F2818" w:rsidP="00660892">
            <w:pPr>
              <w:numPr>
                <w:ilvl w:val="0"/>
                <w:numId w:val="11"/>
              </w:numPr>
              <w:spacing w:line="254" w:lineRule="auto"/>
              <w:rPr>
                <w:rFonts w:ascii="Arial Narrow" w:hAnsi="Arial Narrow"/>
                <w:strike/>
                <w:color w:val="333333"/>
                <w:kern w:val="2"/>
                <w:sz w:val="20"/>
                <w:szCs w:val="20"/>
              </w:rPr>
            </w:pPr>
            <w:r>
              <w:rPr>
                <w:rFonts w:ascii="Arial Narrow" w:hAnsi="Arial Narrow"/>
                <w:color w:val="333333"/>
                <w:kern w:val="2"/>
                <w:sz w:val="20"/>
                <w:szCs w:val="20"/>
              </w:rPr>
              <w:t>can’t access surgical treatment</w:t>
            </w:r>
            <w:r>
              <w:rPr>
                <w:rFonts w:ascii="Arial Narrow" w:hAnsi="Arial Narrow"/>
                <w:strike/>
                <w:color w:val="333333"/>
                <w:kern w:val="2"/>
                <w:sz w:val="20"/>
                <w:szCs w:val="20"/>
              </w:rPr>
              <w:t xml:space="preserve"> </w:t>
            </w:r>
          </w:p>
        </w:tc>
      </w:tr>
      <w:tr w:rsidR="005F2818" w14:paraId="6611D770" w14:textId="77777777" w:rsidTr="00AD6926">
        <w:tc>
          <w:tcPr>
            <w:tcW w:w="11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61A029" w14:textId="2B7C8979" w:rsidR="005F2818" w:rsidRDefault="005F2818" w:rsidP="00660892">
            <w:pPr>
              <w:spacing w:line="254" w:lineRule="auto"/>
              <w:jc w:val="center"/>
              <w:rPr>
                <w:rFonts w:ascii="Arial Narrow" w:hAnsi="Arial Narrow"/>
                <w:color w:val="333333"/>
                <w:kern w:val="2"/>
                <w:sz w:val="20"/>
                <w:szCs w:val="20"/>
              </w:rPr>
            </w:pPr>
          </w:p>
        </w:tc>
        <w:tc>
          <w:tcPr>
            <w:tcW w:w="8366"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4A00EA"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Administrative advice:</w:t>
            </w:r>
            <w:r>
              <w:rPr>
                <w:rFonts w:ascii="Arial Narrow" w:hAnsi="Arial Narrow"/>
                <w:color w:val="333333"/>
                <w:kern w:val="2"/>
                <w:sz w:val="20"/>
                <w:szCs w:val="20"/>
              </w:rPr>
              <w:t xml:space="preserve"> Applications for authorisation under this restriction may be made in real time using the Online PBS Authorities system (see www.servicesaustralia.gov.au/HPOS) or by telephone by contacting Services Australia on 1800 888 333.</w:t>
            </w:r>
          </w:p>
        </w:tc>
      </w:tr>
      <w:tr w:rsidR="005F2818" w14:paraId="17F20493" w14:textId="77777777" w:rsidTr="00660892">
        <w:trPr>
          <w:trHeight w:val="530"/>
        </w:trPr>
        <w:tc>
          <w:tcPr>
            <w:tcW w:w="9499" w:type="dxa"/>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82DA00" w14:textId="77777777" w:rsidR="005F2818" w:rsidRDefault="005F2818" w:rsidP="00660892">
            <w:pPr>
              <w:spacing w:line="254" w:lineRule="auto"/>
              <w:rPr>
                <w:rFonts w:ascii="Arial Narrow" w:hAnsi="Arial Narrow"/>
                <w:b/>
                <w:bCs/>
                <w:color w:val="333333"/>
                <w:kern w:val="2"/>
                <w:sz w:val="20"/>
                <w:szCs w:val="20"/>
              </w:rPr>
            </w:pPr>
          </w:p>
        </w:tc>
      </w:tr>
      <w:tr w:rsidR="005F2818" w14:paraId="1558744B" w14:textId="77777777" w:rsidTr="00660892">
        <w:tc>
          <w:tcPr>
            <w:tcW w:w="9499" w:type="dxa"/>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A63553" w14:textId="77777777" w:rsidR="005F2818" w:rsidRDefault="005F2818" w:rsidP="00660892">
            <w:pPr>
              <w:spacing w:line="254" w:lineRule="auto"/>
              <w:rPr>
                <w:rFonts w:ascii="Arial Narrow" w:hAnsi="Arial Narrow"/>
                <w:b/>
                <w:bCs/>
                <w:color w:val="333333"/>
                <w:kern w:val="2"/>
                <w:sz w:val="20"/>
                <w:szCs w:val="20"/>
              </w:rPr>
            </w:pPr>
            <w:r>
              <w:rPr>
                <w:rFonts w:ascii="Arial Narrow" w:hAnsi="Arial Narrow"/>
                <w:b/>
                <w:kern w:val="2"/>
                <w:sz w:val="20"/>
                <w:szCs w:val="20"/>
              </w:rPr>
              <w:t>Restriction Summary [new3]</w:t>
            </w:r>
            <w:r>
              <w:rPr>
                <w:rFonts w:ascii="Arial Narrow" w:hAnsi="Arial Narrow"/>
                <w:b/>
                <w:color w:val="FF0000"/>
                <w:kern w:val="2"/>
                <w:sz w:val="20"/>
                <w:szCs w:val="20"/>
              </w:rPr>
              <w:t xml:space="preserve"> </w:t>
            </w:r>
            <w:r>
              <w:rPr>
                <w:rFonts w:ascii="Arial Narrow" w:hAnsi="Arial Narrow"/>
                <w:b/>
                <w:kern w:val="2"/>
                <w:sz w:val="20"/>
                <w:szCs w:val="20"/>
              </w:rPr>
              <w:t>/ Treatment of Concept: [new4]</w:t>
            </w:r>
          </w:p>
        </w:tc>
      </w:tr>
      <w:tr w:rsidR="005F2818" w14:paraId="7D857545"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720B21" w14:textId="63B2B136"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21DF6F"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Indication:</w:t>
            </w:r>
            <w:r>
              <w:rPr>
                <w:rFonts w:ascii="Arial Narrow" w:hAnsi="Arial Narrow"/>
                <w:color w:val="333333"/>
                <w:kern w:val="2"/>
                <w:sz w:val="20"/>
                <w:szCs w:val="20"/>
              </w:rPr>
              <w:t xml:space="preserve"> Endogenous Cushing’s syndrome</w:t>
            </w:r>
          </w:p>
        </w:tc>
      </w:tr>
      <w:tr w:rsidR="005F2818" w14:paraId="296BEC66"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F0D101" w14:textId="77777777" w:rsidR="005F2818" w:rsidRDefault="005F2818" w:rsidP="00660892">
            <w:pP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8ECD6F" w14:textId="77777777" w:rsidR="005F2818" w:rsidRDefault="005F2818" w:rsidP="00660892">
            <w:pPr>
              <w:spacing w:line="254" w:lineRule="auto"/>
              <w:rPr>
                <w:rFonts w:ascii="Arial Narrow" w:hAnsi="Arial Narrow"/>
                <w:color w:val="333333"/>
                <w:kern w:val="2"/>
                <w:sz w:val="20"/>
                <w:szCs w:val="20"/>
                <w14:ligatures w14:val="standardContextual"/>
              </w:rPr>
            </w:pPr>
            <w:r>
              <w:rPr>
                <w:rFonts w:ascii="Arial Narrow" w:hAnsi="Arial Narrow"/>
                <w:b/>
                <w:bCs/>
                <w:color w:val="333333"/>
                <w:kern w:val="2"/>
                <w:sz w:val="20"/>
                <w:szCs w:val="20"/>
              </w:rPr>
              <w:t>Treatment Phase:</w:t>
            </w:r>
            <w:r>
              <w:rPr>
                <w:rFonts w:ascii="Arial Narrow" w:hAnsi="Arial Narrow"/>
                <w:color w:val="333333"/>
                <w:kern w:val="2"/>
                <w:sz w:val="20"/>
                <w:szCs w:val="20"/>
              </w:rPr>
              <w:t xml:space="preserve"> Transitioning from non-PBS to PBS-subsidised treatment – ‘grandfather’ arrangements  </w:t>
            </w:r>
          </w:p>
        </w:tc>
      </w:tr>
      <w:tr w:rsidR="005F2818" w14:paraId="048F2DB3"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58CD10" w14:textId="59453EAE"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BFA7A4"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Clinical criteria:</w:t>
            </w:r>
          </w:p>
        </w:tc>
      </w:tr>
      <w:tr w:rsidR="005F2818" w14:paraId="04E64748"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D8EDD2" w14:textId="50827FC9"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2830D6"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Patient must have previously received non-PBS subsidised treatment with this drug for this condition prior to [listing date]</w:t>
            </w:r>
          </w:p>
        </w:tc>
      </w:tr>
      <w:tr w:rsidR="005F2818" w14:paraId="603F868F"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4937DA" w14:textId="77777777" w:rsidR="005F2818" w:rsidRDefault="005F2818" w:rsidP="00660892">
            <w:pP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F05D7E" w14:textId="77777777" w:rsidR="005F2818" w:rsidRDefault="005F2818" w:rsidP="00660892">
            <w:pPr>
              <w:spacing w:line="254" w:lineRule="auto"/>
              <w:rPr>
                <w:rFonts w:ascii="Arial Narrow" w:hAnsi="Arial Narrow"/>
                <w:b/>
                <w:bCs/>
                <w:color w:val="333333"/>
                <w:kern w:val="2"/>
                <w:sz w:val="20"/>
                <w:szCs w:val="20"/>
                <w14:ligatures w14:val="standardContextual"/>
              </w:rPr>
            </w:pPr>
            <w:r>
              <w:rPr>
                <w:rFonts w:ascii="Arial Narrow" w:hAnsi="Arial Narrow"/>
                <w:b/>
                <w:bCs/>
                <w:color w:val="333333"/>
                <w:kern w:val="2"/>
                <w:sz w:val="20"/>
                <w:szCs w:val="20"/>
              </w:rPr>
              <w:t>AND</w:t>
            </w:r>
          </w:p>
        </w:tc>
      </w:tr>
      <w:tr w:rsidR="005F2818" w14:paraId="562C9FF0"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1A0959" w14:textId="396D3569"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E5564E" w14:textId="77777777" w:rsidR="005F2818" w:rsidRDefault="005F2818" w:rsidP="00660892">
            <w:pPr>
              <w:spacing w:line="254" w:lineRule="auto"/>
              <w:rPr>
                <w:rFonts w:ascii="Arial Narrow" w:hAnsi="Arial Narrow"/>
                <w:b/>
                <w:bCs/>
                <w:color w:val="333333"/>
                <w:kern w:val="2"/>
                <w:sz w:val="20"/>
                <w:szCs w:val="20"/>
              </w:rPr>
            </w:pPr>
            <w:r>
              <w:rPr>
                <w:rFonts w:ascii="Arial Narrow" w:hAnsi="Arial Narrow"/>
                <w:b/>
                <w:bCs/>
                <w:color w:val="333333"/>
                <w:kern w:val="2"/>
                <w:sz w:val="20"/>
                <w:szCs w:val="20"/>
              </w:rPr>
              <w:t>Clinical criteria:</w:t>
            </w:r>
          </w:p>
        </w:tc>
      </w:tr>
      <w:tr w:rsidR="005F2818" w14:paraId="33F7E053"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00ABD8" w14:textId="2DA6CC7F"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CD4612"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The condition must have been, at least one of:</w:t>
            </w:r>
          </w:p>
          <w:p w14:paraId="5306211D" w14:textId="77777777" w:rsidR="005F2818" w:rsidRDefault="005F2818" w:rsidP="00660892">
            <w:pPr>
              <w:spacing w:line="254" w:lineRule="auto"/>
              <w:rPr>
                <w:rFonts w:ascii="Arial Narrow" w:hAnsi="Arial Narrow"/>
                <w:b/>
                <w:bCs/>
                <w:color w:val="333333"/>
                <w:kern w:val="2"/>
                <w:sz w:val="20"/>
                <w:szCs w:val="20"/>
              </w:rPr>
            </w:pPr>
            <w:r>
              <w:rPr>
                <w:rFonts w:ascii="Arial Narrow" w:hAnsi="Arial Narrow"/>
                <w:color w:val="333333"/>
                <w:kern w:val="2"/>
                <w:sz w:val="20"/>
                <w:szCs w:val="20"/>
              </w:rPr>
              <w:t>(i) persistent hypercortisolism after surgery,</w:t>
            </w:r>
          </w:p>
          <w:p w14:paraId="2D314A0D" w14:textId="77777777" w:rsidR="005F2818" w:rsidRDefault="005F2818" w:rsidP="00660892">
            <w:pPr>
              <w:spacing w:line="254" w:lineRule="auto"/>
              <w:rPr>
                <w:rFonts w:ascii="Arial Narrow" w:hAnsi="Arial Narrow"/>
                <w:b/>
                <w:bCs/>
                <w:color w:val="333333"/>
                <w:kern w:val="2"/>
                <w:sz w:val="20"/>
                <w:szCs w:val="20"/>
              </w:rPr>
            </w:pPr>
            <w:r>
              <w:rPr>
                <w:rFonts w:ascii="Arial Narrow" w:hAnsi="Arial Narrow"/>
                <w:color w:val="333333"/>
                <w:kern w:val="2"/>
                <w:sz w:val="20"/>
                <w:szCs w:val="20"/>
              </w:rPr>
              <w:t xml:space="preserve">(ii) recurrent hypercortisolism after surgery, </w:t>
            </w:r>
          </w:p>
          <w:p w14:paraId="56F29981" w14:textId="77777777" w:rsidR="005F2818" w:rsidRDefault="005F2818" w:rsidP="00660892">
            <w:pPr>
              <w:spacing w:line="254" w:lineRule="auto"/>
              <w:rPr>
                <w:rFonts w:ascii="Arial Narrow" w:hAnsi="Arial Narrow"/>
                <w:b/>
                <w:bCs/>
                <w:color w:val="333333"/>
                <w:kern w:val="2"/>
                <w:sz w:val="20"/>
                <w:szCs w:val="20"/>
              </w:rPr>
            </w:pPr>
            <w:r>
              <w:rPr>
                <w:rFonts w:ascii="Arial Narrow" w:hAnsi="Arial Narrow"/>
                <w:color w:val="333333"/>
                <w:kern w:val="2"/>
                <w:sz w:val="20"/>
                <w:szCs w:val="20"/>
              </w:rPr>
              <w:t xml:space="preserve">(iii) inappropriate for surgery, prior to commencing non-PBS subsidised treatment with this drug </w:t>
            </w:r>
          </w:p>
        </w:tc>
      </w:tr>
      <w:tr w:rsidR="005F2818" w14:paraId="14245B93" w14:textId="77777777" w:rsidTr="00660892">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65B0A9" w14:textId="77777777"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371B70" w14:textId="77777777" w:rsidR="005F2818" w:rsidRDefault="005F2818" w:rsidP="00660892">
            <w:pPr>
              <w:spacing w:line="254" w:lineRule="auto"/>
              <w:rPr>
                <w:rFonts w:ascii="Arial Narrow" w:hAnsi="Arial Narrow"/>
                <w:strike/>
                <w:color w:val="333333"/>
                <w:kern w:val="2"/>
                <w:sz w:val="20"/>
                <w:szCs w:val="20"/>
              </w:rPr>
            </w:pPr>
            <w:r>
              <w:rPr>
                <w:rFonts w:ascii="Arial Narrow" w:hAnsi="Arial Narrow"/>
                <w:b/>
                <w:bCs/>
                <w:color w:val="333333"/>
                <w:kern w:val="2"/>
                <w:sz w:val="20"/>
                <w:szCs w:val="20"/>
              </w:rPr>
              <w:t>AND</w:t>
            </w:r>
          </w:p>
        </w:tc>
      </w:tr>
      <w:tr w:rsidR="005F2818" w14:paraId="53821FD3"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D9DF9B" w14:textId="72FFE552"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6428E8" w14:textId="77777777" w:rsidR="005F2818" w:rsidRDefault="005F2818" w:rsidP="00660892">
            <w:pPr>
              <w:spacing w:line="254" w:lineRule="auto"/>
              <w:rPr>
                <w:rFonts w:ascii="Arial Narrow" w:hAnsi="Arial Narrow"/>
                <w:strike/>
                <w:color w:val="333333"/>
                <w:kern w:val="2"/>
                <w:sz w:val="20"/>
                <w:szCs w:val="20"/>
              </w:rPr>
            </w:pPr>
            <w:r>
              <w:rPr>
                <w:rFonts w:ascii="Arial Narrow" w:hAnsi="Arial Narrow"/>
                <w:b/>
                <w:bCs/>
                <w:color w:val="333333"/>
                <w:kern w:val="2"/>
                <w:sz w:val="20"/>
                <w:szCs w:val="20"/>
              </w:rPr>
              <w:t>Clinical criteria:</w:t>
            </w:r>
          </w:p>
        </w:tc>
      </w:tr>
      <w:tr w:rsidR="005F2818" w14:paraId="7002E12C"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0BCFCC" w14:textId="5E0D7C0A"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2F9F66"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Patient must have had active endogenous Cushing’s Syndrome determined by a mean urinary free cortisol (UFC) level greater than 1.3 times the upper limit of normal (ULN) prior to commencing non-PBS subsidised treatment with this drug.</w:t>
            </w:r>
          </w:p>
        </w:tc>
      </w:tr>
      <w:tr w:rsidR="005F2818" w14:paraId="31D0C42C" w14:textId="77777777" w:rsidTr="00660892">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853C03" w14:textId="77777777"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5C0FA3"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AND</w:t>
            </w:r>
          </w:p>
        </w:tc>
      </w:tr>
      <w:tr w:rsidR="005F2818" w14:paraId="1F641940"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028B4D" w14:textId="465C7236"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A6CF1B"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Clinical criteria:</w:t>
            </w:r>
          </w:p>
        </w:tc>
      </w:tr>
      <w:tr w:rsidR="005F2818" w14:paraId="5997E877" w14:textId="77777777" w:rsidTr="00660892">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968F1" w14:textId="63964EA4" w:rsidR="005F2818" w:rsidRPr="00AC0A37" w:rsidRDefault="005F2818" w:rsidP="00660892">
            <w:pPr>
              <w:spacing w:line="254" w:lineRule="auto"/>
              <w:jc w:val="center"/>
              <w:rPr>
                <w:rFonts w:ascii="Arial Narrow" w:hAnsi="Arial Narrow"/>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ABC455" w14:textId="77777777" w:rsidR="005F2818" w:rsidRPr="00AC0A37" w:rsidRDefault="005F2818" w:rsidP="00660892">
            <w:pPr>
              <w:spacing w:line="254" w:lineRule="auto"/>
              <w:rPr>
                <w:rFonts w:ascii="Arial Narrow" w:hAnsi="Arial Narrow"/>
                <w:kern w:val="2"/>
                <w:sz w:val="20"/>
                <w:szCs w:val="20"/>
              </w:rPr>
            </w:pPr>
            <w:r w:rsidRPr="00AC0A37">
              <w:rPr>
                <w:rFonts w:ascii="Arial Narrow" w:hAnsi="Arial Narrow"/>
                <w:kern w:val="2"/>
                <w:sz w:val="20"/>
                <w:szCs w:val="20"/>
              </w:rPr>
              <w:t>Patient must have demonstrated a complete response if they have received at least 26 weeks of initial non-PBS subsidised therapy OR</w:t>
            </w:r>
          </w:p>
        </w:tc>
      </w:tr>
      <w:tr w:rsidR="005F2818" w14:paraId="7F8451B0" w14:textId="77777777" w:rsidTr="00660892">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BDF32D" w14:textId="1853DF4B" w:rsidR="005F2818" w:rsidRPr="00AC0A37" w:rsidRDefault="005F2818" w:rsidP="00660892">
            <w:pPr>
              <w:spacing w:line="254" w:lineRule="auto"/>
              <w:jc w:val="center"/>
              <w:rPr>
                <w:rFonts w:ascii="Arial Narrow" w:hAnsi="Arial Narrow"/>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26C5F0" w14:textId="77777777" w:rsidR="005F2818" w:rsidRPr="00AC0A37" w:rsidRDefault="005F2818" w:rsidP="00660892">
            <w:pPr>
              <w:spacing w:line="254" w:lineRule="auto"/>
              <w:rPr>
                <w:rFonts w:ascii="Arial Narrow" w:hAnsi="Arial Narrow"/>
                <w:kern w:val="2"/>
                <w:sz w:val="20"/>
                <w:szCs w:val="20"/>
              </w:rPr>
            </w:pPr>
            <w:r w:rsidRPr="00AC0A37">
              <w:rPr>
                <w:rFonts w:ascii="Arial Narrow" w:hAnsi="Arial Narrow"/>
                <w:kern w:val="2"/>
                <w:sz w:val="20"/>
                <w:szCs w:val="20"/>
              </w:rPr>
              <w:t>Patient must have demonstrated a partial response if they have received at least 26 weeks of initial non-PBS subsidised therapy. </w:t>
            </w:r>
          </w:p>
        </w:tc>
      </w:tr>
      <w:tr w:rsidR="005F2818" w14:paraId="11215189"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3ED469" w14:textId="64AA016F"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678335" w14:textId="77777777" w:rsidR="005F2818" w:rsidRDefault="005F2818" w:rsidP="00660892">
            <w:pPr>
              <w:autoSpaceDE w:val="0"/>
              <w:autoSpaceDN w:val="0"/>
              <w:adjustRightInd w:val="0"/>
              <w:spacing w:line="254" w:lineRule="auto"/>
              <w:rPr>
                <w:rFonts w:ascii="Arial Narrow" w:hAnsi="Arial Narrow"/>
                <w:kern w:val="2"/>
                <w:sz w:val="20"/>
                <w:szCs w:val="20"/>
              </w:rPr>
            </w:pPr>
            <w:r>
              <w:rPr>
                <w:rFonts w:ascii="Arial Narrow" w:hAnsi="Arial Narrow"/>
                <w:b/>
                <w:bCs/>
                <w:kern w:val="2"/>
                <w:sz w:val="20"/>
                <w:szCs w:val="20"/>
              </w:rPr>
              <w:t>Treatment criteria:</w:t>
            </w:r>
          </w:p>
        </w:tc>
      </w:tr>
      <w:tr w:rsidR="005F2818" w14:paraId="615DA941"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41C0F9" w14:textId="6905DA36"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94DFE1" w14:textId="77777777" w:rsidR="005F2818" w:rsidRDefault="005F2818" w:rsidP="00660892">
            <w:pPr>
              <w:autoSpaceDE w:val="0"/>
              <w:autoSpaceDN w:val="0"/>
              <w:adjustRightInd w:val="0"/>
              <w:spacing w:line="254" w:lineRule="auto"/>
              <w:rPr>
                <w:rFonts w:ascii="Arial Narrow" w:hAnsi="Arial Narrow"/>
                <w:strike/>
                <w:kern w:val="2"/>
                <w:sz w:val="20"/>
                <w:szCs w:val="20"/>
              </w:rPr>
            </w:pPr>
            <w:r>
              <w:rPr>
                <w:rFonts w:ascii="Arial Narrow" w:hAnsi="Arial Narrow"/>
                <w:kern w:val="2"/>
                <w:sz w:val="20"/>
                <w:szCs w:val="20"/>
              </w:rPr>
              <w:t xml:space="preserve">Must be treated by an endocrinologist </w:t>
            </w:r>
          </w:p>
        </w:tc>
      </w:tr>
      <w:tr w:rsidR="005F2818" w14:paraId="4D573A74" w14:textId="77777777" w:rsidTr="00660892">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331FBE" w14:textId="77777777"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55A2E7" w14:textId="77777777" w:rsidR="005F2818" w:rsidRDefault="005F2818" w:rsidP="00660892">
            <w:pPr>
              <w:autoSpaceDE w:val="0"/>
              <w:autoSpaceDN w:val="0"/>
              <w:adjustRightInd w:val="0"/>
              <w:spacing w:line="254" w:lineRule="auto"/>
              <w:rPr>
                <w:rFonts w:ascii="Arial Narrow" w:hAnsi="Arial Narrow"/>
                <w:kern w:val="2"/>
                <w:sz w:val="20"/>
                <w:szCs w:val="20"/>
              </w:rPr>
            </w:pPr>
            <w:r>
              <w:rPr>
                <w:rFonts w:ascii="Arial Narrow" w:hAnsi="Arial Narrow"/>
                <w:b/>
                <w:bCs/>
                <w:kern w:val="2"/>
                <w:sz w:val="20"/>
                <w:szCs w:val="20"/>
              </w:rPr>
              <w:t>Population criteria:</w:t>
            </w:r>
          </w:p>
        </w:tc>
      </w:tr>
      <w:tr w:rsidR="005F2818" w14:paraId="0BA9C18C"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6A595F" w14:textId="2091301F"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F35FA9" w14:textId="77777777" w:rsidR="005F2818" w:rsidRDefault="005F2818" w:rsidP="00660892">
            <w:pPr>
              <w:spacing w:line="254" w:lineRule="auto"/>
              <w:rPr>
                <w:rFonts w:ascii="Arial Narrow" w:hAnsi="Arial Narrow"/>
                <w:kern w:val="2"/>
                <w:sz w:val="20"/>
                <w:szCs w:val="20"/>
              </w:rPr>
            </w:pPr>
            <w:r>
              <w:rPr>
                <w:rFonts w:ascii="Arial Narrow" w:hAnsi="Arial Narrow"/>
                <w:kern w:val="2"/>
                <w:sz w:val="20"/>
                <w:szCs w:val="20"/>
              </w:rPr>
              <w:t xml:space="preserve">Patients must be at least 18 years of age. </w:t>
            </w:r>
          </w:p>
        </w:tc>
      </w:tr>
      <w:tr w:rsidR="005F2818" w14:paraId="1FF16BD0"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72C199" w14:textId="7CEFDB51"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79C4B9"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Prescribing Instructions:</w:t>
            </w:r>
            <w:r>
              <w:rPr>
                <w:rFonts w:ascii="Arial Narrow" w:hAnsi="Arial Narrow"/>
                <w:color w:val="333333"/>
                <w:kern w:val="2"/>
                <w:sz w:val="20"/>
                <w:szCs w:val="20"/>
              </w:rPr>
              <w:t xml:space="preserve"> </w:t>
            </w:r>
          </w:p>
          <w:p w14:paraId="2D7CEB9D"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 xml:space="preserve">For the purposes of administering this restriction, a complete response is defined as a mean urinary free cortisol (UFC) level of less than or equal to the upper limit of normal (ULN). </w:t>
            </w:r>
          </w:p>
          <w:p w14:paraId="2C67A9FF"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A partial response is defined as mean UFC level of greater than ULN but with at least 50% reduction from the baseline value. The mean UFC should be the average of at least two urine samples.</w:t>
            </w:r>
          </w:p>
        </w:tc>
      </w:tr>
      <w:tr w:rsidR="005F2818" w14:paraId="5FECC6B3"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1CBAE" w14:textId="18BDAC43"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AF7FC5"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Prescribing Instructions:</w:t>
            </w:r>
            <w:r>
              <w:rPr>
                <w:rFonts w:ascii="Arial Narrow" w:hAnsi="Arial Narrow"/>
                <w:color w:val="333333"/>
                <w:kern w:val="2"/>
                <w:sz w:val="20"/>
                <w:szCs w:val="20"/>
              </w:rPr>
              <w:t xml:space="preserve"> </w:t>
            </w:r>
          </w:p>
          <w:p w14:paraId="7BC56CD3" w14:textId="77777777" w:rsidR="005F2818" w:rsidRDefault="005F2818" w:rsidP="00660892">
            <w:pPr>
              <w:spacing w:line="254" w:lineRule="auto"/>
              <w:rPr>
                <w:rFonts w:ascii="Arial Narrow" w:hAnsi="Arial Narrow"/>
                <w:b/>
                <w:bCs/>
                <w:color w:val="333333"/>
                <w:kern w:val="2"/>
                <w:sz w:val="20"/>
                <w:szCs w:val="20"/>
              </w:rPr>
            </w:pPr>
            <w:r>
              <w:rPr>
                <w:rFonts w:ascii="Arial Narrow" w:hAnsi="Arial Narrow"/>
                <w:color w:val="333333"/>
                <w:kern w:val="2"/>
                <w:sz w:val="20"/>
                <w:szCs w:val="20"/>
              </w:rPr>
              <w:t>Patient must undergo a dose titration period whereby responses must be assessed every 1-2 weeks until the mean UFC levels are within the normal range.</w:t>
            </w:r>
            <w:r>
              <w:rPr>
                <w:rFonts w:eastAsia="Calibri"/>
                <w:kern w:val="2"/>
                <w:sz w:val="20"/>
                <w:szCs w:val="20"/>
              </w:rPr>
              <w:t xml:space="preserve"> </w:t>
            </w:r>
          </w:p>
        </w:tc>
      </w:tr>
      <w:tr w:rsidR="005F2818" w14:paraId="1D376AA4"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8F982C" w14:textId="3F86474E"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CD8CFA"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Prescribing Instructions:</w:t>
            </w:r>
            <w:r>
              <w:rPr>
                <w:rFonts w:ascii="Arial Narrow" w:hAnsi="Arial Narrow"/>
                <w:color w:val="333333"/>
                <w:kern w:val="2"/>
                <w:sz w:val="20"/>
                <w:szCs w:val="20"/>
              </w:rPr>
              <w:t xml:space="preserve"> </w:t>
            </w:r>
          </w:p>
          <w:p w14:paraId="4CA6271D"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At the time of authority application, medical practitioners must request the appropriate number of packs to provide sufficient drug, based on the prescribed dose of the patient, for 4 weeks of treatment. A separate authority prescription form must be completed for each strength requested. The dose must not exceed 30 mg twice daily. Up to a maximum of 5 repeats will be authorised.</w:t>
            </w:r>
          </w:p>
        </w:tc>
      </w:tr>
      <w:tr w:rsidR="005F2818" w14:paraId="3253D234"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02C6A7" w14:textId="1D6A4152"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8BF3E5"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Prescribing Instructions:</w:t>
            </w:r>
            <w:r>
              <w:rPr>
                <w:rFonts w:ascii="Arial Narrow" w:hAnsi="Arial Narrow"/>
                <w:color w:val="333333"/>
                <w:kern w:val="2"/>
                <w:sz w:val="20"/>
                <w:szCs w:val="20"/>
              </w:rPr>
              <w:t xml:space="preserve"> </w:t>
            </w:r>
          </w:p>
          <w:p w14:paraId="67188283"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Where there is a current, approved PBS prescription with valid repeat prescriptions specified (i.e., where the dose is changing), mark the prescription that is intended for no further supply as 'Cancelled'.</w:t>
            </w:r>
          </w:p>
        </w:tc>
      </w:tr>
      <w:tr w:rsidR="005F2818" w14:paraId="1AA3F1F2"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B3DCF9" w14:textId="1058B34B"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310C42"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Prescribing Instructions:</w:t>
            </w:r>
            <w:r>
              <w:rPr>
                <w:rFonts w:ascii="Arial Narrow" w:hAnsi="Arial Narrow"/>
                <w:color w:val="333333"/>
                <w:kern w:val="2"/>
                <w:sz w:val="20"/>
                <w:szCs w:val="20"/>
              </w:rPr>
              <w:t xml:space="preserve"> </w:t>
            </w:r>
          </w:p>
          <w:p w14:paraId="5BB0049C" w14:textId="77777777" w:rsidR="005F2818" w:rsidRDefault="005F2818" w:rsidP="00660892">
            <w:pPr>
              <w:spacing w:line="254" w:lineRule="auto"/>
              <w:rPr>
                <w:rFonts w:ascii="Arial Narrow" w:hAnsi="Arial Narrow"/>
                <w:strike/>
                <w:color w:val="333333"/>
                <w:kern w:val="2"/>
                <w:sz w:val="20"/>
                <w:szCs w:val="20"/>
              </w:rPr>
            </w:pPr>
            <w:r>
              <w:rPr>
                <w:rFonts w:ascii="Arial Narrow" w:hAnsi="Arial Narrow"/>
                <w:color w:val="333333"/>
                <w:kern w:val="2"/>
                <w:sz w:val="20"/>
                <w:szCs w:val="20"/>
              </w:rPr>
              <w:t>The condition is inappropriate for surgery if the patient:</w:t>
            </w:r>
          </w:p>
          <w:p w14:paraId="0AADBD33" w14:textId="77777777" w:rsidR="005F2818" w:rsidRDefault="005F2818" w:rsidP="00660892">
            <w:pPr>
              <w:numPr>
                <w:ilvl w:val="0"/>
                <w:numId w:val="11"/>
              </w:numPr>
              <w:spacing w:line="254" w:lineRule="auto"/>
              <w:rPr>
                <w:rFonts w:ascii="Arial Narrow" w:hAnsi="Arial Narrow"/>
                <w:color w:val="333333"/>
                <w:kern w:val="2"/>
                <w:sz w:val="20"/>
                <w:szCs w:val="20"/>
              </w:rPr>
            </w:pPr>
            <w:r>
              <w:rPr>
                <w:rFonts w:ascii="Arial Narrow" w:hAnsi="Arial Narrow"/>
                <w:color w:val="333333"/>
                <w:kern w:val="2"/>
                <w:sz w:val="20"/>
                <w:szCs w:val="20"/>
              </w:rPr>
              <w:t>has a medical contraindication for surgery</w:t>
            </w:r>
          </w:p>
          <w:p w14:paraId="46400FEA" w14:textId="77777777" w:rsidR="005F2818" w:rsidRDefault="005F2818" w:rsidP="00660892">
            <w:pPr>
              <w:numPr>
                <w:ilvl w:val="0"/>
                <w:numId w:val="11"/>
              </w:numPr>
              <w:spacing w:line="254" w:lineRule="auto"/>
              <w:rPr>
                <w:rFonts w:ascii="Arial Narrow" w:hAnsi="Arial Narrow"/>
                <w:color w:val="333333"/>
                <w:kern w:val="2"/>
                <w:sz w:val="20"/>
                <w:szCs w:val="20"/>
              </w:rPr>
            </w:pPr>
            <w:r>
              <w:rPr>
                <w:rFonts w:ascii="Arial Narrow" w:hAnsi="Arial Narrow"/>
                <w:color w:val="333333"/>
                <w:kern w:val="2"/>
                <w:sz w:val="20"/>
                <w:szCs w:val="20"/>
              </w:rPr>
              <w:t>has inoperable tumours</w:t>
            </w:r>
          </w:p>
          <w:p w14:paraId="22AF5B4D" w14:textId="77777777" w:rsidR="005F2818" w:rsidRDefault="005F2818" w:rsidP="00660892">
            <w:pPr>
              <w:numPr>
                <w:ilvl w:val="0"/>
                <w:numId w:val="11"/>
              </w:numPr>
              <w:spacing w:line="254" w:lineRule="auto"/>
              <w:rPr>
                <w:rFonts w:ascii="Arial Narrow" w:hAnsi="Arial Narrow"/>
                <w:color w:val="333333"/>
                <w:kern w:val="2"/>
                <w:sz w:val="20"/>
                <w:szCs w:val="20"/>
              </w:rPr>
            </w:pPr>
            <w:r>
              <w:rPr>
                <w:rFonts w:ascii="Arial Narrow" w:hAnsi="Arial Narrow"/>
                <w:color w:val="333333"/>
                <w:kern w:val="2"/>
                <w:sz w:val="20"/>
                <w:szCs w:val="20"/>
              </w:rPr>
              <w:t>has been determined that surgery is unlikely to reduce hypercortisolism</w:t>
            </w:r>
          </w:p>
          <w:p w14:paraId="3C4E63E7" w14:textId="77777777" w:rsidR="005F2818" w:rsidRDefault="005F2818" w:rsidP="00660892">
            <w:pPr>
              <w:numPr>
                <w:ilvl w:val="0"/>
                <w:numId w:val="11"/>
              </w:numPr>
              <w:spacing w:line="254" w:lineRule="auto"/>
              <w:rPr>
                <w:rFonts w:ascii="Arial Narrow" w:hAnsi="Arial Narrow"/>
                <w:color w:val="333333"/>
                <w:kern w:val="2"/>
                <w:sz w:val="20"/>
                <w:szCs w:val="20"/>
              </w:rPr>
            </w:pPr>
            <w:r>
              <w:rPr>
                <w:rFonts w:ascii="Arial Narrow" w:hAnsi="Arial Narrow"/>
                <w:color w:val="333333"/>
                <w:kern w:val="2"/>
                <w:sz w:val="20"/>
                <w:szCs w:val="20"/>
              </w:rPr>
              <w:t xml:space="preserve"> refuses surgery</w:t>
            </w:r>
          </w:p>
          <w:p w14:paraId="265B60F9" w14:textId="77777777" w:rsidR="005F2818" w:rsidRDefault="005F2818" w:rsidP="00660892">
            <w:pPr>
              <w:numPr>
                <w:ilvl w:val="0"/>
                <w:numId w:val="11"/>
              </w:numPr>
              <w:spacing w:line="254" w:lineRule="auto"/>
              <w:rPr>
                <w:rFonts w:ascii="Arial Narrow" w:hAnsi="Arial Narrow"/>
                <w:color w:val="333333"/>
                <w:kern w:val="2"/>
                <w:sz w:val="20"/>
                <w:szCs w:val="20"/>
              </w:rPr>
            </w:pPr>
            <w:r>
              <w:rPr>
                <w:rFonts w:ascii="Arial Narrow" w:hAnsi="Arial Narrow"/>
                <w:color w:val="333333"/>
                <w:kern w:val="2"/>
                <w:sz w:val="20"/>
                <w:szCs w:val="20"/>
              </w:rPr>
              <w:t>can’t access surgical treatment</w:t>
            </w:r>
          </w:p>
        </w:tc>
      </w:tr>
      <w:tr w:rsidR="005F2818" w14:paraId="05B3DFD3"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85A151" w14:textId="35E3092E"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8A5015"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Prescribing Instructions:</w:t>
            </w:r>
            <w:r>
              <w:rPr>
                <w:rFonts w:ascii="Arial Narrow" w:hAnsi="Arial Narrow"/>
                <w:color w:val="333333"/>
                <w:kern w:val="2"/>
                <w:sz w:val="20"/>
                <w:szCs w:val="20"/>
              </w:rPr>
              <w:t xml:space="preserve"> </w:t>
            </w:r>
          </w:p>
          <w:p w14:paraId="602EFD2F" w14:textId="77777777" w:rsidR="005F2818" w:rsidRDefault="005F2818" w:rsidP="00660892">
            <w:pPr>
              <w:spacing w:line="254" w:lineRule="auto"/>
              <w:rPr>
                <w:rFonts w:ascii="Arial Narrow" w:hAnsi="Arial Narrow"/>
                <w:b/>
                <w:bCs/>
                <w:color w:val="333333"/>
                <w:kern w:val="2"/>
                <w:sz w:val="20"/>
                <w:szCs w:val="20"/>
              </w:rPr>
            </w:pPr>
            <w:r>
              <w:rPr>
                <w:rFonts w:ascii="Arial Narrow" w:hAnsi="Arial Narrow"/>
                <w:color w:val="333333"/>
                <w:kern w:val="2"/>
                <w:sz w:val="20"/>
                <w:szCs w:val="20"/>
              </w:rPr>
              <w:t xml:space="preserve">An </w:t>
            </w:r>
            <w:r>
              <w:rPr>
                <w:rFonts w:ascii="Arial Narrow" w:hAnsi="Arial Narrow"/>
                <w:kern w:val="2"/>
                <w:sz w:val="20"/>
                <w:szCs w:val="20"/>
              </w:rPr>
              <w:t>application for the continuing treatment must be accompanied with the assessment of response conducted after 26 weeks from the first dose of osilodrostat and no later than 4 weeks from the date of completion of treatment. This will enable ongoing tre</w:t>
            </w:r>
            <w:r>
              <w:rPr>
                <w:rFonts w:ascii="Arial Narrow" w:hAnsi="Arial Narrow"/>
                <w:color w:val="333333"/>
                <w:kern w:val="2"/>
                <w:sz w:val="20"/>
                <w:szCs w:val="20"/>
              </w:rPr>
              <w:t>atment for patients who meet the continuing restriction for PBS-subsidised treatment.</w:t>
            </w:r>
          </w:p>
        </w:tc>
      </w:tr>
      <w:tr w:rsidR="005F2818" w14:paraId="7261A1ED"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9E5CC5" w14:textId="61E407BF"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59D778"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Prescribing Instructions:</w:t>
            </w:r>
            <w:r>
              <w:rPr>
                <w:rFonts w:ascii="Arial Narrow" w:hAnsi="Arial Narrow"/>
                <w:color w:val="333333"/>
                <w:kern w:val="2"/>
                <w:sz w:val="20"/>
                <w:szCs w:val="20"/>
              </w:rPr>
              <w:t xml:space="preserve"> </w:t>
            </w:r>
          </w:p>
          <w:p w14:paraId="2FABF1A2" w14:textId="77777777" w:rsidR="005F2818" w:rsidRDefault="005F2818" w:rsidP="00660892">
            <w:pPr>
              <w:spacing w:line="254" w:lineRule="auto"/>
              <w:rPr>
                <w:rFonts w:ascii="Arial Narrow" w:hAnsi="Arial Narrow"/>
                <w:b/>
                <w:bCs/>
                <w:color w:val="333333"/>
                <w:kern w:val="2"/>
                <w:sz w:val="20"/>
                <w:szCs w:val="20"/>
              </w:rPr>
            </w:pPr>
            <w:r>
              <w:rPr>
                <w:rFonts w:ascii="Arial Narrow" w:eastAsia="Calibri" w:hAnsi="Arial Narrow"/>
                <w:bCs/>
                <w:kern w:val="2"/>
                <w:sz w:val="20"/>
                <w:szCs w:val="20"/>
              </w:rPr>
              <w:t>A Grandfathered patient may qualify for PBS-subsidised treatment under this restriction once only. For continuing PBS-subsidised treatment, a Grandfathered patient must qualify under the continuing treatment criteria.</w:t>
            </w:r>
          </w:p>
        </w:tc>
      </w:tr>
      <w:tr w:rsidR="005F2818" w14:paraId="5337A829"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8DE547" w14:textId="040A02A8"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A1A917" w14:textId="77777777" w:rsidR="005F2818" w:rsidRDefault="005F2818" w:rsidP="00660892">
            <w:pPr>
              <w:spacing w:line="254" w:lineRule="auto"/>
              <w:rPr>
                <w:rFonts w:ascii="Arial Narrow" w:eastAsia="Calibri" w:hAnsi="Arial Narrow"/>
                <w:bCs/>
                <w:kern w:val="2"/>
                <w:sz w:val="20"/>
                <w:szCs w:val="20"/>
              </w:rPr>
            </w:pPr>
            <w:r>
              <w:rPr>
                <w:rFonts w:ascii="Arial Narrow" w:eastAsia="Calibri" w:hAnsi="Arial Narrow"/>
                <w:b/>
                <w:kern w:val="2"/>
                <w:sz w:val="20"/>
                <w:szCs w:val="20"/>
              </w:rPr>
              <w:t>Administrative Advice:</w:t>
            </w:r>
            <w:r>
              <w:rPr>
                <w:rFonts w:ascii="Arial Narrow" w:eastAsia="Calibri" w:hAnsi="Arial Narrow"/>
                <w:bCs/>
                <w:kern w:val="2"/>
                <w:sz w:val="20"/>
                <w:szCs w:val="20"/>
              </w:rPr>
              <w:t xml:space="preserve"> </w:t>
            </w:r>
          </w:p>
          <w:p w14:paraId="50E09818" w14:textId="77777777" w:rsidR="005F2818" w:rsidRDefault="005F2818" w:rsidP="00660892">
            <w:pPr>
              <w:spacing w:line="254" w:lineRule="auto"/>
              <w:rPr>
                <w:rFonts w:ascii="Arial Narrow" w:hAnsi="Arial Narrow"/>
                <w:b/>
                <w:bCs/>
                <w:color w:val="333333"/>
                <w:kern w:val="2"/>
                <w:sz w:val="20"/>
                <w:szCs w:val="20"/>
              </w:rPr>
            </w:pPr>
            <w:r>
              <w:rPr>
                <w:rFonts w:ascii="Arial Narrow" w:eastAsia="Calibri" w:hAnsi="Arial Narrow"/>
                <w:bCs/>
                <w:kern w:val="2"/>
                <w:sz w:val="20"/>
                <w:szCs w:val="20"/>
              </w:rPr>
              <w:t>This Grandfather restriction will cease to operate from 12 months after the date specified in the clinical criteria</w:t>
            </w:r>
          </w:p>
        </w:tc>
      </w:tr>
      <w:tr w:rsidR="005F2818" w14:paraId="23AB2AA3" w14:textId="77777777" w:rsidTr="00AD6926">
        <w:tc>
          <w:tcPr>
            <w:tcW w:w="12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3B05C3" w14:textId="0F149976" w:rsidR="005F2818" w:rsidRDefault="005F2818" w:rsidP="00660892">
            <w:pPr>
              <w:spacing w:line="254" w:lineRule="auto"/>
              <w:jc w:val="center"/>
              <w:rPr>
                <w:rFonts w:ascii="Arial Narrow" w:hAnsi="Arial Narrow"/>
                <w:color w:val="333333"/>
                <w:kern w:val="2"/>
                <w:sz w:val="20"/>
                <w:szCs w:val="20"/>
              </w:rPr>
            </w:pPr>
          </w:p>
        </w:tc>
        <w:tc>
          <w:tcPr>
            <w:tcW w:w="8223"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58CDA7"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Administrative advice:</w:t>
            </w:r>
            <w:r>
              <w:rPr>
                <w:rFonts w:ascii="Arial Narrow" w:hAnsi="Arial Narrow"/>
                <w:color w:val="333333"/>
                <w:kern w:val="2"/>
                <w:sz w:val="20"/>
                <w:szCs w:val="20"/>
              </w:rPr>
              <w:t xml:space="preserve"> </w:t>
            </w:r>
          </w:p>
          <w:p w14:paraId="51D641E7" w14:textId="77777777" w:rsidR="005F2818" w:rsidRDefault="005F2818" w:rsidP="00660892">
            <w:pPr>
              <w:spacing w:line="254" w:lineRule="auto"/>
              <w:rPr>
                <w:rFonts w:ascii="Arial Narrow" w:hAnsi="Arial Narrow"/>
                <w:b/>
                <w:bCs/>
                <w:color w:val="333333"/>
                <w:kern w:val="2"/>
                <w:sz w:val="20"/>
                <w:szCs w:val="20"/>
              </w:rPr>
            </w:pPr>
            <w:r>
              <w:rPr>
                <w:rFonts w:ascii="Arial Narrow" w:hAnsi="Arial Narrow"/>
                <w:color w:val="333333"/>
                <w:kern w:val="2"/>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788F8262" w14:textId="77777777" w:rsidR="005F2818" w:rsidRDefault="005F2818" w:rsidP="00001C23">
      <w:pPr>
        <w:pStyle w:val="COMexecsumnumberedpara"/>
        <w:tabs>
          <w:tab w:val="clear" w:pos="360"/>
        </w:tabs>
        <w:spacing w:after="0"/>
        <w:ind w:left="720" w:firstLine="0"/>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664"/>
        <w:gridCol w:w="2414"/>
        <w:gridCol w:w="991"/>
        <w:gridCol w:w="1134"/>
        <w:gridCol w:w="1134"/>
        <w:gridCol w:w="1111"/>
        <w:gridCol w:w="1588"/>
      </w:tblGrid>
      <w:tr w:rsidR="005F2818" w14:paraId="539A9103" w14:textId="77777777" w:rsidTr="00660892">
        <w:tc>
          <w:tcPr>
            <w:tcW w:w="1863"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89DB45" w14:textId="77777777" w:rsidR="005F2818" w:rsidRDefault="005F2818" w:rsidP="00660892">
            <w:pPr>
              <w:keepLines/>
              <w:spacing w:line="254" w:lineRule="auto"/>
              <w:rPr>
                <w:rFonts w:ascii="Arial Narrow" w:hAnsi="Arial Narrow"/>
                <w:b/>
                <w:bCs/>
                <w:kern w:val="2"/>
                <w:sz w:val="20"/>
                <w:szCs w:val="20"/>
              </w:rPr>
            </w:pPr>
            <w:r>
              <w:rPr>
                <w:rFonts w:ascii="Arial Narrow" w:hAnsi="Arial Narrow"/>
                <w:b/>
                <w:bCs/>
                <w:kern w:val="2"/>
                <w:sz w:val="20"/>
                <w:szCs w:val="20"/>
              </w:rPr>
              <w:t>MEDICINAL PRODUCT</w:t>
            </w:r>
          </w:p>
          <w:p w14:paraId="27ADAEAC" w14:textId="77777777" w:rsidR="005F2818" w:rsidRDefault="005F2818" w:rsidP="00660892">
            <w:pPr>
              <w:spacing w:line="254" w:lineRule="auto"/>
              <w:rPr>
                <w:rFonts w:ascii="Arial Narrow" w:eastAsia="Calibri" w:hAnsi="Arial Narrow"/>
                <w:b/>
                <w:kern w:val="2"/>
                <w:sz w:val="20"/>
                <w:szCs w:val="20"/>
              </w:rPr>
            </w:pPr>
            <w:r>
              <w:rPr>
                <w:rFonts w:ascii="Arial Narrow" w:hAnsi="Arial Narrow"/>
                <w:b/>
                <w:bCs/>
                <w:kern w:val="2"/>
                <w:sz w:val="20"/>
                <w:szCs w:val="20"/>
              </w:rPr>
              <w:t>medicinal product pack</w:t>
            </w:r>
          </w:p>
        </w:tc>
        <w:tc>
          <w:tcPr>
            <w:tcW w:w="52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12D6B3" w14:textId="77777777" w:rsidR="005F2818" w:rsidRDefault="005F2818" w:rsidP="00660892">
            <w:pPr>
              <w:spacing w:line="254" w:lineRule="auto"/>
              <w:jc w:val="center"/>
              <w:rPr>
                <w:rFonts w:ascii="Arial Narrow" w:eastAsia="Calibri" w:hAnsi="Arial Narrow"/>
                <w:b/>
                <w:kern w:val="2"/>
                <w:sz w:val="20"/>
                <w:szCs w:val="20"/>
              </w:rPr>
            </w:pPr>
            <w:r>
              <w:rPr>
                <w:rFonts w:ascii="Arial Narrow" w:hAnsi="Arial Narrow"/>
                <w:b/>
                <w:kern w:val="2"/>
                <w:sz w:val="20"/>
                <w:szCs w:val="20"/>
              </w:rPr>
              <w:t>PBS item code</w:t>
            </w:r>
          </w:p>
        </w:tc>
        <w:tc>
          <w:tcPr>
            <w:tcW w:w="59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C35F2D" w14:textId="77777777" w:rsidR="005F2818" w:rsidRDefault="005F2818" w:rsidP="00660892">
            <w:pPr>
              <w:spacing w:line="254" w:lineRule="auto"/>
              <w:jc w:val="center"/>
              <w:rPr>
                <w:rFonts w:ascii="Arial Narrow" w:eastAsia="Calibri" w:hAnsi="Arial Narrow"/>
                <w:b/>
                <w:kern w:val="2"/>
                <w:sz w:val="20"/>
                <w:szCs w:val="20"/>
              </w:rPr>
            </w:pPr>
            <w:r>
              <w:rPr>
                <w:rFonts w:ascii="Arial Narrow" w:hAnsi="Arial Narrow"/>
                <w:b/>
                <w:kern w:val="2"/>
                <w:sz w:val="20"/>
                <w:szCs w:val="20"/>
              </w:rPr>
              <w:t>Max. qty packs</w:t>
            </w:r>
          </w:p>
        </w:tc>
        <w:tc>
          <w:tcPr>
            <w:tcW w:w="59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272C7E" w14:textId="77777777" w:rsidR="005F2818" w:rsidRDefault="005F2818" w:rsidP="00660892">
            <w:pPr>
              <w:spacing w:line="254" w:lineRule="auto"/>
              <w:jc w:val="center"/>
              <w:rPr>
                <w:rFonts w:ascii="Arial Narrow" w:eastAsia="Calibri" w:hAnsi="Arial Narrow"/>
                <w:b/>
                <w:kern w:val="2"/>
                <w:sz w:val="20"/>
                <w:szCs w:val="20"/>
              </w:rPr>
            </w:pPr>
            <w:r>
              <w:rPr>
                <w:rFonts w:ascii="Arial Narrow" w:hAnsi="Arial Narrow"/>
                <w:b/>
                <w:kern w:val="2"/>
                <w:sz w:val="20"/>
                <w:szCs w:val="20"/>
              </w:rPr>
              <w:t>Max. qty units</w:t>
            </w:r>
          </w:p>
        </w:tc>
        <w:tc>
          <w:tcPr>
            <w:tcW w:w="58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E2D43D" w14:textId="77777777" w:rsidR="005F2818" w:rsidRDefault="005F2818" w:rsidP="00660892">
            <w:pPr>
              <w:keepLines/>
              <w:spacing w:line="254" w:lineRule="auto"/>
              <w:jc w:val="center"/>
              <w:rPr>
                <w:rFonts w:ascii="Arial Narrow" w:hAnsi="Arial Narrow"/>
                <w:b/>
                <w:kern w:val="2"/>
                <w:sz w:val="20"/>
                <w:szCs w:val="20"/>
              </w:rPr>
            </w:pPr>
            <w:r>
              <w:rPr>
                <w:rFonts w:ascii="Arial Narrow" w:hAnsi="Arial Narrow"/>
                <w:b/>
                <w:kern w:val="2"/>
                <w:sz w:val="20"/>
                <w:szCs w:val="20"/>
              </w:rPr>
              <w:t>№. of</w:t>
            </w:r>
          </w:p>
          <w:p w14:paraId="7DF4E260" w14:textId="77777777" w:rsidR="005F2818" w:rsidRDefault="005F2818" w:rsidP="00660892">
            <w:pPr>
              <w:spacing w:line="254" w:lineRule="auto"/>
              <w:jc w:val="center"/>
              <w:rPr>
                <w:rFonts w:ascii="Arial Narrow" w:eastAsia="Calibri" w:hAnsi="Arial Narrow"/>
                <w:b/>
                <w:kern w:val="2"/>
                <w:sz w:val="20"/>
                <w:szCs w:val="20"/>
              </w:rPr>
            </w:pPr>
            <w:r>
              <w:rPr>
                <w:rFonts w:ascii="Arial Narrow" w:hAnsi="Arial Narrow"/>
                <w:b/>
                <w:kern w:val="2"/>
                <w:sz w:val="20"/>
                <w:szCs w:val="20"/>
              </w:rPr>
              <w:t>Rpts</w:t>
            </w:r>
          </w:p>
        </w:tc>
        <w:tc>
          <w:tcPr>
            <w:tcW w:w="83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9D8240" w14:textId="77777777" w:rsidR="005F2818" w:rsidRDefault="005F2818" w:rsidP="00660892">
            <w:pPr>
              <w:spacing w:line="254" w:lineRule="auto"/>
              <w:jc w:val="center"/>
              <w:rPr>
                <w:rFonts w:ascii="Arial Narrow" w:eastAsia="Calibri" w:hAnsi="Arial Narrow"/>
                <w:b/>
                <w:kern w:val="2"/>
                <w:sz w:val="20"/>
                <w:szCs w:val="20"/>
              </w:rPr>
            </w:pPr>
            <w:r>
              <w:rPr>
                <w:rFonts w:ascii="Arial Narrow" w:hAnsi="Arial Narrow"/>
                <w:b/>
                <w:kern w:val="2"/>
                <w:sz w:val="20"/>
                <w:szCs w:val="20"/>
              </w:rPr>
              <w:t>Available brands</w:t>
            </w:r>
          </w:p>
        </w:tc>
      </w:tr>
      <w:tr w:rsidR="005F2818" w14:paraId="5C05EAFB" w14:textId="77777777" w:rsidTr="00660892">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BA1008" w14:textId="77777777" w:rsidR="005F2818" w:rsidRDefault="005F2818" w:rsidP="00660892">
            <w:pPr>
              <w:spacing w:line="254" w:lineRule="auto"/>
              <w:rPr>
                <w:rFonts w:ascii="Arial Narrow" w:eastAsia="Calibri" w:hAnsi="Arial Narrow"/>
                <w:b/>
                <w:kern w:val="2"/>
                <w:sz w:val="20"/>
                <w:szCs w:val="20"/>
              </w:rPr>
            </w:pPr>
            <w:r>
              <w:rPr>
                <w:rFonts w:ascii="Arial Narrow" w:hAnsi="Arial Narrow"/>
                <w:kern w:val="2"/>
                <w:sz w:val="20"/>
                <w:szCs w:val="20"/>
              </w:rPr>
              <w:t>OSILODROSTAT</w:t>
            </w:r>
          </w:p>
        </w:tc>
      </w:tr>
      <w:tr w:rsidR="005F2818" w14:paraId="39510545" w14:textId="77777777" w:rsidTr="00660892">
        <w:tc>
          <w:tcPr>
            <w:tcW w:w="1863"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14848F" w14:textId="77777777" w:rsidR="005F2818" w:rsidRDefault="005F2818" w:rsidP="00660892">
            <w:pPr>
              <w:spacing w:line="254" w:lineRule="auto"/>
              <w:rPr>
                <w:rFonts w:ascii="Arial Narrow" w:eastAsia="Calibri" w:hAnsi="Arial Narrow"/>
                <w:b/>
                <w:kern w:val="2"/>
                <w:sz w:val="20"/>
                <w:szCs w:val="20"/>
              </w:rPr>
            </w:pPr>
            <w:r>
              <w:rPr>
                <w:rFonts w:ascii="Arial Narrow" w:eastAsia="Calibri" w:hAnsi="Arial Narrow"/>
                <w:bCs/>
                <w:kern w:val="2"/>
                <w:sz w:val="20"/>
                <w:szCs w:val="20"/>
              </w:rPr>
              <w:t>Osilodrostat, 1 mg oral tablet</w:t>
            </w:r>
          </w:p>
        </w:tc>
        <w:tc>
          <w:tcPr>
            <w:tcW w:w="52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2E58F0" w14:textId="77777777" w:rsidR="005F2818" w:rsidRDefault="005F2818" w:rsidP="00660892">
            <w:pPr>
              <w:spacing w:line="254" w:lineRule="auto"/>
              <w:jc w:val="center"/>
              <w:rPr>
                <w:rFonts w:ascii="Arial Narrow" w:eastAsia="Calibri" w:hAnsi="Arial Narrow"/>
                <w:b/>
                <w:kern w:val="2"/>
                <w:sz w:val="20"/>
                <w:szCs w:val="20"/>
              </w:rPr>
            </w:pPr>
            <w:r>
              <w:rPr>
                <w:rFonts w:ascii="Arial Narrow" w:eastAsia="Calibri" w:hAnsi="Arial Narrow"/>
                <w:bCs/>
                <w:kern w:val="2"/>
                <w:sz w:val="20"/>
                <w:szCs w:val="20"/>
              </w:rPr>
              <w:t>New</w:t>
            </w:r>
          </w:p>
        </w:tc>
        <w:tc>
          <w:tcPr>
            <w:tcW w:w="59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16B3BE" w14:textId="77777777" w:rsidR="005F2818" w:rsidRDefault="005F2818" w:rsidP="00660892">
            <w:pPr>
              <w:spacing w:line="254" w:lineRule="auto"/>
              <w:jc w:val="center"/>
              <w:rPr>
                <w:rFonts w:ascii="Arial Narrow" w:eastAsia="Calibri" w:hAnsi="Arial Narrow"/>
                <w:b/>
                <w:kern w:val="2"/>
                <w:sz w:val="20"/>
                <w:szCs w:val="20"/>
              </w:rPr>
            </w:pPr>
            <w:r>
              <w:rPr>
                <w:rFonts w:ascii="Arial Narrow" w:eastAsia="Calibri" w:hAnsi="Arial Narrow"/>
                <w:bCs/>
                <w:kern w:val="2"/>
                <w:sz w:val="20"/>
                <w:szCs w:val="20"/>
              </w:rPr>
              <w:t>1</w:t>
            </w:r>
          </w:p>
        </w:tc>
        <w:tc>
          <w:tcPr>
            <w:tcW w:w="59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FA87F1" w14:textId="77777777" w:rsidR="005F2818" w:rsidRDefault="005F2818" w:rsidP="00660892">
            <w:pPr>
              <w:spacing w:line="254" w:lineRule="auto"/>
              <w:jc w:val="center"/>
              <w:rPr>
                <w:rFonts w:ascii="Arial Narrow" w:eastAsia="Calibri" w:hAnsi="Arial Narrow"/>
                <w:b/>
                <w:kern w:val="2"/>
                <w:sz w:val="20"/>
                <w:szCs w:val="20"/>
              </w:rPr>
            </w:pPr>
            <w:r>
              <w:rPr>
                <w:rFonts w:ascii="Arial Narrow" w:eastAsia="Calibri" w:hAnsi="Arial Narrow"/>
                <w:bCs/>
                <w:kern w:val="2"/>
                <w:sz w:val="20"/>
                <w:szCs w:val="20"/>
              </w:rPr>
              <w:t>60</w:t>
            </w:r>
          </w:p>
        </w:tc>
        <w:tc>
          <w:tcPr>
            <w:tcW w:w="58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3E1593" w14:textId="77777777" w:rsidR="005F2818" w:rsidRDefault="005F2818" w:rsidP="00660892">
            <w:pPr>
              <w:spacing w:line="254" w:lineRule="auto"/>
              <w:jc w:val="center"/>
              <w:rPr>
                <w:rFonts w:ascii="Arial Narrow" w:eastAsia="Calibri" w:hAnsi="Arial Narrow"/>
                <w:bCs/>
                <w:kern w:val="2"/>
                <w:sz w:val="20"/>
                <w:szCs w:val="20"/>
              </w:rPr>
            </w:pPr>
            <w:r>
              <w:rPr>
                <w:rFonts w:ascii="Arial Narrow" w:eastAsia="Calibri" w:hAnsi="Arial Narrow"/>
                <w:bCs/>
                <w:kern w:val="2"/>
                <w:sz w:val="20"/>
                <w:szCs w:val="20"/>
              </w:rPr>
              <w:t>5</w:t>
            </w:r>
          </w:p>
        </w:tc>
        <w:tc>
          <w:tcPr>
            <w:tcW w:w="83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CE66F7" w14:textId="77777777" w:rsidR="005F2818" w:rsidRDefault="005F2818" w:rsidP="00660892">
            <w:pPr>
              <w:spacing w:line="254" w:lineRule="auto"/>
              <w:jc w:val="center"/>
              <w:rPr>
                <w:rFonts w:ascii="Arial Narrow" w:eastAsia="Calibri" w:hAnsi="Arial Narrow"/>
                <w:b/>
                <w:kern w:val="2"/>
                <w:sz w:val="20"/>
                <w:szCs w:val="20"/>
              </w:rPr>
            </w:pPr>
            <w:r>
              <w:rPr>
                <w:rFonts w:ascii="Arial Narrow" w:eastAsia="Calibri" w:hAnsi="Arial Narrow"/>
                <w:bCs/>
                <w:kern w:val="2"/>
                <w:sz w:val="20"/>
                <w:szCs w:val="20"/>
              </w:rPr>
              <w:t>ISTURISA</w:t>
            </w:r>
          </w:p>
        </w:tc>
      </w:tr>
      <w:tr w:rsidR="005F2818" w14:paraId="3844284C" w14:textId="77777777" w:rsidTr="00660892">
        <w:tc>
          <w:tcPr>
            <w:tcW w:w="1863"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440580" w14:textId="77777777" w:rsidR="005F2818" w:rsidRDefault="005F2818" w:rsidP="00660892">
            <w:pPr>
              <w:spacing w:line="254" w:lineRule="auto"/>
              <w:rPr>
                <w:rFonts w:ascii="Arial Narrow" w:eastAsia="Calibri" w:hAnsi="Arial Narrow"/>
                <w:b/>
                <w:kern w:val="2"/>
                <w:sz w:val="20"/>
                <w:szCs w:val="20"/>
              </w:rPr>
            </w:pPr>
            <w:r>
              <w:rPr>
                <w:rFonts w:ascii="Arial Narrow" w:eastAsia="Calibri" w:hAnsi="Arial Narrow"/>
                <w:bCs/>
                <w:kern w:val="2"/>
                <w:sz w:val="20"/>
                <w:szCs w:val="20"/>
              </w:rPr>
              <w:t>Osilodrostat, 5 mg oral tablet</w:t>
            </w:r>
          </w:p>
        </w:tc>
        <w:tc>
          <w:tcPr>
            <w:tcW w:w="52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93ECBE" w14:textId="77777777" w:rsidR="005F2818" w:rsidRDefault="005F2818" w:rsidP="00660892">
            <w:pPr>
              <w:spacing w:line="254" w:lineRule="auto"/>
              <w:jc w:val="center"/>
              <w:rPr>
                <w:rFonts w:ascii="Arial Narrow" w:eastAsia="Calibri" w:hAnsi="Arial Narrow"/>
                <w:b/>
                <w:kern w:val="2"/>
                <w:sz w:val="20"/>
                <w:szCs w:val="20"/>
              </w:rPr>
            </w:pPr>
            <w:r>
              <w:rPr>
                <w:rFonts w:ascii="Arial Narrow" w:eastAsia="Calibri" w:hAnsi="Arial Narrow"/>
                <w:bCs/>
                <w:kern w:val="2"/>
                <w:sz w:val="20"/>
                <w:szCs w:val="20"/>
              </w:rPr>
              <w:t>New</w:t>
            </w:r>
          </w:p>
        </w:tc>
        <w:tc>
          <w:tcPr>
            <w:tcW w:w="59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EE2EEE" w14:textId="77777777" w:rsidR="005F2818" w:rsidRDefault="005F2818" w:rsidP="00660892">
            <w:pPr>
              <w:spacing w:line="254" w:lineRule="auto"/>
              <w:jc w:val="center"/>
              <w:rPr>
                <w:rFonts w:ascii="Arial Narrow" w:eastAsia="Calibri" w:hAnsi="Arial Narrow"/>
                <w:b/>
                <w:kern w:val="2"/>
                <w:sz w:val="20"/>
                <w:szCs w:val="20"/>
              </w:rPr>
            </w:pPr>
            <w:r>
              <w:rPr>
                <w:rFonts w:ascii="Arial Narrow" w:eastAsia="Calibri" w:hAnsi="Arial Narrow"/>
                <w:bCs/>
                <w:kern w:val="2"/>
                <w:sz w:val="20"/>
                <w:szCs w:val="20"/>
              </w:rPr>
              <w:t>1</w:t>
            </w:r>
          </w:p>
        </w:tc>
        <w:tc>
          <w:tcPr>
            <w:tcW w:w="59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8B4EAE" w14:textId="77777777" w:rsidR="005F2818" w:rsidRDefault="005F2818" w:rsidP="00660892">
            <w:pPr>
              <w:spacing w:line="254" w:lineRule="auto"/>
              <w:jc w:val="center"/>
              <w:rPr>
                <w:rFonts w:ascii="Arial Narrow" w:eastAsia="Calibri" w:hAnsi="Arial Narrow"/>
                <w:b/>
                <w:kern w:val="2"/>
                <w:sz w:val="20"/>
                <w:szCs w:val="20"/>
              </w:rPr>
            </w:pPr>
            <w:r>
              <w:rPr>
                <w:rFonts w:ascii="Arial Narrow" w:eastAsia="Calibri" w:hAnsi="Arial Narrow"/>
                <w:bCs/>
                <w:kern w:val="2"/>
                <w:sz w:val="20"/>
                <w:szCs w:val="20"/>
              </w:rPr>
              <w:t>60</w:t>
            </w:r>
          </w:p>
        </w:tc>
        <w:tc>
          <w:tcPr>
            <w:tcW w:w="58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564A8A" w14:textId="77777777" w:rsidR="005F2818" w:rsidRDefault="005F2818" w:rsidP="00660892">
            <w:pPr>
              <w:spacing w:line="254" w:lineRule="auto"/>
              <w:jc w:val="center"/>
              <w:rPr>
                <w:rFonts w:ascii="Arial Narrow" w:eastAsia="Calibri" w:hAnsi="Arial Narrow"/>
                <w:bCs/>
                <w:kern w:val="2"/>
                <w:sz w:val="20"/>
                <w:szCs w:val="20"/>
              </w:rPr>
            </w:pPr>
            <w:r>
              <w:rPr>
                <w:rFonts w:ascii="Arial Narrow" w:eastAsia="Calibri" w:hAnsi="Arial Narrow"/>
                <w:bCs/>
                <w:kern w:val="2"/>
                <w:sz w:val="20"/>
                <w:szCs w:val="20"/>
              </w:rPr>
              <w:t>5</w:t>
            </w:r>
          </w:p>
        </w:tc>
        <w:tc>
          <w:tcPr>
            <w:tcW w:w="83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768E77" w14:textId="77777777" w:rsidR="005F2818" w:rsidRDefault="005F2818" w:rsidP="00660892">
            <w:pPr>
              <w:spacing w:line="254" w:lineRule="auto"/>
              <w:jc w:val="center"/>
              <w:rPr>
                <w:rFonts w:ascii="Arial Narrow" w:eastAsia="Calibri" w:hAnsi="Arial Narrow"/>
                <w:b/>
                <w:kern w:val="2"/>
                <w:sz w:val="20"/>
                <w:szCs w:val="20"/>
              </w:rPr>
            </w:pPr>
            <w:r>
              <w:rPr>
                <w:rFonts w:ascii="Arial Narrow" w:eastAsia="Calibri" w:hAnsi="Arial Narrow"/>
                <w:bCs/>
                <w:kern w:val="2"/>
                <w:sz w:val="20"/>
                <w:szCs w:val="20"/>
              </w:rPr>
              <w:t>ISTURISA</w:t>
            </w:r>
          </w:p>
        </w:tc>
      </w:tr>
      <w:tr w:rsidR="005F2818" w14:paraId="633C3BFD" w14:textId="77777777" w:rsidTr="00660892">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CAC6E0" w14:textId="77777777" w:rsidR="005F2818" w:rsidRDefault="005F2818" w:rsidP="00660892">
            <w:pPr>
              <w:spacing w:line="254" w:lineRule="auto"/>
              <w:rPr>
                <w:rFonts w:ascii="Arial Narrow" w:eastAsia="Calibri" w:hAnsi="Arial Narrow"/>
                <w:b/>
                <w:kern w:val="2"/>
                <w:sz w:val="20"/>
                <w:szCs w:val="20"/>
              </w:rPr>
            </w:pPr>
          </w:p>
        </w:tc>
      </w:tr>
      <w:tr w:rsidR="005F2818" w14:paraId="71D7E2B2" w14:textId="77777777" w:rsidTr="00660892">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D65718" w14:textId="77777777" w:rsidR="005F2818" w:rsidRDefault="005F2818" w:rsidP="00660892">
            <w:pPr>
              <w:spacing w:line="254" w:lineRule="auto"/>
              <w:rPr>
                <w:rFonts w:ascii="Arial Narrow" w:eastAsia="Calibri" w:hAnsi="Arial Narrow"/>
                <w:b/>
                <w:kern w:val="2"/>
                <w:sz w:val="20"/>
                <w:szCs w:val="20"/>
              </w:rPr>
            </w:pPr>
            <w:r>
              <w:rPr>
                <w:rFonts w:ascii="Arial Narrow" w:hAnsi="Arial Narrow"/>
                <w:b/>
                <w:kern w:val="2"/>
                <w:sz w:val="20"/>
                <w:szCs w:val="20"/>
              </w:rPr>
              <w:t>Restriction Summary [new5]</w:t>
            </w:r>
            <w:r>
              <w:rPr>
                <w:rFonts w:ascii="Arial Narrow" w:hAnsi="Arial Narrow"/>
                <w:b/>
                <w:color w:val="FF0000"/>
                <w:kern w:val="2"/>
                <w:sz w:val="20"/>
                <w:szCs w:val="20"/>
              </w:rPr>
              <w:t xml:space="preserve"> </w:t>
            </w:r>
            <w:r>
              <w:rPr>
                <w:rFonts w:ascii="Arial Narrow" w:hAnsi="Arial Narrow"/>
                <w:b/>
                <w:kern w:val="2"/>
                <w:sz w:val="20"/>
                <w:szCs w:val="20"/>
              </w:rPr>
              <w:t xml:space="preserve">/ Treatment of Concept: [new6] </w:t>
            </w:r>
          </w:p>
        </w:tc>
      </w:tr>
      <w:tr w:rsidR="005F2818" w14:paraId="1D90DE1C" w14:textId="77777777" w:rsidTr="00660892">
        <w:tc>
          <w:tcPr>
            <w:tcW w:w="592"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20C299" w14:textId="77777777" w:rsidR="005F2818" w:rsidRDefault="005F2818" w:rsidP="00660892">
            <w:pPr>
              <w:spacing w:line="254" w:lineRule="auto"/>
              <w:jc w:val="center"/>
              <w:rPr>
                <w:rFonts w:ascii="Arial Narrow" w:eastAsia="Calibri" w:hAnsi="Arial Narrow"/>
                <w:b/>
                <w:kern w:val="2"/>
                <w:sz w:val="20"/>
                <w:szCs w:val="20"/>
              </w:rPr>
            </w:pPr>
            <w:r>
              <w:rPr>
                <w:rFonts w:ascii="Arial Narrow" w:eastAsia="Calibri" w:hAnsi="Arial Narrow"/>
                <w:b/>
                <w:kern w:val="2"/>
                <w:sz w:val="20"/>
                <w:szCs w:val="20"/>
              </w:rPr>
              <w:t>Concept ID</w:t>
            </w:r>
          </w:p>
          <w:p w14:paraId="3DD62BD8" w14:textId="77777777" w:rsidR="005F2818" w:rsidRDefault="005F2818" w:rsidP="00660892">
            <w:pPr>
              <w:spacing w:line="254" w:lineRule="auto"/>
              <w:rPr>
                <w:rFonts w:ascii="Arial Narrow" w:eastAsia="Calibri" w:hAnsi="Arial Narrow"/>
                <w:kern w:val="2"/>
                <w:sz w:val="20"/>
                <w:szCs w:val="20"/>
              </w:rPr>
            </w:pPr>
          </w:p>
          <w:p w14:paraId="6DB79D29" w14:textId="03F7DEFD" w:rsidR="005F2818" w:rsidRPr="00001C23" w:rsidRDefault="005F2818" w:rsidP="00001C23">
            <w:pPr>
              <w:spacing w:line="254" w:lineRule="auto"/>
              <w:jc w:val="center"/>
              <w:rPr>
                <w:rFonts w:ascii="Arial Narrow" w:eastAsia="Calibri" w:hAnsi="Arial Narrow"/>
                <w:kern w:val="2"/>
                <w:sz w:val="20"/>
                <w:szCs w:val="20"/>
              </w:rPr>
            </w:pPr>
            <w:r>
              <w:rPr>
                <w:rFonts w:ascii="Arial Narrow" w:eastAsia="Calibri" w:hAnsi="Arial Narrow"/>
                <w:kern w:val="2"/>
                <w:sz w:val="20"/>
                <w:szCs w:val="20"/>
              </w:rPr>
              <w:t>(for internal Dept. use)</w:t>
            </w: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15209C" w14:textId="77777777" w:rsidR="005F2818" w:rsidRDefault="005F2818" w:rsidP="00660892">
            <w:pPr>
              <w:spacing w:line="254" w:lineRule="auto"/>
              <w:rPr>
                <w:rFonts w:ascii="Arial Narrow" w:eastAsia="Calibri" w:hAnsi="Arial Narrow"/>
                <w:kern w:val="2"/>
                <w:sz w:val="20"/>
                <w:szCs w:val="20"/>
              </w:rPr>
            </w:pPr>
            <w:r>
              <w:rPr>
                <w:rFonts w:ascii="Arial Narrow" w:eastAsia="Calibri" w:hAnsi="Arial Narrow"/>
                <w:b/>
                <w:kern w:val="2"/>
                <w:sz w:val="20"/>
                <w:szCs w:val="20"/>
              </w:rPr>
              <w:t xml:space="preserve">Category / Program: </w:t>
            </w:r>
            <w:r>
              <w:rPr>
                <w:rFonts w:ascii="Arial Narrow" w:eastAsia="Calibri" w:hAnsi="Arial Narrow"/>
                <w:kern w:val="2"/>
                <w:sz w:val="20"/>
                <w:szCs w:val="20"/>
              </w:rPr>
              <w:t>Section 85 – General Schedule</w:t>
            </w:r>
          </w:p>
        </w:tc>
      </w:tr>
      <w:tr w:rsidR="005F2818" w14:paraId="70FFE1E4" w14:textId="77777777" w:rsidTr="00660892">
        <w:trPr>
          <w:trHeight w:val="2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A59F0E" w14:textId="77777777" w:rsidR="005F2818" w:rsidRDefault="005F2818" w:rsidP="00660892">
            <w:pPr>
              <w:spacing w:line="256" w:lineRule="auto"/>
              <w:jc w:val="left"/>
              <w:rPr>
                <w:rFonts w:ascii="Arial Narrow" w:eastAsia="Calibri" w:hAnsi="Arial Narrow"/>
                <w:b/>
                <w:kern w:val="2"/>
                <w:sz w:val="20"/>
                <w:szCs w:val="20"/>
                <w14:ligatures w14:val="standardContextual"/>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D3AF7B" w14:textId="77777777" w:rsidR="005F2818" w:rsidRDefault="005F2818" w:rsidP="00660892">
            <w:pPr>
              <w:spacing w:line="254" w:lineRule="auto"/>
              <w:rPr>
                <w:rFonts w:ascii="Arial Narrow" w:eastAsia="Calibri" w:hAnsi="Arial Narrow"/>
                <w:b/>
                <w:kern w:val="2"/>
                <w:sz w:val="20"/>
                <w:szCs w:val="20"/>
              </w:rPr>
            </w:pPr>
            <w:r>
              <w:rPr>
                <w:rFonts w:ascii="Arial Narrow" w:eastAsia="Calibri" w:hAnsi="Arial Narrow"/>
                <w:b/>
                <w:kern w:val="2"/>
                <w:sz w:val="20"/>
                <w:szCs w:val="20"/>
              </w:rPr>
              <w:t xml:space="preserve">Prescriber type: </w:t>
            </w:r>
            <w:r>
              <w:rPr>
                <w:rFonts w:ascii="Arial Narrow" w:eastAsia="Calibri" w:hAnsi="Arial Narrow"/>
                <w:kern w:val="2"/>
                <w:sz w:val="20"/>
                <w:szCs w:val="20"/>
              </w:rPr>
              <w:fldChar w:fldCharType="begin" w:fldLock="1">
                <w:ffData>
                  <w:name w:val=""/>
                  <w:enabled/>
                  <w:calcOnExit w:val="0"/>
                  <w:checkBox>
                    <w:sizeAuto/>
                    <w:default w:val="1"/>
                  </w:checkBox>
                </w:ffData>
              </w:fldChar>
            </w:r>
            <w:r>
              <w:rPr>
                <w:rFonts w:ascii="Arial Narrow" w:eastAsia="Calibri" w:hAnsi="Arial Narrow"/>
                <w:kern w:val="2"/>
                <w:sz w:val="20"/>
                <w:szCs w:val="20"/>
              </w:rPr>
              <w:instrText xml:space="preserve"> FORMCHECKBOX </w:instrText>
            </w:r>
            <w:r>
              <w:rPr>
                <w:rFonts w:ascii="Arial Narrow" w:eastAsia="Calibri" w:hAnsi="Arial Narrow"/>
                <w:kern w:val="2"/>
                <w:sz w:val="20"/>
                <w:szCs w:val="20"/>
              </w:rPr>
            </w:r>
            <w:r>
              <w:rPr>
                <w:rFonts w:ascii="Arial Narrow" w:eastAsia="Calibri" w:hAnsi="Arial Narrow"/>
                <w:kern w:val="2"/>
                <w:sz w:val="20"/>
                <w:szCs w:val="20"/>
              </w:rPr>
              <w:fldChar w:fldCharType="separate"/>
            </w:r>
            <w:r>
              <w:rPr>
                <w:rFonts w:ascii="Arial Narrow" w:eastAsia="Calibri" w:hAnsi="Arial Narrow"/>
                <w:kern w:val="2"/>
                <w:sz w:val="20"/>
                <w:szCs w:val="20"/>
              </w:rPr>
              <w:fldChar w:fldCharType="end"/>
            </w:r>
            <w:r>
              <w:rPr>
                <w:rFonts w:ascii="Arial Narrow" w:eastAsia="Calibri" w:hAnsi="Arial Narrow"/>
                <w:kern w:val="2"/>
                <w:sz w:val="20"/>
                <w:szCs w:val="20"/>
              </w:rPr>
              <w:t xml:space="preserve">Medical Practitioners </w:t>
            </w:r>
          </w:p>
        </w:tc>
      </w:tr>
      <w:tr w:rsidR="005F2818" w14:paraId="37F75D81" w14:textId="77777777" w:rsidTr="00001C23">
        <w:trPr>
          <w:trHeight w:val="45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389CA5C" w14:textId="77777777" w:rsidR="005F2818" w:rsidRDefault="005F2818" w:rsidP="00660892">
            <w:pPr>
              <w:spacing w:line="256" w:lineRule="auto"/>
              <w:jc w:val="left"/>
              <w:rPr>
                <w:rFonts w:ascii="Arial Narrow" w:eastAsia="Calibri" w:hAnsi="Arial Narrow"/>
                <w:b/>
                <w:kern w:val="2"/>
                <w:sz w:val="20"/>
                <w:szCs w:val="20"/>
                <w14:ligatures w14:val="standardContextual"/>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78B653" w14:textId="4F094C97" w:rsidR="005F2818" w:rsidRPr="00001C23" w:rsidRDefault="005F2818" w:rsidP="00660892">
            <w:pPr>
              <w:spacing w:line="254" w:lineRule="auto"/>
              <w:rPr>
                <w:rFonts w:ascii="Arial Narrow" w:eastAsia="Calibri" w:hAnsi="Arial Narrow"/>
                <w:b/>
                <w:kern w:val="2"/>
                <w:sz w:val="20"/>
                <w:szCs w:val="20"/>
              </w:rPr>
            </w:pPr>
            <w:r>
              <w:rPr>
                <w:rFonts w:ascii="Arial Narrow" w:eastAsia="Calibri" w:hAnsi="Arial Narrow"/>
                <w:b/>
                <w:kern w:val="2"/>
                <w:sz w:val="20"/>
                <w:szCs w:val="20"/>
              </w:rPr>
              <w:t xml:space="preserve">Restriction Type – </w:t>
            </w:r>
            <w:r>
              <w:rPr>
                <w:rFonts w:ascii="Arial Narrow" w:eastAsia="Calibri" w:hAnsi="Arial Narrow"/>
                <w:kern w:val="2"/>
                <w:sz w:val="20"/>
                <w:szCs w:val="20"/>
              </w:rPr>
              <w:fldChar w:fldCharType="begin" w:fldLock="1">
                <w:ffData>
                  <w:name w:val=""/>
                  <w:enabled/>
                  <w:calcOnExit w:val="0"/>
                  <w:checkBox>
                    <w:sizeAuto/>
                    <w:default w:val="1"/>
                  </w:checkBox>
                </w:ffData>
              </w:fldChar>
            </w:r>
            <w:r>
              <w:rPr>
                <w:rFonts w:ascii="Arial Narrow" w:eastAsia="Calibri" w:hAnsi="Arial Narrow"/>
                <w:kern w:val="2"/>
                <w:sz w:val="20"/>
                <w:szCs w:val="20"/>
              </w:rPr>
              <w:instrText xml:space="preserve"> FORMCHECKBOX </w:instrText>
            </w:r>
            <w:r>
              <w:rPr>
                <w:rFonts w:ascii="Arial Narrow" w:eastAsia="Calibri" w:hAnsi="Arial Narrow"/>
                <w:kern w:val="2"/>
                <w:sz w:val="20"/>
                <w:szCs w:val="20"/>
              </w:rPr>
            </w:r>
            <w:r>
              <w:rPr>
                <w:rFonts w:ascii="Arial Narrow" w:eastAsia="Calibri" w:hAnsi="Arial Narrow"/>
                <w:kern w:val="2"/>
                <w:sz w:val="20"/>
                <w:szCs w:val="20"/>
              </w:rPr>
              <w:fldChar w:fldCharType="separate"/>
            </w:r>
            <w:r>
              <w:rPr>
                <w:rFonts w:ascii="Arial Narrow" w:eastAsia="Calibri" w:hAnsi="Arial Narrow"/>
                <w:kern w:val="2"/>
                <w:sz w:val="20"/>
                <w:szCs w:val="20"/>
              </w:rPr>
              <w:fldChar w:fldCharType="end"/>
            </w:r>
            <w:r>
              <w:rPr>
                <w:rFonts w:ascii="Arial Narrow" w:eastAsia="Calibri" w:hAnsi="Arial Narrow"/>
                <w:kern w:val="2"/>
                <w:sz w:val="20"/>
                <w:szCs w:val="20"/>
              </w:rPr>
              <w:t>Authority Required – immediate/real time assessment by Services Australia (telephone/online application avenues)</w:t>
            </w:r>
          </w:p>
        </w:tc>
      </w:tr>
      <w:tr w:rsidR="005F2818" w14:paraId="76E4AF57" w14:textId="77777777" w:rsidTr="00AD6926">
        <w:tc>
          <w:tcPr>
            <w:tcW w:w="242"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CADF0D" w14:textId="245000B6" w:rsidR="005F2818" w:rsidRDefault="005F2818" w:rsidP="00660892">
            <w:pPr>
              <w:spacing w:line="254" w:lineRule="auto"/>
              <w:rPr>
                <w:rFonts w:ascii="Arial Narrow" w:eastAsia="Calibri" w:hAnsi="Arial Narrow"/>
                <w:kern w:val="2"/>
                <w:sz w:val="20"/>
                <w:szCs w:val="20"/>
              </w:rPr>
            </w:pPr>
          </w:p>
        </w:tc>
        <w:tc>
          <w:tcPr>
            <w:tcW w:w="3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DBD09D" w14:textId="2C380C7A" w:rsidR="005F2818" w:rsidRDefault="005F2818" w:rsidP="00660892">
            <w:pPr>
              <w:spacing w:line="254" w:lineRule="auto"/>
              <w:rPr>
                <w:rFonts w:ascii="Arial Narrow" w:eastAsia="Calibri" w:hAnsi="Arial Narrow"/>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DED72D"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Caution:</w:t>
            </w:r>
            <w:r>
              <w:rPr>
                <w:rFonts w:ascii="Arial Narrow" w:hAnsi="Arial Narrow"/>
                <w:color w:val="333333"/>
                <w:kern w:val="2"/>
                <w:sz w:val="20"/>
                <w:szCs w:val="20"/>
              </w:rPr>
              <w:t xml:space="preserve"> </w:t>
            </w:r>
          </w:p>
          <w:p w14:paraId="0AF19F69"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The following should be assessed prior to receiving treatment and closely monitored throughout the treatment period:</w:t>
            </w:r>
          </w:p>
          <w:p w14:paraId="727D2C40" w14:textId="77777777" w:rsidR="005F2818" w:rsidRDefault="005F2818" w:rsidP="00660892">
            <w:pPr>
              <w:numPr>
                <w:ilvl w:val="0"/>
                <w:numId w:val="10"/>
              </w:numPr>
              <w:spacing w:line="254" w:lineRule="auto"/>
              <w:contextualSpacing/>
              <w:rPr>
                <w:rFonts w:ascii="Arial Narrow" w:hAnsi="Arial Narrow"/>
                <w:strike/>
                <w:color w:val="333333"/>
                <w:kern w:val="2"/>
                <w:sz w:val="20"/>
                <w:szCs w:val="20"/>
              </w:rPr>
            </w:pPr>
            <w:r>
              <w:rPr>
                <w:rFonts w:ascii="Arial Narrow" w:hAnsi="Arial Narrow"/>
                <w:color w:val="333333"/>
                <w:kern w:val="2"/>
                <w:sz w:val="20"/>
                <w:szCs w:val="20"/>
              </w:rPr>
              <w:t>QTc prolongation via an electrocardiogram</w:t>
            </w:r>
          </w:p>
          <w:p w14:paraId="47177A6D" w14:textId="77777777" w:rsidR="005F2818" w:rsidRPr="00AD6926" w:rsidRDefault="005F2818" w:rsidP="00001C23">
            <w:pPr>
              <w:pStyle w:val="ListParagraph"/>
              <w:numPr>
                <w:ilvl w:val="0"/>
                <w:numId w:val="10"/>
              </w:numPr>
              <w:spacing w:after="0"/>
              <w:rPr>
                <w:rFonts w:ascii="Arial Narrow" w:eastAsia="Calibri" w:hAnsi="Arial Narrow"/>
                <w:b/>
                <w:sz w:val="20"/>
                <w:szCs w:val="20"/>
              </w:rPr>
            </w:pPr>
            <w:r w:rsidRPr="00AD6926">
              <w:rPr>
                <w:rFonts w:ascii="Arial Narrow" w:hAnsi="Arial Narrow"/>
                <w:sz w:val="20"/>
                <w:szCs w:val="20"/>
              </w:rPr>
              <w:t>Hypocortisolism</w:t>
            </w:r>
          </w:p>
          <w:p w14:paraId="6AC08614" w14:textId="77777777" w:rsidR="005F2818" w:rsidRDefault="005F2818" w:rsidP="00660892">
            <w:pPr>
              <w:numPr>
                <w:ilvl w:val="0"/>
                <w:numId w:val="10"/>
              </w:numPr>
              <w:spacing w:line="254" w:lineRule="auto"/>
              <w:contextualSpacing/>
              <w:rPr>
                <w:rFonts w:ascii="Arial Narrow" w:hAnsi="Arial Narrow"/>
                <w:color w:val="333333"/>
                <w:kern w:val="2"/>
                <w:sz w:val="20"/>
                <w:szCs w:val="20"/>
              </w:rPr>
            </w:pPr>
            <w:r>
              <w:rPr>
                <w:rFonts w:ascii="Arial Narrow" w:hAnsi="Arial Narrow"/>
                <w:color w:val="333333"/>
                <w:kern w:val="2"/>
                <w:sz w:val="20"/>
                <w:szCs w:val="20"/>
              </w:rPr>
              <w:t>Corticotroph tumour growth</w:t>
            </w:r>
          </w:p>
        </w:tc>
      </w:tr>
      <w:tr w:rsidR="005F2818" w14:paraId="534D85F6" w14:textId="77777777" w:rsidTr="00AD6926">
        <w:tc>
          <w:tcPr>
            <w:tcW w:w="0" w:type="auto"/>
            <w:vMerge/>
            <w:tcBorders>
              <w:top w:val="single" w:sz="4" w:space="0" w:color="auto"/>
              <w:left w:val="single" w:sz="4" w:space="0" w:color="auto"/>
              <w:bottom w:val="single" w:sz="4" w:space="0" w:color="auto"/>
              <w:right w:val="single" w:sz="4" w:space="0" w:color="auto"/>
            </w:tcBorders>
            <w:vAlign w:val="center"/>
          </w:tcPr>
          <w:p w14:paraId="3E278308" w14:textId="77777777" w:rsidR="005F2818" w:rsidRDefault="005F2818" w:rsidP="00660892">
            <w:pPr>
              <w:spacing w:line="256" w:lineRule="auto"/>
              <w:jc w:val="left"/>
              <w:rPr>
                <w:rFonts w:ascii="Arial Narrow" w:eastAsia="Calibri" w:hAnsi="Arial Narrow"/>
                <w:kern w:val="2"/>
                <w:sz w:val="20"/>
                <w:szCs w:val="20"/>
                <w14:ligatures w14:val="standardContextual"/>
              </w:rPr>
            </w:pPr>
          </w:p>
        </w:tc>
        <w:tc>
          <w:tcPr>
            <w:tcW w:w="3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DAAF70" w14:textId="7D436D4C" w:rsidR="005F2818" w:rsidRDefault="005F2818" w:rsidP="00660892">
            <w:pPr>
              <w:spacing w:line="254" w:lineRule="auto"/>
              <w:rPr>
                <w:rFonts w:ascii="Arial Narrow" w:eastAsia="Calibri" w:hAnsi="Arial Narrow"/>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8913E2" w14:textId="77777777" w:rsidR="005F2818" w:rsidRDefault="005F2818" w:rsidP="00660892">
            <w:pPr>
              <w:spacing w:line="254" w:lineRule="auto"/>
              <w:rPr>
                <w:rFonts w:ascii="Arial Narrow" w:eastAsia="Calibri" w:hAnsi="Arial Narrow"/>
                <w:b/>
                <w:kern w:val="2"/>
                <w:sz w:val="20"/>
                <w:szCs w:val="20"/>
              </w:rPr>
            </w:pPr>
            <w:r>
              <w:rPr>
                <w:rFonts w:ascii="Arial Narrow" w:eastAsia="Calibri" w:hAnsi="Arial Narrow"/>
                <w:b/>
                <w:kern w:val="2"/>
                <w:sz w:val="20"/>
                <w:szCs w:val="20"/>
              </w:rPr>
              <w:t xml:space="preserve">Administrative advice: </w:t>
            </w:r>
          </w:p>
          <w:p w14:paraId="71CCA7C8" w14:textId="77777777" w:rsidR="005F2818" w:rsidRDefault="005F2818" w:rsidP="00660892">
            <w:pPr>
              <w:spacing w:line="254" w:lineRule="auto"/>
              <w:rPr>
                <w:rFonts w:ascii="Arial Narrow" w:eastAsia="Calibri" w:hAnsi="Arial Narrow"/>
                <w:b/>
                <w:kern w:val="2"/>
                <w:sz w:val="20"/>
                <w:szCs w:val="20"/>
              </w:rPr>
            </w:pPr>
            <w:r>
              <w:rPr>
                <w:rFonts w:ascii="Arial Narrow" w:hAnsi="Arial Narrow"/>
                <w:color w:val="333333"/>
                <w:kern w:val="2"/>
                <w:sz w:val="20"/>
                <w:szCs w:val="20"/>
              </w:rPr>
              <w:t>Cortisol levels should be monitored at regular intervals, since hypocortisolism-related events can occur at any time during treatment.</w:t>
            </w:r>
          </w:p>
        </w:tc>
      </w:tr>
      <w:tr w:rsidR="005F2818" w14:paraId="64B7F001" w14:textId="77777777" w:rsidTr="00AD6926">
        <w:tc>
          <w:tcPr>
            <w:tcW w:w="0" w:type="auto"/>
            <w:vMerge/>
            <w:tcBorders>
              <w:top w:val="single" w:sz="4" w:space="0" w:color="auto"/>
              <w:left w:val="single" w:sz="4" w:space="0" w:color="auto"/>
              <w:bottom w:val="single" w:sz="4" w:space="0" w:color="auto"/>
              <w:right w:val="single" w:sz="4" w:space="0" w:color="auto"/>
            </w:tcBorders>
            <w:vAlign w:val="center"/>
          </w:tcPr>
          <w:p w14:paraId="60191431" w14:textId="77777777" w:rsidR="005F2818" w:rsidRDefault="005F2818" w:rsidP="00660892">
            <w:pPr>
              <w:spacing w:line="256" w:lineRule="auto"/>
              <w:jc w:val="left"/>
              <w:rPr>
                <w:rFonts w:ascii="Arial Narrow" w:eastAsia="Calibri" w:hAnsi="Arial Narrow"/>
                <w:kern w:val="2"/>
                <w:sz w:val="20"/>
                <w:szCs w:val="20"/>
                <w14:ligatures w14:val="standardContextual"/>
              </w:rPr>
            </w:pPr>
          </w:p>
        </w:tc>
        <w:tc>
          <w:tcPr>
            <w:tcW w:w="3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8963C" w14:textId="1EC4F9AB" w:rsidR="005F2818" w:rsidRDefault="005F2818" w:rsidP="00660892">
            <w:pPr>
              <w:spacing w:line="254" w:lineRule="auto"/>
              <w:rPr>
                <w:rFonts w:ascii="Arial Narrow" w:eastAsia="Calibri" w:hAnsi="Arial Narrow"/>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184DFE" w14:textId="77777777" w:rsidR="005F2818" w:rsidRDefault="005F2818" w:rsidP="00660892">
            <w:pPr>
              <w:spacing w:line="254" w:lineRule="auto"/>
              <w:rPr>
                <w:rFonts w:ascii="Arial Narrow" w:eastAsia="Calibri" w:hAnsi="Arial Narrow"/>
                <w:b/>
                <w:kern w:val="2"/>
                <w:sz w:val="20"/>
                <w:szCs w:val="20"/>
              </w:rPr>
            </w:pPr>
            <w:r>
              <w:rPr>
                <w:rFonts w:ascii="Arial Narrow" w:eastAsia="Calibri" w:hAnsi="Arial Narrow"/>
                <w:b/>
                <w:kern w:val="2"/>
                <w:sz w:val="20"/>
                <w:szCs w:val="20"/>
              </w:rPr>
              <w:t xml:space="preserve">Administrative advice: </w:t>
            </w:r>
          </w:p>
          <w:p w14:paraId="1474ED15" w14:textId="77777777" w:rsidR="005F2818" w:rsidRDefault="005F2818" w:rsidP="00660892">
            <w:pPr>
              <w:spacing w:line="254" w:lineRule="auto"/>
              <w:rPr>
                <w:rFonts w:ascii="Arial Narrow" w:eastAsia="Calibri" w:hAnsi="Arial Narrow"/>
                <w:b/>
                <w:kern w:val="2"/>
                <w:sz w:val="20"/>
                <w:szCs w:val="20"/>
              </w:rPr>
            </w:pPr>
            <w:r>
              <w:rPr>
                <w:rFonts w:ascii="Arial Narrow" w:eastAsia="Calibri" w:hAnsi="Arial Narrow"/>
                <w:kern w:val="2"/>
                <w:sz w:val="20"/>
                <w:szCs w:val="20"/>
              </w:rPr>
              <w:t>No increase in the maximum number of repeats may be authorised.</w:t>
            </w:r>
          </w:p>
        </w:tc>
      </w:tr>
      <w:tr w:rsidR="005F2818" w14:paraId="1DE40483" w14:textId="77777777" w:rsidTr="00AD6926">
        <w:tc>
          <w:tcPr>
            <w:tcW w:w="0" w:type="auto"/>
            <w:vMerge/>
            <w:tcBorders>
              <w:top w:val="single" w:sz="4" w:space="0" w:color="auto"/>
              <w:left w:val="single" w:sz="4" w:space="0" w:color="auto"/>
              <w:bottom w:val="single" w:sz="4" w:space="0" w:color="auto"/>
              <w:right w:val="single" w:sz="4" w:space="0" w:color="auto"/>
            </w:tcBorders>
            <w:vAlign w:val="center"/>
          </w:tcPr>
          <w:p w14:paraId="7F7F4B19" w14:textId="77777777" w:rsidR="005F2818" w:rsidRDefault="005F2818" w:rsidP="00660892">
            <w:pPr>
              <w:spacing w:line="256" w:lineRule="auto"/>
              <w:jc w:val="left"/>
              <w:rPr>
                <w:rFonts w:ascii="Arial Narrow" w:eastAsia="Calibri" w:hAnsi="Arial Narrow"/>
                <w:kern w:val="2"/>
                <w:sz w:val="20"/>
                <w:szCs w:val="20"/>
                <w14:ligatures w14:val="standardContextual"/>
              </w:rPr>
            </w:pPr>
          </w:p>
        </w:tc>
        <w:tc>
          <w:tcPr>
            <w:tcW w:w="3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70FE22" w14:textId="05AACEBF" w:rsidR="005F2818" w:rsidRDefault="005F2818" w:rsidP="00660892">
            <w:pPr>
              <w:spacing w:line="254" w:lineRule="auto"/>
              <w:rPr>
                <w:rFonts w:ascii="Arial Narrow" w:eastAsia="Calibri" w:hAnsi="Arial Narrow"/>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D24886" w14:textId="77777777" w:rsidR="005F2818" w:rsidRDefault="005F2818" w:rsidP="00660892">
            <w:pPr>
              <w:spacing w:line="254" w:lineRule="auto"/>
              <w:rPr>
                <w:rFonts w:ascii="Arial Narrow" w:eastAsia="Calibri" w:hAnsi="Arial Narrow"/>
                <w:b/>
                <w:kern w:val="2"/>
                <w:sz w:val="20"/>
                <w:szCs w:val="20"/>
              </w:rPr>
            </w:pPr>
            <w:r>
              <w:rPr>
                <w:rFonts w:ascii="Arial Narrow" w:eastAsia="Calibri" w:hAnsi="Arial Narrow"/>
                <w:b/>
                <w:kern w:val="2"/>
                <w:sz w:val="20"/>
                <w:szCs w:val="20"/>
              </w:rPr>
              <w:t xml:space="preserve">Administrative Advice: </w:t>
            </w:r>
          </w:p>
          <w:p w14:paraId="7C352547" w14:textId="77777777" w:rsidR="005F2818" w:rsidRDefault="005F2818" w:rsidP="00660892">
            <w:pPr>
              <w:spacing w:line="254" w:lineRule="auto"/>
              <w:rPr>
                <w:rFonts w:ascii="Arial Narrow" w:eastAsia="Calibri" w:hAnsi="Arial Narrow"/>
                <w:b/>
                <w:kern w:val="2"/>
                <w:sz w:val="20"/>
                <w:szCs w:val="20"/>
              </w:rPr>
            </w:pPr>
            <w:r>
              <w:rPr>
                <w:rFonts w:ascii="Arial Narrow" w:eastAsia="Calibri" w:hAnsi="Arial Narrow"/>
                <w:bCs/>
                <w:kern w:val="2"/>
                <w:sz w:val="20"/>
                <w:szCs w:val="20"/>
              </w:rPr>
              <w:t>Special Pricing Arrangements apply.</w:t>
            </w:r>
          </w:p>
        </w:tc>
      </w:tr>
      <w:tr w:rsidR="005F2818" w14:paraId="76E759DC" w14:textId="77777777" w:rsidTr="00660892">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8DE8D6" w14:textId="77777777" w:rsidR="005F2818" w:rsidRDefault="005F2818" w:rsidP="00660892">
            <w:pPr>
              <w:spacing w:line="254" w:lineRule="auto"/>
              <w:rPr>
                <w:rFonts w:ascii="Arial Narrow" w:eastAsia="Calibri" w:hAnsi="Arial Narrow"/>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2A2C04" w14:textId="77777777" w:rsidR="005F2818" w:rsidRDefault="005F2818" w:rsidP="00660892">
            <w:pPr>
              <w:spacing w:line="254" w:lineRule="auto"/>
              <w:rPr>
                <w:rFonts w:ascii="Arial Narrow" w:eastAsia="Calibri" w:hAnsi="Arial Narrow"/>
                <w:b/>
                <w:kern w:val="2"/>
                <w:sz w:val="20"/>
                <w:szCs w:val="20"/>
              </w:rPr>
            </w:pPr>
          </w:p>
        </w:tc>
      </w:tr>
      <w:tr w:rsidR="005F2818" w14:paraId="07346614" w14:textId="77777777" w:rsidTr="00660892">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6F46E8" w14:textId="77777777" w:rsidR="005F2818" w:rsidRDefault="005F2818" w:rsidP="00660892">
            <w:pPr>
              <w:spacing w:line="254" w:lineRule="auto"/>
              <w:jc w:val="center"/>
              <w:rPr>
                <w:rFonts w:ascii="Arial Narrow" w:hAnsi="Arial Narrow"/>
                <w:color w:val="AEAAAA" w:themeColor="background2" w:themeShade="BF"/>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000108" w14:textId="77777777" w:rsidR="005F2818" w:rsidRDefault="005F2818" w:rsidP="00660892">
            <w:pPr>
              <w:spacing w:line="254" w:lineRule="auto"/>
              <w:rPr>
                <w:rFonts w:ascii="Arial Narrow" w:hAnsi="Arial Narrow"/>
                <w:bCs/>
                <w:color w:val="AEAAAA" w:themeColor="background2" w:themeShade="BF"/>
                <w:kern w:val="2"/>
                <w:sz w:val="20"/>
                <w:szCs w:val="20"/>
              </w:rPr>
            </w:pPr>
            <w:r>
              <w:rPr>
                <w:rFonts w:ascii="Arial Narrow" w:hAnsi="Arial Narrow"/>
                <w:b/>
                <w:bCs/>
                <w:color w:val="AEAAAA" w:themeColor="background2" w:themeShade="BF"/>
                <w:kern w:val="2"/>
                <w:sz w:val="20"/>
                <w:szCs w:val="20"/>
              </w:rPr>
              <w:t xml:space="preserve">Episodicity: </w:t>
            </w:r>
            <w:r>
              <w:rPr>
                <w:rFonts w:ascii="Arial Narrow" w:hAnsi="Arial Narrow"/>
                <w:color w:val="AEAAAA" w:themeColor="background2" w:themeShade="BF"/>
                <w:kern w:val="2"/>
                <w:sz w:val="20"/>
                <w:szCs w:val="20"/>
              </w:rPr>
              <w:t>Chronic</w:t>
            </w:r>
          </w:p>
        </w:tc>
      </w:tr>
      <w:tr w:rsidR="005F2818" w14:paraId="67A22A65" w14:textId="77777777" w:rsidTr="00660892">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3CBC66" w14:textId="77777777" w:rsidR="005F2818" w:rsidRDefault="005F2818" w:rsidP="00660892">
            <w:pPr>
              <w:spacing w:line="254" w:lineRule="auto"/>
              <w:jc w:val="center"/>
              <w:rPr>
                <w:rFonts w:ascii="Arial Narrow" w:hAnsi="Arial Narrow"/>
                <w:color w:val="AEAAAA" w:themeColor="background2" w:themeShade="BF"/>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145232" w14:textId="77777777" w:rsidR="005F2818" w:rsidRDefault="005F2818" w:rsidP="00660892">
            <w:pPr>
              <w:spacing w:line="254" w:lineRule="auto"/>
              <w:rPr>
                <w:rFonts w:ascii="Arial Narrow" w:hAnsi="Arial Narrow"/>
                <w:b/>
                <w:bCs/>
                <w:color w:val="AEAAAA" w:themeColor="background2" w:themeShade="BF"/>
                <w:kern w:val="2"/>
                <w:sz w:val="20"/>
                <w:szCs w:val="20"/>
              </w:rPr>
            </w:pPr>
            <w:r>
              <w:rPr>
                <w:rFonts w:ascii="Arial Narrow" w:hAnsi="Arial Narrow"/>
                <w:b/>
                <w:bCs/>
                <w:color w:val="AEAAAA" w:themeColor="background2" w:themeShade="BF"/>
                <w:kern w:val="2"/>
                <w:sz w:val="20"/>
                <w:szCs w:val="20"/>
              </w:rPr>
              <w:t xml:space="preserve">Severity: </w:t>
            </w:r>
            <w:r>
              <w:rPr>
                <w:rFonts w:ascii="Arial Narrow" w:hAnsi="Arial Narrow"/>
                <w:color w:val="AEAAAA" w:themeColor="background2" w:themeShade="BF"/>
                <w:kern w:val="2"/>
                <w:sz w:val="20"/>
                <w:szCs w:val="20"/>
              </w:rPr>
              <w:t>NA</w:t>
            </w:r>
          </w:p>
        </w:tc>
      </w:tr>
      <w:tr w:rsidR="005F2818" w14:paraId="3FEE2F56" w14:textId="77777777" w:rsidTr="00660892">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4151F0" w14:textId="77777777" w:rsidR="005F2818" w:rsidRDefault="005F2818" w:rsidP="00660892">
            <w:pPr>
              <w:spacing w:line="254" w:lineRule="auto"/>
              <w:jc w:val="center"/>
              <w:rPr>
                <w:rFonts w:ascii="Arial Narrow" w:hAnsi="Arial Narrow"/>
                <w:color w:val="AEAAAA" w:themeColor="background2" w:themeShade="BF"/>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F13796" w14:textId="77777777" w:rsidR="005F2818" w:rsidRDefault="005F2818" w:rsidP="00660892">
            <w:pPr>
              <w:spacing w:line="254" w:lineRule="auto"/>
              <w:rPr>
                <w:rFonts w:ascii="Arial Narrow" w:hAnsi="Arial Narrow"/>
                <w:b/>
                <w:bCs/>
                <w:color w:val="AEAAAA" w:themeColor="background2" w:themeShade="BF"/>
                <w:kern w:val="2"/>
                <w:sz w:val="20"/>
                <w:szCs w:val="20"/>
              </w:rPr>
            </w:pPr>
            <w:r>
              <w:rPr>
                <w:rFonts w:ascii="Arial Narrow" w:hAnsi="Arial Narrow"/>
                <w:b/>
                <w:bCs/>
                <w:color w:val="AEAAAA" w:themeColor="background2" w:themeShade="BF"/>
                <w:kern w:val="2"/>
                <w:sz w:val="20"/>
                <w:szCs w:val="20"/>
              </w:rPr>
              <w:t xml:space="preserve">Condition: </w:t>
            </w:r>
            <w:r>
              <w:rPr>
                <w:rFonts w:ascii="Arial Narrow" w:hAnsi="Arial Narrow"/>
                <w:color w:val="AEAAAA" w:themeColor="background2" w:themeShade="BF"/>
                <w:kern w:val="2"/>
                <w:sz w:val="20"/>
                <w:szCs w:val="20"/>
              </w:rPr>
              <w:t>Endogenous</w:t>
            </w:r>
            <w:r>
              <w:rPr>
                <w:rFonts w:ascii="Arial Narrow" w:hAnsi="Arial Narrow"/>
                <w:b/>
                <w:bCs/>
                <w:color w:val="AEAAAA" w:themeColor="background2" w:themeShade="BF"/>
                <w:kern w:val="2"/>
                <w:sz w:val="20"/>
                <w:szCs w:val="20"/>
              </w:rPr>
              <w:t xml:space="preserve"> </w:t>
            </w:r>
            <w:r>
              <w:rPr>
                <w:rFonts w:ascii="Arial Narrow" w:hAnsi="Arial Narrow"/>
                <w:bCs/>
                <w:color w:val="AEAAAA" w:themeColor="background2" w:themeShade="BF"/>
                <w:kern w:val="2"/>
                <w:sz w:val="20"/>
                <w:szCs w:val="20"/>
              </w:rPr>
              <w:t>Cushing’s Syndrome</w:t>
            </w:r>
          </w:p>
        </w:tc>
      </w:tr>
      <w:tr w:rsidR="005F2818" w14:paraId="229469AE" w14:textId="77777777" w:rsidTr="00AD6926">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9AD8C6" w14:textId="04CA1CA7" w:rsidR="005F2818" w:rsidRDefault="005F2818" w:rsidP="00660892">
            <w:pPr>
              <w:spacing w:line="254" w:lineRule="auto"/>
              <w:jc w:val="cente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7AF84C"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Indication:</w:t>
            </w:r>
            <w:r>
              <w:rPr>
                <w:rFonts w:ascii="Arial Narrow" w:hAnsi="Arial Narrow"/>
                <w:color w:val="333333"/>
                <w:kern w:val="2"/>
                <w:sz w:val="20"/>
                <w:szCs w:val="20"/>
              </w:rPr>
              <w:t xml:space="preserve"> Endogenous Cushing’s syndrome</w:t>
            </w:r>
          </w:p>
        </w:tc>
      </w:tr>
      <w:tr w:rsidR="005F2818" w14:paraId="321A5598" w14:textId="77777777" w:rsidTr="00AD6926">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A70B88" w14:textId="77777777" w:rsidR="005F2818" w:rsidRDefault="005F2818" w:rsidP="00660892">
            <w:pP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7239A5" w14:textId="77777777" w:rsidR="005F2818" w:rsidRDefault="005F2818" w:rsidP="00660892">
            <w:pPr>
              <w:spacing w:line="254" w:lineRule="auto"/>
              <w:rPr>
                <w:rFonts w:ascii="Arial Narrow" w:hAnsi="Arial Narrow"/>
                <w:color w:val="333333"/>
                <w:kern w:val="2"/>
                <w:sz w:val="20"/>
                <w:szCs w:val="20"/>
                <w14:ligatures w14:val="standardContextual"/>
              </w:rPr>
            </w:pPr>
            <w:r>
              <w:rPr>
                <w:rFonts w:ascii="Arial Narrow" w:hAnsi="Arial Narrow"/>
                <w:b/>
                <w:bCs/>
                <w:color w:val="333333"/>
                <w:kern w:val="2"/>
                <w:sz w:val="20"/>
                <w:szCs w:val="20"/>
              </w:rPr>
              <w:t>Treatment Phase:</w:t>
            </w:r>
            <w:r>
              <w:rPr>
                <w:rFonts w:ascii="Arial Narrow" w:hAnsi="Arial Narrow"/>
                <w:color w:val="333333"/>
                <w:kern w:val="2"/>
                <w:sz w:val="20"/>
                <w:szCs w:val="20"/>
              </w:rPr>
              <w:t xml:space="preserve"> Continuing treatment</w:t>
            </w:r>
          </w:p>
        </w:tc>
      </w:tr>
      <w:tr w:rsidR="005F2818" w14:paraId="6A5E7A2D" w14:textId="77777777" w:rsidTr="00AD6926">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527C37" w14:textId="77777777" w:rsidR="005F2818" w:rsidRDefault="005F2818" w:rsidP="00660892">
            <w:pP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741535" w14:textId="77777777" w:rsidR="005F2818" w:rsidRDefault="005F2818" w:rsidP="00660892">
            <w:pPr>
              <w:spacing w:line="254" w:lineRule="auto"/>
              <w:rPr>
                <w:rFonts w:ascii="Arial Narrow" w:hAnsi="Arial Narrow"/>
                <w:color w:val="333333"/>
                <w:kern w:val="2"/>
                <w:sz w:val="20"/>
                <w:szCs w:val="20"/>
                <w14:ligatures w14:val="standardContextual"/>
              </w:rPr>
            </w:pPr>
            <w:r>
              <w:rPr>
                <w:rFonts w:ascii="Arial Narrow" w:hAnsi="Arial Narrow"/>
                <w:b/>
                <w:bCs/>
                <w:color w:val="333333"/>
                <w:kern w:val="2"/>
                <w:sz w:val="20"/>
                <w:szCs w:val="20"/>
              </w:rPr>
              <w:t>Clinical criteria:</w:t>
            </w:r>
          </w:p>
        </w:tc>
      </w:tr>
      <w:tr w:rsidR="005F2818" w14:paraId="40916814" w14:textId="77777777" w:rsidTr="00AD6926">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820E27" w14:textId="58B9ED09" w:rsidR="005F2818" w:rsidRDefault="005F2818" w:rsidP="00660892">
            <w:pPr>
              <w:spacing w:line="254" w:lineRule="auto"/>
              <w:jc w:val="cente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65C709"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Patient must have received PBS-subsidised treatment with this drug for this condition</w:t>
            </w:r>
          </w:p>
        </w:tc>
      </w:tr>
      <w:tr w:rsidR="005F2818" w14:paraId="3AFA7689" w14:textId="77777777" w:rsidTr="00AD6926">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52AFDE" w14:textId="77777777" w:rsidR="005F2818" w:rsidRDefault="005F2818" w:rsidP="00660892">
            <w:pP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31A100" w14:textId="77777777" w:rsidR="005F2818" w:rsidRDefault="005F2818" w:rsidP="00660892">
            <w:pPr>
              <w:spacing w:line="254" w:lineRule="auto"/>
              <w:rPr>
                <w:rFonts w:ascii="Arial Narrow" w:hAnsi="Arial Narrow"/>
                <w:b/>
                <w:bCs/>
                <w:color w:val="333333"/>
                <w:kern w:val="2"/>
                <w:sz w:val="20"/>
                <w:szCs w:val="20"/>
                <w14:ligatures w14:val="standardContextual"/>
              </w:rPr>
            </w:pPr>
            <w:r>
              <w:rPr>
                <w:rFonts w:ascii="Arial Narrow" w:hAnsi="Arial Narrow"/>
                <w:b/>
                <w:bCs/>
                <w:color w:val="333333"/>
                <w:kern w:val="2"/>
                <w:sz w:val="20"/>
                <w:szCs w:val="20"/>
              </w:rPr>
              <w:t>AND</w:t>
            </w:r>
          </w:p>
        </w:tc>
      </w:tr>
      <w:tr w:rsidR="005F2818" w14:paraId="07C33F5B" w14:textId="77777777" w:rsidTr="00AD6926">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A23139" w14:textId="6FC75F36" w:rsidR="005F2818" w:rsidRDefault="005F2818" w:rsidP="00660892">
            <w:pPr>
              <w:spacing w:line="254" w:lineRule="auto"/>
              <w:jc w:val="cente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472E2D" w14:textId="77777777" w:rsidR="005F2818" w:rsidRDefault="005F2818" w:rsidP="00660892">
            <w:pPr>
              <w:spacing w:line="254" w:lineRule="auto"/>
              <w:rPr>
                <w:rFonts w:ascii="Arial Narrow" w:hAnsi="Arial Narrow"/>
                <w:b/>
                <w:bCs/>
                <w:color w:val="333333"/>
                <w:kern w:val="2"/>
                <w:sz w:val="20"/>
                <w:szCs w:val="20"/>
              </w:rPr>
            </w:pPr>
            <w:r>
              <w:rPr>
                <w:rFonts w:ascii="Arial Narrow" w:hAnsi="Arial Narrow"/>
                <w:b/>
                <w:bCs/>
                <w:color w:val="333333"/>
                <w:kern w:val="2"/>
                <w:sz w:val="20"/>
                <w:szCs w:val="20"/>
              </w:rPr>
              <w:t>Clinical criteria:</w:t>
            </w:r>
          </w:p>
        </w:tc>
      </w:tr>
      <w:tr w:rsidR="005F2818" w14:paraId="369D3A64" w14:textId="77777777" w:rsidTr="00AD6926">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6232B7" w14:textId="4E9C9EDD" w:rsidR="005F2818" w:rsidRDefault="005F2818" w:rsidP="00660892">
            <w:pPr>
              <w:spacing w:line="254" w:lineRule="auto"/>
              <w:jc w:val="cente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407A36" w14:textId="77777777" w:rsidR="005F2818" w:rsidRDefault="005F2818" w:rsidP="00660892">
            <w:pPr>
              <w:spacing w:line="254" w:lineRule="auto"/>
              <w:rPr>
                <w:rFonts w:ascii="Arial Narrow" w:hAnsi="Arial Narrow"/>
                <w:kern w:val="2"/>
                <w:sz w:val="20"/>
                <w:szCs w:val="20"/>
              </w:rPr>
            </w:pPr>
            <w:r>
              <w:rPr>
                <w:rFonts w:ascii="Arial Narrow" w:hAnsi="Arial Narrow"/>
                <w:kern w:val="2"/>
                <w:sz w:val="20"/>
                <w:szCs w:val="20"/>
              </w:rPr>
              <w:t xml:space="preserve">Patient must have demonstrated a complete response after at least 26 weeks of treatment with this drug </w:t>
            </w:r>
            <w:r>
              <w:rPr>
                <w:rFonts w:ascii="Arial Narrow" w:hAnsi="Arial Narrow"/>
                <w:b/>
                <w:bCs/>
                <w:kern w:val="2"/>
                <w:sz w:val="20"/>
                <w:szCs w:val="20"/>
              </w:rPr>
              <w:t>OR</w:t>
            </w:r>
          </w:p>
        </w:tc>
      </w:tr>
      <w:tr w:rsidR="005F2818" w14:paraId="4A500C5A" w14:textId="77777777" w:rsidTr="00AD6926">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D5E0D3" w14:textId="6987750D" w:rsidR="005F2818" w:rsidRDefault="005F2818" w:rsidP="00660892">
            <w:pPr>
              <w:spacing w:line="254" w:lineRule="auto"/>
              <w:jc w:val="cente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1ED7F7" w14:textId="77777777" w:rsidR="005F2818" w:rsidRDefault="005F2818" w:rsidP="00660892">
            <w:pPr>
              <w:spacing w:line="254" w:lineRule="auto"/>
              <w:rPr>
                <w:rFonts w:ascii="Arial Narrow" w:hAnsi="Arial Narrow"/>
                <w:kern w:val="2"/>
                <w:sz w:val="20"/>
                <w:szCs w:val="20"/>
              </w:rPr>
            </w:pPr>
            <w:r>
              <w:rPr>
                <w:rFonts w:ascii="Arial Narrow" w:hAnsi="Arial Narrow"/>
                <w:kern w:val="2"/>
                <w:sz w:val="20"/>
                <w:szCs w:val="20"/>
              </w:rPr>
              <w:t>Patient must have demonstrated a partial response after at least 26 weeks of treatment with this drug</w:t>
            </w:r>
          </w:p>
        </w:tc>
      </w:tr>
      <w:tr w:rsidR="005F2818" w14:paraId="62F7DC0E" w14:textId="77777777" w:rsidTr="00660892">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F6A891" w14:textId="77777777" w:rsidR="005F2818" w:rsidRDefault="005F2818" w:rsidP="00660892">
            <w:pPr>
              <w:spacing w:line="254" w:lineRule="auto"/>
              <w:jc w:val="cente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ADB4A4" w14:textId="77777777" w:rsidR="005F2818" w:rsidRDefault="005F2818" w:rsidP="00660892">
            <w:pPr>
              <w:spacing w:line="254" w:lineRule="auto"/>
              <w:rPr>
                <w:rFonts w:ascii="Arial Narrow" w:hAnsi="Arial Narrow"/>
                <w:kern w:val="2"/>
                <w:sz w:val="20"/>
                <w:szCs w:val="20"/>
              </w:rPr>
            </w:pPr>
          </w:p>
        </w:tc>
      </w:tr>
      <w:tr w:rsidR="005F2818" w14:paraId="5425677B" w14:textId="77777777" w:rsidTr="00AD6926">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C1F52D" w14:textId="0CA25BBA" w:rsidR="005F2818" w:rsidRDefault="005F2818" w:rsidP="00660892">
            <w:pPr>
              <w:spacing w:line="254" w:lineRule="auto"/>
              <w:jc w:val="cente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E7B55D" w14:textId="77777777" w:rsidR="005F2818" w:rsidRDefault="005F2818" w:rsidP="00660892">
            <w:pPr>
              <w:spacing w:line="254" w:lineRule="auto"/>
              <w:rPr>
                <w:rFonts w:ascii="Arial Narrow" w:hAnsi="Arial Narrow"/>
                <w:kern w:val="2"/>
                <w:sz w:val="20"/>
                <w:szCs w:val="20"/>
              </w:rPr>
            </w:pPr>
            <w:r>
              <w:rPr>
                <w:rFonts w:ascii="Arial Narrow" w:hAnsi="Arial Narrow"/>
                <w:b/>
                <w:bCs/>
                <w:kern w:val="2"/>
                <w:sz w:val="20"/>
                <w:szCs w:val="20"/>
              </w:rPr>
              <w:t>Treatment criteria:</w:t>
            </w:r>
          </w:p>
        </w:tc>
      </w:tr>
      <w:tr w:rsidR="005F2818" w14:paraId="07FECDD8" w14:textId="77777777" w:rsidTr="00AD6926">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FFCA74" w14:textId="4BA5A68B" w:rsidR="005F2818" w:rsidRDefault="005F2818" w:rsidP="00660892">
            <w:pPr>
              <w:spacing w:line="254" w:lineRule="auto"/>
              <w:jc w:val="cente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06913E" w14:textId="77777777" w:rsidR="005F2818" w:rsidRDefault="005F2818" w:rsidP="00660892">
            <w:pPr>
              <w:autoSpaceDE w:val="0"/>
              <w:autoSpaceDN w:val="0"/>
              <w:adjustRightInd w:val="0"/>
              <w:spacing w:line="254" w:lineRule="auto"/>
              <w:rPr>
                <w:rFonts w:ascii="Arial Narrow" w:eastAsia="Calibri" w:hAnsi="Arial Narrow" w:cs="Arial Narrow"/>
                <w:kern w:val="2"/>
                <w:sz w:val="20"/>
                <w:szCs w:val="20"/>
              </w:rPr>
            </w:pPr>
            <w:r>
              <w:rPr>
                <w:rFonts w:ascii="Arial Narrow" w:hAnsi="Arial Narrow"/>
                <w:kern w:val="2"/>
                <w:sz w:val="20"/>
                <w:szCs w:val="20"/>
              </w:rPr>
              <w:t xml:space="preserve">Must be treated by an endocrinologist. </w:t>
            </w:r>
          </w:p>
        </w:tc>
      </w:tr>
      <w:tr w:rsidR="005F2818" w14:paraId="625C40E2" w14:textId="77777777" w:rsidTr="00660892">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2B9489" w14:textId="77777777" w:rsidR="005F2818" w:rsidRDefault="005F2818" w:rsidP="00660892">
            <w:pPr>
              <w:spacing w:line="254" w:lineRule="auto"/>
              <w:jc w:val="cente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EE2709" w14:textId="77777777" w:rsidR="005F2818" w:rsidRDefault="005F2818" w:rsidP="00660892">
            <w:pPr>
              <w:autoSpaceDE w:val="0"/>
              <w:autoSpaceDN w:val="0"/>
              <w:adjustRightInd w:val="0"/>
              <w:spacing w:line="254" w:lineRule="auto"/>
              <w:rPr>
                <w:rFonts w:ascii="Arial Narrow" w:hAnsi="Arial Narrow"/>
                <w:strike/>
                <w:color w:val="333333"/>
                <w:kern w:val="2"/>
                <w:sz w:val="20"/>
                <w:szCs w:val="20"/>
              </w:rPr>
            </w:pPr>
          </w:p>
        </w:tc>
      </w:tr>
      <w:tr w:rsidR="005F2818" w14:paraId="4652C311" w14:textId="77777777" w:rsidTr="00660892">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321C49" w14:textId="77777777" w:rsidR="005F2818" w:rsidRDefault="005F2818" w:rsidP="00660892">
            <w:pPr>
              <w:spacing w:line="254" w:lineRule="auto"/>
              <w:jc w:val="center"/>
              <w:rPr>
                <w:rFonts w:ascii="Arial Narrow" w:hAnsi="Arial Narrow"/>
                <w:strike/>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73CB81"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Population criteria:</w:t>
            </w:r>
          </w:p>
        </w:tc>
      </w:tr>
      <w:tr w:rsidR="005F2818" w14:paraId="063E3CBF" w14:textId="77777777" w:rsidTr="00AD6926">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124DA5" w14:textId="2CF2F046" w:rsidR="005F2818" w:rsidRDefault="005F2818" w:rsidP="00660892">
            <w:pPr>
              <w:spacing w:line="254" w:lineRule="auto"/>
              <w:jc w:val="cente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39B76B"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Patients must be at least 18 years of age.</w:t>
            </w:r>
          </w:p>
        </w:tc>
      </w:tr>
      <w:tr w:rsidR="005F2818" w14:paraId="69DB5FA9" w14:textId="77777777" w:rsidTr="00AD6926">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AD19B2" w14:textId="7EF875BB" w:rsidR="005F2818" w:rsidRDefault="005F2818" w:rsidP="00660892">
            <w:pPr>
              <w:spacing w:line="254" w:lineRule="auto"/>
              <w:jc w:val="cente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BF7EE2" w14:textId="77777777" w:rsidR="005F2818" w:rsidRDefault="005F2818" w:rsidP="00660892">
            <w:pPr>
              <w:spacing w:line="254" w:lineRule="auto"/>
              <w:rPr>
                <w:rFonts w:ascii="Arial Narrow" w:hAnsi="Arial Narrow"/>
                <w:color w:val="333333"/>
                <w:kern w:val="2"/>
                <w:sz w:val="20"/>
                <w:szCs w:val="20"/>
              </w:rPr>
            </w:pPr>
            <w:r>
              <w:rPr>
                <w:rFonts w:ascii="Arial Narrow" w:hAnsi="Arial Narrow"/>
                <w:b/>
                <w:bCs/>
                <w:color w:val="333333"/>
                <w:kern w:val="2"/>
                <w:sz w:val="20"/>
                <w:szCs w:val="20"/>
              </w:rPr>
              <w:t>Prescribing Instructions:</w:t>
            </w:r>
            <w:r>
              <w:rPr>
                <w:rFonts w:ascii="Arial Narrow" w:hAnsi="Arial Narrow"/>
                <w:color w:val="333333"/>
                <w:kern w:val="2"/>
                <w:sz w:val="20"/>
                <w:szCs w:val="20"/>
              </w:rPr>
              <w:t xml:space="preserve"> </w:t>
            </w:r>
          </w:p>
          <w:p w14:paraId="487366F0"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 xml:space="preserve">For the purposes of administering this restriction, a complete response is defined as a mean urinary free cortisol (UFC) level of less than or equal to the upper limit of normal (ULN). </w:t>
            </w:r>
          </w:p>
          <w:p w14:paraId="0E40DFEE" w14:textId="77777777" w:rsidR="005F2818" w:rsidRDefault="005F2818" w:rsidP="00660892">
            <w:pPr>
              <w:spacing w:line="254" w:lineRule="auto"/>
              <w:rPr>
                <w:rFonts w:ascii="Arial Narrow" w:hAnsi="Arial Narrow"/>
                <w:color w:val="333333"/>
                <w:kern w:val="2"/>
                <w:sz w:val="20"/>
                <w:szCs w:val="20"/>
              </w:rPr>
            </w:pPr>
            <w:r>
              <w:rPr>
                <w:rFonts w:ascii="Arial Narrow" w:hAnsi="Arial Narrow"/>
                <w:color w:val="333333"/>
                <w:kern w:val="2"/>
                <w:sz w:val="20"/>
                <w:szCs w:val="20"/>
              </w:rPr>
              <w:t>A partial response is defined as mean UFC level of greater than ULN but with at least 50% reduction from the baseline value. The mean UFC should be the average of at least two urine samples.</w:t>
            </w:r>
          </w:p>
        </w:tc>
      </w:tr>
      <w:tr w:rsidR="005F2818" w14:paraId="75C0B55C" w14:textId="77777777" w:rsidTr="00AD6926">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F1CB0F" w14:textId="1CC99201" w:rsidR="005F2818" w:rsidRDefault="005F2818" w:rsidP="00660892">
            <w:pPr>
              <w:spacing w:line="254" w:lineRule="auto"/>
              <w:jc w:val="cente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07D12C" w14:textId="77777777" w:rsidR="005F2818" w:rsidRDefault="005F2818" w:rsidP="00660892">
            <w:pPr>
              <w:spacing w:line="254" w:lineRule="auto"/>
              <w:rPr>
                <w:rFonts w:ascii="Arial Narrow" w:hAnsi="Arial Narrow"/>
                <w:kern w:val="2"/>
                <w:sz w:val="20"/>
                <w:szCs w:val="20"/>
              </w:rPr>
            </w:pPr>
            <w:r>
              <w:rPr>
                <w:rFonts w:ascii="Arial Narrow" w:hAnsi="Arial Narrow"/>
                <w:b/>
                <w:bCs/>
                <w:kern w:val="2"/>
                <w:sz w:val="20"/>
                <w:szCs w:val="20"/>
              </w:rPr>
              <w:t>Prescribing Instructions:</w:t>
            </w:r>
            <w:r>
              <w:rPr>
                <w:rFonts w:ascii="Arial Narrow" w:hAnsi="Arial Narrow"/>
                <w:kern w:val="2"/>
                <w:sz w:val="20"/>
                <w:szCs w:val="20"/>
              </w:rPr>
              <w:t xml:space="preserve"> </w:t>
            </w:r>
          </w:p>
          <w:p w14:paraId="38F04CD7" w14:textId="7BF2E8A2" w:rsidR="005F2818" w:rsidRDefault="005F2818" w:rsidP="00660892">
            <w:pPr>
              <w:spacing w:line="254" w:lineRule="auto"/>
              <w:rPr>
                <w:rFonts w:ascii="Arial Narrow" w:hAnsi="Arial Narrow"/>
                <w:kern w:val="2"/>
                <w:sz w:val="20"/>
                <w:szCs w:val="20"/>
              </w:rPr>
            </w:pPr>
            <w:r>
              <w:rPr>
                <w:rFonts w:ascii="Arial Narrow" w:hAnsi="Arial Narrow"/>
                <w:kern w:val="2"/>
                <w:sz w:val="20"/>
                <w:szCs w:val="20"/>
              </w:rPr>
              <w:t>At the time of authority application, medical practitioners must request the appropriate number of packs to provide sufficient drug, based on the prescribed dose of the patient, for 4 weeks of treatment. A separate authority prescription form must be completed for each strength requested. The dose must not exceed 30 mg twice daily. Up to a maximum of</w:t>
            </w:r>
            <w:r w:rsidR="002651E4">
              <w:rPr>
                <w:rFonts w:ascii="Arial Narrow" w:hAnsi="Arial Narrow"/>
                <w:kern w:val="2"/>
                <w:sz w:val="20"/>
                <w:szCs w:val="20"/>
              </w:rPr>
              <w:t xml:space="preserve"> </w:t>
            </w:r>
            <w:r w:rsidR="00464977">
              <w:rPr>
                <w:rFonts w:ascii="Arial Narrow" w:hAnsi="Arial Narrow"/>
                <w:kern w:val="2"/>
                <w:sz w:val="20"/>
                <w:szCs w:val="20"/>
              </w:rPr>
              <w:t>5</w:t>
            </w:r>
            <w:r w:rsidR="002651E4">
              <w:rPr>
                <w:rFonts w:ascii="Arial Narrow" w:hAnsi="Arial Narrow"/>
                <w:kern w:val="2"/>
                <w:sz w:val="20"/>
                <w:szCs w:val="20"/>
              </w:rPr>
              <w:t xml:space="preserve"> </w:t>
            </w:r>
            <w:r>
              <w:rPr>
                <w:rFonts w:ascii="Arial Narrow" w:hAnsi="Arial Narrow"/>
                <w:kern w:val="2"/>
                <w:sz w:val="20"/>
                <w:szCs w:val="20"/>
              </w:rPr>
              <w:t>repeats will be authorised.</w:t>
            </w:r>
          </w:p>
        </w:tc>
      </w:tr>
      <w:tr w:rsidR="005F2818" w14:paraId="2E5B4290" w14:textId="77777777" w:rsidTr="00AD6926">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FA81C7" w14:textId="30D37880" w:rsidR="005F2818" w:rsidRDefault="005F2818" w:rsidP="00660892">
            <w:pPr>
              <w:spacing w:line="254" w:lineRule="auto"/>
              <w:jc w:val="cente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51BD22" w14:textId="77777777" w:rsidR="005F2818" w:rsidRDefault="005F2818" w:rsidP="00660892">
            <w:pPr>
              <w:spacing w:line="254" w:lineRule="auto"/>
              <w:rPr>
                <w:rFonts w:ascii="Arial Narrow" w:hAnsi="Arial Narrow"/>
                <w:kern w:val="2"/>
                <w:sz w:val="20"/>
                <w:szCs w:val="20"/>
              </w:rPr>
            </w:pPr>
            <w:r>
              <w:rPr>
                <w:rFonts w:ascii="Arial Narrow" w:hAnsi="Arial Narrow"/>
                <w:b/>
                <w:bCs/>
                <w:kern w:val="2"/>
                <w:sz w:val="20"/>
                <w:szCs w:val="20"/>
              </w:rPr>
              <w:t>Prescribing Instructions:</w:t>
            </w:r>
            <w:r>
              <w:rPr>
                <w:rFonts w:ascii="Arial Narrow" w:hAnsi="Arial Narrow"/>
                <w:kern w:val="2"/>
                <w:sz w:val="20"/>
                <w:szCs w:val="20"/>
              </w:rPr>
              <w:t xml:space="preserve"> </w:t>
            </w:r>
          </w:p>
          <w:p w14:paraId="27D19559" w14:textId="77777777" w:rsidR="005F2818" w:rsidRDefault="005F2818" w:rsidP="00660892">
            <w:pPr>
              <w:spacing w:line="254" w:lineRule="auto"/>
              <w:rPr>
                <w:rFonts w:ascii="Arial Narrow" w:hAnsi="Arial Narrow"/>
                <w:kern w:val="2"/>
                <w:sz w:val="20"/>
                <w:szCs w:val="20"/>
              </w:rPr>
            </w:pPr>
            <w:r>
              <w:rPr>
                <w:rFonts w:ascii="Arial Narrow" w:hAnsi="Arial Narrow"/>
                <w:kern w:val="2"/>
                <w:sz w:val="20"/>
                <w:szCs w:val="20"/>
              </w:rPr>
              <w:t>Where there is a current, approved PBS prescription with valid repeat prescriptions specified (i.e., where the dose is changing), mark the prescription that is intended for no further supply as 'Cancelled'.</w:t>
            </w:r>
          </w:p>
        </w:tc>
      </w:tr>
      <w:tr w:rsidR="005F2818" w14:paraId="058BFA69" w14:textId="77777777" w:rsidTr="00AD6926">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154FDF" w14:textId="3BC2A4D6" w:rsidR="005F2818" w:rsidRDefault="005F2818" w:rsidP="00660892">
            <w:pPr>
              <w:spacing w:line="254" w:lineRule="auto"/>
              <w:jc w:val="cente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A61BBF" w14:textId="77777777" w:rsidR="005F2818" w:rsidRDefault="005F2818" w:rsidP="00660892">
            <w:pPr>
              <w:spacing w:line="254" w:lineRule="auto"/>
              <w:rPr>
                <w:rFonts w:ascii="Arial Narrow" w:hAnsi="Arial Narrow"/>
                <w:kern w:val="2"/>
                <w:sz w:val="20"/>
                <w:szCs w:val="20"/>
              </w:rPr>
            </w:pPr>
            <w:r>
              <w:rPr>
                <w:rFonts w:ascii="Arial Narrow" w:hAnsi="Arial Narrow"/>
                <w:b/>
                <w:bCs/>
                <w:kern w:val="2"/>
                <w:sz w:val="20"/>
                <w:szCs w:val="20"/>
              </w:rPr>
              <w:t>Prescribing Instructions:</w:t>
            </w:r>
            <w:r>
              <w:rPr>
                <w:rFonts w:ascii="Arial Narrow" w:hAnsi="Arial Narrow"/>
                <w:kern w:val="2"/>
                <w:sz w:val="20"/>
                <w:szCs w:val="20"/>
              </w:rPr>
              <w:t xml:space="preserve"> </w:t>
            </w:r>
          </w:p>
          <w:p w14:paraId="09831A13" w14:textId="77777777" w:rsidR="005F2818" w:rsidRDefault="005F2818" w:rsidP="00660892">
            <w:pPr>
              <w:spacing w:line="254" w:lineRule="auto"/>
              <w:rPr>
                <w:rFonts w:ascii="Arial Narrow" w:hAnsi="Arial Narrow"/>
                <w:b/>
                <w:bCs/>
                <w:kern w:val="2"/>
                <w:sz w:val="20"/>
                <w:szCs w:val="20"/>
              </w:rPr>
            </w:pPr>
            <w:r>
              <w:rPr>
                <w:rFonts w:ascii="Arial Narrow" w:hAnsi="Arial Narrow"/>
                <w:kern w:val="2"/>
                <w:sz w:val="20"/>
                <w:szCs w:val="20"/>
              </w:rPr>
              <w:t>An application for the continuing treatment must be accompanied with the assessment of response conducted after 26 weeks from the first dose of osilodrostat and no later than 4 weeks from the date of completion of treatment. This will enable ongoing treatment for patients who meet the continuing restriction for PBS-subsidised treatment.</w:t>
            </w:r>
          </w:p>
        </w:tc>
      </w:tr>
      <w:tr w:rsidR="005F2818" w14:paraId="304B6C55" w14:textId="77777777" w:rsidTr="00AD6926">
        <w:tc>
          <w:tcPr>
            <w:tcW w:w="592"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1247C3" w14:textId="353A7385" w:rsidR="005F2818" w:rsidRDefault="005F2818" w:rsidP="00660892">
            <w:pPr>
              <w:spacing w:line="254" w:lineRule="auto"/>
              <w:jc w:val="center"/>
              <w:rPr>
                <w:rFonts w:ascii="Arial Narrow" w:hAnsi="Arial Narrow"/>
                <w:color w:val="333333"/>
                <w:kern w:val="2"/>
                <w:sz w:val="20"/>
                <w:szCs w:val="20"/>
              </w:rPr>
            </w:pPr>
          </w:p>
        </w:tc>
        <w:tc>
          <w:tcPr>
            <w:tcW w:w="4408"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57F7D4" w14:textId="77777777" w:rsidR="005F2818" w:rsidRDefault="005F2818" w:rsidP="00660892">
            <w:pPr>
              <w:spacing w:line="254" w:lineRule="auto"/>
              <w:rPr>
                <w:rFonts w:ascii="Arial Narrow" w:hAnsi="Arial Narrow"/>
                <w:kern w:val="2"/>
                <w:sz w:val="20"/>
                <w:szCs w:val="20"/>
              </w:rPr>
            </w:pPr>
            <w:r>
              <w:rPr>
                <w:rFonts w:ascii="Arial Narrow" w:hAnsi="Arial Narrow"/>
                <w:b/>
                <w:bCs/>
                <w:kern w:val="2"/>
                <w:sz w:val="20"/>
                <w:szCs w:val="20"/>
              </w:rPr>
              <w:t>Administrative advice:</w:t>
            </w:r>
            <w:r>
              <w:rPr>
                <w:rFonts w:ascii="Arial Narrow" w:hAnsi="Arial Narrow"/>
                <w:kern w:val="2"/>
                <w:sz w:val="20"/>
                <w:szCs w:val="20"/>
              </w:rPr>
              <w:t xml:space="preserve"> </w:t>
            </w:r>
          </w:p>
          <w:p w14:paraId="57CB60BF" w14:textId="77777777" w:rsidR="005F2818" w:rsidRDefault="005F2818" w:rsidP="00660892">
            <w:pPr>
              <w:spacing w:line="254" w:lineRule="auto"/>
              <w:rPr>
                <w:rFonts w:ascii="Arial Narrow" w:hAnsi="Arial Narrow"/>
                <w:b/>
                <w:bCs/>
                <w:kern w:val="2"/>
                <w:sz w:val="20"/>
                <w:szCs w:val="20"/>
              </w:rPr>
            </w:pPr>
            <w:r>
              <w:rPr>
                <w:rFonts w:ascii="Arial Narrow" w:hAnsi="Arial Narrow"/>
                <w:kern w:val="2"/>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489318C9" w14:textId="7EA36B82" w:rsidR="00A50DED" w:rsidRPr="00001C23" w:rsidRDefault="005F2818" w:rsidP="00001C23">
      <w:pPr>
        <w:pStyle w:val="3-BodyText"/>
        <w:numPr>
          <w:ilvl w:val="0"/>
          <w:numId w:val="0"/>
        </w:numPr>
        <w:spacing w:before="120"/>
        <w:rPr>
          <w:rFonts w:cs="Calibri"/>
          <w:b/>
          <w:bCs/>
          <w:i/>
          <w:iCs/>
          <w:color w:val="000000"/>
          <w:shd w:val="clear" w:color="auto" w:fill="FFFFFF"/>
        </w:rPr>
      </w:pPr>
      <w:r>
        <w:rPr>
          <w:rStyle w:val="normaltextrun"/>
          <w:rFonts w:cs="Calibri"/>
          <w:b/>
          <w:bCs/>
          <w:i/>
          <w:iCs/>
          <w:color w:val="000000"/>
          <w:shd w:val="clear" w:color="auto" w:fill="FFFFFF"/>
        </w:rPr>
        <w:t>This restriction may be subject to further review. Should there be any changes made to the restriction the Sponsor will be informed.</w:t>
      </w:r>
    </w:p>
    <w:p w14:paraId="28D04799" w14:textId="77777777" w:rsidR="001631CE" w:rsidRDefault="001631CE" w:rsidP="00AD6926">
      <w:pPr>
        <w:pStyle w:val="2-SectionHeading"/>
        <w:numPr>
          <w:ilvl w:val="0"/>
          <w:numId w:val="29"/>
        </w:numPr>
        <w:rPr>
          <w:bCs/>
          <w:lang w:val="en-GB"/>
        </w:rPr>
      </w:pPr>
      <w:r w:rsidRPr="00C07617">
        <w:t>Context for Decision</w:t>
      </w:r>
    </w:p>
    <w:p w14:paraId="59578ED3" w14:textId="77777777" w:rsidR="001631CE" w:rsidRPr="00311EEF" w:rsidRDefault="001631CE" w:rsidP="001631CE">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F0F111E" w14:textId="77777777" w:rsidR="001631CE" w:rsidRPr="00311EEF" w:rsidRDefault="001631CE" w:rsidP="001631CE">
      <w:pPr>
        <w:pStyle w:val="COMH1numbered"/>
      </w:pPr>
      <w:r w:rsidRPr="00311EEF">
        <w:t>10</w:t>
      </w:r>
      <w:r>
        <w:tab/>
      </w:r>
      <w:r w:rsidRPr="00311EEF">
        <w:t>Sponsor’s Comment</w:t>
      </w:r>
    </w:p>
    <w:p w14:paraId="2BD24DBB" w14:textId="3F9D3C9D" w:rsidR="00280050" w:rsidRPr="00F05A89" w:rsidRDefault="00321927" w:rsidP="00F05A89">
      <w:pPr>
        <w:spacing w:after="120"/>
        <w:ind w:left="720"/>
        <w:rPr>
          <w:rFonts w:asciiTheme="minorHAnsi" w:hAnsiTheme="minorHAnsi"/>
          <w:bCs/>
        </w:rPr>
      </w:pPr>
      <w:r>
        <w:rPr>
          <w:rFonts w:asciiTheme="minorHAnsi" w:hAnsiTheme="minorHAnsi"/>
          <w:bCs/>
        </w:rPr>
        <w:t xml:space="preserve">Recordati Rare Diseases welcomes the </w:t>
      </w:r>
      <w:r w:rsidR="00114DBF">
        <w:rPr>
          <w:rFonts w:asciiTheme="minorHAnsi" w:hAnsiTheme="minorHAnsi"/>
          <w:bCs/>
        </w:rPr>
        <w:t xml:space="preserve">PBAC’s </w:t>
      </w:r>
      <w:r>
        <w:rPr>
          <w:rFonts w:asciiTheme="minorHAnsi" w:hAnsiTheme="minorHAnsi"/>
          <w:bCs/>
        </w:rPr>
        <w:t xml:space="preserve">decision </w:t>
      </w:r>
      <w:r w:rsidR="00114DBF">
        <w:rPr>
          <w:rFonts w:asciiTheme="minorHAnsi" w:hAnsiTheme="minorHAnsi"/>
          <w:bCs/>
        </w:rPr>
        <w:t xml:space="preserve">to recommend the inclusion of Isturisa (osilodrostat) for the </w:t>
      </w:r>
      <w:r w:rsidR="00114DBF" w:rsidRPr="007A4E7E">
        <w:t>treatment of endogenous Cushing’s syndrome</w:t>
      </w:r>
      <w:r w:rsidR="00114DBF">
        <w:t xml:space="preserve"> on the PBS.</w:t>
      </w:r>
    </w:p>
    <w:sectPr w:rsidR="00280050" w:rsidRPr="00F05A89" w:rsidSect="00924CE6">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C5726" w14:textId="77777777" w:rsidR="00E21176" w:rsidRDefault="00E21176" w:rsidP="007D00BA">
      <w:r>
        <w:separator/>
      </w:r>
    </w:p>
  </w:endnote>
  <w:endnote w:type="continuationSeparator" w:id="0">
    <w:p w14:paraId="7ACA26CD" w14:textId="77777777" w:rsidR="00E21176" w:rsidRDefault="00E21176" w:rsidP="007D00BA">
      <w:r>
        <w:continuationSeparator/>
      </w:r>
    </w:p>
  </w:endnote>
  <w:endnote w:type="continuationNotice" w:id="1">
    <w:p w14:paraId="77CDF036" w14:textId="77777777" w:rsidR="00E21176" w:rsidRDefault="00E21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0433F" w14:textId="77777777" w:rsidR="00063CEB" w:rsidRDefault="00063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B2E7A" w14:textId="77777777" w:rsidR="00321927" w:rsidRDefault="00321927" w:rsidP="00EA6DFD">
    <w:pPr>
      <w:pStyle w:val="Footer"/>
      <w:jc w:val="center"/>
    </w:pPr>
  </w:p>
  <w:p w14:paraId="2572D251" w14:textId="77777777" w:rsidR="00321927" w:rsidRPr="00914C1A" w:rsidRDefault="00001C23" w:rsidP="00EA6DFD">
    <w:pPr>
      <w:pStyle w:val="Footer"/>
      <w:jc w:val="center"/>
      <w:rPr>
        <w:b/>
        <w:bCs/>
      </w:rPr>
    </w:pPr>
    <w:sdt>
      <w:sdtPr>
        <w:rPr>
          <w:b/>
          <w:bCs/>
        </w:rPr>
        <w:id w:val="1904946000"/>
        <w:docPartObj>
          <w:docPartGallery w:val="Page Numbers (Bottom of Page)"/>
          <w:docPartUnique/>
        </w:docPartObj>
      </w:sdtPr>
      <w:sdtEndPr>
        <w:rPr>
          <w:noProof/>
        </w:rPr>
      </w:sdtEndPr>
      <w:sdtContent>
        <w:r w:rsidR="00321927" w:rsidRPr="00914C1A">
          <w:rPr>
            <w:b/>
            <w:bCs/>
          </w:rPr>
          <w:fldChar w:fldCharType="begin"/>
        </w:r>
        <w:r w:rsidR="00321927" w:rsidRPr="00914C1A">
          <w:rPr>
            <w:b/>
            <w:bCs/>
          </w:rPr>
          <w:instrText xml:space="preserve"> PAGE   \* MERGEFORMAT </w:instrText>
        </w:r>
        <w:r w:rsidR="00321927" w:rsidRPr="00914C1A">
          <w:rPr>
            <w:b/>
            <w:bCs/>
          </w:rPr>
          <w:fldChar w:fldCharType="separate"/>
        </w:r>
        <w:r w:rsidR="00321927" w:rsidRPr="00914C1A">
          <w:rPr>
            <w:b/>
            <w:bCs/>
            <w:noProof/>
          </w:rPr>
          <w:t>2</w:t>
        </w:r>
        <w:r w:rsidR="00321927" w:rsidRPr="00914C1A">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1B6B8" w14:textId="77777777" w:rsidR="00063CEB" w:rsidRDefault="00063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EA694" w14:textId="77777777" w:rsidR="00E21176" w:rsidRDefault="00E21176" w:rsidP="007D00BA">
      <w:r>
        <w:separator/>
      </w:r>
    </w:p>
  </w:footnote>
  <w:footnote w:type="continuationSeparator" w:id="0">
    <w:p w14:paraId="6BEE526E" w14:textId="77777777" w:rsidR="00E21176" w:rsidRDefault="00E21176" w:rsidP="007D00BA">
      <w:r>
        <w:continuationSeparator/>
      </w:r>
    </w:p>
  </w:footnote>
  <w:footnote w:type="continuationNotice" w:id="1">
    <w:p w14:paraId="2FABDF1A" w14:textId="77777777" w:rsidR="00E21176" w:rsidRDefault="00E21176"/>
  </w:footnote>
  <w:footnote w:id="2">
    <w:p w14:paraId="4FD3DA7B" w14:textId="77777777" w:rsidR="00321927" w:rsidRDefault="00321927" w:rsidP="007D00BA">
      <w:pPr>
        <w:pStyle w:val="FootnoteText"/>
      </w:pPr>
      <w:r>
        <w:rPr>
          <w:rStyle w:val="FootnoteReference"/>
        </w:rPr>
        <w:footnoteRef/>
      </w:r>
      <w:r>
        <w:t xml:space="preserve"> Giraldi, F, Ambrogio, A (2015) </w:t>
      </w:r>
      <w:r w:rsidRPr="002C6B08">
        <w:t>Variability in laboratory parameters used for management of Cushing’s syndrome</w:t>
      </w:r>
      <w:r>
        <w:t xml:space="preserve">, Endocrine Methods and Techniques, 50,580-589, </w:t>
      </w:r>
      <w:r w:rsidRPr="00794571">
        <w:t>https://link.springer.com/article/10.1007/s12020-015-0676-9</w:t>
      </w:r>
    </w:p>
  </w:footnote>
  <w:footnote w:id="3">
    <w:p w14:paraId="0D71877D" w14:textId="77777777" w:rsidR="00321927" w:rsidRPr="00246C20" w:rsidRDefault="00321927" w:rsidP="007D00BA">
      <w:pPr>
        <w:pStyle w:val="FootnoteText"/>
      </w:pPr>
      <w:r w:rsidRPr="00246C20">
        <w:rPr>
          <w:rStyle w:val="FootnoteReference"/>
        </w:rPr>
        <w:footnoteRef/>
      </w:r>
      <w:r w:rsidRPr="00246C20">
        <w:t xml:space="preserve"> McBride, M, et al. (2021) Quality of life in Cushing’s syndrome, Best Practice &amp; Research Clinical Endocrinology &amp; Metabolism, 35:1. 101505. https://doi.org/10.1016/j.beem.2021.101505</w:t>
      </w:r>
    </w:p>
  </w:footnote>
  <w:footnote w:id="4">
    <w:p w14:paraId="576781FA" w14:textId="77777777" w:rsidR="00321927" w:rsidRPr="00246C20" w:rsidRDefault="00321927" w:rsidP="007D00BA">
      <w:pPr>
        <w:pStyle w:val="FootnoteText"/>
      </w:pPr>
      <w:r w:rsidRPr="00246C20">
        <w:rPr>
          <w:rStyle w:val="FootnoteReference"/>
        </w:rPr>
        <w:footnoteRef/>
      </w:r>
      <w:r w:rsidRPr="00246C20">
        <w:t xml:space="preserve"> Santos A, et al. (2019). Quality of Life in Patients With Cushing's Disease. Front Endocrinol (Lausanne); 10:862. doi: 10.3389/fendo.2019.00862. PMID: 31920973; PMCID: PMC6917662</w:t>
      </w:r>
    </w:p>
  </w:footnote>
  <w:footnote w:id="5">
    <w:p w14:paraId="38F23D2C" w14:textId="77777777" w:rsidR="00321927" w:rsidRDefault="00321927" w:rsidP="007D00BA">
      <w:pPr>
        <w:pStyle w:val="FootnoteText"/>
      </w:pPr>
      <w:r w:rsidRPr="00246C20">
        <w:rPr>
          <w:rStyle w:val="FootnoteReference"/>
        </w:rPr>
        <w:footnoteRef/>
      </w:r>
      <w:r w:rsidRPr="00246C20">
        <w:t xml:space="preserve"> Broersen, LHA, et al. (2019). Improvement but No Normalization of Quality of Life and Cognitive Functioning After Treatment of Cushing Syndrome, The Journal of Clinical Endocrinology &amp; Metabolism, 104:11,5325–5337, https://doi.org/10.1210/jc.2019-01054</w:t>
      </w:r>
    </w:p>
  </w:footnote>
  <w:footnote w:id="6">
    <w:p w14:paraId="4021834C" w14:textId="77777777" w:rsidR="00321927" w:rsidRDefault="00321927" w:rsidP="007D00BA">
      <w:pPr>
        <w:pStyle w:val="FootnoteText"/>
      </w:pPr>
      <w:r>
        <w:rPr>
          <w:rStyle w:val="FootnoteReference"/>
        </w:rPr>
        <w:footnoteRef/>
      </w:r>
      <w:r>
        <w:t xml:space="preserve"> Minimal clinically important difference (MCID) thresholds described in the resubmission:</w:t>
      </w:r>
    </w:p>
    <w:p w14:paraId="60B6CAEE" w14:textId="77777777" w:rsidR="00321927" w:rsidRPr="00FB0C73" w:rsidRDefault="00321927" w:rsidP="007D00BA">
      <w:pPr>
        <w:pStyle w:val="FootnoteText"/>
      </w:pPr>
      <w:r w:rsidRPr="00FB0C73">
        <w:t>EQ-5D-5L utility scores = 0.037-0.069 change from baseline; Cushing’s QoL = 10.1-point change from baseline</w:t>
      </w:r>
      <w:r>
        <w:t>; BDI-II = 17.5% reduction from baseline</w:t>
      </w:r>
    </w:p>
  </w:footnote>
  <w:footnote w:id="7">
    <w:p w14:paraId="5F9401DF" w14:textId="77777777" w:rsidR="00321927" w:rsidRPr="00575545" w:rsidRDefault="00321927" w:rsidP="007D00BA">
      <w:pPr>
        <w:pStyle w:val="FootnoteText"/>
      </w:pPr>
      <w:r w:rsidRPr="00575545">
        <w:rPr>
          <w:rStyle w:val="FootnoteReference"/>
        </w:rPr>
        <w:footnoteRef/>
      </w:r>
      <w:r w:rsidRPr="00575545">
        <w:t xml:space="preserve"> Weighted average baseline utility (LINC 4 post-hoc analysis) calculation: 35/42 </w:t>
      </w:r>
      <w:r w:rsidRPr="00575545">
        <w:rPr>
          <w:rFonts w:cs="Calibri"/>
        </w:rPr>
        <w:t xml:space="preserve">× </w:t>
      </w:r>
      <w:r w:rsidRPr="00575545">
        <w:t xml:space="preserve">0.713 + 7/42 </w:t>
      </w:r>
      <w:r w:rsidRPr="00575545">
        <w:rPr>
          <w:rFonts w:cs="Calibri"/>
        </w:rPr>
        <w:t xml:space="preserve">× </w:t>
      </w:r>
      <w:r w:rsidRPr="00575545">
        <w:t>0.658 = 0.70833</w:t>
      </w:r>
    </w:p>
  </w:footnote>
  <w:footnote w:id="8">
    <w:p w14:paraId="4C18BA0D" w14:textId="77777777" w:rsidR="00321927" w:rsidRPr="005C4766" w:rsidRDefault="00321927" w:rsidP="007D00BA">
      <w:pPr>
        <w:pStyle w:val="CommentText"/>
        <w:jc w:val="left"/>
        <w:rPr>
          <w:rFonts w:asciiTheme="minorHAnsi" w:hAnsiTheme="minorHAnsi" w:cstheme="minorHAnsi"/>
          <w:szCs w:val="20"/>
        </w:rPr>
      </w:pPr>
      <w:r w:rsidRPr="005C4766">
        <w:rPr>
          <w:rStyle w:val="FootnoteReference"/>
          <w:rFonts w:cstheme="minorHAnsi"/>
        </w:rPr>
        <w:footnoteRef/>
      </w:r>
      <w:r w:rsidRPr="005C4766">
        <w:rPr>
          <w:rFonts w:asciiTheme="minorHAnsi" w:hAnsiTheme="minorHAnsi" w:cstheme="minorHAnsi"/>
          <w:szCs w:val="20"/>
        </w:rPr>
        <w:t xml:space="preserve"> </w:t>
      </w:r>
      <w:hyperlink r:id="rId1" w:history="1">
        <w:r w:rsidRPr="005C4766">
          <w:rPr>
            <w:rStyle w:val="Hyperlink"/>
            <w:rFonts w:asciiTheme="minorHAnsi" w:hAnsiTheme="minorHAnsi" w:cstheme="minorHAnsi"/>
            <w:szCs w:val="20"/>
          </w:rPr>
          <w:t>https://doi.org/10.3171/2008.8.jns08339</w:t>
        </w:r>
      </w:hyperlink>
      <w:r w:rsidRPr="005C4766">
        <w:rPr>
          <w:rFonts w:asciiTheme="minorHAnsi" w:hAnsiTheme="minorHAnsi" w:cstheme="minorHAnsi"/>
          <w:color w:val="000000"/>
          <w:szCs w:val="20"/>
        </w:rPr>
        <w:t xml:space="preserve"> and </w:t>
      </w:r>
      <w:hyperlink r:id="rId2" w:history="1">
        <w:r w:rsidRPr="005C4766">
          <w:rPr>
            <w:rStyle w:val="Hyperlink"/>
            <w:rFonts w:asciiTheme="minorHAnsi" w:hAnsiTheme="minorHAnsi" w:cstheme="minorHAnsi"/>
            <w:szCs w:val="20"/>
          </w:rPr>
          <w:t>https://doi.org/10.1056/nejm198301133080216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0148F" w14:textId="77777777" w:rsidR="00063CEB" w:rsidRDefault="00063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AE2C7" w14:textId="1A8BA86F" w:rsidR="00321927" w:rsidRPr="005F2818" w:rsidRDefault="00321927" w:rsidP="00FE5B78">
    <w:pPr>
      <w:pStyle w:val="Header"/>
      <w:rPr>
        <w:i/>
        <w:iCs/>
      </w:rPr>
    </w:pPr>
    <w:r w:rsidRPr="005F2818">
      <w:rPr>
        <w:i/>
        <w:iCs/>
      </w:rPr>
      <w:t>Public Summary Document – March 2024 PBAC Meeting with September 2024 Addendum</w:t>
    </w:r>
  </w:p>
  <w:p w14:paraId="5911E65A" w14:textId="77777777" w:rsidR="00321927" w:rsidRPr="008C7ECB" w:rsidRDefault="003219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4EE0A" w14:textId="77777777" w:rsidR="00063CEB" w:rsidRDefault="0006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51206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4E7446"/>
    <w:multiLevelType w:val="hybridMultilevel"/>
    <w:tmpl w:val="E9784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053F11"/>
    <w:multiLevelType w:val="multilevel"/>
    <w:tmpl w:val="575CEDBE"/>
    <w:styleLink w:val="NumberBullet"/>
    <w:lvl w:ilvl="0">
      <w:start w:val="1"/>
      <w:numFmt w:val="decimal"/>
      <w:pStyle w:val="ListBullet2"/>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8441949"/>
    <w:multiLevelType w:val="hybridMultilevel"/>
    <w:tmpl w:val="FD5AF3DC"/>
    <w:lvl w:ilvl="0" w:tplc="47DAF7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17C09"/>
    <w:multiLevelType w:val="hybridMultilevel"/>
    <w:tmpl w:val="6CDA6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AAE13D8"/>
    <w:multiLevelType w:val="hybridMultilevel"/>
    <w:tmpl w:val="E3C6AE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C03B65"/>
    <w:multiLevelType w:val="hybridMultilevel"/>
    <w:tmpl w:val="B7F237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1C62B1D"/>
    <w:multiLevelType w:val="hybridMultilevel"/>
    <w:tmpl w:val="6226A05A"/>
    <w:lvl w:ilvl="0" w:tplc="05642B64">
      <w:start w:val="1"/>
      <w:numFmt w:val="bullet"/>
      <w:lvlText w:val="•"/>
      <w:lvlJc w:val="left"/>
      <w:pPr>
        <w:tabs>
          <w:tab w:val="num" w:pos="720"/>
        </w:tabs>
        <w:ind w:left="720" w:hanging="360"/>
      </w:pPr>
      <w:rPr>
        <w:rFonts w:ascii="Arial" w:hAnsi="Arial" w:hint="default"/>
      </w:rPr>
    </w:lvl>
    <w:lvl w:ilvl="1" w:tplc="2176FC8A" w:tentative="1">
      <w:start w:val="1"/>
      <w:numFmt w:val="bullet"/>
      <w:lvlText w:val="•"/>
      <w:lvlJc w:val="left"/>
      <w:pPr>
        <w:tabs>
          <w:tab w:val="num" w:pos="1440"/>
        </w:tabs>
        <w:ind w:left="1440" w:hanging="360"/>
      </w:pPr>
      <w:rPr>
        <w:rFonts w:ascii="Arial" w:hAnsi="Arial" w:hint="default"/>
      </w:rPr>
    </w:lvl>
    <w:lvl w:ilvl="2" w:tplc="ED94CE08" w:tentative="1">
      <w:start w:val="1"/>
      <w:numFmt w:val="bullet"/>
      <w:lvlText w:val="•"/>
      <w:lvlJc w:val="left"/>
      <w:pPr>
        <w:tabs>
          <w:tab w:val="num" w:pos="2160"/>
        </w:tabs>
        <w:ind w:left="2160" w:hanging="360"/>
      </w:pPr>
      <w:rPr>
        <w:rFonts w:ascii="Arial" w:hAnsi="Arial" w:hint="default"/>
      </w:rPr>
    </w:lvl>
    <w:lvl w:ilvl="3" w:tplc="ABD20AC4" w:tentative="1">
      <w:start w:val="1"/>
      <w:numFmt w:val="bullet"/>
      <w:lvlText w:val="•"/>
      <w:lvlJc w:val="left"/>
      <w:pPr>
        <w:tabs>
          <w:tab w:val="num" w:pos="2880"/>
        </w:tabs>
        <w:ind w:left="2880" w:hanging="360"/>
      </w:pPr>
      <w:rPr>
        <w:rFonts w:ascii="Arial" w:hAnsi="Arial" w:hint="default"/>
      </w:rPr>
    </w:lvl>
    <w:lvl w:ilvl="4" w:tplc="3CA05834" w:tentative="1">
      <w:start w:val="1"/>
      <w:numFmt w:val="bullet"/>
      <w:lvlText w:val="•"/>
      <w:lvlJc w:val="left"/>
      <w:pPr>
        <w:tabs>
          <w:tab w:val="num" w:pos="3600"/>
        </w:tabs>
        <w:ind w:left="3600" w:hanging="360"/>
      </w:pPr>
      <w:rPr>
        <w:rFonts w:ascii="Arial" w:hAnsi="Arial" w:hint="default"/>
      </w:rPr>
    </w:lvl>
    <w:lvl w:ilvl="5" w:tplc="16FC2B12" w:tentative="1">
      <w:start w:val="1"/>
      <w:numFmt w:val="bullet"/>
      <w:lvlText w:val="•"/>
      <w:lvlJc w:val="left"/>
      <w:pPr>
        <w:tabs>
          <w:tab w:val="num" w:pos="4320"/>
        </w:tabs>
        <w:ind w:left="4320" w:hanging="360"/>
      </w:pPr>
      <w:rPr>
        <w:rFonts w:ascii="Arial" w:hAnsi="Arial" w:hint="default"/>
      </w:rPr>
    </w:lvl>
    <w:lvl w:ilvl="6" w:tplc="A342A6A4" w:tentative="1">
      <w:start w:val="1"/>
      <w:numFmt w:val="bullet"/>
      <w:lvlText w:val="•"/>
      <w:lvlJc w:val="left"/>
      <w:pPr>
        <w:tabs>
          <w:tab w:val="num" w:pos="5040"/>
        </w:tabs>
        <w:ind w:left="5040" w:hanging="360"/>
      </w:pPr>
      <w:rPr>
        <w:rFonts w:ascii="Arial" w:hAnsi="Arial" w:hint="default"/>
      </w:rPr>
    </w:lvl>
    <w:lvl w:ilvl="7" w:tplc="67D01FDC" w:tentative="1">
      <w:start w:val="1"/>
      <w:numFmt w:val="bullet"/>
      <w:lvlText w:val="•"/>
      <w:lvlJc w:val="left"/>
      <w:pPr>
        <w:tabs>
          <w:tab w:val="num" w:pos="5760"/>
        </w:tabs>
        <w:ind w:left="5760" w:hanging="360"/>
      </w:pPr>
      <w:rPr>
        <w:rFonts w:ascii="Arial" w:hAnsi="Arial" w:hint="default"/>
      </w:rPr>
    </w:lvl>
    <w:lvl w:ilvl="8" w:tplc="A74816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3D83143"/>
    <w:multiLevelType w:val="hybridMultilevel"/>
    <w:tmpl w:val="6060A5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94C5A19"/>
    <w:multiLevelType w:val="hybridMultilevel"/>
    <w:tmpl w:val="3FC4BC3A"/>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442297"/>
    <w:multiLevelType w:val="hybridMultilevel"/>
    <w:tmpl w:val="63A07CE8"/>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97F2CB3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A25F4"/>
    <w:multiLevelType w:val="multilevel"/>
    <w:tmpl w:val="2124B9A2"/>
    <w:styleLink w:val="SectionBii"/>
    <w:lvl w:ilvl="0">
      <w:start w:val="2"/>
      <w:numFmt w:val="upperLetter"/>
      <w:lvlText w:val="%1(ii)."/>
      <w:lvlJc w:val="left"/>
      <w:pPr>
        <w:ind w:left="1077" w:hanging="1077"/>
      </w:pPr>
      <w:rPr>
        <w:rFonts w:ascii="Arial" w:hAnsi="Arial" w:hint="default"/>
        <w:b/>
        <w:sz w:val="22"/>
      </w:rPr>
    </w:lvl>
    <w:lvl w:ilvl="1">
      <w:start w:val="1"/>
      <w:numFmt w:val="decimal"/>
      <w:lvlText w:val="%1(ii).%2."/>
      <w:lvlJc w:val="left"/>
      <w:pPr>
        <w:ind w:left="1474" w:hanging="1474"/>
      </w:pPr>
      <w:rPr>
        <w:rFonts w:ascii="Arial" w:hAnsi="Arial" w:hint="default"/>
        <w:b/>
        <w:sz w:val="22"/>
      </w:rPr>
    </w:lvl>
    <w:lvl w:ilvl="2">
      <w:start w:val="1"/>
      <w:numFmt w:val="decimal"/>
      <w:lvlText w:val="%1(ii).%2.%3."/>
      <w:lvlJc w:val="left"/>
      <w:pPr>
        <w:ind w:left="1871" w:hanging="1871"/>
      </w:pPr>
      <w:rPr>
        <w:rFonts w:ascii="Arial" w:hAnsi="Arial" w:hint="default"/>
        <w:b/>
        <w:sz w:val="22"/>
      </w:rPr>
    </w:lvl>
    <w:lvl w:ilvl="3">
      <w:start w:val="1"/>
      <w:numFmt w:val="decimal"/>
      <w:lvlText w:val="%1(ii).%2.%3.%4."/>
      <w:lvlJc w:val="left"/>
      <w:pPr>
        <w:ind w:left="2268" w:hanging="2268"/>
      </w:pPr>
      <w:rPr>
        <w:rFonts w:ascii="Arial" w:hAnsi="Arial" w:hint="default"/>
        <w:b/>
        <w:sz w:val="22"/>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4" w15:restartNumberingAfterBreak="0">
    <w:nsid w:val="5DD570FB"/>
    <w:multiLevelType w:val="hybridMultilevel"/>
    <w:tmpl w:val="2EFE2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FE195C"/>
    <w:multiLevelType w:val="hybridMultilevel"/>
    <w:tmpl w:val="E530FEE6"/>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FC0710F"/>
    <w:multiLevelType w:val="hybridMultilevel"/>
    <w:tmpl w:val="36524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43461138">
    <w:abstractNumId w:val="19"/>
  </w:num>
  <w:num w:numId="2" w16cid:durableId="1616133117">
    <w:abstractNumId w:val="11"/>
  </w:num>
  <w:num w:numId="3" w16cid:durableId="230309714">
    <w:abstractNumId w:val="12"/>
  </w:num>
  <w:num w:numId="4" w16cid:durableId="1834494461">
    <w:abstractNumId w:val="0"/>
  </w:num>
  <w:num w:numId="5" w16cid:durableId="1307588610">
    <w:abstractNumId w:val="10"/>
  </w:num>
  <w:num w:numId="6" w16cid:durableId="1206060383">
    <w:abstractNumId w:val="16"/>
  </w:num>
  <w:num w:numId="7" w16cid:durableId="1469779820">
    <w:abstractNumId w:val="15"/>
  </w:num>
  <w:num w:numId="8" w16cid:durableId="1992906729">
    <w:abstractNumId w:val="1"/>
  </w:num>
  <w:num w:numId="9" w16cid:durableId="1357807367">
    <w:abstractNumId w:val="9"/>
  </w:num>
  <w:num w:numId="10" w16cid:durableId="1112701586">
    <w:abstractNumId w:val="8"/>
  </w:num>
  <w:num w:numId="11" w16cid:durableId="1190411938">
    <w:abstractNumId w:val="18"/>
  </w:num>
  <w:num w:numId="12" w16cid:durableId="1823235406">
    <w:abstractNumId w:val="14"/>
  </w:num>
  <w:num w:numId="13" w16cid:durableId="1254778590">
    <w:abstractNumId w:val="6"/>
  </w:num>
  <w:num w:numId="14" w16cid:durableId="1381633837">
    <w:abstractNumId w:val="7"/>
  </w:num>
  <w:num w:numId="15" w16cid:durableId="565454595">
    <w:abstractNumId w:val="3"/>
  </w:num>
  <w:num w:numId="16" w16cid:durableId="1450540048">
    <w:abstractNumId w:val="0"/>
  </w:num>
  <w:num w:numId="17" w16cid:durableId="1021276898">
    <w:abstractNumId w:val="0"/>
  </w:num>
  <w:num w:numId="18" w16cid:durableId="736048868">
    <w:abstractNumId w:val="0"/>
  </w:num>
  <w:num w:numId="19" w16cid:durableId="1305353701">
    <w:abstractNumId w:val="0"/>
  </w:num>
  <w:num w:numId="20" w16cid:durableId="1140195817">
    <w:abstractNumId w:val="0"/>
  </w:num>
  <w:num w:numId="21" w16cid:durableId="1026295136">
    <w:abstractNumId w:val="0"/>
  </w:num>
  <w:num w:numId="22" w16cid:durableId="1084381734">
    <w:abstractNumId w:val="0"/>
  </w:num>
  <w:num w:numId="23" w16cid:durableId="1638334726">
    <w:abstractNumId w:val="0"/>
  </w:num>
  <w:num w:numId="24" w16cid:durableId="170146723">
    <w:abstractNumId w:val="0"/>
  </w:num>
  <w:num w:numId="25" w16cid:durableId="498472962">
    <w:abstractNumId w:val="0"/>
  </w:num>
  <w:num w:numId="26" w16cid:durableId="825317019">
    <w:abstractNumId w:val="0"/>
  </w:num>
  <w:num w:numId="27" w16cid:durableId="418989189">
    <w:abstractNumId w:val="4"/>
  </w:num>
  <w:num w:numId="28" w16cid:durableId="1521241540">
    <w:abstractNumId w:val="5"/>
  </w:num>
  <w:num w:numId="29" w16cid:durableId="885870663">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3642377">
    <w:abstractNumId w:val="13"/>
  </w:num>
  <w:num w:numId="31" w16cid:durableId="1963919923">
    <w:abstractNumId w:val="17"/>
  </w:num>
  <w:num w:numId="32" w16cid:durableId="116879932">
    <w:abstractNumId w:val="2"/>
  </w:num>
  <w:num w:numId="33" w16cid:durableId="852745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BA"/>
    <w:rsid w:val="00001C23"/>
    <w:rsid w:val="0001757F"/>
    <w:rsid w:val="00024CF8"/>
    <w:rsid w:val="000371AA"/>
    <w:rsid w:val="00043D39"/>
    <w:rsid w:val="00057E25"/>
    <w:rsid w:val="00063CEB"/>
    <w:rsid w:val="00080E15"/>
    <w:rsid w:val="00086E57"/>
    <w:rsid w:val="00096A5F"/>
    <w:rsid w:val="00097F40"/>
    <w:rsid w:val="000A47D7"/>
    <w:rsid w:val="000A60EA"/>
    <w:rsid w:val="000C7859"/>
    <w:rsid w:val="000D034F"/>
    <w:rsid w:val="000D37A7"/>
    <w:rsid w:val="001016B8"/>
    <w:rsid w:val="0010699D"/>
    <w:rsid w:val="00112C2F"/>
    <w:rsid w:val="00114DBF"/>
    <w:rsid w:val="00130CB6"/>
    <w:rsid w:val="0013323E"/>
    <w:rsid w:val="00135B0B"/>
    <w:rsid w:val="00151297"/>
    <w:rsid w:val="00153BE6"/>
    <w:rsid w:val="001631CE"/>
    <w:rsid w:val="00192CFA"/>
    <w:rsid w:val="0019547D"/>
    <w:rsid w:val="001C31D2"/>
    <w:rsid w:val="001C7111"/>
    <w:rsid w:val="001F62A1"/>
    <w:rsid w:val="0020099F"/>
    <w:rsid w:val="00230A5F"/>
    <w:rsid w:val="0026185D"/>
    <w:rsid w:val="002651E4"/>
    <w:rsid w:val="0027144A"/>
    <w:rsid w:val="00280050"/>
    <w:rsid w:val="0028207B"/>
    <w:rsid w:val="0028581E"/>
    <w:rsid w:val="002C2453"/>
    <w:rsid w:val="002E7516"/>
    <w:rsid w:val="002F3024"/>
    <w:rsid w:val="00302BC7"/>
    <w:rsid w:val="00314698"/>
    <w:rsid w:val="00321927"/>
    <w:rsid w:val="0032498E"/>
    <w:rsid w:val="00340675"/>
    <w:rsid w:val="00373894"/>
    <w:rsid w:val="0037577B"/>
    <w:rsid w:val="003936A5"/>
    <w:rsid w:val="00397E6D"/>
    <w:rsid w:val="003C5756"/>
    <w:rsid w:val="003D0B06"/>
    <w:rsid w:val="003D1824"/>
    <w:rsid w:val="00411779"/>
    <w:rsid w:val="004123E5"/>
    <w:rsid w:val="004249F1"/>
    <w:rsid w:val="004304DF"/>
    <w:rsid w:val="004513BC"/>
    <w:rsid w:val="00464977"/>
    <w:rsid w:val="004B22AD"/>
    <w:rsid w:val="004D1C3D"/>
    <w:rsid w:val="004D6AD4"/>
    <w:rsid w:val="004E7A80"/>
    <w:rsid w:val="00545EA1"/>
    <w:rsid w:val="00556BAF"/>
    <w:rsid w:val="00564980"/>
    <w:rsid w:val="00565077"/>
    <w:rsid w:val="005810EF"/>
    <w:rsid w:val="00582932"/>
    <w:rsid w:val="005844E0"/>
    <w:rsid w:val="00593412"/>
    <w:rsid w:val="00596F60"/>
    <w:rsid w:val="005A20F8"/>
    <w:rsid w:val="005A3A45"/>
    <w:rsid w:val="005A7B4A"/>
    <w:rsid w:val="005C7C6E"/>
    <w:rsid w:val="005E4042"/>
    <w:rsid w:val="005F2818"/>
    <w:rsid w:val="00605E71"/>
    <w:rsid w:val="006103C4"/>
    <w:rsid w:val="0062266A"/>
    <w:rsid w:val="00646691"/>
    <w:rsid w:val="00660892"/>
    <w:rsid w:val="00663151"/>
    <w:rsid w:val="006A020C"/>
    <w:rsid w:val="006A4053"/>
    <w:rsid w:val="006C5A05"/>
    <w:rsid w:val="006D45D9"/>
    <w:rsid w:val="006E2769"/>
    <w:rsid w:val="006F00CC"/>
    <w:rsid w:val="00705684"/>
    <w:rsid w:val="007130F0"/>
    <w:rsid w:val="007131DC"/>
    <w:rsid w:val="00724D72"/>
    <w:rsid w:val="00747BA3"/>
    <w:rsid w:val="00756B21"/>
    <w:rsid w:val="007658EA"/>
    <w:rsid w:val="007660E4"/>
    <w:rsid w:val="0078216B"/>
    <w:rsid w:val="0078319C"/>
    <w:rsid w:val="00787B38"/>
    <w:rsid w:val="00796165"/>
    <w:rsid w:val="007A4E7E"/>
    <w:rsid w:val="007D00BA"/>
    <w:rsid w:val="007D4531"/>
    <w:rsid w:val="007F2E84"/>
    <w:rsid w:val="008340D8"/>
    <w:rsid w:val="008361C7"/>
    <w:rsid w:val="008414D9"/>
    <w:rsid w:val="00850A46"/>
    <w:rsid w:val="00852973"/>
    <w:rsid w:val="008B05A0"/>
    <w:rsid w:val="008D255F"/>
    <w:rsid w:val="008E5316"/>
    <w:rsid w:val="008F7F14"/>
    <w:rsid w:val="00914C1A"/>
    <w:rsid w:val="00924CE6"/>
    <w:rsid w:val="00935109"/>
    <w:rsid w:val="00954C53"/>
    <w:rsid w:val="00962411"/>
    <w:rsid w:val="00967AF8"/>
    <w:rsid w:val="009729D3"/>
    <w:rsid w:val="00984879"/>
    <w:rsid w:val="00985AF7"/>
    <w:rsid w:val="0099111B"/>
    <w:rsid w:val="00997DE4"/>
    <w:rsid w:val="009A1077"/>
    <w:rsid w:val="009A4BC3"/>
    <w:rsid w:val="009C26F1"/>
    <w:rsid w:val="009C5869"/>
    <w:rsid w:val="009D050C"/>
    <w:rsid w:val="009D45E7"/>
    <w:rsid w:val="009E03DA"/>
    <w:rsid w:val="00A209E8"/>
    <w:rsid w:val="00A26A2A"/>
    <w:rsid w:val="00A27151"/>
    <w:rsid w:val="00A441CE"/>
    <w:rsid w:val="00A50DED"/>
    <w:rsid w:val="00A55E0B"/>
    <w:rsid w:val="00A76086"/>
    <w:rsid w:val="00A818BE"/>
    <w:rsid w:val="00A87F4C"/>
    <w:rsid w:val="00A93449"/>
    <w:rsid w:val="00A97B47"/>
    <w:rsid w:val="00AA101F"/>
    <w:rsid w:val="00AA105F"/>
    <w:rsid w:val="00AA1C64"/>
    <w:rsid w:val="00AB32B9"/>
    <w:rsid w:val="00AB7F84"/>
    <w:rsid w:val="00AD67F1"/>
    <w:rsid w:val="00AD6926"/>
    <w:rsid w:val="00AD7E29"/>
    <w:rsid w:val="00AE0224"/>
    <w:rsid w:val="00AF006F"/>
    <w:rsid w:val="00AF6948"/>
    <w:rsid w:val="00AF7142"/>
    <w:rsid w:val="00AF781A"/>
    <w:rsid w:val="00B24BE5"/>
    <w:rsid w:val="00B33B8A"/>
    <w:rsid w:val="00B546D5"/>
    <w:rsid w:val="00B81EE7"/>
    <w:rsid w:val="00BC000B"/>
    <w:rsid w:val="00BD4C6A"/>
    <w:rsid w:val="00BE13BB"/>
    <w:rsid w:val="00BE2B63"/>
    <w:rsid w:val="00BE4197"/>
    <w:rsid w:val="00BF05F3"/>
    <w:rsid w:val="00BF0D56"/>
    <w:rsid w:val="00C1108E"/>
    <w:rsid w:val="00C1622F"/>
    <w:rsid w:val="00C30FDF"/>
    <w:rsid w:val="00C373F9"/>
    <w:rsid w:val="00C45B31"/>
    <w:rsid w:val="00C55C46"/>
    <w:rsid w:val="00C82C17"/>
    <w:rsid w:val="00C952AC"/>
    <w:rsid w:val="00CB4B91"/>
    <w:rsid w:val="00CC10FE"/>
    <w:rsid w:val="00CD1087"/>
    <w:rsid w:val="00CD5AC9"/>
    <w:rsid w:val="00CD7175"/>
    <w:rsid w:val="00CE2EF0"/>
    <w:rsid w:val="00CE7A4F"/>
    <w:rsid w:val="00D02514"/>
    <w:rsid w:val="00D05B5B"/>
    <w:rsid w:val="00D100B2"/>
    <w:rsid w:val="00D17843"/>
    <w:rsid w:val="00D46CC2"/>
    <w:rsid w:val="00D5033B"/>
    <w:rsid w:val="00D5227D"/>
    <w:rsid w:val="00D53951"/>
    <w:rsid w:val="00D55D63"/>
    <w:rsid w:val="00D63E56"/>
    <w:rsid w:val="00D663D6"/>
    <w:rsid w:val="00D8322B"/>
    <w:rsid w:val="00D955C4"/>
    <w:rsid w:val="00D95EFA"/>
    <w:rsid w:val="00DA2605"/>
    <w:rsid w:val="00DE4D77"/>
    <w:rsid w:val="00DE6661"/>
    <w:rsid w:val="00DE6DE1"/>
    <w:rsid w:val="00DF31B3"/>
    <w:rsid w:val="00E02F97"/>
    <w:rsid w:val="00E21176"/>
    <w:rsid w:val="00E453DA"/>
    <w:rsid w:val="00E60755"/>
    <w:rsid w:val="00E76938"/>
    <w:rsid w:val="00EA6DFD"/>
    <w:rsid w:val="00EB72DD"/>
    <w:rsid w:val="00EC1519"/>
    <w:rsid w:val="00ED41D5"/>
    <w:rsid w:val="00F05A89"/>
    <w:rsid w:val="00F13C82"/>
    <w:rsid w:val="00F14D6C"/>
    <w:rsid w:val="00F20F64"/>
    <w:rsid w:val="00F40F9F"/>
    <w:rsid w:val="00F622A4"/>
    <w:rsid w:val="00F63E54"/>
    <w:rsid w:val="00F71675"/>
    <w:rsid w:val="00F768D2"/>
    <w:rsid w:val="00F770F5"/>
    <w:rsid w:val="00FC3F5B"/>
    <w:rsid w:val="00FD173B"/>
    <w:rsid w:val="00FE5B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73E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7"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0BA"/>
    <w:pPr>
      <w:spacing w:after="0" w:line="240" w:lineRule="auto"/>
      <w:jc w:val="both"/>
    </w:pPr>
    <w:rPr>
      <w:rFonts w:ascii="Calibri" w:eastAsia="Times New Roman" w:hAnsi="Calibri" w:cs="Arial"/>
      <w:kern w:val="0"/>
      <w:lang w:eastAsia="en-AU"/>
      <w14:ligatures w14:val="none"/>
    </w:rPr>
  </w:style>
  <w:style w:type="paragraph" w:styleId="Heading1">
    <w:name w:val="heading 1"/>
    <w:basedOn w:val="Normal"/>
    <w:next w:val="Normal"/>
    <w:link w:val="Heading1Char"/>
    <w:uiPriority w:val="1"/>
    <w:qFormat/>
    <w:rsid w:val="007D00BA"/>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7D00BA"/>
    <w:pPr>
      <w:outlineLvl w:val="1"/>
    </w:pPr>
    <w:rPr>
      <w:b/>
      <w:i/>
      <w:sz w:val="28"/>
    </w:rPr>
  </w:style>
  <w:style w:type="paragraph" w:styleId="Heading3">
    <w:name w:val="heading 3"/>
    <w:basedOn w:val="Normal"/>
    <w:next w:val="Normal"/>
    <w:link w:val="Heading3Char"/>
    <w:rsid w:val="007D00BA"/>
    <w:pPr>
      <w:outlineLvl w:val="2"/>
    </w:pPr>
    <w:rPr>
      <w:u w:val="single"/>
    </w:rPr>
  </w:style>
  <w:style w:type="paragraph" w:styleId="Heading4">
    <w:name w:val="heading 4"/>
    <w:basedOn w:val="Normal"/>
    <w:next w:val="Normal"/>
    <w:link w:val="Heading4Char"/>
    <w:rsid w:val="007D00BA"/>
    <w:pPr>
      <w:keepNext/>
      <w:spacing w:before="240" w:after="60"/>
      <w:outlineLvl w:val="3"/>
    </w:pPr>
    <w:rPr>
      <w:b/>
      <w:bCs/>
      <w:i/>
      <w:sz w:val="26"/>
      <w:szCs w:val="28"/>
    </w:rPr>
  </w:style>
  <w:style w:type="paragraph" w:styleId="Heading5">
    <w:name w:val="heading 5"/>
    <w:basedOn w:val="Normal"/>
    <w:next w:val="Normal"/>
    <w:link w:val="Heading5Char"/>
    <w:rsid w:val="007D00BA"/>
    <w:pPr>
      <w:spacing w:before="240" w:after="60"/>
      <w:outlineLvl w:val="4"/>
    </w:pPr>
    <w:rPr>
      <w:b/>
      <w:bCs/>
      <w:iCs/>
      <w:sz w:val="26"/>
      <w:szCs w:val="26"/>
    </w:rPr>
  </w:style>
  <w:style w:type="paragraph" w:styleId="Heading6">
    <w:name w:val="heading 6"/>
    <w:basedOn w:val="Normal"/>
    <w:next w:val="Normal"/>
    <w:link w:val="Heading6Char"/>
    <w:rsid w:val="007D00BA"/>
    <w:pPr>
      <w:spacing w:before="240" w:after="60"/>
      <w:outlineLvl w:val="5"/>
    </w:pPr>
    <w:rPr>
      <w:b/>
      <w:bCs/>
      <w:i/>
    </w:rPr>
  </w:style>
  <w:style w:type="paragraph" w:styleId="Heading7">
    <w:name w:val="heading 7"/>
    <w:basedOn w:val="Normal"/>
    <w:next w:val="Normal"/>
    <w:link w:val="Heading7Char"/>
    <w:rsid w:val="007D00BA"/>
    <w:pPr>
      <w:keepNext/>
      <w:jc w:val="center"/>
      <w:outlineLvl w:val="6"/>
    </w:pPr>
    <w:rPr>
      <w:b/>
      <w:sz w:val="20"/>
    </w:rPr>
  </w:style>
  <w:style w:type="paragraph" w:styleId="Heading8">
    <w:name w:val="heading 8"/>
    <w:basedOn w:val="Normal"/>
    <w:next w:val="Normal"/>
    <w:link w:val="Heading8Char"/>
    <w:uiPriority w:val="7"/>
    <w:rsid w:val="007D00BA"/>
    <w:pPr>
      <w:keepNext/>
      <w:jc w:val="right"/>
      <w:outlineLvl w:val="7"/>
    </w:pPr>
    <w:rPr>
      <w:b/>
    </w:rPr>
  </w:style>
  <w:style w:type="paragraph" w:styleId="Heading9">
    <w:name w:val="heading 9"/>
    <w:basedOn w:val="Normal"/>
    <w:next w:val="Normal"/>
    <w:link w:val="Heading9Char"/>
    <w:rsid w:val="007D00BA"/>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D00BA"/>
    <w:rPr>
      <w:rFonts w:ascii="Calibri" w:eastAsia="Times New Roman" w:hAnsi="Calibri" w:cs="Arial"/>
      <w:b/>
      <w:caps/>
      <w:kern w:val="0"/>
      <w:sz w:val="32"/>
      <w:lang w:eastAsia="en-AU"/>
      <w14:ligatures w14:val="none"/>
    </w:rPr>
  </w:style>
  <w:style w:type="character" w:customStyle="1" w:styleId="Heading2Char">
    <w:name w:val="Heading 2 Char"/>
    <w:aliases w:val="Subsection Headings Char"/>
    <w:basedOn w:val="DefaultParagraphFont"/>
    <w:link w:val="Heading2"/>
    <w:uiPriority w:val="1"/>
    <w:rsid w:val="007D00BA"/>
    <w:rPr>
      <w:rFonts w:ascii="Calibri" w:eastAsia="Times New Roman" w:hAnsi="Calibri" w:cs="Arial"/>
      <w:b/>
      <w:i/>
      <w:kern w:val="0"/>
      <w:sz w:val="28"/>
      <w:lang w:eastAsia="en-AU"/>
      <w14:ligatures w14:val="none"/>
    </w:rPr>
  </w:style>
  <w:style w:type="character" w:customStyle="1" w:styleId="Heading3Char">
    <w:name w:val="Heading 3 Char"/>
    <w:basedOn w:val="DefaultParagraphFont"/>
    <w:link w:val="Heading3"/>
    <w:rsid w:val="007D00BA"/>
    <w:rPr>
      <w:rFonts w:ascii="Calibri" w:eastAsia="Times New Roman" w:hAnsi="Calibri" w:cs="Arial"/>
      <w:kern w:val="0"/>
      <w:u w:val="single"/>
      <w:lang w:eastAsia="en-AU"/>
      <w14:ligatures w14:val="none"/>
    </w:rPr>
  </w:style>
  <w:style w:type="character" w:customStyle="1" w:styleId="Heading4Char">
    <w:name w:val="Heading 4 Char"/>
    <w:basedOn w:val="DefaultParagraphFont"/>
    <w:link w:val="Heading4"/>
    <w:rsid w:val="007D00BA"/>
    <w:rPr>
      <w:rFonts w:ascii="Calibri" w:eastAsia="Times New Roman" w:hAnsi="Calibri" w:cs="Arial"/>
      <w:b/>
      <w:bCs/>
      <w:i/>
      <w:kern w:val="0"/>
      <w:sz w:val="26"/>
      <w:szCs w:val="28"/>
      <w:lang w:eastAsia="en-AU"/>
      <w14:ligatures w14:val="none"/>
    </w:rPr>
  </w:style>
  <w:style w:type="character" w:customStyle="1" w:styleId="Heading5Char">
    <w:name w:val="Heading 5 Char"/>
    <w:basedOn w:val="DefaultParagraphFont"/>
    <w:link w:val="Heading5"/>
    <w:rsid w:val="007D00BA"/>
    <w:rPr>
      <w:rFonts w:ascii="Calibri" w:eastAsia="Times New Roman" w:hAnsi="Calibri" w:cs="Arial"/>
      <w:b/>
      <w:bCs/>
      <w:iCs/>
      <w:kern w:val="0"/>
      <w:sz w:val="26"/>
      <w:szCs w:val="26"/>
      <w:lang w:eastAsia="en-AU"/>
      <w14:ligatures w14:val="none"/>
    </w:rPr>
  </w:style>
  <w:style w:type="character" w:customStyle="1" w:styleId="Heading6Char">
    <w:name w:val="Heading 6 Char"/>
    <w:basedOn w:val="DefaultParagraphFont"/>
    <w:link w:val="Heading6"/>
    <w:rsid w:val="007D00BA"/>
    <w:rPr>
      <w:rFonts w:ascii="Calibri" w:eastAsia="Times New Roman" w:hAnsi="Calibri" w:cs="Arial"/>
      <w:b/>
      <w:bCs/>
      <w:i/>
      <w:kern w:val="0"/>
      <w:lang w:eastAsia="en-AU"/>
      <w14:ligatures w14:val="none"/>
    </w:rPr>
  </w:style>
  <w:style w:type="character" w:customStyle="1" w:styleId="Heading7Char">
    <w:name w:val="Heading 7 Char"/>
    <w:basedOn w:val="DefaultParagraphFont"/>
    <w:link w:val="Heading7"/>
    <w:rsid w:val="007D00BA"/>
    <w:rPr>
      <w:rFonts w:ascii="Calibri" w:eastAsia="Times New Roman" w:hAnsi="Calibri" w:cs="Arial"/>
      <w:b/>
      <w:kern w:val="0"/>
      <w:sz w:val="20"/>
      <w:lang w:eastAsia="en-AU"/>
      <w14:ligatures w14:val="none"/>
    </w:rPr>
  </w:style>
  <w:style w:type="character" w:customStyle="1" w:styleId="Heading8Char">
    <w:name w:val="Heading 8 Char"/>
    <w:basedOn w:val="DefaultParagraphFont"/>
    <w:link w:val="Heading8"/>
    <w:uiPriority w:val="7"/>
    <w:rsid w:val="007D00BA"/>
    <w:rPr>
      <w:rFonts w:ascii="Calibri" w:eastAsia="Times New Roman" w:hAnsi="Calibri" w:cs="Arial"/>
      <w:b/>
      <w:kern w:val="0"/>
      <w:lang w:eastAsia="en-AU"/>
      <w14:ligatures w14:val="none"/>
    </w:rPr>
  </w:style>
  <w:style w:type="character" w:customStyle="1" w:styleId="Heading9Char">
    <w:name w:val="Heading 9 Char"/>
    <w:basedOn w:val="DefaultParagraphFont"/>
    <w:link w:val="Heading9"/>
    <w:rsid w:val="007D00BA"/>
    <w:rPr>
      <w:rFonts w:ascii="Calibri" w:eastAsia="Times New Roman" w:hAnsi="Calibri" w:cs="Arial"/>
      <w:b/>
      <w:color w:val="000000"/>
      <w:kern w:val="0"/>
      <w:sz w:val="20"/>
      <w:lang w:eastAsia="en-AU"/>
      <w14:ligatures w14:val="none"/>
    </w:rPr>
  </w:style>
  <w:style w:type="paragraph" w:customStyle="1" w:styleId="TableFooter">
    <w:name w:val="Table Footer"/>
    <w:basedOn w:val="Normal"/>
    <w:link w:val="TableFooterChar"/>
    <w:rsid w:val="007D00BA"/>
    <w:rPr>
      <w:rFonts w:ascii="Arial Narrow" w:hAnsi="Arial Narrow"/>
      <w:sz w:val="18"/>
    </w:rPr>
  </w:style>
  <w:style w:type="character" w:customStyle="1" w:styleId="TableFooterChar">
    <w:name w:val="Table Footer Char"/>
    <w:link w:val="TableFooter"/>
    <w:rsid w:val="007D00BA"/>
    <w:rPr>
      <w:rFonts w:ascii="Arial Narrow" w:eastAsia="Times New Roman" w:hAnsi="Arial Narrow" w:cs="Arial"/>
      <w:kern w:val="0"/>
      <w:sz w:val="18"/>
      <w:lang w:eastAsia="en-AU"/>
      <w14:ligatures w14:val="none"/>
    </w:rPr>
  </w:style>
  <w:style w:type="paragraph" w:customStyle="1" w:styleId="TableHeader">
    <w:name w:val="Table Header"/>
    <w:basedOn w:val="Normal"/>
    <w:uiPriority w:val="3"/>
    <w:rsid w:val="007D00BA"/>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nhideWhenUsed/>
    <w:qFormat/>
    <w:rsid w:val="007D00BA"/>
    <w:pPr>
      <w:keepNext/>
      <w:keepLines/>
    </w:pPr>
    <w:rPr>
      <w:rFonts w:ascii="Arial Narrow" w:hAnsi="Arial Narrow"/>
      <w:b/>
      <w:bCs/>
      <w:sz w:val="20"/>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rsid w:val="007D00BA"/>
    <w:rPr>
      <w:rFonts w:ascii="Arial Narrow" w:eastAsia="Times New Roman" w:hAnsi="Arial Narrow" w:cs="Arial"/>
      <w:b/>
      <w:bCs/>
      <w:kern w:val="0"/>
      <w:sz w:val="20"/>
      <w:szCs w:val="18"/>
      <w:lang w:eastAsia="en-AU"/>
      <w14:ligatures w14:val="none"/>
    </w:rPr>
  </w:style>
  <w:style w:type="paragraph" w:styleId="Title">
    <w:name w:val="Title"/>
    <w:basedOn w:val="Normal"/>
    <w:next w:val="Normal"/>
    <w:link w:val="TitleChar"/>
    <w:rsid w:val="007D00B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7D00BA"/>
    <w:rPr>
      <w:rFonts w:ascii="Cambria" w:eastAsia="Times New Roman" w:hAnsi="Cambria" w:cs="Arial"/>
      <w:b/>
      <w:bCs/>
      <w:kern w:val="28"/>
      <w:sz w:val="32"/>
      <w:szCs w:val="32"/>
      <w:lang w:eastAsia="en-AU"/>
      <w14:ligatures w14:val="none"/>
    </w:rPr>
  </w:style>
  <w:style w:type="paragraph" w:styleId="BodyText">
    <w:name w:val="Body Text"/>
    <w:basedOn w:val="Normal"/>
    <w:link w:val="BodyTextChar"/>
    <w:rsid w:val="007D00BA"/>
    <w:pPr>
      <w:jc w:val="left"/>
    </w:pPr>
  </w:style>
  <w:style w:type="character" w:customStyle="1" w:styleId="BodyTextChar">
    <w:name w:val="Body Text Char"/>
    <w:basedOn w:val="DefaultParagraphFont"/>
    <w:link w:val="BodyText"/>
    <w:rsid w:val="007D00BA"/>
    <w:rPr>
      <w:rFonts w:ascii="Calibri" w:eastAsia="Times New Roman" w:hAnsi="Calibri" w:cs="Arial"/>
      <w:kern w:val="0"/>
      <w:lang w:eastAsia="en-AU"/>
      <w14:ligatures w14:val="none"/>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next w:val="ListBullet"/>
    <w:link w:val="ListParagraphChar"/>
    <w:uiPriority w:val="34"/>
    <w:qFormat/>
    <w:rsid w:val="007D00BA"/>
    <w:pPr>
      <w:numPr>
        <w:numId w:val="3"/>
      </w:numPr>
      <w:spacing w:after="120" w:line="240" w:lineRule="auto"/>
      <w:jc w:val="both"/>
    </w:pPr>
    <w:rPr>
      <w:rFonts w:asciiTheme="minorHAnsi" w:eastAsia="Times New Roman" w:hAnsiTheme="minorHAnsi" w:cs="Arial"/>
      <w:snapToGrid w:val="0"/>
      <w:kern w:val="0"/>
      <w:lang w:eastAsia="en-AU"/>
      <w14:ligatures w14:val="none"/>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7D00BA"/>
    <w:rPr>
      <w:rFonts w:asciiTheme="minorHAnsi" w:eastAsia="Times New Roman" w:hAnsiTheme="minorHAnsi" w:cs="Arial"/>
      <w:snapToGrid w:val="0"/>
      <w:kern w:val="0"/>
      <w:lang w:eastAsia="en-AU"/>
      <w14:ligatures w14:val="none"/>
    </w:rPr>
  </w:style>
  <w:style w:type="paragraph" w:customStyle="1" w:styleId="RegularText">
    <w:name w:val="Regular Text"/>
    <w:basedOn w:val="BodyText"/>
    <w:link w:val="RegularTextChar"/>
    <w:rsid w:val="007D00BA"/>
    <w:rPr>
      <w:b/>
    </w:rPr>
  </w:style>
  <w:style w:type="character" w:customStyle="1" w:styleId="RegularTextChar">
    <w:name w:val="Regular Text Char"/>
    <w:basedOn w:val="BodyTextChar"/>
    <w:link w:val="RegularText"/>
    <w:rsid w:val="007D00BA"/>
    <w:rPr>
      <w:rFonts w:ascii="Calibri" w:eastAsia="Times New Roman" w:hAnsi="Calibri" w:cs="Arial"/>
      <w:b/>
      <w:kern w:val="0"/>
      <w:lang w:eastAsia="en-AU"/>
      <w14:ligatures w14:val="none"/>
    </w:rPr>
  </w:style>
  <w:style w:type="paragraph" w:styleId="NoSpacing">
    <w:name w:val="No Spacing"/>
    <w:uiPriority w:val="1"/>
    <w:qFormat/>
    <w:rsid w:val="007D00BA"/>
    <w:pPr>
      <w:widowControl w:val="0"/>
      <w:spacing w:after="0" w:line="240" w:lineRule="auto"/>
      <w:jc w:val="both"/>
    </w:pPr>
    <w:rPr>
      <w:rFonts w:ascii="Arial" w:eastAsia="Times New Roman" w:hAnsi="Arial" w:cs="Arial"/>
      <w:snapToGrid w:val="0"/>
      <w:kern w:val="0"/>
      <w:sz w:val="22"/>
      <w:szCs w:val="20"/>
      <w14:ligatures w14:val="none"/>
    </w:rPr>
  </w:style>
  <w:style w:type="paragraph" w:styleId="Header">
    <w:name w:val="header"/>
    <w:aliases w:val="Page Header,Header title,he=header,cntr/bld"/>
    <w:basedOn w:val="Normal"/>
    <w:link w:val="HeaderChar"/>
    <w:qFormat/>
    <w:rsid w:val="007D00BA"/>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7D00BA"/>
    <w:rPr>
      <w:rFonts w:ascii="Calibri" w:eastAsia="Times New Roman" w:hAnsi="Calibri" w:cs="Arial"/>
      <w:kern w:val="0"/>
      <w:lang w:eastAsia="en-AU"/>
      <w14:ligatures w14:val="none"/>
    </w:rPr>
  </w:style>
  <w:style w:type="paragraph" w:styleId="Footer">
    <w:name w:val="footer"/>
    <w:basedOn w:val="Normal"/>
    <w:link w:val="FooterChar"/>
    <w:uiPriority w:val="99"/>
    <w:rsid w:val="007D00BA"/>
    <w:pPr>
      <w:tabs>
        <w:tab w:val="center" w:pos="4513"/>
        <w:tab w:val="right" w:pos="9026"/>
      </w:tabs>
    </w:pPr>
  </w:style>
  <w:style w:type="character" w:customStyle="1" w:styleId="FooterChar">
    <w:name w:val="Footer Char"/>
    <w:basedOn w:val="DefaultParagraphFont"/>
    <w:link w:val="Footer"/>
    <w:uiPriority w:val="99"/>
    <w:rsid w:val="007D00BA"/>
    <w:rPr>
      <w:rFonts w:ascii="Calibri" w:eastAsia="Times New Roman" w:hAnsi="Calibri" w:cs="Arial"/>
      <w:kern w:val="0"/>
      <w:lang w:eastAsia="en-AU"/>
      <w14:ligatures w14:val="none"/>
    </w:rPr>
  </w:style>
  <w:style w:type="table" w:styleId="TableGrid">
    <w:name w:val="Table Grid"/>
    <w:aliases w:val="Summary box,Table Gridbeth,CMA Table Template,ASD Table,Tabellengitternetz 9pt,PBAC table,HTAtableplain,new style,Dossier table,Section 3- footnotes,Summary Table,MSD Table Grid,Header Table,Source table_,NICE instructions,HealthConsult"/>
    <w:basedOn w:val="TableNormal"/>
    <w:uiPriority w:val="59"/>
    <w:rsid w:val="007D00BA"/>
    <w:pPr>
      <w:spacing w:after="0" w:line="240" w:lineRule="auto"/>
    </w:pPr>
    <w:rPr>
      <w:rFonts w:eastAsia="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7D00BA"/>
    <w:rPr>
      <w:rFonts w:ascii="Arial Narrow" w:hAnsi="Arial Narrow"/>
      <w:b/>
      <w:sz w:val="20"/>
      <w:szCs w:val="16"/>
    </w:rPr>
  </w:style>
  <w:style w:type="paragraph" w:customStyle="1" w:styleId="Tabletext">
    <w:name w:val="Table text"/>
    <w:basedOn w:val="Normal"/>
    <w:link w:val="TabletextChar"/>
    <w:qFormat/>
    <w:rsid w:val="007D00BA"/>
    <w:pPr>
      <w:jc w:val="left"/>
    </w:pPr>
    <w:rPr>
      <w:rFonts w:ascii="Arial Narrow" w:hAnsi="Arial Narrow" w:cs="Times New Roman"/>
      <w:snapToGrid w:val="0"/>
      <w:sz w:val="20"/>
    </w:rPr>
  </w:style>
  <w:style w:type="character" w:customStyle="1" w:styleId="TabletextChar">
    <w:name w:val="Table text Char"/>
    <w:link w:val="Tabletext"/>
    <w:rsid w:val="007D00BA"/>
    <w:rPr>
      <w:rFonts w:ascii="Arial Narrow" w:eastAsia="Times New Roman" w:hAnsi="Arial Narrow"/>
      <w:snapToGrid w:val="0"/>
      <w:kern w:val="0"/>
      <w:sz w:val="20"/>
      <w:lang w:eastAsia="en-AU"/>
      <w14:ligatures w14:val="none"/>
    </w:rPr>
  </w:style>
  <w:style w:type="paragraph" w:customStyle="1" w:styleId="TableHeading">
    <w:name w:val="TableHeading"/>
    <w:basedOn w:val="Normal"/>
    <w:rsid w:val="007D00B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7D00BA"/>
    <w:pPr>
      <w:jc w:val="both"/>
    </w:pPr>
    <w:rPr>
      <w:rFonts w:ascii="Times" w:hAnsi="Times" w:cs="Times New Roman"/>
      <w:snapToGrid w:val="0"/>
      <w:lang w:val="en-US"/>
    </w:rPr>
  </w:style>
  <w:style w:type="paragraph" w:styleId="NormalWeb">
    <w:name w:val="Normal (Web)"/>
    <w:basedOn w:val="Normal"/>
    <w:uiPriority w:val="99"/>
    <w:rsid w:val="007D00BA"/>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7D00BA"/>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7D00BA"/>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7D00BA"/>
    <w:rPr>
      <w:color w:val="0563C1" w:themeColor="hyperlink"/>
      <w:u w:val="single"/>
    </w:rPr>
  </w:style>
  <w:style w:type="paragraph" w:styleId="TOCHeading">
    <w:name w:val="TOC Heading"/>
    <w:basedOn w:val="Heading1"/>
    <w:next w:val="Normal"/>
    <w:uiPriority w:val="39"/>
    <w:unhideWhenUsed/>
    <w:rsid w:val="007D00BA"/>
    <w:pPr>
      <w:keepNext/>
      <w:keepLines/>
      <w:spacing w:before="480" w:line="276" w:lineRule="auto"/>
      <w:ind w:left="0" w:firstLine="0"/>
      <w:jc w:val="left"/>
      <w:outlineLvl w:val="9"/>
    </w:pPr>
    <w:rPr>
      <w:rFonts w:asciiTheme="majorHAnsi" w:eastAsiaTheme="majorEastAsia" w:hAnsiTheme="majorHAnsi" w:cstheme="majorBidi"/>
      <w:bCs/>
      <w:snapToGrid w:val="0"/>
      <w:color w:val="2F5496" w:themeColor="accent1" w:themeShade="BF"/>
      <w:sz w:val="28"/>
      <w:szCs w:val="28"/>
      <w:lang w:val="en-US" w:eastAsia="ja-JP"/>
    </w:rPr>
  </w:style>
  <w:style w:type="paragraph" w:styleId="TOC3">
    <w:name w:val="toc 3"/>
    <w:basedOn w:val="Normal"/>
    <w:next w:val="Normal"/>
    <w:autoRedefine/>
    <w:uiPriority w:val="39"/>
    <w:unhideWhenUsed/>
    <w:rsid w:val="007D00BA"/>
    <w:pPr>
      <w:ind w:left="440"/>
      <w:jc w:val="left"/>
    </w:pPr>
    <w:rPr>
      <w:rFonts w:asciiTheme="minorHAnsi" w:hAnsiTheme="minorHAnsi"/>
      <w:sz w:val="20"/>
    </w:rPr>
  </w:style>
  <w:style w:type="paragraph" w:styleId="TOC4">
    <w:name w:val="toc 4"/>
    <w:basedOn w:val="Normal"/>
    <w:next w:val="Normal"/>
    <w:autoRedefine/>
    <w:rsid w:val="007D00BA"/>
    <w:pPr>
      <w:ind w:left="660"/>
      <w:jc w:val="left"/>
    </w:pPr>
    <w:rPr>
      <w:rFonts w:asciiTheme="minorHAnsi" w:hAnsiTheme="minorHAnsi"/>
      <w:sz w:val="20"/>
    </w:rPr>
  </w:style>
  <w:style w:type="paragraph" w:styleId="TOC5">
    <w:name w:val="toc 5"/>
    <w:basedOn w:val="Normal"/>
    <w:next w:val="Normal"/>
    <w:autoRedefine/>
    <w:rsid w:val="007D00BA"/>
    <w:pPr>
      <w:ind w:left="880"/>
      <w:jc w:val="left"/>
    </w:pPr>
    <w:rPr>
      <w:rFonts w:asciiTheme="minorHAnsi" w:hAnsiTheme="minorHAnsi"/>
      <w:sz w:val="20"/>
    </w:rPr>
  </w:style>
  <w:style w:type="paragraph" w:styleId="TOC6">
    <w:name w:val="toc 6"/>
    <w:basedOn w:val="Normal"/>
    <w:next w:val="Normal"/>
    <w:autoRedefine/>
    <w:uiPriority w:val="39"/>
    <w:rsid w:val="007D00BA"/>
    <w:pPr>
      <w:ind w:left="1100"/>
      <w:jc w:val="left"/>
    </w:pPr>
    <w:rPr>
      <w:rFonts w:asciiTheme="minorHAnsi" w:hAnsiTheme="minorHAnsi"/>
      <w:sz w:val="20"/>
    </w:rPr>
  </w:style>
  <w:style w:type="paragraph" w:styleId="TOC7">
    <w:name w:val="toc 7"/>
    <w:basedOn w:val="Normal"/>
    <w:next w:val="Normal"/>
    <w:autoRedefine/>
    <w:rsid w:val="007D00BA"/>
    <w:pPr>
      <w:ind w:left="1320"/>
      <w:jc w:val="left"/>
    </w:pPr>
    <w:rPr>
      <w:rFonts w:asciiTheme="minorHAnsi" w:hAnsiTheme="minorHAnsi"/>
      <w:sz w:val="20"/>
    </w:rPr>
  </w:style>
  <w:style w:type="paragraph" w:styleId="TOC8">
    <w:name w:val="toc 8"/>
    <w:basedOn w:val="Normal"/>
    <w:next w:val="Normal"/>
    <w:autoRedefine/>
    <w:rsid w:val="007D00BA"/>
    <w:pPr>
      <w:ind w:left="1540"/>
      <w:jc w:val="left"/>
    </w:pPr>
    <w:rPr>
      <w:rFonts w:asciiTheme="minorHAnsi" w:hAnsiTheme="minorHAnsi"/>
      <w:sz w:val="20"/>
    </w:rPr>
  </w:style>
  <w:style w:type="paragraph" w:styleId="TOC9">
    <w:name w:val="toc 9"/>
    <w:basedOn w:val="Normal"/>
    <w:next w:val="Normal"/>
    <w:autoRedefine/>
    <w:rsid w:val="007D00BA"/>
    <w:pPr>
      <w:ind w:left="1760"/>
      <w:jc w:val="left"/>
    </w:pPr>
    <w:rPr>
      <w:rFonts w:asciiTheme="minorHAnsi" w:hAnsiTheme="minorHAnsi"/>
      <w:sz w:val="20"/>
    </w:rPr>
  </w:style>
  <w:style w:type="paragraph" w:styleId="CommentText">
    <w:name w:val="annotation text"/>
    <w:basedOn w:val="Normal"/>
    <w:link w:val="CommentTextChar"/>
    <w:uiPriority w:val="99"/>
    <w:rsid w:val="007D00BA"/>
    <w:rPr>
      <w:rFonts w:ascii="Times New Roman" w:hAnsi="Times New Roman" w:cs="Times New Roman"/>
      <w:sz w:val="20"/>
    </w:rPr>
  </w:style>
  <w:style w:type="character" w:customStyle="1" w:styleId="CommentTextChar">
    <w:name w:val="Comment Text Char"/>
    <w:basedOn w:val="DefaultParagraphFont"/>
    <w:link w:val="CommentText"/>
    <w:uiPriority w:val="99"/>
    <w:rsid w:val="007D00BA"/>
    <w:rPr>
      <w:rFonts w:eastAsia="Times New Roman"/>
      <w:kern w:val="0"/>
      <w:sz w:val="20"/>
      <w:lang w:eastAsia="en-AU"/>
      <w14:ligatures w14:val="none"/>
    </w:rPr>
  </w:style>
  <w:style w:type="paragraph" w:customStyle="1" w:styleId="Bulletpoints">
    <w:name w:val="Bullet points"/>
    <w:basedOn w:val="ListParagraph"/>
    <w:rsid w:val="007D00BA"/>
    <w:pPr>
      <w:numPr>
        <w:numId w:val="2"/>
      </w:numPr>
      <w:contextualSpacing/>
    </w:pPr>
  </w:style>
  <w:style w:type="paragraph" w:customStyle="1" w:styleId="TableName">
    <w:name w:val="TableName"/>
    <w:basedOn w:val="Normal"/>
    <w:rsid w:val="007D00BA"/>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7D00BA"/>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7D00BA"/>
    <w:pPr>
      <w:keepNext/>
      <w:spacing w:after="0"/>
    </w:pPr>
  </w:style>
  <w:style w:type="paragraph" w:styleId="CommentSubject">
    <w:name w:val="annotation subject"/>
    <w:basedOn w:val="CommentText"/>
    <w:next w:val="CommentText"/>
    <w:link w:val="CommentSubjectChar"/>
    <w:uiPriority w:val="99"/>
    <w:rsid w:val="007D00BA"/>
    <w:rPr>
      <w:rFonts w:ascii="Arial" w:hAnsi="Arial" w:cs="Arial"/>
      <w:b/>
      <w:bCs/>
    </w:rPr>
  </w:style>
  <w:style w:type="character" w:customStyle="1" w:styleId="CommentSubjectChar">
    <w:name w:val="Comment Subject Char"/>
    <w:basedOn w:val="CommentTextChar"/>
    <w:link w:val="CommentSubject"/>
    <w:uiPriority w:val="99"/>
    <w:rsid w:val="007D00BA"/>
    <w:rPr>
      <w:rFonts w:ascii="Arial" w:eastAsia="Times New Roman" w:hAnsi="Arial" w:cs="Arial"/>
      <w:b/>
      <w:bCs/>
      <w:kern w:val="0"/>
      <w:sz w:val="20"/>
      <w:lang w:eastAsia="en-AU"/>
      <w14:ligatures w14:val="none"/>
    </w:rPr>
  </w:style>
  <w:style w:type="paragraph" w:styleId="Revision">
    <w:name w:val="Revision"/>
    <w:hidden/>
    <w:uiPriority w:val="99"/>
    <w:semiHidden/>
    <w:rsid w:val="007D00BA"/>
    <w:pPr>
      <w:spacing w:after="0" w:line="240" w:lineRule="auto"/>
    </w:pPr>
    <w:rPr>
      <w:rFonts w:ascii="Arial" w:eastAsia="Times New Roman" w:hAnsi="Arial" w:cs="Arial"/>
      <w:snapToGrid w:val="0"/>
      <w:kern w:val="0"/>
      <w:sz w:val="22"/>
      <w:szCs w:val="20"/>
      <w14:ligatures w14:val="none"/>
    </w:rPr>
  </w:style>
  <w:style w:type="paragraph" w:styleId="BodyTextIndent">
    <w:name w:val="Body Text Indent"/>
    <w:basedOn w:val="Normal"/>
    <w:link w:val="BodyTextIndentChar"/>
    <w:rsid w:val="007D00BA"/>
    <w:pPr>
      <w:spacing w:after="120"/>
      <w:ind w:left="283"/>
    </w:pPr>
  </w:style>
  <w:style w:type="character" w:customStyle="1" w:styleId="BodyTextIndentChar">
    <w:name w:val="Body Text Indent Char"/>
    <w:basedOn w:val="DefaultParagraphFont"/>
    <w:link w:val="BodyTextIndent"/>
    <w:rsid w:val="007D00BA"/>
    <w:rPr>
      <w:rFonts w:ascii="Calibri" w:eastAsia="Times New Roman" w:hAnsi="Calibri" w:cs="Arial"/>
      <w:kern w:val="0"/>
      <w:lang w:eastAsia="en-AU"/>
      <w14:ligatures w14:val="none"/>
    </w:rPr>
  </w:style>
  <w:style w:type="paragraph" w:customStyle="1" w:styleId="Char1CharCharChar">
    <w:name w:val="Char1 Char Char Char"/>
    <w:basedOn w:val="Normal"/>
    <w:rsid w:val="007D00BA"/>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7D00BA"/>
  </w:style>
  <w:style w:type="paragraph" w:styleId="Subtitle">
    <w:name w:val="Subtitle"/>
    <w:basedOn w:val="Normal"/>
    <w:link w:val="SubtitleChar"/>
    <w:rsid w:val="007D00BA"/>
    <w:rPr>
      <w:rFonts w:ascii="Times New Roman" w:eastAsiaTheme="minorHAnsi" w:hAnsi="Times New Roman" w:cs="Times New Roman"/>
      <w:kern w:val="2"/>
      <w:lang w:eastAsia="en-US"/>
      <w14:ligatures w14:val="standardContextual"/>
    </w:rPr>
  </w:style>
  <w:style w:type="character" w:customStyle="1" w:styleId="SubtitleChar1">
    <w:name w:val="Subtitle Char1"/>
    <w:basedOn w:val="DefaultParagraphFont"/>
    <w:rsid w:val="007D00BA"/>
    <w:rPr>
      <w:rFonts w:asciiTheme="minorHAnsi" w:eastAsiaTheme="minorEastAsia" w:hAnsiTheme="minorHAnsi" w:cstheme="minorBidi"/>
      <w:color w:val="5A5A5A" w:themeColor="text1" w:themeTint="A5"/>
      <w:spacing w:val="15"/>
      <w:kern w:val="0"/>
      <w:sz w:val="22"/>
      <w:szCs w:val="22"/>
      <w:lang w:eastAsia="en-AU"/>
      <w14:ligatures w14:val="none"/>
    </w:rPr>
  </w:style>
  <w:style w:type="paragraph" w:customStyle="1" w:styleId="PBACHeading1">
    <w:name w:val="PBAC Heading 1"/>
    <w:qFormat/>
    <w:rsid w:val="007D00BA"/>
    <w:pPr>
      <w:spacing w:after="0" w:line="240" w:lineRule="auto"/>
      <w:outlineLvl w:val="0"/>
    </w:pPr>
    <w:rPr>
      <w:rFonts w:ascii="Calibri" w:eastAsia="Times New Roman" w:hAnsi="Calibri" w:cs="Arial"/>
      <w:b/>
      <w:snapToGrid w:val="0"/>
      <w:kern w:val="0"/>
      <w:sz w:val="32"/>
      <w:szCs w:val="22"/>
      <w14:ligatures w14:val="none"/>
    </w:rPr>
  </w:style>
  <w:style w:type="table" w:customStyle="1" w:styleId="PlainTable21">
    <w:name w:val="Plain Table 21"/>
    <w:basedOn w:val="TableNormal"/>
    <w:uiPriority w:val="42"/>
    <w:rsid w:val="007D00BA"/>
    <w:pPr>
      <w:spacing w:after="0" w:line="240" w:lineRule="auto"/>
    </w:pPr>
    <w:rPr>
      <w:rFonts w:asciiTheme="minorHAnsi" w:hAnsiTheme="minorHAnsi" w:cstheme="minorBidi"/>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D00BA"/>
    <w:rPr>
      <w:color w:val="954F72" w:themeColor="followedHyperlink"/>
      <w:u w:val="single"/>
    </w:rPr>
  </w:style>
  <w:style w:type="character" w:styleId="PageNumber">
    <w:name w:val="page number"/>
    <w:basedOn w:val="DefaultParagraphFont"/>
    <w:semiHidden/>
    <w:unhideWhenUsed/>
    <w:rsid w:val="007D00BA"/>
  </w:style>
  <w:style w:type="paragraph" w:customStyle="1" w:styleId="Commentitalics">
    <w:name w:val="Comment (italics)"/>
    <w:basedOn w:val="Normal"/>
    <w:next w:val="Normal"/>
    <w:rsid w:val="007D00BA"/>
    <w:rPr>
      <w:i/>
    </w:rPr>
  </w:style>
  <w:style w:type="paragraph" w:styleId="BalloonText">
    <w:name w:val="Balloon Text"/>
    <w:basedOn w:val="Normal"/>
    <w:link w:val="BalloonTextChar"/>
    <w:uiPriority w:val="99"/>
    <w:semiHidden/>
    <w:unhideWhenUsed/>
    <w:rsid w:val="007D00BA"/>
    <w:rPr>
      <w:rFonts w:ascii="Tahoma" w:hAnsi="Tahoma" w:cs="Tahoma"/>
      <w:sz w:val="16"/>
      <w:szCs w:val="16"/>
    </w:rPr>
  </w:style>
  <w:style w:type="character" w:customStyle="1" w:styleId="BalloonTextChar">
    <w:name w:val="Balloon Text Char"/>
    <w:basedOn w:val="DefaultParagraphFont"/>
    <w:link w:val="BalloonText"/>
    <w:uiPriority w:val="99"/>
    <w:semiHidden/>
    <w:rsid w:val="007D00BA"/>
    <w:rPr>
      <w:rFonts w:ascii="Tahoma" w:eastAsia="Times New Roman" w:hAnsi="Tahoma" w:cs="Tahoma"/>
      <w:kern w:val="0"/>
      <w:sz w:val="16"/>
      <w:szCs w:val="16"/>
      <w:lang w:eastAsia="en-AU"/>
      <w14:ligatures w14:val="none"/>
    </w:rPr>
  </w:style>
  <w:style w:type="paragraph" w:customStyle="1" w:styleId="TableText0">
    <w:name w:val="Table Text"/>
    <w:link w:val="TableTextChar0"/>
    <w:qFormat/>
    <w:rsid w:val="007D00BA"/>
    <w:pPr>
      <w:keepNext/>
      <w:spacing w:after="0" w:line="240" w:lineRule="auto"/>
    </w:pPr>
    <w:rPr>
      <w:rFonts w:ascii="Arial Narrow" w:eastAsiaTheme="majorEastAsia" w:hAnsi="Arial Narrow" w:cstheme="majorBidi"/>
      <w:bCs/>
      <w:kern w:val="0"/>
      <w:sz w:val="20"/>
      <w:lang w:eastAsia="en-AU"/>
      <w14:ligatures w14:val="none"/>
    </w:rPr>
  </w:style>
  <w:style w:type="paragraph" w:customStyle="1" w:styleId="V50Tablename">
    <w:name w:val="V5.0 Table name"/>
    <w:basedOn w:val="Normal"/>
    <w:link w:val="V50TablenameChar"/>
    <w:rsid w:val="007D00BA"/>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7D00BA"/>
    <w:rPr>
      <w:rFonts w:asciiTheme="minorHAnsi" w:hAnsiTheme="minorHAnsi" w:cstheme="minorBidi"/>
      <w:b/>
      <w:snapToGrid w:val="0"/>
      <w:kern w:val="0"/>
      <w:sz w:val="20"/>
      <w:lang w:val="en-US" w:eastAsia="en-AU"/>
      <w14:ligatures w14:val="none"/>
    </w:rPr>
  </w:style>
  <w:style w:type="paragraph" w:customStyle="1" w:styleId="GeneralHeading">
    <w:name w:val="General Heading"/>
    <w:qFormat/>
    <w:rsid w:val="007D00BA"/>
    <w:pPr>
      <w:keepNext/>
      <w:spacing w:before="120" w:after="120" w:line="240" w:lineRule="auto"/>
      <w:ind w:left="720" w:hanging="720"/>
      <w:outlineLvl w:val="0"/>
    </w:pPr>
    <w:rPr>
      <w:rFonts w:ascii="Calibri" w:eastAsia="Times New Roman" w:hAnsi="Calibri" w:cs="Arial"/>
      <w:b/>
      <w:snapToGrid w:val="0"/>
      <w:kern w:val="0"/>
      <w:sz w:val="28"/>
      <w:szCs w:val="22"/>
      <w:lang w:eastAsia="en-AU"/>
      <w14:ligatures w14:val="none"/>
    </w:rPr>
  </w:style>
  <w:style w:type="paragraph" w:customStyle="1" w:styleId="In-tableHeading">
    <w:name w:val="In-table Heading"/>
    <w:qFormat/>
    <w:rsid w:val="007D00BA"/>
    <w:pPr>
      <w:keepNext/>
      <w:spacing w:after="0" w:line="240" w:lineRule="auto"/>
    </w:pPr>
    <w:rPr>
      <w:rFonts w:ascii="Arial Narrow" w:eastAsiaTheme="majorEastAsia" w:hAnsi="Arial Narrow"/>
      <w:b/>
      <w:kern w:val="0"/>
      <w:sz w:val="20"/>
      <w:lang w:val="en-US" w:eastAsia="en-AU"/>
      <w14:ligatures w14:val="none"/>
    </w:rPr>
  </w:style>
  <w:style w:type="paragraph" w:customStyle="1" w:styleId="2-SectionHeading">
    <w:name w:val="2-Section Heading"/>
    <w:qFormat/>
    <w:rsid w:val="007D00BA"/>
    <w:pPr>
      <w:keepNext/>
      <w:numPr>
        <w:numId w:val="1"/>
      </w:numPr>
      <w:spacing w:before="240" w:after="120" w:line="240" w:lineRule="auto"/>
      <w:outlineLvl w:val="0"/>
    </w:pPr>
    <w:rPr>
      <w:rFonts w:asciiTheme="minorHAnsi" w:eastAsia="Times New Roman" w:hAnsiTheme="minorHAnsi" w:cs="Arial"/>
      <w:b/>
      <w:snapToGrid w:val="0"/>
      <w:kern w:val="0"/>
      <w:sz w:val="32"/>
      <w:szCs w:val="32"/>
      <w:lang w:eastAsia="en-AU"/>
      <w14:ligatures w14:val="none"/>
    </w:rPr>
  </w:style>
  <w:style w:type="paragraph" w:customStyle="1" w:styleId="1-MainHeading">
    <w:name w:val="1-Main Heading"/>
    <w:link w:val="1-MainHeadingChar"/>
    <w:qFormat/>
    <w:rsid w:val="007D00BA"/>
    <w:pPr>
      <w:keepNext/>
      <w:spacing w:before="120" w:line="240" w:lineRule="auto"/>
      <w:ind w:left="720" w:hanging="720"/>
      <w:outlineLvl w:val="0"/>
    </w:pPr>
    <w:rPr>
      <w:rFonts w:asciiTheme="minorHAnsi" w:eastAsiaTheme="majorEastAsia" w:hAnsiTheme="minorHAnsi" w:cstheme="majorBidi"/>
      <w:b/>
      <w:spacing w:val="5"/>
      <w:kern w:val="28"/>
      <w:sz w:val="36"/>
      <w:szCs w:val="36"/>
      <w:lang w:eastAsia="en-AU"/>
      <w14:ligatures w14:val="none"/>
    </w:rPr>
  </w:style>
  <w:style w:type="character" w:customStyle="1" w:styleId="1-MainHeadingChar">
    <w:name w:val="1-Main Heading Char"/>
    <w:basedOn w:val="DefaultParagraphFont"/>
    <w:link w:val="1-MainHeading"/>
    <w:rsid w:val="007D00BA"/>
    <w:rPr>
      <w:rFonts w:asciiTheme="minorHAnsi" w:eastAsiaTheme="majorEastAsia" w:hAnsiTheme="minorHAnsi" w:cstheme="majorBidi"/>
      <w:b/>
      <w:spacing w:val="5"/>
      <w:kern w:val="28"/>
      <w:sz w:val="36"/>
      <w:szCs w:val="36"/>
      <w:lang w:eastAsia="en-AU"/>
      <w14:ligatures w14:val="none"/>
    </w:rPr>
  </w:style>
  <w:style w:type="paragraph" w:customStyle="1" w:styleId="TableFigureHeading">
    <w:name w:val="Table/Figure Heading"/>
    <w:next w:val="In-tableHeading"/>
    <w:link w:val="TableFigureHeadingChar"/>
    <w:qFormat/>
    <w:rsid w:val="007D00BA"/>
    <w:pPr>
      <w:keepNext/>
      <w:spacing w:after="0" w:line="240" w:lineRule="auto"/>
    </w:pPr>
    <w:rPr>
      <w:rFonts w:ascii="Arial Narrow" w:eastAsiaTheme="majorEastAsia" w:hAnsi="Arial Narrow" w:cstheme="majorBidi"/>
      <w:b/>
      <w:bCs/>
      <w:kern w:val="0"/>
      <w:sz w:val="20"/>
      <w:lang w:eastAsia="en-AU"/>
      <w14:ligatures w14:val="none"/>
    </w:rPr>
  </w:style>
  <w:style w:type="character" w:customStyle="1" w:styleId="TableFigureHeadingChar">
    <w:name w:val="Table/Figure Heading Char"/>
    <w:basedOn w:val="DefaultParagraphFont"/>
    <w:link w:val="TableFigureHeading"/>
    <w:rsid w:val="007D00BA"/>
    <w:rPr>
      <w:rFonts w:ascii="Arial Narrow" w:eastAsiaTheme="majorEastAsia" w:hAnsi="Arial Narrow" w:cstheme="majorBidi"/>
      <w:b/>
      <w:bCs/>
      <w:kern w:val="0"/>
      <w:sz w:val="20"/>
      <w:lang w:eastAsia="en-AU"/>
      <w14:ligatures w14:val="none"/>
    </w:rPr>
  </w:style>
  <w:style w:type="paragraph" w:customStyle="1" w:styleId="3-BodyText">
    <w:name w:val="3-Body Text"/>
    <w:basedOn w:val="ListParagraph"/>
    <w:link w:val="3-BodyTextChar"/>
    <w:qFormat/>
    <w:rsid w:val="007D00BA"/>
    <w:pPr>
      <w:numPr>
        <w:ilvl w:val="1"/>
        <w:numId w:val="1"/>
      </w:numPr>
    </w:pPr>
  </w:style>
  <w:style w:type="character" w:customStyle="1" w:styleId="3-BodyTextChar">
    <w:name w:val="3-Body Text Char"/>
    <w:basedOn w:val="ListParagraphChar"/>
    <w:link w:val="3-BodyText"/>
    <w:rsid w:val="007D00BA"/>
    <w:rPr>
      <w:rFonts w:asciiTheme="minorHAnsi" w:eastAsia="Times New Roman" w:hAnsiTheme="minorHAnsi" w:cs="Arial"/>
      <w:snapToGrid w:val="0"/>
      <w:kern w:val="0"/>
      <w:lang w:eastAsia="en-AU"/>
      <w14:ligatures w14:val="none"/>
    </w:rPr>
  </w:style>
  <w:style w:type="paragraph" w:customStyle="1" w:styleId="PageFooter">
    <w:name w:val="Page Footer"/>
    <w:basedOn w:val="Normal"/>
    <w:link w:val="PageFooterChar"/>
    <w:qFormat/>
    <w:rsid w:val="007D00BA"/>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7D00BA"/>
    <w:rPr>
      <w:rFonts w:ascii="Calibri" w:eastAsia="Times New Roman" w:hAnsi="Calibri" w:cs="Arial"/>
      <w:b/>
      <w:kern w:val="0"/>
      <w:lang w:eastAsia="en-AU"/>
      <w14:ligatures w14:val="none"/>
    </w:rPr>
  </w:style>
  <w:style w:type="paragraph" w:customStyle="1" w:styleId="FooterTableFigure">
    <w:name w:val="Footer Table/Figure"/>
    <w:basedOn w:val="Normal"/>
    <w:link w:val="FooterTableFigureChar"/>
    <w:qFormat/>
    <w:rsid w:val="007D00BA"/>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7D00BA"/>
    <w:rPr>
      <w:rFonts w:ascii="Arial Narrow" w:eastAsia="Times New Roman" w:hAnsi="Arial Narrow" w:cs="Arial"/>
      <w:snapToGrid w:val="0"/>
      <w:kern w:val="0"/>
      <w:sz w:val="18"/>
      <w:szCs w:val="22"/>
      <w:lang w:eastAsia="en-AU"/>
      <w14:ligatures w14:val="none"/>
    </w:rPr>
  </w:style>
  <w:style w:type="paragraph" w:customStyle="1" w:styleId="4-SubsectionHeading">
    <w:name w:val="4-Subsection Heading"/>
    <w:basedOn w:val="Heading2"/>
    <w:next w:val="3-BodyText"/>
    <w:link w:val="4-SubsectionHeadingChar"/>
    <w:qFormat/>
    <w:rsid w:val="007D00BA"/>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7D00BA"/>
    <w:rPr>
      <w:rFonts w:asciiTheme="minorHAnsi" w:eastAsiaTheme="majorEastAsia" w:hAnsiTheme="minorHAnsi" w:cstheme="majorBidi"/>
      <w:b/>
      <w:i/>
      <w:spacing w:val="5"/>
      <w:kern w:val="28"/>
      <w:sz w:val="28"/>
      <w:szCs w:val="36"/>
      <w:lang w:eastAsia="en-AU"/>
      <w14:ligatures w14:val="none"/>
    </w:rPr>
  </w:style>
  <w:style w:type="paragraph" w:customStyle="1" w:styleId="5-SubsectionSubheading">
    <w:name w:val="5-Subsection Subheading"/>
    <w:basedOn w:val="Heading3"/>
    <w:next w:val="3-BodyText"/>
    <w:link w:val="5-SubsectionSubheadingChar"/>
    <w:qFormat/>
    <w:rsid w:val="007D00BA"/>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7D00BA"/>
    <w:rPr>
      <w:rFonts w:asciiTheme="minorHAnsi" w:eastAsiaTheme="majorEastAsia" w:hAnsiTheme="minorHAnsi" w:cstheme="majorBidi"/>
      <w:b/>
      <w:color w:val="000000" w:themeColor="text1"/>
      <w:kern w:val="0"/>
      <w:lang w:eastAsia="en-AU"/>
      <w14:ligatures w14:val="none"/>
    </w:rPr>
  </w:style>
  <w:style w:type="paragraph" w:styleId="ListBullet">
    <w:name w:val="List Bullet"/>
    <w:basedOn w:val="Normal"/>
    <w:unhideWhenUsed/>
    <w:rsid w:val="007D00BA"/>
    <w:pPr>
      <w:numPr>
        <w:numId w:val="4"/>
      </w:numPr>
      <w:contextualSpacing/>
    </w:pPr>
  </w:style>
  <w:style w:type="character" w:customStyle="1" w:styleId="TableTextChar0">
    <w:name w:val="Table Text Char"/>
    <w:basedOn w:val="DefaultParagraphFont"/>
    <w:link w:val="TableText0"/>
    <w:rsid w:val="007D00BA"/>
    <w:rPr>
      <w:rFonts w:ascii="Arial Narrow" w:eastAsiaTheme="majorEastAsia" w:hAnsi="Arial Narrow" w:cstheme="majorBidi"/>
      <w:bCs/>
      <w:kern w:val="0"/>
      <w:sz w:val="20"/>
      <w:lang w:eastAsia="en-AU"/>
      <w14:ligatures w14:val="none"/>
    </w:rPr>
  </w:style>
  <w:style w:type="paragraph" w:customStyle="1" w:styleId="ExecSumBodyText">
    <w:name w:val="Exec Sum Body Text"/>
    <w:basedOn w:val="Normal"/>
    <w:link w:val="ExecSumBodyTextChar"/>
    <w:uiPriority w:val="99"/>
    <w:rsid w:val="007D00BA"/>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7D00BA"/>
    <w:rPr>
      <w:rFonts w:asciiTheme="minorHAnsi" w:eastAsia="Times New Roman" w:hAnsiTheme="minorHAnsi" w:cs="Arial"/>
      <w:snapToGrid w:val="0"/>
      <w:kern w:val="0"/>
      <w:lang w:eastAsia="en-AU"/>
      <w14:ligatures w14:val="none"/>
    </w:rPr>
  </w:style>
  <w:style w:type="paragraph" w:customStyle="1" w:styleId="bullet">
    <w:name w:val="bullet"/>
    <w:basedOn w:val="ListParagraph"/>
    <w:link w:val="bulletChar"/>
    <w:rsid w:val="007D00BA"/>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7D00BA"/>
    <w:rPr>
      <w:rFonts w:ascii="Calibri" w:eastAsia="Times New Roman" w:hAnsi="Calibri" w:cstheme="minorBidi"/>
      <w:i/>
      <w:kern w:val="0"/>
      <w:sz w:val="22"/>
      <w:szCs w:val="22"/>
      <w14:ligatures w14:val="none"/>
    </w:rPr>
  </w:style>
  <w:style w:type="paragraph" w:customStyle="1" w:styleId="Default">
    <w:name w:val="Default"/>
    <w:rsid w:val="007D00BA"/>
    <w:pPr>
      <w:autoSpaceDE w:val="0"/>
      <w:autoSpaceDN w:val="0"/>
      <w:adjustRightInd w:val="0"/>
      <w:spacing w:after="0" w:line="240" w:lineRule="auto"/>
    </w:pPr>
    <w:rPr>
      <w:rFonts w:ascii="Calibri" w:eastAsia="Times New Roman" w:hAnsi="Calibri" w:cs="Calibri"/>
      <w:color w:val="000000"/>
      <w:kern w:val="0"/>
      <w:lang w:eastAsia="en-AU"/>
      <w14:ligatures w14:val="none"/>
    </w:rPr>
  </w:style>
  <w:style w:type="character" w:styleId="UnresolvedMention">
    <w:name w:val="Unresolved Mention"/>
    <w:basedOn w:val="DefaultParagraphFont"/>
    <w:uiPriority w:val="99"/>
    <w:semiHidden/>
    <w:unhideWhenUsed/>
    <w:rsid w:val="007D00BA"/>
    <w:rPr>
      <w:color w:val="605E5C"/>
      <w:shd w:val="clear" w:color="auto" w:fill="E1DFDD"/>
    </w:rPr>
  </w:style>
  <w:style w:type="paragraph" w:customStyle="1" w:styleId="SyneviNormal">
    <w:name w:val="Synevi Normal"/>
    <w:basedOn w:val="Normal"/>
    <w:link w:val="SyneviNormalChar"/>
    <w:qFormat/>
    <w:rsid w:val="007D00BA"/>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7D00BA"/>
    <w:rPr>
      <w:rFonts w:asciiTheme="minorHAnsi" w:eastAsia="Times New Roman" w:hAnsiTheme="minorHAnsi"/>
      <w:kern w:val="0"/>
      <w:sz w:val="22"/>
      <w:szCs w:val="20"/>
      <w:lang w:val="en-US"/>
      <w14:ligatures w14:val="none"/>
    </w:rPr>
  </w:style>
  <w:style w:type="paragraph" w:customStyle="1" w:styleId="Briefing">
    <w:name w:val="Briefing"/>
    <w:basedOn w:val="Normal"/>
    <w:link w:val="BriefingChar"/>
    <w:qFormat/>
    <w:rsid w:val="007D00BA"/>
    <w:pPr>
      <w:spacing w:line="360" w:lineRule="auto"/>
    </w:pPr>
    <w:rPr>
      <w:rFonts w:asciiTheme="minorHAnsi" w:eastAsiaTheme="minorHAnsi" w:hAnsiTheme="minorHAnsi" w:cstheme="minorHAnsi"/>
      <w:bCs/>
      <w:sz w:val="22"/>
      <w:szCs w:val="22"/>
      <w:lang w:eastAsia="en-US"/>
    </w:rPr>
  </w:style>
  <w:style w:type="character" w:customStyle="1" w:styleId="BriefingChar">
    <w:name w:val="Briefing Char"/>
    <w:basedOn w:val="DefaultParagraphFont"/>
    <w:link w:val="Briefing"/>
    <w:rsid w:val="007D00BA"/>
    <w:rPr>
      <w:rFonts w:asciiTheme="minorHAnsi" w:hAnsiTheme="minorHAnsi" w:cstheme="minorHAnsi"/>
      <w:bCs/>
      <w:kern w:val="0"/>
      <w:sz w:val="22"/>
      <w:szCs w:val="22"/>
      <w14:ligatures w14:val="none"/>
    </w:rPr>
  </w:style>
  <w:style w:type="paragraph" w:styleId="FootnoteText">
    <w:name w:val="footnote text"/>
    <w:basedOn w:val="Normal"/>
    <w:link w:val="FootnoteTextChar"/>
    <w:uiPriority w:val="99"/>
    <w:semiHidden/>
    <w:unhideWhenUsed/>
    <w:rsid w:val="007D00BA"/>
    <w:rPr>
      <w:sz w:val="20"/>
      <w:szCs w:val="20"/>
    </w:rPr>
  </w:style>
  <w:style w:type="character" w:customStyle="1" w:styleId="FootnoteTextChar">
    <w:name w:val="Footnote Text Char"/>
    <w:basedOn w:val="DefaultParagraphFont"/>
    <w:link w:val="FootnoteText"/>
    <w:uiPriority w:val="99"/>
    <w:semiHidden/>
    <w:rsid w:val="007D00BA"/>
    <w:rPr>
      <w:rFonts w:ascii="Calibri" w:eastAsia="Times New Roman" w:hAnsi="Calibri" w:cs="Arial"/>
      <w:kern w:val="0"/>
      <w:sz w:val="20"/>
      <w:szCs w:val="20"/>
      <w:lang w:eastAsia="en-AU"/>
      <w14:ligatures w14:val="none"/>
    </w:rPr>
  </w:style>
  <w:style w:type="character" w:styleId="FootnoteReference">
    <w:name w:val="footnote reference"/>
    <w:basedOn w:val="DefaultParagraphFont"/>
    <w:uiPriority w:val="99"/>
    <w:semiHidden/>
    <w:unhideWhenUsed/>
    <w:rsid w:val="007D00BA"/>
    <w:rPr>
      <w:vertAlign w:val="superscript"/>
    </w:rPr>
  </w:style>
  <w:style w:type="table" w:customStyle="1" w:styleId="TableGrid6">
    <w:name w:val="Table Grid6"/>
    <w:basedOn w:val="TableNormal"/>
    <w:rsid w:val="007D00BA"/>
    <w:pPr>
      <w:tabs>
        <w:tab w:val="left" w:pos="416"/>
        <w:tab w:val="left" w:pos="582"/>
      </w:tabs>
      <w:spacing w:after="0" w:line="360" w:lineRule="auto"/>
      <w:jc w:val="both"/>
    </w:pPr>
    <w:rPr>
      <w:rFonts w:ascii="Times" w:eastAsia="Times New Roman" w:hAnsi="Time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7D00BA"/>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Normal"/>
    <w:qFormat/>
    <w:rsid w:val="007D00BA"/>
    <w:pPr>
      <w:jc w:val="center"/>
    </w:pPr>
    <w:rPr>
      <w:rFonts w:asciiTheme="minorHAnsi" w:eastAsiaTheme="minorHAnsi" w:hAnsiTheme="minorHAnsi" w:cstheme="minorBidi"/>
      <w:b/>
      <w:sz w:val="20"/>
      <w:szCs w:val="20"/>
      <w:lang w:eastAsia="en-US"/>
    </w:rPr>
  </w:style>
  <w:style w:type="paragraph" w:customStyle="1" w:styleId="Tablecentre">
    <w:name w:val="Table centre"/>
    <w:basedOn w:val="Tabletext"/>
    <w:qFormat/>
    <w:rsid w:val="007D00BA"/>
    <w:pPr>
      <w:contextualSpacing/>
      <w:jc w:val="center"/>
    </w:pPr>
    <w:rPr>
      <w:rFonts w:asciiTheme="minorHAnsi" w:eastAsiaTheme="minorHAnsi" w:hAnsiTheme="minorHAnsi" w:cstheme="minorBidi"/>
      <w:snapToGrid/>
      <w:szCs w:val="20"/>
      <w:lang w:eastAsia="en-US"/>
    </w:rPr>
  </w:style>
  <w:style w:type="table" w:customStyle="1" w:styleId="MSDTableGrid1">
    <w:name w:val="MSD Table Grid1"/>
    <w:basedOn w:val="TableNormal"/>
    <w:next w:val="TableGrid"/>
    <w:uiPriority w:val="59"/>
    <w:rsid w:val="007D00B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2">
    <w:name w:val="MSD Table Grid2"/>
    <w:basedOn w:val="TableNormal"/>
    <w:next w:val="TableGrid"/>
    <w:uiPriority w:val="59"/>
    <w:rsid w:val="007D00B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3">
    <w:name w:val="MSD Table Grid3"/>
    <w:basedOn w:val="TableNormal"/>
    <w:next w:val="TableGrid"/>
    <w:uiPriority w:val="59"/>
    <w:rsid w:val="007D00B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4">
    <w:name w:val="MSD Table Grid4"/>
    <w:basedOn w:val="TableNormal"/>
    <w:next w:val="TableGrid"/>
    <w:uiPriority w:val="59"/>
    <w:rsid w:val="007D00B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00BA"/>
    <w:pPr>
      <w:spacing w:after="0" w:line="240" w:lineRule="auto"/>
    </w:pPr>
    <w:rPr>
      <w:rFonts w:ascii="Helvetica Neue" w:hAnsi="Helvetica Neue" w:cs="Times New Roman (Body CS)"/>
      <w:color w:val="0856A3"/>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72">
    <w:name w:val="Summary box72"/>
    <w:basedOn w:val="TableNormal"/>
    <w:next w:val="TableGrid"/>
    <w:uiPriority w:val="59"/>
    <w:rsid w:val="007D00B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77">
    <w:name w:val="Summary box77"/>
    <w:basedOn w:val="TableNormal"/>
    <w:next w:val="TableGrid"/>
    <w:uiPriority w:val="59"/>
    <w:rsid w:val="007D00B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82">
    <w:name w:val="Summary box82"/>
    <w:basedOn w:val="TableNormal"/>
    <w:next w:val="TableGrid"/>
    <w:uiPriority w:val="59"/>
    <w:rsid w:val="007D00B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s">
    <w:name w:val="Sources"/>
    <w:basedOn w:val="Normal"/>
    <w:qFormat/>
    <w:rsid w:val="007D00BA"/>
    <w:rPr>
      <w:rFonts w:eastAsiaTheme="minorHAnsi" w:cstheme="minorBidi"/>
      <w:sz w:val="18"/>
      <w:szCs w:val="22"/>
      <w:lang w:eastAsia="en-US"/>
    </w:rPr>
  </w:style>
  <w:style w:type="paragraph" w:customStyle="1" w:styleId="pf0">
    <w:name w:val="pf0"/>
    <w:basedOn w:val="Normal"/>
    <w:rsid w:val="007D00BA"/>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7D00BA"/>
    <w:rPr>
      <w:rFonts w:ascii="Segoe UI" w:hAnsi="Segoe UI" w:cs="Segoe UI" w:hint="default"/>
      <w:sz w:val="18"/>
      <w:szCs w:val="18"/>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D00BA"/>
    <w:pPr>
      <w:spacing w:after="160" w:line="240" w:lineRule="exact"/>
      <w:jc w:val="left"/>
    </w:pPr>
    <w:rPr>
      <w:rFonts w:ascii="Verdana" w:eastAsia="MS Mincho" w:hAnsi="Verdana" w:cs="Verdana"/>
      <w:sz w:val="20"/>
      <w:szCs w:val="20"/>
      <w:lang w:val="en-US" w:eastAsia="en-US"/>
    </w:rPr>
  </w:style>
  <w:style w:type="character" w:customStyle="1" w:styleId="text-widget">
    <w:name w:val="text-widget"/>
    <w:basedOn w:val="DefaultParagraphFont"/>
    <w:rsid w:val="007D00BA"/>
  </w:style>
  <w:style w:type="table" w:customStyle="1" w:styleId="AZTable">
    <w:name w:val="AZ Table"/>
    <w:basedOn w:val="TableNormal"/>
    <w:uiPriority w:val="99"/>
    <w:rsid w:val="007D00B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styleId="Emphasis">
    <w:name w:val="Emphasis"/>
    <w:basedOn w:val="DefaultParagraphFont"/>
    <w:uiPriority w:val="20"/>
    <w:qFormat/>
    <w:rsid w:val="007D00BA"/>
    <w:rPr>
      <w:i/>
      <w:iCs/>
    </w:rPr>
  </w:style>
  <w:style w:type="paragraph" w:customStyle="1" w:styleId="3-SubsectionHeading">
    <w:name w:val="3-Subsection Heading"/>
    <w:basedOn w:val="Heading2"/>
    <w:next w:val="Normal"/>
    <w:link w:val="3-SubsectionHeadingChar"/>
    <w:qFormat/>
    <w:rsid w:val="007D00BA"/>
    <w:pPr>
      <w:keepNext/>
      <w:spacing w:before="120" w:after="120"/>
      <w:outlineLvl w:val="9"/>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7D00BA"/>
    <w:rPr>
      <w:rFonts w:asciiTheme="minorHAnsi" w:eastAsiaTheme="majorEastAsia" w:hAnsiTheme="minorHAnsi" w:cstheme="majorBidi"/>
      <w:b/>
      <w:i/>
      <w:spacing w:val="5"/>
      <w:kern w:val="28"/>
      <w:sz w:val="28"/>
      <w:szCs w:val="36"/>
      <w:lang w:eastAsia="en-AU"/>
      <w14:ligatures w14:val="none"/>
    </w:rPr>
  </w:style>
  <w:style w:type="character" w:customStyle="1" w:styleId="COMTabletextChar">
    <w:name w:val="COM Table text Char"/>
    <w:basedOn w:val="DefaultParagraphFont"/>
    <w:link w:val="COMTabletext"/>
    <w:locked/>
    <w:rsid w:val="005F2818"/>
    <w:rPr>
      <w:rFonts w:ascii="Arial Narrow" w:eastAsiaTheme="majorEastAsia" w:hAnsi="Arial Narrow" w:cstheme="majorBidi"/>
      <w:bCs/>
    </w:rPr>
  </w:style>
  <w:style w:type="paragraph" w:customStyle="1" w:styleId="COMTabletext">
    <w:name w:val="COM Table text"/>
    <w:link w:val="COMTabletextChar"/>
    <w:rsid w:val="005F2818"/>
    <w:pPr>
      <w:keepNext/>
      <w:spacing w:after="0" w:line="240" w:lineRule="auto"/>
    </w:pPr>
    <w:rPr>
      <w:rFonts w:ascii="Arial Narrow" w:eastAsiaTheme="majorEastAsia" w:hAnsi="Arial Narrow" w:cstheme="majorBidi"/>
      <w:bCs/>
    </w:rPr>
  </w:style>
  <w:style w:type="character" w:customStyle="1" w:styleId="COMtablefigcaptionChar">
    <w:name w:val="COM table/fig caption Char"/>
    <w:basedOn w:val="DefaultParagraphFont"/>
    <w:link w:val="COMtablefigcaption"/>
    <w:locked/>
    <w:rsid w:val="005F2818"/>
    <w:rPr>
      <w:rFonts w:ascii="Arial Narrow" w:eastAsiaTheme="majorEastAsia" w:hAnsi="Arial Narrow" w:cstheme="majorBidi"/>
      <w:b/>
      <w:bCs/>
    </w:rPr>
  </w:style>
  <w:style w:type="paragraph" w:customStyle="1" w:styleId="COMtablefigcaption">
    <w:name w:val="COM table/fig caption"/>
    <w:next w:val="Normal"/>
    <w:link w:val="COMtablefigcaptionChar"/>
    <w:rsid w:val="005F2818"/>
    <w:pPr>
      <w:keepNext/>
      <w:spacing w:after="0" w:line="240" w:lineRule="auto"/>
    </w:pPr>
    <w:rPr>
      <w:rFonts w:ascii="Arial Narrow" w:eastAsiaTheme="majorEastAsia" w:hAnsi="Arial Narrow" w:cstheme="majorBidi"/>
      <w:b/>
      <w:bCs/>
    </w:rPr>
  </w:style>
  <w:style w:type="paragraph" w:customStyle="1" w:styleId="COMH1numbered">
    <w:name w:val="COM H1 numbered"/>
    <w:next w:val="Normal"/>
    <w:link w:val="COMH1numberedChar"/>
    <w:qFormat/>
    <w:rsid w:val="005F2818"/>
    <w:pPr>
      <w:keepNext/>
      <w:snapToGrid w:val="0"/>
      <w:spacing w:before="240" w:after="120" w:line="240" w:lineRule="auto"/>
      <w:ind w:left="720" w:hanging="720"/>
      <w:outlineLvl w:val="0"/>
    </w:pPr>
    <w:rPr>
      <w:rFonts w:asciiTheme="minorHAnsi" w:eastAsia="Times New Roman" w:hAnsiTheme="minorHAnsi" w:cs="Arial"/>
      <w:b/>
      <w:kern w:val="0"/>
      <w:sz w:val="32"/>
      <w:szCs w:val="32"/>
      <w:lang w:eastAsia="en-AU"/>
      <w14:ligatures w14:val="none"/>
    </w:rPr>
  </w:style>
  <w:style w:type="paragraph" w:customStyle="1" w:styleId="COMexecsumnumberedpara">
    <w:name w:val="COM exec sum numbered para"/>
    <w:basedOn w:val="ListParagraph"/>
    <w:rsid w:val="005F2818"/>
    <w:pPr>
      <w:numPr>
        <w:numId w:val="0"/>
      </w:numPr>
      <w:tabs>
        <w:tab w:val="num" w:pos="360"/>
      </w:tabs>
      <w:snapToGrid w:val="0"/>
      <w:ind w:left="1440" w:hanging="360"/>
    </w:pPr>
    <w:rPr>
      <w:snapToGrid/>
      <w:lang w:eastAsia="en-US"/>
    </w:rPr>
  </w:style>
  <w:style w:type="numbering" w:customStyle="1" w:styleId="SectionBii">
    <w:name w:val="Section Bii"/>
    <w:uiPriority w:val="99"/>
    <w:rsid w:val="005F2818"/>
    <w:pPr>
      <w:numPr>
        <w:numId w:val="30"/>
      </w:numPr>
    </w:pPr>
  </w:style>
  <w:style w:type="table" w:customStyle="1" w:styleId="HealthConsult1">
    <w:name w:val="HealthConsult1"/>
    <w:basedOn w:val="TableNormal"/>
    <w:next w:val="TableGrid"/>
    <w:uiPriority w:val="59"/>
    <w:rsid w:val="005F2818"/>
    <w:pPr>
      <w:spacing w:after="0" w:line="240" w:lineRule="auto"/>
    </w:pPr>
    <w:rPr>
      <w:rFonts w:eastAsia="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Footer">
    <w:name w:val="Table/Figure Footer"/>
    <w:basedOn w:val="Normal"/>
    <w:next w:val="3-BodyText"/>
    <w:link w:val="TableFigureFooterChar"/>
    <w:qFormat/>
    <w:rsid w:val="005F2818"/>
    <w:pPr>
      <w:spacing w:after="120"/>
      <w:contextualSpacing/>
    </w:pPr>
    <w:rPr>
      <w:rFonts w:ascii="Arial Narrow" w:hAnsi="Arial Narrow"/>
      <w:snapToGrid w:val="0"/>
      <w:sz w:val="18"/>
      <w:szCs w:val="22"/>
      <w:lang w:eastAsia="en-US"/>
    </w:rPr>
  </w:style>
  <w:style w:type="character" w:customStyle="1" w:styleId="TableFigureFooterChar">
    <w:name w:val="Table/Figure Footer Char"/>
    <w:link w:val="TableFigureFooter"/>
    <w:rsid w:val="005F2818"/>
    <w:rPr>
      <w:rFonts w:ascii="Arial Narrow" w:eastAsia="Times New Roman" w:hAnsi="Arial Narrow" w:cs="Arial"/>
      <w:snapToGrid w:val="0"/>
      <w:kern w:val="0"/>
      <w:sz w:val="18"/>
      <w:szCs w:val="22"/>
      <w14:ligatures w14:val="none"/>
    </w:rPr>
  </w:style>
  <w:style w:type="character" w:customStyle="1" w:styleId="normaltextrun">
    <w:name w:val="normaltextrun"/>
    <w:basedOn w:val="DefaultParagraphFont"/>
    <w:rsid w:val="005F2818"/>
  </w:style>
  <w:style w:type="character" w:customStyle="1" w:styleId="eop">
    <w:name w:val="eop"/>
    <w:basedOn w:val="DefaultParagraphFont"/>
    <w:rsid w:val="005F2818"/>
  </w:style>
  <w:style w:type="paragraph" w:customStyle="1" w:styleId="Numberbullet2">
    <w:name w:val="Number bullet 2"/>
    <w:basedOn w:val="ListBullet2"/>
    <w:qFormat/>
    <w:rsid w:val="001631CE"/>
    <w:pPr>
      <w:numPr>
        <w:numId w:val="0"/>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1631CE"/>
    <w:p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1631CE"/>
    <w:pPr>
      <w:numPr>
        <w:numId w:val="32"/>
      </w:numPr>
    </w:pPr>
  </w:style>
  <w:style w:type="character" w:customStyle="1" w:styleId="COMH1numberedChar">
    <w:name w:val="COM H1 numbered Char"/>
    <w:basedOn w:val="DefaultParagraphFont"/>
    <w:link w:val="COMH1numbered"/>
    <w:rsid w:val="001631CE"/>
    <w:rPr>
      <w:rFonts w:asciiTheme="minorHAnsi" w:eastAsia="Times New Roman" w:hAnsiTheme="minorHAnsi" w:cs="Arial"/>
      <w:b/>
      <w:kern w:val="0"/>
      <w:sz w:val="32"/>
      <w:szCs w:val="32"/>
      <w:lang w:eastAsia="en-AU"/>
      <w14:ligatures w14:val="none"/>
    </w:rPr>
  </w:style>
  <w:style w:type="paragraph" w:styleId="ListBullet2">
    <w:name w:val="List Bullet 2"/>
    <w:basedOn w:val="Normal"/>
    <w:uiPriority w:val="99"/>
    <w:semiHidden/>
    <w:unhideWhenUsed/>
    <w:rsid w:val="001631CE"/>
    <w:pPr>
      <w:numPr>
        <w:numId w:val="32"/>
      </w:numPr>
      <w:contextualSpacing/>
    </w:pPr>
  </w:style>
  <w:style w:type="paragraph" w:styleId="ListBullet3">
    <w:name w:val="List Bullet 3"/>
    <w:basedOn w:val="Normal"/>
    <w:uiPriority w:val="99"/>
    <w:semiHidden/>
    <w:unhideWhenUsed/>
    <w:rsid w:val="001631CE"/>
    <w:pPr>
      <w:ind w:left="720" w:hanging="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644476">
      <w:bodyDiv w:val="1"/>
      <w:marLeft w:val="0"/>
      <w:marRight w:val="0"/>
      <w:marTop w:val="0"/>
      <w:marBottom w:val="0"/>
      <w:divBdr>
        <w:top w:val="none" w:sz="0" w:space="0" w:color="auto"/>
        <w:left w:val="none" w:sz="0" w:space="0" w:color="auto"/>
        <w:bottom w:val="none" w:sz="0" w:space="0" w:color="auto"/>
        <w:right w:val="none" w:sz="0" w:space="0" w:color="auto"/>
      </w:divBdr>
    </w:div>
    <w:div w:id="172132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56/nejm198301133080216" TargetMode="External"/><Relationship Id="rId1" Type="http://schemas.openxmlformats.org/officeDocument/2006/relationships/hyperlink" Target="https://doi.org/10.3171/2008.8.jns08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AA11101-37CA-4873-8D22-7C041B8ED1F7}">
  <ds:schemaRefs>
    <ds:schemaRef ds:uri="http://schemas.microsoft.com/sharepoint/v3/contenttype/forms"/>
  </ds:schemaRefs>
</ds:datastoreItem>
</file>

<file path=customXml/itemProps2.xml><?xml version="1.0" encoding="utf-8"?>
<ds:datastoreItem xmlns:ds="http://schemas.openxmlformats.org/officeDocument/2006/customXml" ds:itemID="{B97BA1B9-A6BA-4757-97C5-41322AB91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12E167-F79F-4AD7-813C-D3FFBFF3B5BF}">
  <ds:schemaRefs>
    <ds:schemaRef ds:uri="http://schemas.openxmlformats.org/officeDocument/2006/bibliography"/>
  </ds:schemaRefs>
</ds:datastoreItem>
</file>

<file path=customXml/itemProps4.xml><?xml version="1.0" encoding="utf-8"?>
<ds:datastoreItem xmlns:ds="http://schemas.openxmlformats.org/officeDocument/2006/customXml" ds:itemID="{617AB5E7-9645-4AEA-98C5-8DD4D7BDD456}">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cfb47f1f-2c8f-4e85-a121-5f8dcdaeecec}" enabled="1" method="Privileged" siteId="{30615e74-f8fc-4c90-9bc8-cee5666a8b8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65</Pages>
  <Words>27451</Words>
  <Characters>156477</Characters>
  <Application>Microsoft Office Word</Application>
  <DocSecurity>0</DocSecurity>
  <Lines>1303</Lines>
  <Paragraphs>367</Paragraphs>
  <ScaleCrop>false</ScaleCrop>
  <Company/>
  <LinksUpToDate>false</LinksUpToDate>
  <CharactersWithSpaces>183561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2024-12-22T23:54:00Z</dcterms:created>
  <dcterms:modified xsi:type="dcterms:W3CDTF">2024-12-23T00:03:00Z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ies>
</file>