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B627" w14:textId="3E5703E4" w:rsidR="00872E8F" w:rsidRPr="00A6439B" w:rsidRDefault="007D1C8F" w:rsidP="00773531">
      <w:pPr>
        <w:pStyle w:val="1MainTitle"/>
        <w:ind w:left="993" w:hanging="993"/>
        <w:jc w:val="left"/>
      </w:pPr>
      <w:r>
        <w:t>11.03</w:t>
      </w:r>
      <w:r w:rsidR="00773531">
        <w:tab/>
      </w:r>
      <w:r w:rsidRPr="007D1C8F">
        <w:t>ZANUBRUTINIB</w:t>
      </w:r>
      <w:r w:rsidR="70971A32" w:rsidRPr="00A6439B">
        <w:t>,</w:t>
      </w:r>
      <w:r w:rsidR="00872E8F" w:rsidRPr="00A6439B">
        <w:br/>
      </w:r>
      <w:r w:rsidRPr="007D1C8F">
        <w:t>Capsule 80 mg</w:t>
      </w:r>
      <w:r w:rsidR="00872E8F" w:rsidRPr="00A6439B">
        <w:br/>
      </w:r>
      <w:r w:rsidRPr="007D1C8F">
        <w:t>Brukinsa</w:t>
      </w:r>
      <w:r w:rsidR="70971A32" w:rsidRPr="00A6439B">
        <w:t>®,</w:t>
      </w:r>
      <w:r w:rsidR="00872E8F" w:rsidRPr="00A6439B">
        <w:br/>
      </w:r>
      <w:r w:rsidR="00DE5FB2" w:rsidRPr="00DE5FB2">
        <w:t>BEIGENE AUS PTY LTD</w:t>
      </w:r>
    </w:p>
    <w:p w14:paraId="5F4D54C1" w14:textId="6BC233A7" w:rsidR="00E11F44" w:rsidRPr="00A6439B" w:rsidRDefault="007E490F" w:rsidP="00CD6257">
      <w:pPr>
        <w:pStyle w:val="2-SectionHeading"/>
        <w:rPr>
          <w:rFonts w:cstheme="minorHAnsi"/>
          <w:color w:val="FF0000"/>
        </w:rPr>
      </w:pPr>
      <w:r w:rsidRPr="00A6439B">
        <w:t xml:space="preserve">Purpose of </w:t>
      </w:r>
      <w:r w:rsidR="00FA0B04" w:rsidRPr="00A6439B">
        <w:t>Submission</w:t>
      </w:r>
      <w:r w:rsidRPr="00A6439B">
        <w:t xml:space="preserve"> </w:t>
      </w:r>
    </w:p>
    <w:p w14:paraId="1B64C81B" w14:textId="35F46F1B" w:rsidR="0073736F" w:rsidRDefault="006C6C10" w:rsidP="0079250E">
      <w:pPr>
        <w:pStyle w:val="3Bodytext"/>
        <w:jc w:val="both"/>
        <w:rPr>
          <w:rFonts w:cstheme="minorHAnsi"/>
          <w:szCs w:val="24"/>
        </w:rPr>
      </w:pPr>
      <w:r w:rsidRPr="00A6439B">
        <w:rPr>
          <w:rFonts w:cstheme="minorHAnsi"/>
          <w:szCs w:val="24"/>
        </w:rPr>
        <w:t xml:space="preserve">The </w:t>
      </w:r>
      <w:r w:rsidR="008C49C0" w:rsidRPr="008C49C0">
        <w:rPr>
          <w:rFonts w:cstheme="minorHAnsi"/>
          <w:szCs w:val="24"/>
        </w:rPr>
        <w:t xml:space="preserve">Category 3 submission requested the PBAC to </w:t>
      </w:r>
      <w:r w:rsidR="003805B9" w:rsidRPr="003805B9">
        <w:rPr>
          <w:rFonts w:cstheme="minorHAnsi"/>
          <w:szCs w:val="24"/>
        </w:rPr>
        <w:t xml:space="preserve">revise the previously estimated utilisation of </w:t>
      </w:r>
      <w:r w:rsidR="008C49C0" w:rsidRPr="008C49C0">
        <w:rPr>
          <w:rFonts w:cstheme="minorHAnsi"/>
          <w:szCs w:val="24"/>
        </w:rPr>
        <w:t xml:space="preserve">zanubrutinib </w:t>
      </w:r>
      <w:r w:rsidR="008C49C0">
        <w:rPr>
          <w:rFonts w:cstheme="minorHAnsi"/>
          <w:szCs w:val="24"/>
        </w:rPr>
        <w:t>(</w:t>
      </w:r>
      <w:r w:rsidR="008C49C0" w:rsidRPr="008C49C0">
        <w:rPr>
          <w:rFonts w:cstheme="minorHAnsi"/>
          <w:szCs w:val="24"/>
        </w:rPr>
        <w:t>Brukinsa®</w:t>
      </w:r>
      <w:r w:rsidR="008C49C0">
        <w:rPr>
          <w:rFonts w:cstheme="minorHAnsi"/>
          <w:szCs w:val="24"/>
        </w:rPr>
        <w:t xml:space="preserve">) </w:t>
      </w:r>
      <w:r w:rsidR="008C49C0" w:rsidRPr="008C49C0">
        <w:rPr>
          <w:rFonts w:cstheme="minorHAnsi"/>
          <w:szCs w:val="24"/>
        </w:rPr>
        <w:t>for the treatment of Waldenström macroglobulinemia (WM)</w:t>
      </w:r>
      <w:r w:rsidR="002F6753">
        <w:rPr>
          <w:rFonts w:cstheme="minorHAnsi"/>
          <w:szCs w:val="24"/>
        </w:rPr>
        <w:t>.</w:t>
      </w:r>
      <w:r w:rsidR="008C49C0" w:rsidRPr="008C49C0">
        <w:rPr>
          <w:rFonts w:cstheme="minorHAnsi"/>
          <w:szCs w:val="24"/>
        </w:rPr>
        <w:t xml:space="preserve"> </w:t>
      </w:r>
    </w:p>
    <w:p w14:paraId="02E72F23" w14:textId="2C4D44CE" w:rsidR="00257F6C" w:rsidRPr="000423F0" w:rsidRDefault="00257F6C" w:rsidP="000423F0">
      <w:pPr>
        <w:pStyle w:val="3Bodytext"/>
        <w:jc w:val="both"/>
        <w:rPr>
          <w:rFonts w:cstheme="minorHAnsi"/>
          <w:szCs w:val="24"/>
        </w:rPr>
      </w:pPr>
      <w:r w:rsidRPr="000423F0">
        <w:rPr>
          <w:szCs w:val="24"/>
        </w:rPr>
        <w:t xml:space="preserve">The submission </w:t>
      </w:r>
      <w:r w:rsidR="002F6753" w:rsidRPr="000423F0">
        <w:rPr>
          <w:szCs w:val="24"/>
        </w:rPr>
        <w:t xml:space="preserve">proposed an increase to </w:t>
      </w:r>
      <w:r w:rsidR="002647B0" w:rsidRPr="000423F0">
        <w:rPr>
          <w:rFonts w:cstheme="minorHAnsi"/>
          <w:szCs w:val="24"/>
        </w:rPr>
        <w:t xml:space="preserve">the </w:t>
      </w:r>
      <w:r w:rsidR="008E6FA0" w:rsidRPr="000423F0">
        <w:rPr>
          <w:rFonts w:cstheme="minorHAnsi"/>
          <w:szCs w:val="24"/>
        </w:rPr>
        <w:t>subsidisation</w:t>
      </w:r>
      <w:r w:rsidR="002647B0" w:rsidRPr="000423F0">
        <w:rPr>
          <w:rFonts w:cstheme="minorHAnsi"/>
          <w:szCs w:val="24"/>
        </w:rPr>
        <w:t xml:space="preserve"> caps for the current </w:t>
      </w:r>
      <w:r w:rsidR="00E605A3">
        <w:rPr>
          <w:rFonts w:cstheme="minorHAnsi"/>
          <w:szCs w:val="24"/>
        </w:rPr>
        <w:t>r</w:t>
      </w:r>
      <w:r w:rsidR="002647B0" w:rsidRPr="000423F0">
        <w:rPr>
          <w:rFonts w:cstheme="minorHAnsi"/>
          <w:szCs w:val="24"/>
        </w:rPr>
        <w:t xml:space="preserve">isk </w:t>
      </w:r>
      <w:r w:rsidR="00E605A3">
        <w:rPr>
          <w:rFonts w:cstheme="minorHAnsi"/>
          <w:szCs w:val="24"/>
        </w:rPr>
        <w:t>s</w:t>
      </w:r>
      <w:r w:rsidR="002647B0" w:rsidRPr="000423F0">
        <w:rPr>
          <w:rFonts w:cstheme="minorHAnsi"/>
          <w:szCs w:val="24"/>
        </w:rPr>
        <w:t xml:space="preserve">haring </w:t>
      </w:r>
      <w:r w:rsidR="00E605A3">
        <w:rPr>
          <w:rFonts w:cstheme="minorHAnsi"/>
          <w:szCs w:val="24"/>
        </w:rPr>
        <w:t>a</w:t>
      </w:r>
      <w:r w:rsidR="002647B0" w:rsidRPr="000423F0">
        <w:rPr>
          <w:rFonts w:cstheme="minorHAnsi"/>
          <w:szCs w:val="24"/>
        </w:rPr>
        <w:t>rrangement (RSA)</w:t>
      </w:r>
      <w:r w:rsidR="002F6753" w:rsidRPr="000423F0">
        <w:rPr>
          <w:rFonts w:cstheme="minorHAnsi"/>
          <w:szCs w:val="24"/>
        </w:rPr>
        <w:t xml:space="preserve"> from Year 3 </w:t>
      </w:r>
      <w:r w:rsidR="000423F0" w:rsidRPr="000423F0">
        <w:rPr>
          <w:rFonts w:cstheme="minorHAnsi"/>
          <w:szCs w:val="24"/>
        </w:rPr>
        <w:t xml:space="preserve">onwards </w:t>
      </w:r>
      <w:r w:rsidR="002F6753" w:rsidRPr="000423F0">
        <w:rPr>
          <w:rFonts w:cstheme="minorHAnsi"/>
          <w:szCs w:val="24"/>
        </w:rPr>
        <w:t>to reflect the following changes</w:t>
      </w:r>
      <w:r w:rsidR="000423F0" w:rsidRPr="000423F0">
        <w:rPr>
          <w:rFonts w:cstheme="minorHAnsi"/>
          <w:szCs w:val="24"/>
        </w:rPr>
        <w:t xml:space="preserve"> </w:t>
      </w:r>
      <w:r w:rsidR="000423F0">
        <w:rPr>
          <w:rFonts w:cstheme="minorHAnsi"/>
          <w:szCs w:val="24"/>
        </w:rPr>
        <w:t>in</w:t>
      </w:r>
      <w:r w:rsidR="000423F0" w:rsidRPr="000423F0">
        <w:rPr>
          <w:rFonts w:cstheme="minorHAnsi"/>
          <w:szCs w:val="24"/>
        </w:rPr>
        <w:t xml:space="preserve"> the utilisation model</w:t>
      </w:r>
      <w:r w:rsidRPr="000423F0">
        <w:rPr>
          <w:szCs w:val="24"/>
        </w:rPr>
        <w:t xml:space="preserve">: </w:t>
      </w:r>
    </w:p>
    <w:p w14:paraId="5C166AE4" w14:textId="390AC17C" w:rsidR="00257F6C" w:rsidRDefault="00FE4EBC" w:rsidP="00773531">
      <w:pPr>
        <w:pStyle w:val="3Bodytext"/>
        <w:numPr>
          <w:ilvl w:val="0"/>
          <w:numId w:val="6"/>
        </w:numPr>
        <w:ind w:left="1134"/>
        <w:jc w:val="both"/>
        <w:rPr>
          <w:rFonts w:cstheme="minorHAnsi"/>
          <w:szCs w:val="24"/>
        </w:rPr>
      </w:pPr>
      <w:r>
        <w:rPr>
          <w:rFonts w:cstheme="minorHAnsi"/>
          <w:szCs w:val="24"/>
        </w:rPr>
        <w:t>I</w:t>
      </w:r>
      <w:r w:rsidR="00257F6C" w:rsidRPr="00257F6C">
        <w:rPr>
          <w:rFonts w:cstheme="minorHAnsi"/>
          <w:szCs w:val="24"/>
        </w:rPr>
        <w:t>ncreasing the incidence rate from 0.37 to 0.60</w:t>
      </w:r>
      <w:r w:rsidR="00257F6C">
        <w:rPr>
          <w:rFonts w:cstheme="minorHAnsi"/>
          <w:szCs w:val="24"/>
        </w:rPr>
        <w:t xml:space="preserve"> per </w:t>
      </w:r>
      <w:r w:rsidR="00257F6C" w:rsidRPr="00257F6C">
        <w:rPr>
          <w:rFonts w:cstheme="minorHAnsi"/>
          <w:szCs w:val="24"/>
        </w:rPr>
        <w:t>100,000 population</w:t>
      </w:r>
      <w:r w:rsidR="007B2D87">
        <w:rPr>
          <w:rFonts w:cstheme="minorHAnsi"/>
          <w:szCs w:val="24"/>
        </w:rPr>
        <w:t>.</w:t>
      </w:r>
    </w:p>
    <w:p w14:paraId="73E2CB15" w14:textId="6CAD8F08" w:rsidR="00257F6C" w:rsidRDefault="00FE4EBC" w:rsidP="00773531">
      <w:pPr>
        <w:pStyle w:val="3Bodytext"/>
        <w:numPr>
          <w:ilvl w:val="0"/>
          <w:numId w:val="6"/>
        </w:numPr>
        <w:ind w:left="1134"/>
        <w:jc w:val="both"/>
        <w:rPr>
          <w:rFonts w:cstheme="minorHAnsi"/>
          <w:szCs w:val="24"/>
        </w:rPr>
      </w:pPr>
      <w:r>
        <w:rPr>
          <w:rFonts w:cstheme="minorHAnsi"/>
          <w:szCs w:val="24"/>
        </w:rPr>
        <w:t>I</w:t>
      </w:r>
      <w:r w:rsidR="00257F6C" w:rsidRPr="00257F6C">
        <w:rPr>
          <w:rFonts w:cstheme="minorHAnsi"/>
          <w:szCs w:val="24"/>
        </w:rPr>
        <w:t>ncreasing the prevalence rate from 1.22 to 3.21</w:t>
      </w:r>
      <w:r w:rsidR="00257F6C">
        <w:rPr>
          <w:rFonts w:cstheme="minorHAnsi"/>
          <w:szCs w:val="24"/>
        </w:rPr>
        <w:t xml:space="preserve"> </w:t>
      </w:r>
      <w:r w:rsidR="00257F6C" w:rsidRPr="00257F6C">
        <w:rPr>
          <w:rFonts w:cstheme="minorHAnsi"/>
          <w:szCs w:val="24"/>
        </w:rPr>
        <w:t>per 100,000 population</w:t>
      </w:r>
      <w:r w:rsidR="007B2D87">
        <w:rPr>
          <w:rFonts w:cstheme="minorHAnsi"/>
          <w:szCs w:val="24"/>
        </w:rPr>
        <w:t>.</w:t>
      </w:r>
    </w:p>
    <w:p w14:paraId="2E6F42AD" w14:textId="59550FB4" w:rsidR="00257F6C" w:rsidRDefault="00FE4EBC" w:rsidP="00773531">
      <w:pPr>
        <w:pStyle w:val="3Bodytext"/>
        <w:numPr>
          <w:ilvl w:val="0"/>
          <w:numId w:val="6"/>
        </w:numPr>
        <w:ind w:left="1134"/>
        <w:jc w:val="both"/>
        <w:rPr>
          <w:rFonts w:cstheme="minorHAnsi"/>
          <w:szCs w:val="24"/>
        </w:rPr>
      </w:pPr>
      <w:r>
        <w:rPr>
          <w:rFonts w:cstheme="minorHAnsi"/>
          <w:szCs w:val="24"/>
        </w:rPr>
        <w:t>I</w:t>
      </w:r>
      <w:r w:rsidR="00257F6C" w:rsidRPr="00257F6C">
        <w:rPr>
          <w:rFonts w:cstheme="minorHAnsi"/>
          <w:szCs w:val="24"/>
        </w:rPr>
        <w:t>ncreasing the proportion of patients assumed to survive to second</w:t>
      </w:r>
      <w:r w:rsidR="002647B0">
        <w:rPr>
          <w:rFonts w:cstheme="minorHAnsi"/>
          <w:szCs w:val="24"/>
        </w:rPr>
        <w:t xml:space="preserve"> </w:t>
      </w:r>
      <w:r w:rsidR="00257F6C" w:rsidRPr="00257F6C">
        <w:rPr>
          <w:rFonts w:cstheme="minorHAnsi"/>
          <w:szCs w:val="24"/>
        </w:rPr>
        <w:t xml:space="preserve">line </w:t>
      </w:r>
      <w:r w:rsidR="00FB2CA9">
        <w:rPr>
          <w:rFonts w:cstheme="minorHAnsi"/>
          <w:szCs w:val="24"/>
        </w:rPr>
        <w:t xml:space="preserve">treatment </w:t>
      </w:r>
      <w:r w:rsidR="00257F6C" w:rsidRPr="00257F6C">
        <w:rPr>
          <w:rFonts w:cstheme="minorHAnsi"/>
          <w:szCs w:val="24"/>
        </w:rPr>
        <w:t>from 90% to 100%</w:t>
      </w:r>
      <w:r w:rsidR="007B2D87">
        <w:rPr>
          <w:rFonts w:cstheme="minorHAnsi"/>
          <w:szCs w:val="24"/>
        </w:rPr>
        <w:t>.</w:t>
      </w:r>
    </w:p>
    <w:p w14:paraId="33BEF5D7" w14:textId="1A0D7E95" w:rsidR="00F61909" w:rsidRDefault="00F61909" w:rsidP="00F61909">
      <w:pPr>
        <w:pStyle w:val="3Bodytext"/>
        <w:jc w:val="both"/>
        <w:rPr>
          <w:rFonts w:cstheme="minorHAnsi"/>
          <w:szCs w:val="24"/>
        </w:rPr>
      </w:pPr>
      <w:r w:rsidRPr="00F61909">
        <w:rPr>
          <w:rFonts w:cstheme="minorHAnsi"/>
          <w:szCs w:val="24"/>
        </w:rPr>
        <w:t xml:space="preserve">The current and </w:t>
      </w:r>
      <w:r w:rsidR="00D75117">
        <w:rPr>
          <w:rFonts w:cstheme="minorHAnsi"/>
          <w:szCs w:val="24"/>
        </w:rPr>
        <w:t xml:space="preserve">proposed </w:t>
      </w:r>
      <w:r w:rsidRPr="00F61909">
        <w:rPr>
          <w:rFonts w:cstheme="minorHAnsi"/>
          <w:szCs w:val="24"/>
        </w:rPr>
        <w:t xml:space="preserve">caps are summarised in </w:t>
      </w:r>
      <w:r w:rsidR="00BA002D">
        <w:rPr>
          <w:rFonts w:cstheme="minorHAnsi"/>
          <w:szCs w:val="24"/>
        </w:rPr>
        <w:fldChar w:fldCharType="begin" w:fldLock="1"/>
      </w:r>
      <w:r w:rsidR="00BA002D">
        <w:rPr>
          <w:rFonts w:cstheme="minorHAnsi"/>
          <w:szCs w:val="24"/>
        </w:rPr>
        <w:instrText xml:space="preserve"> REF _Ref167451389 \h </w:instrText>
      </w:r>
      <w:r w:rsidR="00BE671E">
        <w:rPr>
          <w:rFonts w:cstheme="minorHAnsi"/>
          <w:szCs w:val="24"/>
        </w:rPr>
        <w:instrText xml:space="preserve"> \* MERGEFORMAT </w:instrText>
      </w:r>
      <w:r w:rsidR="00BA002D">
        <w:rPr>
          <w:rFonts w:cstheme="minorHAnsi"/>
          <w:szCs w:val="24"/>
        </w:rPr>
      </w:r>
      <w:r w:rsidR="00BA002D">
        <w:rPr>
          <w:rFonts w:cstheme="minorHAnsi"/>
          <w:szCs w:val="24"/>
        </w:rPr>
        <w:fldChar w:fldCharType="separate"/>
      </w:r>
      <w:r w:rsidR="00B31544" w:rsidRPr="00B31544">
        <w:rPr>
          <w:szCs w:val="24"/>
        </w:rPr>
        <w:t xml:space="preserve">Table </w:t>
      </w:r>
      <w:r w:rsidR="00B31544" w:rsidRPr="00B31544">
        <w:rPr>
          <w:noProof/>
          <w:szCs w:val="24"/>
        </w:rPr>
        <w:t>1</w:t>
      </w:r>
      <w:r w:rsidR="00BA002D">
        <w:rPr>
          <w:rFonts w:cstheme="minorHAnsi"/>
          <w:szCs w:val="24"/>
        </w:rPr>
        <w:fldChar w:fldCharType="end"/>
      </w:r>
      <w:r w:rsidRPr="00F61909">
        <w:rPr>
          <w:rFonts w:cstheme="minorHAnsi"/>
          <w:szCs w:val="24"/>
        </w:rPr>
        <w:t xml:space="preserve">. </w:t>
      </w:r>
      <w:r>
        <w:rPr>
          <w:rFonts w:cstheme="minorHAnsi"/>
          <w:szCs w:val="24"/>
        </w:rPr>
        <w:t>T</w:t>
      </w:r>
      <w:r w:rsidRPr="00F61909">
        <w:rPr>
          <w:rFonts w:cstheme="minorHAnsi"/>
          <w:szCs w:val="24"/>
        </w:rPr>
        <w:t xml:space="preserve">he </w:t>
      </w:r>
      <w:r w:rsidR="005B74EB">
        <w:rPr>
          <w:rFonts w:cstheme="minorHAnsi"/>
          <w:szCs w:val="24"/>
        </w:rPr>
        <w:t xml:space="preserve">submission estimated </w:t>
      </w:r>
      <w:r w:rsidR="00465D8D" w:rsidRPr="00465D8D">
        <w:rPr>
          <w:rFonts w:cstheme="minorHAnsi"/>
          <w:szCs w:val="24"/>
        </w:rPr>
        <w:t xml:space="preserve">the additional PBS/RPBS expenditure associated with the revised RSA versus the existing RSA </w:t>
      </w:r>
      <w:r w:rsidR="005B74EB">
        <w:rPr>
          <w:rFonts w:cstheme="minorHAnsi"/>
          <w:szCs w:val="24"/>
        </w:rPr>
        <w:t xml:space="preserve">to be </w:t>
      </w:r>
      <w:r w:rsidR="00E926B5" w:rsidRPr="00E42CD7">
        <w:rPr>
          <w:rFonts w:cstheme="minorHAnsi"/>
          <w:color w:val="000000"/>
          <w:w w:val="15"/>
          <w:szCs w:val="24"/>
          <w:shd w:val="solid" w:color="000000" w:fill="000000"/>
          <w:fitText w:val="-20" w:id="-893114624"/>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24"/>
          <w14:textFill>
            <w14:solidFill>
              <w14:srgbClr w14:val="000000">
                <w14:alpha w14:val="100000"/>
              </w14:srgbClr>
            </w14:solidFill>
          </w14:textFill>
        </w:rPr>
        <w:t>|</w:t>
      </w:r>
      <w:r w:rsidR="00371031" w:rsidRPr="00371031">
        <w:rPr>
          <w:rFonts w:cstheme="minorHAnsi"/>
          <w:szCs w:val="24"/>
        </w:rPr>
        <w:t xml:space="preserve"> </w:t>
      </w:r>
      <w:r w:rsidR="00E926B5" w:rsidRPr="00E42CD7">
        <w:rPr>
          <w:rFonts w:cstheme="minorHAnsi"/>
          <w:color w:val="000000"/>
          <w:w w:val="15"/>
          <w:szCs w:val="24"/>
          <w:shd w:val="solid" w:color="000000" w:fill="000000"/>
          <w:fitText w:val="-20" w:id="-893114623"/>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23"/>
          <w14:textFill>
            <w14:solidFill>
              <w14:srgbClr w14:val="000000">
                <w14:alpha w14:val="100000"/>
              </w14:srgbClr>
            </w14:solidFill>
          </w14:textFill>
        </w:rPr>
        <w:t>|</w:t>
      </w:r>
      <w:r w:rsidR="003E4102">
        <w:rPr>
          <w:rFonts w:cstheme="minorHAnsi"/>
          <w:szCs w:val="24"/>
        </w:rPr>
        <w:t xml:space="preserve"> </w:t>
      </w:r>
      <w:r w:rsidR="004B4630">
        <w:rPr>
          <w:rFonts w:cstheme="minorHAnsi"/>
          <w:szCs w:val="24"/>
        </w:rPr>
        <w:t xml:space="preserve">over 3 years. </w:t>
      </w:r>
    </w:p>
    <w:p w14:paraId="12FCBF74" w14:textId="7997BE42" w:rsidR="00F61909" w:rsidRPr="00E27672" w:rsidRDefault="00F61909" w:rsidP="00B72746">
      <w:pPr>
        <w:pStyle w:val="TableFigureHeading"/>
        <w:keepLines/>
        <w:rPr>
          <w:i/>
          <w:iCs/>
          <w:szCs w:val="20"/>
        </w:rPr>
      </w:pPr>
      <w:bookmarkStart w:id="0" w:name="_Ref167451389"/>
      <w:r w:rsidRPr="00E27672">
        <w:rPr>
          <w:szCs w:val="20"/>
        </w:rPr>
        <w:t xml:space="preserve">Table </w:t>
      </w:r>
      <w:r w:rsidR="000D0ED7" w:rsidRPr="00E27672">
        <w:rPr>
          <w:szCs w:val="20"/>
        </w:rPr>
        <w:fldChar w:fldCharType="begin" w:fldLock="1"/>
      </w:r>
      <w:r w:rsidR="000D0ED7" w:rsidRPr="00E27672">
        <w:rPr>
          <w:szCs w:val="20"/>
        </w:rPr>
        <w:instrText xml:space="preserve"> SEQ Table \* ARABIC </w:instrText>
      </w:r>
      <w:r w:rsidR="000D0ED7" w:rsidRPr="00E27672">
        <w:rPr>
          <w:szCs w:val="20"/>
        </w:rPr>
        <w:fldChar w:fldCharType="separate"/>
      </w:r>
      <w:r w:rsidR="00D05088">
        <w:rPr>
          <w:noProof/>
          <w:szCs w:val="20"/>
        </w:rPr>
        <w:t>1</w:t>
      </w:r>
      <w:r w:rsidR="000D0ED7" w:rsidRPr="00E27672">
        <w:rPr>
          <w:noProof/>
          <w:szCs w:val="20"/>
        </w:rPr>
        <w:fldChar w:fldCharType="end"/>
      </w:r>
      <w:bookmarkEnd w:id="0"/>
      <w:r w:rsidRPr="00E27672">
        <w:rPr>
          <w:szCs w:val="20"/>
        </w:rPr>
        <w:t xml:space="preserve">: Proposed </w:t>
      </w:r>
      <w:r w:rsidR="0069497F" w:rsidRPr="00E27672">
        <w:rPr>
          <w:szCs w:val="20"/>
        </w:rPr>
        <w:t xml:space="preserve">subsidisation </w:t>
      </w:r>
      <w:r w:rsidRPr="00E27672">
        <w:rPr>
          <w:szCs w:val="20"/>
        </w:rPr>
        <w:t>caps for forward years (</w:t>
      </w:r>
      <w:r w:rsidR="003E4102" w:rsidRPr="00E27672">
        <w:rPr>
          <w:szCs w:val="20"/>
        </w:rPr>
        <w:t>Y</w:t>
      </w:r>
      <w:r w:rsidRPr="00E27672">
        <w:rPr>
          <w:szCs w:val="20"/>
        </w:rPr>
        <w:t>ears 3, 4 and 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Caption w:val="Table 1: Proposed subsidisation caps for forward years (Years 3, 4 and 5)"/>
        <w:tblDescription w:val="Table 1: Proposed subsidisation caps for forward years (Years 3, 4 and 5)"/>
      </w:tblPr>
      <w:tblGrid>
        <w:gridCol w:w="2689"/>
        <w:gridCol w:w="2126"/>
        <w:gridCol w:w="2126"/>
        <w:gridCol w:w="2126"/>
      </w:tblGrid>
      <w:tr w:rsidR="00F61909" w:rsidRPr="00685447" w14:paraId="72A43226" w14:textId="77777777" w:rsidTr="00375777">
        <w:trPr>
          <w:trHeight w:val="283"/>
        </w:trPr>
        <w:tc>
          <w:tcPr>
            <w:tcW w:w="2689" w:type="dxa"/>
            <w:shd w:val="clear" w:color="auto" w:fill="auto"/>
            <w:noWrap/>
            <w:vAlign w:val="center"/>
            <w:hideMark/>
          </w:tcPr>
          <w:p w14:paraId="054984E9" w14:textId="77777777" w:rsidR="00F61909" w:rsidRPr="00685447" w:rsidRDefault="00F61909" w:rsidP="00B72746">
            <w:pPr>
              <w:pStyle w:val="TableText0"/>
              <w:keepLines/>
              <w:rPr>
                <w:b/>
                <w:bCs w:val="0"/>
                <w:szCs w:val="20"/>
              </w:rPr>
            </w:pPr>
          </w:p>
        </w:tc>
        <w:tc>
          <w:tcPr>
            <w:tcW w:w="2126" w:type="dxa"/>
            <w:shd w:val="clear" w:color="auto" w:fill="auto"/>
            <w:noWrap/>
            <w:vAlign w:val="center"/>
            <w:hideMark/>
          </w:tcPr>
          <w:p w14:paraId="707C81DC" w14:textId="4ACA8A0B" w:rsidR="00F61909" w:rsidRPr="00685447" w:rsidRDefault="00F61909" w:rsidP="00B72746">
            <w:pPr>
              <w:pStyle w:val="TableText0"/>
              <w:keepLines/>
              <w:rPr>
                <w:rFonts w:cs="Calibri"/>
                <w:b/>
                <w:bCs w:val="0"/>
                <w:color w:val="000000"/>
                <w:szCs w:val="20"/>
              </w:rPr>
            </w:pPr>
            <w:r w:rsidRPr="00685447">
              <w:rPr>
                <w:b/>
                <w:bCs w:val="0"/>
                <w:szCs w:val="20"/>
              </w:rPr>
              <w:t>Y3 (</w:t>
            </w:r>
            <w:r w:rsidR="008E6FA0" w:rsidRPr="00685447">
              <w:rPr>
                <w:b/>
                <w:bCs w:val="0"/>
                <w:szCs w:val="20"/>
              </w:rPr>
              <w:t>July 2024</w:t>
            </w:r>
            <w:r w:rsidRPr="00685447">
              <w:rPr>
                <w:b/>
                <w:bCs w:val="0"/>
                <w:szCs w:val="20"/>
              </w:rPr>
              <w:t>-</w:t>
            </w:r>
            <w:r w:rsidR="008E6FA0" w:rsidRPr="00685447">
              <w:rPr>
                <w:b/>
                <w:bCs w:val="0"/>
                <w:szCs w:val="20"/>
              </w:rPr>
              <w:t>June</w:t>
            </w:r>
            <w:r w:rsidRPr="00685447">
              <w:rPr>
                <w:b/>
                <w:bCs w:val="0"/>
                <w:szCs w:val="20"/>
              </w:rPr>
              <w:t xml:space="preserve"> 202</w:t>
            </w:r>
            <w:r w:rsidR="008E6FA0" w:rsidRPr="00685447">
              <w:rPr>
                <w:b/>
                <w:bCs w:val="0"/>
                <w:szCs w:val="20"/>
              </w:rPr>
              <w:t>5</w:t>
            </w:r>
            <w:r w:rsidRPr="00685447">
              <w:rPr>
                <w:b/>
                <w:bCs w:val="0"/>
                <w:szCs w:val="20"/>
              </w:rPr>
              <w:t>)</w:t>
            </w:r>
          </w:p>
        </w:tc>
        <w:tc>
          <w:tcPr>
            <w:tcW w:w="2126" w:type="dxa"/>
            <w:shd w:val="clear" w:color="auto" w:fill="auto"/>
            <w:noWrap/>
            <w:vAlign w:val="center"/>
            <w:hideMark/>
          </w:tcPr>
          <w:p w14:paraId="738EBCFF" w14:textId="51B01023" w:rsidR="00F61909" w:rsidRPr="00685447" w:rsidRDefault="00F61909" w:rsidP="00B72746">
            <w:pPr>
              <w:pStyle w:val="TableText0"/>
              <w:keepLines/>
              <w:rPr>
                <w:rFonts w:cs="Calibri"/>
                <w:b/>
                <w:bCs w:val="0"/>
                <w:color w:val="000000"/>
                <w:szCs w:val="20"/>
              </w:rPr>
            </w:pPr>
            <w:r w:rsidRPr="00685447">
              <w:rPr>
                <w:b/>
                <w:bCs w:val="0"/>
                <w:szCs w:val="20"/>
              </w:rPr>
              <w:t>Y4 (</w:t>
            </w:r>
            <w:r w:rsidR="008E6FA0" w:rsidRPr="00685447">
              <w:rPr>
                <w:b/>
                <w:bCs w:val="0"/>
                <w:szCs w:val="20"/>
              </w:rPr>
              <w:t>July</w:t>
            </w:r>
            <w:r w:rsidRPr="00685447">
              <w:rPr>
                <w:b/>
                <w:bCs w:val="0"/>
                <w:szCs w:val="20"/>
              </w:rPr>
              <w:t xml:space="preserve"> 202</w:t>
            </w:r>
            <w:r w:rsidR="008E6FA0" w:rsidRPr="00685447">
              <w:rPr>
                <w:b/>
                <w:bCs w:val="0"/>
                <w:szCs w:val="20"/>
              </w:rPr>
              <w:t>5</w:t>
            </w:r>
            <w:r w:rsidRPr="00685447">
              <w:rPr>
                <w:b/>
                <w:bCs w:val="0"/>
                <w:szCs w:val="20"/>
              </w:rPr>
              <w:t>-</w:t>
            </w:r>
            <w:r w:rsidR="008E6FA0" w:rsidRPr="00685447">
              <w:rPr>
                <w:b/>
                <w:bCs w:val="0"/>
                <w:szCs w:val="20"/>
              </w:rPr>
              <w:t>June</w:t>
            </w:r>
            <w:r w:rsidRPr="00685447">
              <w:rPr>
                <w:b/>
                <w:bCs w:val="0"/>
                <w:szCs w:val="20"/>
              </w:rPr>
              <w:t xml:space="preserve"> 202</w:t>
            </w:r>
            <w:r w:rsidR="008E6FA0" w:rsidRPr="00685447">
              <w:rPr>
                <w:b/>
                <w:bCs w:val="0"/>
                <w:szCs w:val="20"/>
              </w:rPr>
              <w:t>6</w:t>
            </w:r>
            <w:r w:rsidRPr="00685447">
              <w:rPr>
                <w:b/>
                <w:bCs w:val="0"/>
                <w:szCs w:val="20"/>
              </w:rPr>
              <w:t>)</w:t>
            </w:r>
          </w:p>
        </w:tc>
        <w:tc>
          <w:tcPr>
            <w:tcW w:w="2126" w:type="dxa"/>
            <w:shd w:val="clear" w:color="auto" w:fill="auto"/>
            <w:noWrap/>
            <w:vAlign w:val="center"/>
            <w:hideMark/>
          </w:tcPr>
          <w:p w14:paraId="45F56804" w14:textId="784016BA" w:rsidR="00F61909" w:rsidRPr="00685447" w:rsidRDefault="00F61909" w:rsidP="00B72746">
            <w:pPr>
              <w:pStyle w:val="TableText0"/>
              <w:keepLines/>
              <w:rPr>
                <w:rFonts w:cs="Calibri"/>
                <w:b/>
                <w:bCs w:val="0"/>
                <w:color w:val="000000"/>
                <w:szCs w:val="20"/>
              </w:rPr>
            </w:pPr>
            <w:r w:rsidRPr="00685447">
              <w:rPr>
                <w:b/>
                <w:bCs w:val="0"/>
                <w:szCs w:val="20"/>
              </w:rPr>
              <w:t>Y5 (</w:t>
            </w:r>
            <w:r w:rsidR="008E6FA0" w:rsidRPr="00685447">
              <w:rPr>
                <w:b/>
                <w:bCs w:val="0"/>
                <w:szCs w:val="20"/>
              </w:rPr>
              <w:t>July</w:t>
            </w:r>
            <w:r w:rsidRPr="00685447">
              <w:rPr>
                <w:b/>
                <w:bCs w:val="0"/>
                <w:szCs w:val="20"/>
              </w:rPr>
              <w:t xml:space="preserve"> 202</w:t>
            </w:r>
            <w:r w:rsidR="008E6FA0" w:rsidRPr="00685447">
              <w:rPr>
                <w:b/>
                <w:bCs w:val="0"/>
                <w:szCs w:val="20"/>
              </w:rPr>
              <w:t>6</w:t>
            </w:r>
            <w:r w:rsidRPr="00685447">
              <w:rPr>
                <w:b/>
                <w:bCs w:val="0"/>
                <w:szCs w:val="20"/>
              </w:rPr>
              <w:t>-</w:t>
            </w:r>
            <w:r w:rsidR="008E6FA0" w:rsidRPr="00685447">
              <w:rPr>
                <w:b/>
                <w:bCs w:val="0"/>
                <w:szCs w:val="20"/>
              </w:rPr>
              <w:t>June</w:t>
            </w:r>
            <w:r w:rsidRPr="00685447">
              <w:rPr>
                <w:b/>
                <w:bCs w:val="0"/>
                <w:szCs w:val="20"/>
              </w:rPr>
              <w:t xml:space="preserve"> 202</w:t>
            </w:r>
            <w:r w:rsidR="008E6FA0" w:rsidRPr="00685447">
              <w:rPr>
                <w:b/>
                <w:bCs w:val="0"/>
                <w:szCs w:val="20"/>
              </w:rPr>
              <w:t>7</w:t>
            </w:r>
            <w:r w:rsidRPr="00685447">
              <w:rPr>
                <w:b/>
                <w:bCs w:val="0"/>
                <w:szCs w:val="20"/>
              </w:rPr>
              <w:t>)</w:t>
            </w:r>
          </w:p>
        </w:tc>
      </w:tr>
      <w:tr w:rsidR="004B4630" w:rsidRPr="00685447" w14:paraId="72300ADA" w14:textId="77777777" w:rsidTr="00375777">
        <w:trPr>
          <w:trHeight w:val="283"/>
        </w:trPr>
        <w:tc>
          <w:tcPr>
            <w:tcW w:w="2689" w:type="dxa"/>
            <w:shd w:val="clear" w:color="auto" w:fill="auto"/>
            <w:noWrap/>
            <w:vAlign w:val="center"/>
          </w:tcPr>
          <w:p w14:paraId="2024CDB3" w14:textId="60D38006" w:rsidR="004B4630" w:rsidRPr="00685447" w:rsidRDefault="004B4630" w:rsidP="00B72746">
            <w:pPr>
              <w:pStyle w:val="TableText0"/>
              <w:keepLines/>
              <w:rPr>
                <w:szCs w:val="20"/>
              </w:rPr>
            </w:pPr>
            <w:r w:rsidRPr="00685447">
              <w:rPr>
                <w:rFonts w:cs="Arial"/>
                <w:szCs w:val="20"/>
              </w:rPr>
              <w:t xml:space="preserve">Current caps </w:t>
            </w:r>
            <w:r w:rsidR="005334DB">
              <w:rPr>
                <w:rFonts w:cs="Arial"/>
                <w:szCs w:val="20"/>
              </w:rPr>
              <w:t>($)</w:t>
            </w:r>
          </w:p>
        </w:tc>
        <w:tc>
          <w:tcPr>
            <w:tcW w:w="2126" w:type="dxa"/>
            <w:shd w:val="clear" w:color="auto" w:fill="auto"/>
            <w:noWrap/>
            <w:vAlign w:val="center"/>
          </w:tcPr>
          <w:p w14:paraId="3EF4031A" w14:textId="6CB326CA" w:rsidR="004B4630" w:rsidRPr="0013688B" w:rsidRDefault="00E926B5" w:rsidP="00B72746">
            <w:pPr>
              <w:pStyle w:val="TableText0"/>
              <w:keepLines/>
              <w:jc w:val="center"/>
              <w:rPr>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c>
          <w:tcPr>
            <w:tcW w:w="2126" w:type="dxa"/>
            <w:shd w:val="clear" w:color="auto" w:fill="auto"/>
            <w:noWrap/>
            <w:vAlign w:val="center"/>
          </w:tcPr>
          <w:p w14:paraId="3227C354" w14:textId="23657F93" w:rsidR="004B4630" w:rsidRPr="0013688B" w:rsidRDefault="00E926B5" w:rsidP="00B72746">
            <w:pPr>
              <w:pStyle w:val="TableText0"/>
              <w:keepLines/>
              <w:jc w:val="center"/>
              <w:rPr>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c>
          <w:tcPr>
            <w:tcW w:w="2126" w:type="dxa"/>
            <w:shd w:val="clear" w:color="auto" w:fill="auto"/>
            <w:noWrap/>
            <w:vAlign w:val="center"/>
          </w:tcPr>
          <w:p w14:paraId="3A7D40E9" w14:textId="6BD656B2" w:rsidR="004B4630" w:rsidRPr="0013688B" w:rsidRDefault="00E926B5" w:rsidP="00B72746">
            <w:pPr>
              <w:pStyle w:val="TableText0"/>
              <w:keepLines/>
              <w:jc w:val="center"/>
              <w:rPr>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r>
      <w:tr w:rsidR="004B4630" w:rsidRPr="00685447" w14:paraId="6CA3B30D" w14:textId="77777777" w:rsidTr="00375777">
        <w:trPr>
          <w:trHeight w:val="283"/>
        </w:trPr>
        <w:tc>
          <w:tcPr>
            <w:tcW w:w="2689" w:type="dxa"/>
            <w:shd w:val="clear" w:color="auto" w:fill="auto"/>
            <w:noWrap/>
            <w:vAlign w:val="center"/>
            <w:hideMark/>
          </w:tcPr>
          <w:p w14:paraId="381D2FBA" w14:textId="599DFE69" w:rsidR="004B4630" w:rsidRPr="00685447" w:rsidRDefault="004B4630" w:rsidP="00B72746">
            <w:pPr>
              <w:pStyle w:val="TableText0"/>
              <w:keepLines/>
              <w:rPr>
                <w:rFonts w:cs="Calibri"/>
                <w:color w:val="000000"/>
                <w:szCs w:val="20"/>
                <w:vertAlign w:val="superscript"/>
              </w:rPr>
            </w:pPr>
            <w:r w:rsidRPr="00685447">
              <w:rPr>
                <w:rFonts w:cs="Calibri"/>
                <w:color w:val="000000" w:themeColor="text1"/>
                <w:szCs w:val="20"/>
              </w:rPr>
              <w:t>Proposed caps</w:t>
            </w:r>
            <w:r w:rsidR="005334DB">
              <w:rPr>
                <w:rFonts w:cs="Calibri"/>
                <w:color w:val="000000" w:themeColor="text1"/>
                <w:szCs w:val="20"/>
              </w:rPr>
              <w:t xml:space="preserve"> ($)</w:t>
            </w:r>
          </w:p>
        </w:tc>
        <w:tc>
          <w:tcPr>
            <w:tcW w:w="2126" w:type="dxa"/>
            <w:shd w:val="clear" w:color="auto" w:fill="auto"/>
            <w:noWrap/>
            <w:vAlign w:val="center"/>
          </w:tcPr>
          <w:p w14:paraId="52BCC704" w14:textId="667AA63E" w:rsidR="004B4630" w:rsidRPr="00EB5775" w:rsidRDefault="00E926B5" w:rsidP="00B72746">
            <w:pPr>
              <w:pStyle w:val="TableText0"/>
              <w:keepLines/>
              <w:jc w:val="center"/>
              <w:rPr>
                <w:rFonts w:cs="Calibri"/>
                <w:color w:val="000000"/>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c>
          <w:tcPr>
            <w:tcW w:w="2126" w:type="dxa"/>
            <w:shd w:val="clear" w:color="auto" w:fill="auto"/>
            <w:noWrap/>
            <w:vAlign w:val="center"/>
          </w:tcPr>
          <w:p w14:paraId="2F2BB321" w14:textId="0FC50C78" w:rsidR="004B4630" w:rsidRPr="00EB5775" w:rsidRDefault="00E926B5" w:rsidP="00B72746">
            <w:pPr>
              <w:pStyle w:val="TableText0"/>
              <w:keepLines/>
              <w:jc w:val="center"/>
              <w:rPr>
                <w:rFonts w:cs="Calibri"/>
                <w:color w:val="000000"/>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c>
          <w:tcPr>
            <w:tcW w:w="2126" w:type="dxa"/>
            <w:shd w:val="clear" w:color="auto" w:fill="auto"/>
            <w:noWrap/>
            <w:vAlign w:val="center"/>
          </w:tcPr>
          <w:p w14:paraId="3A83C830" w14:textId="4519E979" w:rsidR="004B4630" w:rsidRPr="00EB5775" w:rsidRDefault="00E926B5" w:rsidP="00B72746">
            <w:pPr>
              <w:pStyle w:val="TableText0"/>
              <w:keepLines/>
              <w:jc w:val="center"/>
              <w:rPr>
                <w:rFonts w:cs="Calibri"/>
                <w:color w:val="000000"/>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r>
      <w:tr w:rsidR="004B4630" w:rsidRPr="00685447" w14:paraId="33EC9938" w14:textId="77777777" w:rsidTr="00375777">
        <w:trPr>
          <w:trHeight w:val="283"/>
        </w:trPr>
        <w:tc>
          <w:tcPr>
            <w:tcW w:w="2689" w:type="dxa"/>
            <w:shd w:val="clear" w:color="auto" w:fill="auto"/>
            <w:noWrap/>
            <w:vAlign w:val="center"/>
            <w:hideMark/>
          </w:tcPr>
          <w:p w14:paraId="5F18DCDA" w14:textId="77777777" w:rsidR="004B4630" w:rsidRPr="00685447" w:rsidRDefault="004B4630" w:rsidP="00B72746">
            <w:pPr>
              <w:pStyle w:val="TableText0"/>
              <w:keepLines/>
              <w:rPr>
                <w:rFonts w:cs="Calibri"/>
                <w:color w:val="000000"/>
                <w:szCs w:val="20"/>
              </w:rPr>
            </w:pPr>
            <w:r w:rsidRPr="00685447">
              <w:rPr>
                <w:rFonts w:cs="Calibri"/>
                <w:color w:val="000000" w:themeColor="text1"/>
                <w:szCs w:val="20"/>
              </w:rPr>
              <w:t>% increase from existing caps</w:t>
            </w:r>
          </w:p>
        </w:tc>
        <w:tc>
          <w:tcPr>
            <w:tcW w:w="2126" w:type="dxa"/>
            <w:shd w:val="clear" w:color="auto" w:fill="auto"/>
            <w:noWrap/>
            <w:vAlign w:val="center"/>
          </w:tcPr>
          <w:p w14:paraId="57DD7D06" w14:textId="6D8550FE" w:rsidR="004B4630" w:rsidRPr="00EB5775" w:rsidRDefault="00E926B5" w:rsidP="00B72746">
            <w:pPr>
              <w:pStyle w:val="TableText0"/>
              <w:keepLines/>
              <w:jc w:val="center"/>
              <w:rPr>
                <w:rFonts w:cs="Calibri"/>
                <w:color w:val="000000"/>
                <w:szCs w:val="20"/>
                <w:highlight w:val="lightGray"/>
              </w:rPr>
            </w:pPr>
            <w:r w:rsidRPr="00E926B5">
              <w:rPr>
                <w:rFonts w:cs="Calibri"/>
                <w:color w:val="000000"/>
                <w:szCs w:val="20"/>
                <w:shd w:val="solid" w:color="000000" w:fill="000000"/>
                <w14:textFill>
                  <w14:solidFill>
                    <w14:srgbClr w14:val="000000">
                      <w14:alpha w14:val="100000"/>
                    </w14:srgbClr>
                  </w14:solidFill>
                </w14:textFill>
              </w:rPr>
              <w:t>|</w:t>
            </w:r>
            <w:r>
              <w:rPr>
                <w:rFonts w:cs="Calibri"/>
                <w:color w:val="000000"/>
                <w:szCs w:val="20"/>
              </w:rPr>
              <w:t xml:space="preserve"> </w:t>
            </w:r>
          </w:p>
        </w:tc>
        <w:tc>
          <w:tcPr>
            <w:tcW w:w="2126" w:type="dxa"/>
            <w:shd w:val="clear" w:color="auto" w:fill="auto"/>
            <w:noWrap/>
            <w:vAlign w:val="center"/>
          </w:tcPr>
          <w:p w14:paraId="6712233F" w14:textId="3C3F58CC" w:rsidR="004B4630" w:rsidRPr="00EB5775" w:rsidRDefault="00E926B5" w:rsidP="00B72746">
            <w:pPr>
              <w:pStyle w:val="TableText0"/>
              <w:keepLines/>
              <w:jc w:val="center"/>
              <w:rPr>
                <w:rFonts w:cs="Calibri"/>
                <w:color w:val="000000"/>
                <w:szCs w:val="20"/>
                <w:highlight w:val="lightGray"/>
              </w:rPr>
            </w:pPr>
            <w:r w:rsidRPr="00E926B5">
              <w:rPr>
                <w:rFonts w:cs="Calibri"/>
                <w:color w:val="000000"/>
                <w:szCs w:val="20"/>
                <w:shd w:val="solid" w:color="000000" w:fill="000000"/>
                <w14:textFill>
                  <w14:solidFill>
                    <w14:srgbClr w14:val="000000">
                      <w14:alpha w14:val="100000"/>
                    </w14:srgbClr>
                  </w14:solidFill>
                </w14:textFill>
              </w:rPr>
              <w:t>|</w:t>
            </w:r>
            <w:r>
              <w:rPr>
                <w:rFonts w:cs="Calibri"/>
                <w:color w:val="000000"/>
                <w:szCs w:val="20"/>
              </w:rPr>
              <w:t xml:space="preserve"> </w:t>
            </w:r>
          </w:p>
        </w:tc>
        <w:tc>
          <w:tcPr>
            <w:tcW w:w="2126" w:type="dxa"/>
            <w:shd w:val="clear" w:color="auto" w:fill="auto"/>
            <w:noWrap/>
            <w:vAlign w:val="center"/>
          </w:tcPr>
          <w:p w14:paraId="3DDF2072" w14:textId="40A0E60B" w:rsidR="004B4630" w:rsidRPr="00EB5775" w:rsidRDefault="00E926B5" w:rsidP="00B72746">
            <w:pPr>
              <w:pStyle w:val="TableText0"/>
              <w:keepLines/>
              <w:jc w:val="center"/>
              <w:rPr>
                <w:rFonts w:cs="Calibri"/>
                <w:color w:val="000000"/>
                <w:szCs w:val="20"/>
                <w:highlight w:val="lightGray"/>
              </w:rPr>
            </w:pPr>
            <w:r w:rsidRPr="00E926B5">
              <w:rPr>
                <w:rFonts w:cs="Calibri"/>
                <w:color w:val="000000"/>
                <w:szCs w:val="20"/>
                <w:shd w:val="solid" w:color="000000" w:fill="000000"/>
                <w14:textFill>
                  <w14:solidFill>
                    <w14:srgbClr w14:val="000000">
                      <w14:alpha w14:val="100000"/>
                    </w14:srgbClr>
                  </w14:solidFill>
                </w14:textFill>
              </w:rPr>
              <w:t>|</w:t>
            </w:r>
            <w:r>
              <w:rPr>
                <w:rFonts w:cs="Calibri"/>
                <w:color w:val="000000"/>
                <w:szCs w:val="20"/>
              </w:rPr>
              <w:t xml:space="preserve"> </w:t>
            </w:r>
          </w:p>
        </w:tc>
      </w:tr>
      <w:tr w:rsidR="00103272" w:rsidRPr="00685447" w14:paraId="6346F87A" w14:textId="77777777" w:rsidTr="00375777">
        <w:trPr>
          <w:trHeight w:val="283"/>
        </w:trPr>
        <w:tc>
          <w:tcPr>
            <w:tcW w:w="2689" w:type="dxa"/>
            <w:shd w:val="clear" w:color="auto" w:fill="auto"/>
            <w:noWrap/>
            <w:vAlign w:val="center"/>
          </w:tcPr>
          <w:p w14:paraId="2165B137" w14:textId="1548103D" w:rsidR="00103272" w:rsidRPr="00685447" w:rsidRDefault="00B212F6" w:rsidP="00B72746">
            <w:pPr>
              <w:pStyle w:val="TableText0"/>
              <w:keepLines/>
              <w:rPr>
                <w:rFonts w:cs="Arial"/>
                <w:szCs w:val="20"/>
              </w:rPr>
            </w:pPr>
            <w:r w:rsidRPr="00685447">
              <w:rPr>
                <w:rFonts w:cs="Arial"/>
                <w:color w:val="000000"/>
                <w:szCs w:val="20"/>
              </w:rPr>
              <w:t xml:space="preserve">Maximum additional </w:t>
            </w:r>
            <w:r w:rsidR="00103272" w:rsidRPr="00685447">
              <w:rPr>
                <w:rFonts w:cs="Arial"/>
                <w:color w:val="000000"/>
                <w:szCs w:val="20"/>
              </w:rPr>
              <w:t>cost to PBS/RPBS</w:t>
            </w:r>
            <w:r w:rsidR="005334DB">
              <w:rPr>
                <w:rFonts w:cs="Arial"/>
                <w:color w:val="000000"/>
                <w:szCs w:val="20"/>
              </w:rPr>
              <w:t xml:space="preserve"> ($)</w:t>
            </w:r>
          </w:p>
        </w:tc>
        <w:tc>
          <w:tcPr>
            <w:tcW w:w="2126" w:type="dxa"/>
            <w:shd w:val="clear" w:color="auto" w:fill="auto"/>
            <w:noWrap/>
            <w:vAlign w:val="center"/>
          </w:tcPr>
          <w:p w14:paraId="554C5AB4" w14:textId="75ACFD84" w:rsidR="00103272" w:rsidRPr="00EB5775" w:rsidRDefault="00E926B5" w:rsidP="00B72746">
            <w:pPr>
              <w:pStyle w:val="TableText0"/>
              <w:keepLines/>
              <w:jc w:val="center"/>
              <w:rPr>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c>
          <w:tcPr>
            <w:tcW w:w="2126" w:type="dxa"/>
            <w:shd w:val="clear" w:color="auto" w:fill="auto"/>
            <w:noWrap/>
            <w:vAlign w:val="center"/>
          </w:tcPr>
          <w:p w14:paraId="6D408F6B" w14:textId="3DCB774C" w:rsidR="00103272" w:rsidRPr="00EB5775" w:rsidRDefault="00E926B5" w:rsidP="00B72746">
            <w:pPr>
              <w:pStyle w:val="TableText0"/>
              <w:keepLines/>
              <w:jc w:val="center"/>
              <w:rPr>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c>
          <w:tcPr>
            <w:tcW w:w="2126" w:type="dxa"/>
            <w:shd w:val="clear" w:color="auto" w:fill="auto"/>
            <w:noWrap/>
            <w:vAlign w:val="center"/>
          </w:tcPr>
          <w:p w14:paraId="60CAE884" w14:textId="03299399" w:rsidR="00103272" w:rsidRPr="00EB5775" w:rsidRDefault="00E926B5" w:rsidP="00B72746">
            <w:pPr>
              <w:pStyle w:val="TableText0"/>
              <w:keepLines/>
              <w:jc w:val="center"/>
              <w:rPr>
                <w:szCs w:val="20"/>
                <w:highlight w:val="lightGray"/>
              </w:rPr>
            </w:pPr>
            <w:r w:rsidRPr="00E926B5">
              <w:rPr>
                <w:color w:val="000000"/>
                <w:szCs w:val="20"/>
                <w:shd w:val="solid" w:color="000000" w:fill="000000"/>
                <w14:textFill>
                  <w14:solidFill>
                    <w14:srgbClr w14:val="000000">
                      <w14:alpha w14:val="100000"/>
                    </w14:srgbClr>
                  </w14:solidFill>
                </w14:textFill>
              </w:rPr>
              <w:t>|</w:t>
            </w:r>
            <w:r>
              <w:rPr>
                <w:szCs w:val="20"/>
              </w:rPr>
              <w:t xml:space="preserve"> </w:t>
            </w:r>
          </w:p>
        </w:tc>
      </w:tr>
      <w:tr w:rsidR="00C71D34" w:rsidRPr="00685447" w14:paraId="1D6CC2DE" w14:textId="77777777" w:rsidTr="00375777">
        <w:trPr>
          <w:trHeight w:val="283"/>
        </w:trPr>
        <w:tc>
          <w:tcPr>
            <w:tcW w:w="2689" w:type="dxa"/>
            <w:shd w:val="clear" w:color="auto" w:fill="F2F2F2" w:themeFill="background1" w:themeFillShade="F2"/>
            <w:noWrap/>
            <w:vAlign w:val="center"/>
          </w:tcPr>
          <w:p w14:paraId="5B85779C" w14:textId="6A1E6372" w:rsidR="00C71D34" w:rsidRPr="00C71D34" w:rsidRDefault="00C71D34" w:rsidP="00B72746">
            <w:pPr>
              <w:pStyle w:val="TableText0"/>
              <w:keepLines/>
              <w:rPr>
                <w:rFonts w:cs="Arial"/>
                <w:i/>
                <w:iCs/>
                <w:color w:val="000000"/>
                <w:szCs w:val="20"/>
              </w:rPr>
            </w:pPr>
            <w:r>
              <w:rPr>
                <w:rFonts w:cs="Calibri"/>
                <w:i/>
                <w:iCs/>
                <w:color w:val="000000" w:themeColor="text1"/>
                <w:szCs w:val="20"/>
              </w:rPr>
              <w:t>Revised p</w:t>
            </w:r>
            <w:r w:rsidRPr="00C71D34">
              <w:rPr>
                <w:rFonts w:cs="Calibri"/>
                <w:i/>
                <w:iCs/>
                <w:color w:val="000000" w:themeColor="text1"/>
                <w:szCs w:val="20"/>
              </w:rPr>
              <w:t>roposed caps</w:t>
            </w:r>
            <w:r w:rsidR="00E65326">
              <w:rPr>
                <w:rFonts w:cs="Calibri"/>
                <w:i/>
                <w:iCs/>
                <w:color w:val="000000" w:themeColor="text1"/>
                <w:szCs w:val="20"/>
              </w:rPr>
              <w:t xml:space="preserve"> ($)</w:t>
            </w:r>
          </w:p>
        </w:tc>
        <w:tc>
          <w:tcPr>
            <w:tcW w:w="2126" w:type="dxa"/>
            <w:shd w:val="clear" w:color="auto" w:fill="F2F2F2" w:themeFill="background1" w:themeFillShade="F2"/>
            <w:noWrap/>
          </w:tcPr>
          <w:p w14:paraId="2A4A889F" w14:textId="46945C23" w:rsidR="00C71D34"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c>
          <w:tcPr>
            <w:tcW w:w="2126" w:type="dxa"/>
            <w:shd w:val="clear" w:color="auto" w:fill="F2F2F2" w:themeFill="background1" w:themeFillShade="F2"/>
            <w:noWrap/>
          </w:tcPr>
          <w:p w14:paraId="0867F34A" w14:textId="1268D120" w:rsidR="00C71D34"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c>
          <w:tcPr>
            <w:tcW w:w="2126" w:type="dxa"/>
            <w:shd w:val="clear" w:color="auto" w:fill="F2F2F2" w:themeFill="background1" w:themeFillShade="F2"/>
            <w:noWrap/>
          </w:tcPr>
          <w:p w14:paraId="16ED01DA" w14:textId="05C3BDE9" w:rsidR="00C71D34"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r>
      <w:tr w:rsidR="001E519C" w:rsidRPr="00685447" w14:paraId="54EB8D51" w14:textId="77777777" w:rsidTr="00375777">
        <w:trPr>
          <w:trHeight w:val="283"/>
        </w:trPr>
        <w:tc>
          <w:tcPr>
            <w:tcW w:w="2689" w:type="dxa"/>
            <w:shd w:val="clear" w:color="auto" w:fill="F2F2F2" w:themeFill="background1" w:themeFillShade="F2"/>
            <w:noWrap/>
            <w:vAlign w:val="center"/>
          </w:tcPr>
          <w:p w14:paraId="38950353" w14:textId="2A212E00" w:rsidR="001E519C" w:rsidRPr="00C71D34" w:rsidRDefault="001E519C" w:rsidP="00B72746">
            <w:pPr>
              <w:pStyle w:val="TableText0"/>
              <w:keepLines/>
              <w:rPr>
                <w:rFonts w:cs="Arial"/>
                <w:i/>
                <w:iCs/>
                <w:color w:val="000000"/>
                <w:szCs w:val="20"/>
              </w:rPr>
            </w:pPr>
            <w:r w:rsidRPr="00C71D34">
              <w:rPr>
                <w:rFonts w:cs="Calibri"/>
                <w:i/>
                <w:iCs/>
                <w:color w:val="000000" w:themeColor="text1"/>
                <w:szCs w:val="20"/>
              </w:rPr>
              <w:t>% increase from existing caps</w:t>
            </w:r>
          </w:p>
        </w:tc>
        <w:tc>
          <w:tcPr>
            <w:tcW w:w="2126" w:type="dxa"/>
            <w:shd w:val="clear" w:color="auto" w:fill="F2F2F2" w:themeFill="background1" w:themeFillShade="F2"/>
            <w:noWrap/>
            <w:vAlign w:val="center"/>
          </w:tcPr>
          <w:p w14:paraId="47AD5FCB" w14:textId="1CEB6234" w:rsidR="001E519C"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c>
          <w:tcPr>
            <w:tcW w:w="2126" w:type="dxa"/>
            <w:shd w:val="clear" w:color="auto" w:fill="F2F2F2" w:themeFill="background1" w:themeFillShade="F2"/>
            <w:noWrap/>
            <w:vAlign w:val="center"/>
          </w:tcPr>
          <w:p w14:paraId="6140C403" w14:textId="7CEC62C0" w:rsidR="001E519C"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c>
          <w:tcPr>
            <w:tcW w:w="2126" w:type="dxa"/>
            <w:shd w:val="clear" w:color="auto" w:fill="F2F2F2" w:themeFill="background1" w:themeFillShade="F2"/>
            <w:noWrap/>
            <w:vAlign w:val="center"/>
          </w:tcPr>
          <w:p w14:paraId="0CAC9C0E" w14:textId="751E39A9" w:rsidR="001E519C"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r>
      <w:tr w:rsidR="00C71D34" w:rsidRPr="00685447" w14:paraId="2D39E819" w14:textId="77777777" w:rsidTr="00375777">
        <w:trPr>
          <w:trHeight w:val="283"/>
        </w:trPr>
        <w:tc>
          <w:tcPr>
            <w:tcW w:w="2689" w:type="dxa"/>
            <w:shd w:val="clear" w:color="auto" w:fill="F2F2F2" w:themeFill="background1" w:themeFillShade="F2"/>
            <w:noWrap/>
            <w:vAlign w:val="center"/>
          </w:tcPr>
          <w:p w14:paraId="0B9679DA" w14:textId="6A2D324C" w:rsidR="00C71D34" w:rsidRPr="00C71D34" w:rsidRDefault="00C71D34" w:rsidP="00B72746">
            <w:pPr>
              <w:pStyle w:val="TableText0"/>
              <w:keepLines/>
              <w:rPr>
                <w:rFonts w:cs="Arial"/>
                <w:i/>
                <w:iCs/>
                <w:color w:val="000000"/>
                <w:szCs w:val="20"/>
              </w:rPr>
            </w:pPr>
            <w:r w:rsidRPr="00C71D34">
              <w:rPr>
                <w:rFonts w:cs="Arial"/>
                <w:i/>
                <w:iCs/>
                <w:color w:val="000000"/>
                <w:szCs w:val="20"/>
              </w:rPr>
              <w:t>Maximum additional cost to PBS/RPBS</w:t>
            </w:r>
            <w:r w:rsidR="00E65326">
              <w:rPr>
                <w:rFonts w:cs="Arial"/>
                <w:i/>
                <w:iCs/>
                <w:color w:val="000000"/>
                <w:szCs w:val="20"/>
              </w:rPr>
              <w:t xml:space="preserve"> ($)</w:t>
            </w:r>
          </w:p>
        </w:tc>
        <w:tc>
          <w:tcPr>
            <w:tcW w:w="2126" w:type="dxa"/>
            <w:shd w:val="clear" w:color="auto" w:fill="F2F2F2" w:themeFill="background1" w:themeFillShade="F2"/>
            <w:noWrap/>
            <w:vAlign w:val="center"/>
          </w:tcPr>
          <w:p w14:paraId="26CD576B" w14:textId="102DCC7C" w:rsidR="00C71D34"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c>
          <w:tcPr>
            <w:tcW w:w="2126" w:type="dxa"/>
            <w:shd w:val="clear" w:color="auto" w:fill="F2F2F2" w:themeFill="background1" w:themeFillShade="F2"/>
            <w:noWrap/>
            <w:vAlign w:val="center"/>
          </w:tcPr>
          <w:p w14:paraId="2E9F78B1" w14:textId="587F8087" w:rsidR="00C71D34"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c>
          <w:tcPr>
            <w:tcW w:w="2126" w:type="dxa"/>
            <w:shd w:val="clear" w:color="auto" w:fill="F2F2F2" w:themeFill="background1" w:themeFillShade="F2"/>
            <w:noWrap/>
            <w:vAlign w:val="center"/>
          </w:tcPr>
          <w:p w14:paraId="36E5E974" w14:textId="12B904DB" w:rsidR="00C71D34" w:rsidRPr="00EB5775" w:rsidRDefault="00E926B5" w:rsidP="00B72746">
            <w:pPr>
              <w:pStyle w:val="TableText0"/>
              <w:keepLines/>
              <w:jc w:val="center"/>
              <w:rPr>
                <w:bCs w:val="0"/>
                <w:i/>
                <w:iCs/>
                <w:szCs w:val="20"/>
                <w:highlight w:val="lightGray"/>
              </w:rPr>
            </w:pPr>
            <w:r w:rsidRPr="00E926B5">
              <w:rPr>
                <w:bCs w:val="0"/>
                <w:i/>
                <w:iCs/>
                <w:color w:val="000000"/>
                <w:szCs w:val="20"/>
                <w:shd w:val="solid" w:color="000000" w:fill="000000"/>
                <w14:textFill>
                  <w14:solidFill>
                    <w14:srgbClr w14:val="000000">
                      <w14:alpha w14:val="100000"/>
                    </w14:srgbClr>
                  </w14:solidFill>
                </w14:textFill>
              </w:rPr>
              <w:t>|</w:t>
            </w:r>
            <w:r>
              <w:rPr>
                <w:bCs w:val="0"/>
                <w:i/>
                <w:iCs/>
                <w:szCs w:val="20"/>
              </w:rPr>
              <w:t xml:space="preserve"> </w:t>
            </w:r>
          </w:p>
        </w:tc>
      </w:tr>
    </w:tbl>
    <w:p w14:paraId="1D2EF31D" w14:textId="34F4F307" w:rsidR="00036B35" w:rsidRPr="003B021D" w:rsidRDefault="00F61909" w:rsidP="00B72746">
      <w:pPr>
        <w:keepNext/>
        <w:keepLines/>
        <w:rPr>
          <w:rFonts w:ascii="Arial Narrow" w:hAnsi="Arial Narrow"/>
          <w:sz w:val="18"/>
          <w:szCs w:val="18"/>
        </w:rPr>
      </w:pPr>
      <w:r w:rsidRPr="003B021D">
        <w:rPr>
          <w:rFonts w:ascii="Arial Narrow" w:hAnsi="Arial Narrow"/>
          <w:sz w:val="18"/>
          <w:szCs w:val="18"/>
        </w:rPr>
        <w:t>Source:</w:t>
      </w:r>
      <w:r w:rsidR="00A424C9" w:rsidRPr="003B021D">
        <w:rPr>
          <w:rFonts w:ascii="Arial Narrow" w:hAnsi="Arial Narrow"/>
          <w:sz w:val="18"/>
          <w:szCs w:val="18"/>
        </w:rPr>
        <w:t xml:space="preserve"> Table 2.13</w:t>
      </w:r>
      <w:r w:rsidR="00DF3758">
        <w:rPr>
          <w:rFonts w:ascii="Arial Narrow" w:hAnsi="Arial Narrow"/>
          <w:sz w:val="18"/>
          <w:szCs w:val="18"/>
        </w:rPr>
        <w:t>, p17</w:t>
      </w:r>
      <w:r w:rsidR="00A424C9" w:rsidRPr="003B021D">
        <w:rPr>
          <w:rFonts w:ascii="Arial Narrow" w:hAnsi="Arial Narrow"/>
          <w:sz w:val="18"/>
          <w:szCs w:val="18"/>
        </w:rPr>
        <w:t xml:space="preserve"> of the submission</w:t>
      </w:r>
    </w:p>
    <w:p w14:paraId="7D65AE04" w14:textId="57E78F09" w:rsidR="00234891" w:rsidRDefault="00234891" w:rsidP="00B72746">
      <w:pPr>
        <w:keepNext/>
        <w:keepLines/>
        <w:rPr>
          <w:rFonts w:ascii="Arial Narrow" w:hAnsi="Arial Narrow"/>
          <w:sz w:val="18"/>
          <w:szCs w:val="18"/>
        </w:rPr>
      </w:pPr>
      <w:r w:rsidRPr="003B021D">
        <w:rPr>
          <w:rFonts w:ascii="Arial Narrow" w:hAnsi="Arial Narrow"/>
          <w:sz w:val="18"/>
          <w:szCs w:val="18"/>
        </w:rPr>
        <w:t xml:space="preserve">Note: </w:t>
      </w:r>
      <w:r w:rsidR="003B021D" w:rsidRPr="003B021D">
        <w:rPr>
          <w:rFonts w:ascii="Arial Narrow" w:hAnsi="Arial Narrow"/>
          <w:sz w:val="18"/>
          <w:szCs w:val="18"/>
        </w:rPr>
        <w:t>R</w:t>
      </w:r>
      <w:r w:rsidRPr="003B021D">
        <w:rPr>
          <w:rFonts w:ascii="Arial Narrow" w:hAnsi="Arial Narrow"/>
          <w:sz w:val="18"/>
          <w:szCs w:val="18"/>
        </w:rPr>
        <w:t xml:space="preserve">evised subsidised caps were calculated by applying the proposed changes and </w:t>
      </w:r>
      <w:bookmarkStart w:id="1" w:name="_Hlk172714952"/>
      <w:r w:rsidRPr="003B021D">
        <w:rPr>
          <w:rFonts w:ascii="Arial Narrow" w:hAnsi="Arial Narrow"/>
          <w:sz w:val="18"/>
          <w:szCs w:val="18"/>
        </w:rPr>
        <w:t xml:space="preserve">updating </w:t>
      </w:r>
      <w:r w:rsidR="00A424C9" w:rsidRPr="003B021D">
        <w:rPr>
          <w:rFonts w:ascii="Arial Narrow" w:hAnsi="Arial Narrow"/>
          <w:sz w:val="18"/>
          <w:szCs w:val="18"/>
        </w:rPr>
        <w:t xml:space="preserve">other </w:t>
      </w:r>
      <w:r w:rsidRPr="003B021D">
        <w:rPr>
          <w:rFonts w:ascii="Arial Narrow" w:hAnsi="Arial Narrow"/>
          <w:sz w:val="18"/>
          <w:szCs w:val="18"/>
        </w:rPr>
        <w:t>parameter</w:t>
      </w:r>
      <w:r w:rsidR="0064018C">
        <w:rPr>
          <w:rFonts w:ascii="Arial Narrow" w:hAnsi="Arial Narrow"/>
          <w:sz w:val="18"/>
          <w:szCs w:val="18"/>
        </w:rPr>
        <w:t xml:space="preserve"> values</w:t>
      </w:r>
      <w:r w:rsidRPr="003B021D">
        <w:rPr>
          <w:rFonts w:ascii="Arial Narrow" w:hAnsi="Arial Narrow"/>
          <w:sz w:val="18"/>
          <w:szCs w:val="18"/>
        </w:rPr>
        <w:t xml:space="preserve"> (</w:t>
      </w:r>
      <w:r w:rsidR="003B021D" w:rsidRPr="003B021D">
        <w:rPr>
          <w:rFonts w:ascii="Arial Narrow" w:hAnsi="Arial Narrow"/>
          <w:sz w:val="18"/>
          <w:szCs w:val="18"/>
        </w:rPr>
        <w:t xml:space="preserve">i.e., </w:t>
      </w:r>
      <w:r w:rsidR="005C65DF" w:rsidRPr="005C65DF">
        <w:rPr>
          <w:rFonts w:ascii="Arial Narrow" w:hAnsi="Arial Narrow"/>
          <w:sz w:val="18"/>
          <w:szCs w:val="18"/>
        </w:rPr>
        <w:t xml:space="preserve">affected </w:t>
      </w:r>
      <w:r w:rsidR="005C65DF">
        <w:rPr>
          <w:rFonts w:ascii="Arial Narrow" w:hAnsi="Arial Narrow"/>
          <w:sz w:val="18"/>
          <w:szCs w:val="18"/>
        </w:rPr>
        <w:t>medicine costs</w:t>
      </w:r>
      <w:r w:rsidR="00DF3758">
        <w:rPr>
          <w:rFonts w:ascii="Arial Narrow" w:hAnsi="Arial Narrow"/>
          <w:sz w:val="18"/>
          <w:szCs w:val="18"/>
        </w:rPr>
        <w:t>;</w:t>
      </w:r>
      <w:r w:rsidRPr="003B021D">
        <w:rPr>
          <w:rFonts w:ascii="Arial Narrow" w:hAnsi="Arial Narrow"/>
          <w:sz w:val="18"/>
          <w:szCs w:val="18"/>
        </w:rPr>
        <w:t xml:space="preserve"> </w:t>
      </w:r>
      <w:r w:rsidR="003B021D" w:rsidRPr="003B021D">
        <w:rPr>
          <w:rFonts w:ascii="Arial Narrow" w:hAnsi="Arial Narrow"/>
          <w:sz w:val="18"/>
          <w:szCs w:val="18"/>
        </w:rPr>
        <w:t>Administration, Handling and Infrastructure Fee (AHI Fee)</w:t>
      </w:r>
      <w:r w:rsidR="00DF3758">
        <w:rPr>
          <w:rFonts w:ascii="Arial Narrow" w:hAnsi="Arial Narrow"/>
          <w:sz w:val="18"/>
          <w:szCs w:val="18"/>
        </w:rPr>
        <w:t>;</w:t>
      </w:r>
      <w:r w:rsidR="003B021D" w:rsidRPr="003B021D">
        <w:rPr>
          <w:rFonts w:ascii="Arial Narrow" w:hAnsi="Arial Narrow"/>
          <w:sz w:val="18"/>
          <w:szCs w:val="18"/>
        </w:rPr>
        <w:t xml:space="preserve"> dispensing fees</w:t>
      </w:r>
      <w:r w:rsidR="00DF3758">
        <w:rPr>
          <w:rFonts w:ascii="Arial Narrow" w:hAnsi="Arial Narrow"/>
          <w:sz w:val="18"/>
          <w:szCs w:val="18"/>
        </w:rPr>
        <w:t>;</w:t>
      </w:r>
      <w:r w:rsidR="003B021D" w:rsidRPr="003B021D">
        <w:rPr>
          <w:rFonts w:ascii="Arial Narrow" w:hAnsi="Arial Narrow"/>
          <w:sz w:val="18"/>
          <w:szCs w:val="18"/>
        </w:rPr>
        <w:t xml:space="preserve"> </w:t>
      </w:r>
      <w:r w:rsidRPr="003B021D">
        <w:rPr>
          <w:rFonts w:ascii="Arial Narrow" w:hAnsi="Arial Narrow"/>
          <w:sz w:val="18"/>
          <w:szCs w:val="18"/>
        </w:rPr>
        <w:t xml:space="preserve">and </w:t>
      </w:r>
      <w:r w:rsidR="003B021D" w:rsidRPr="003B021D">
        <w:rPr>
          <w:rFonts w:ascii="Arial Narrow" w:hAnsi="Arial Narrow"/>
          <w:sz w:val="18"/>
          <w:szCs w:val="18"/>
        </w:rPr>
        <w:t>patient contributions</w:t>
      </w:r>
      <w:bookmarkEnd w:id="1"/>
      <w:r w:rsidRPr="003B021D">
        <w:rPr>
          <w:rFonts w:ascii="Arial Narrow" w:hAnsi="Arial Narrow"/>
          <w:sz w:val="18"/>
          <w:szCs w:val="18"/>
        </w:rPr>
        <w:t xml:space="preserve">) </w:t>
      </w:r>
      <w:r w:rsidR="003B021D" w:rsidRPr="003B021D">
        <w:rPr>
          <w:rFonts w:ascii="Arial Narrow" w:hAnsi="Arial Narrow"/>
          <w:sz w:val="18"/>
          <w:szCs w:val="18"/>
        </w:rPr>
        <w:t xml:space="preserve">and </w:t>
      </w:r>
      <w:r w:rsidR="00A424C9" w:rsidRPr="003B021D">
        <w:rPr>
          <w:rFonts w:ascii="Arial Narrow" w:hAnsi="Arial Narrow"/>
          <w:sz w:val="18"/>
          <w:szCs w:val="18"/>
        </w:rPr>
        <w:t xml:space="preserve">the </w:t>
      </w:r>
      <w:r w:rsidRPr="003B021D">
        <w:rPr>
          <w:rFonts w:ascii="Arial Narrow" w:hAnsi="Arial Narrow"/>
          <w:sz w:val="18"/>
          <w:szCs w:val="18"/>
        </w:rPr>
        <w:t>effective</w:t>
      </w:r>
      <w:r w:rsidR="00DF3758">
        <w:rPr>
          <w:rFonts w:ascii="Arial Narrow" w:hAnsi="Arial Narrow"/>
          <w:sz w:val="18"/>
          <w:szCs w:val="18"/>
        </w:rPr>
        <w:t xml:space="preserve"> </w:t>
      </w:r>
      <w:r w:rsidR="00DF3758" w:rsidRPr="00DF3758">
        <w:rPr>
          <w:rFonts w:ascii="Arial Narrow" w:hAnsi="Arial Narrow"/>
          <w:sz w:val="18"/>
          <w:szCs w:val="18"/>
        </w:rPr>
        <w:t>Dispensed Price for Maximum Quantity</w:t>
      </w:r>
      <w:r w:rsidR="00DF3758">
        <w:rPr>
          <w:rFonts w:ascii="Arial Narrow" w:hAnsi="Arial Narrow"/>
          <w:sz w:val="18"/>
          <w:szCs w:val="18"/>
        </w:rPr>
        <w:t xml:space="preserve"> (DPMQ)</w:t>
      </w:r>
      <w:r w:rsidRPr="003B021D">
        <w:rPr>
          <w:rFonts w:ascii="Arial Narrow" w:hAnsi="Arial Narrow"/>
          <w:sz w:val="18"/>
          <w:szCs w:val="18"/>
        </w:rPr>
        <w:t xml:space="preserve"> of zanubrutinib </w:t>
      </w:r>
      <w:r w:rsidR="003B021D" w:rsidRPr="003B021D">
        <w:rPr>
          <w:rFonts w:ascii="Arial Narrow" w:hAnsi="Arial Narrow"/>
          <w:sz w:val="18"/>
          <w:szCs w:val="18"/>
        </w:rPr>
        <w:t xml:space="preserve">as of February 2024. </w:t>
      </w:r>
    </w:p>
    <w:p w14:paraId="39CA0B37" w14:textId="00147053" w:rsidR="001E519C" w:rsidRPr="001E519C" w:rsidRDefault="001E519C" w:rsidP="00773531">
      <w:pPr>
        <w:keepLines/>
        <w:spacing w:after="120"/>
        <w:rPr>
          <w:rFonts w:ascii="Arial Narrow" w:hAnsi="Arial Narrow"/>
          <w:i/>
          <w:iCs/>
          <w:sz w:val="18"/>
          <w:szCs w:val="18"/>
        </w:rPr>
      </w:pPr>
      <w:r w:rsidRPr="001E519C">
        <w:rPr>
          <w:rFonts w:ascii="Arial Narrow" w:hAnsi="Arial Narrow"/>
          <w:i/>
          <w:iCs/>
          <w:sz w:val="18"/>
          <w:szCs w:val="18"/>
        </w:rPr>
        <w:t xml:space="preserve">Italics in </w:t>
      </w:r>
      <w:r w:rsidRPr="00371031">
        <w:rPr>
          <w:rFonts w:ascii="Arial Narrow" w:hAnsi="Arial Narrow"/>
          <w:i/>
          <w:iCs/>
          <w:sz w:val="18"/>
          <w:szCs w:val="18"/>
          <w:shd w:val="clear" w:color="auto" w:fill="D9D9D9" w:themeFill="background1" w:themeFillShade="D9"/>
        </w:rPr>
        <w:t>grey</w:t>
      </w:r>
      <w:r w:rsidR="00371031" w:rsidRPr="00371031">
        <w:rPr>
          <w:rFonts w:ascii="Arial Narrow" w:hAnsi="Arial Narrow"/>
          <w:i/>
          <w:iCs/>
          <w:sz w:val="18"/>
          <w:szCs w:val="18"/>
          <w:shd w:val="clear" w:color="auto" w:fill="D9D9D9" w:themeFill="background1" w:themeFillShade="D9"/>
        </w:rPr>
        <w:t xml:space="preserve"> </w:t>
      </w:r>
      <w:r w:rsidRPr="00371031">
        <w:rPr>
          <w:rFonts w:ascii="Arial Narrow" w:hAnsi="Arial Narrow"/>
          <w:i/>
          <w:iCs/>
          <w:sz w:val="18"/>
          <w:szCs w:val="18"/>
          <w:shd w:val="clear" w:color="auto" w:fill="D9D9D9" w:themeFill="background1" w:themeFillShade="D9"/>
        </w:rPr>
        <w:t xml:space="preserve">shading </w:t>
      </w:r>
      <w:r w:rsidRPr="001E519C">
        <w:rPr>
          <w:rFonts w:ascii="Arial Narrow" w:hAnsi="Arial Narrow"/>
          <w:i/>
          <w:iCs/>
          <w:sz w:val="18"/>
          <w:szCs w:val="18"/>
        </w:rPr>
        <w:t>represent information provided in the pre-PBAC response</w:t>
      </w:r>
      <w:r w:rsidR="002122C9">
        <w:rPr>
          <w:rFonts w:ascii="Arial Narrow" w:hAnsi="Arial Narrow"/>
          <w:i/>
          <w:iCs/>
          <w:sz w:val="18"/>
          <w:szCs w:val="18"/>
        </w:rPr>
        <w:t xml:space="preserve"> but not evaluated</w:t>
      </w:r>
      <w:r w:rsidRPr="001E519C">
        <w:rPr>
          <w:rFonts w:ascii="Arial Narrow" w:hAnsi="Arial Narrow"/>
          <w:i/>
          <w:iCs/>
          <w:sz w:val="18"/>
          <w:szCs w:val="18"/>
        </w:rPr>
        <w:t>.</w:t>
      </w:r>
    </w:p>
    <w:p w14:paraId="3D1D4320" w14:textId="77777777" w:rsidR="007E490F" w:rsidRPr="00A6439B" w:rsidRDefault="007E490F" w:rsidP="00B72746">
      <w:pPr>
        <w:pStyle w:val="2-SectionHeading"/>
        <w:numPr>
          <w:ilvl w:val="0"/>
          <w:numId w:val="1"/>
        </w:numPr>
        <w:spacing w:before="120"/>
      </w:pPr>
      <w:r w:rsidRPr="00A6439B">
        <w:t xml:space="preserve">Background </w:t>
      </w:r>
    </w:p>
    <w:p w14:paraId="6914B4BC" w14:textId="2FA40EB5" w:rsidR="009C0ABF" w:rsidRDefault="009C0ABF" w:rsidP="00B72746">
      <w:pPr>
        <w:pStyle w:val="3Bodytext"/>
        <w:jc w:val="both"/>
        <w:rPr>
          <w:color w:val="000000" w:themeColor="text1"/>
        </w:rPr>
      </w:pPr>
      <w:r>
        <w:rPr>
          <w:rFonts w:cstheme="minorHAnsi"/>
          <w:szCs w:val="24"/>
        </w:rPr>
        <w:t>Z</w:t>
      </w:r>
      <w:r w:rsidRPr="008C49C0">
        <w:rPr>
          <w:rFonts w:cstheme="minorHAnsi"/>
          <w:szCs w:val="24"/>
        </w:rPr>
        <w:t>anubrutini</w:t>
      </w:r>
      <w:r>
        <w:rPr>
          <w:rFonts w:cstheme="minorHAnsi"/>
          <w:szCs w:val="24"/>
        </w:rPr>
        <w:t xml:space="preserve">b </w:t>
      </w:r>
      <w:r w:rsidR="001F2311" w:rsidRPr="00A6439B">
        <w:rPr>
          <w:color w:val="000000" w:themeColor="text1"/>
        </w:rPr>
        <w:t xml:space="preserve">is currently listed on the PBS as a </w:t>
      </w:r>
      <w:r w:rsidR="00956057" w:rsidRPr="00956057">
        <w:rPr>
          <w:color w:val="000000" w:themeColor="text1"/>
        </w:rPr>
        <w:t xml:space="preserve">General Schedule </w:t>
      </w:r>
      <w:r w:rsidRPr="009C0ABF">
        <w:rPr>
          <w:color w:val="000000" w:themeColor="text1"/>
        </w:rPr>
        <w:t xml:space="preserve">Authority Required </w:t>
      </w:r>
      <w:r w:rsidR="00956057" w:rsidRPr="00956057">
        <w:rPr>
          <w:color w:val="000000" w:themeColor="text1"/>
        </w:rPr>
        <w:t xml:space="preserve">(Telephone/Online) </w:t>
      </w:r>
      <w:r w:rsidRPr="009C0ABF">
        <w:rPr>
          <w:color w:val="000000" w:themeColor="text1"/>
        </w:rPr>
        <w:t>listing for the treatment of WM in two patient subpopulations</w:t>
      </w:r>
      <w:r w:rsidRPr="00B66898">
        <w:rPr>
          <w:rFonts w:cstheme="minorHAnsi"/>
          <w:color w:val="000000" w:themeColor="text1"/>
        </w:rPr>
        <w:t xml:space="preserve">: </w:t>
      </w:r>
      <w:r w:rsidRPr="00B66898">
        <w:rPr>
          <w:rFonts w:cstheme="minorHAnsi"/>
          <w:color w:val="000000" w:themeColor="text1"/>
          <w:szCs w:val="24"/>
        </w:rPr>
        <w:t>(</w:t>
      </w:r>
      <w:r w:rsidR="00B66898" w:rsidRPr="00B66898">
        <w:rPr>
          <w:rFonts w:cstheme="minorHAnsi"/>
          <w:color w:val="000000" w:themeColor="text1"/>
          <w:szCs w:val="24"/>
        </w:rPr>
        <w:t>i</w:t>
      </w:r>
      <w:r w:rsidRPr="00B66898">
        <w:rPr>
          <w:rFonts w:cstheme="minorHAnsi"/>
          <w:color w:val="000000" w:themeColor="text1"/>
          <w:szCs w:val="24"/>
        </w:rPr>
        <w:t>)</w:t>
      </w:r>
      <w:r w:rsidR="00A74F17">
        <w:rPr>
          <w:rFonts w:cstheme="minorHAnsi"/>
          <w:color w:val="000000" w:themeColor="text1"/>
          <w:szCs w:val="24"/>
        </w:rPr>
        <w:t> </w:t>
      </w:r>
      <w:r w:rsidRPr="00B66898">
        <w:rPr>
          <w:rFonts w:cstheme="minorHAnsi"/>
          <w:color w:val="000000" w:themeColor="text1"/>
          <w:szCs w:val="24"/>
        </w:rPr>
        <w:t xml:space="preserve">treatment-naïve (TN) patients who are unsuitable for chemo-immunotherapy and </w:t>
      </w:r>
      <w:r w:rsidRPr="00B66898">
        <w:rPr>
          <w:rFonts w:cstheme="minorHAnsi"/>
          <w:color w:val="000000" w:themeColor="text1"/>
          <w:szCs w:val="24"/>
        </w:rPr>
        <w:lastRenderedPageBreak/>
        <w:t>(</w:t>
      </w:r>
      <w:r w:rsidR="00B66898" w:rsidRPr="00B66898">
        <w:rPr>
          <w:rFonts w:cstheme="minorHAnsi"/>
          <w:color w:val="000000" w:themeColor="text1"/>
          <w:szCs w:val="24"/>
        </w:rPr>
        <w:t>ii</w:t>
      </w:r>
      <w:r w:rsidRPr="00B66898">
        <w:rPr>
          <w:rFonts w:cstheme="minorHAnsi"/>
          <w:color w:val="000000" w:themeColor="text1"/>
          <w:szCs w:val="24"/>
        </w:rPr>
        <w:t>)</w:t>
      </w:r>
      <w:r w:rsidR="0033565F">
        <w:rPr>
          <w:color w:val="000000" w:themeColor="text1"/>
        </w:rPr>
        <w:t> </w:t>
      </w:r>
      <w:r w:rsidRPr="009C0ABF">
        <w:rPr>
          <w:color w:val="000000" w:themeColor="text1"/>
        </w:rPr>
        <w:t>relapsed/refractory (R/R) patients who have received at least one prior chemo-immunotherapy.</w:t>
      </w:r>
    </w:p>
    <w:p w14:paraId="226B4B21" w14:textId="0E3C5F4C" w:rsidR="00956057" w:rsidRPr="00956057" w:rsidRDefault="00956057" w:rsidP="00B72746">
      <w:pPr>
        <w:pStyle w:val="3Bodytext"/>
        <w:rPr>
          <w:color w:val="000000" w:themeColor="text1"/>
        </w:rPr>
      </w:pPr>
      <w:r>
        <w:rPr>
          <w:rFonts w:cstheme="minorHAnsi"/>
          <w:szCs w:val="24"/>
        </w:rPr>
        <w:t>Z</w:t>
      </w:r>
      <w:r w:rsidRPr="008C49C0">
        <w:rPr>
          <w:rFonts w:cstheme="minorHAnsi"/>
          <w:szCs w:val="24"/>
        </w:rPr>
        <w:t>anubrutini</w:t>
      </w:r>
      <w:r>
        <w:rPr>
          <w:rFonts w:cstheme="minorHAnsi"/>
          <w:szCs w:val="24"/>
        </w:rPr>
        <w:t xml:space="preserve">b </w:t>
      </w:r>
      <w:r w:rsidRPr="00A6439B">
        <w:rPr>
          <w:color w:val="000000" w:themeColor="text1"/>
        </w:rPr>
        <w:t>is</w:t>
      </w:r>
      <w:r>
        <w:rPr>
          <w:color w:val="000000" w:themeColor="text1"/>
        </w:rPr>
        <w:t xml:space="preserve"> also</w:t>
      </w:r>
      <w:r w:rsidRPr="00956057">
        <w:rPr>
          <w:color w:val="000000" w:themeColor="text1"/>
        </w:rPr>
        <w:t xml:space="preserve"> listed on the PBS as: </w:t>
      </w:r>
    </w:p>
    <w:p w14:paraId="43D446E9" w14:textId="0FE04B20" w:rsidR="00956057" w:rsidRDefault="00956057" w:rsidP="00B72746">
      <w:pPr>
        <w:pStyle w:val="3Bodytext"/>
        <w:numPr>
          <w:ilvl w:val="0"/>
          <w:numId w:val="11"/>
        </w:numPr>
        <w:jc w:val="both"/>
        <w:rPr>
          <w:color w:val="000000" w:themeColor="text1"/>
        </w:rPr>
      </w:pPr>
      <w:r>
        <w:rPr>
          <w:color w:val="000000" w:themeColor="text1"/>
        </w:rPr>
        <w:t xml:space="preserve">a </w:t>
      </w:r>
      <w:r w:rsidRPr="00956057">
        <w:rPr>
          <w:color w:val="000000" w:themeColor="text1"/>
        </w:rPr>
        <w:t xml:space="preserve">General Schedule Authority Required (Telephone/Online) listing for </w:t>
      </w:r>
      <w:r>
        <w:rPr>
          <w:color w:val="000000" w:themeColor="text1"/>
        </w:rPr>
        <w:t>m</w:t>
      </w:r>
      <w:r w:rsidRPr="00956057">
        <w:rPr>
          <w:color w:val="000000" w:themeColor="text1"/>
        </w:rPr>
        <w:t>antle cell lymphoma</w:t>
      </w:r>
      <w:r>
        <w:rPr>
          <w:color w:val="000000" w:themeColor="text1"/>
        </w:rPr>
        <w:t>.</w:t>
      </w:r>
    </w:p>
    <w:p w14:paraId="0DDF3030" w14:textId="22698DCB" w:rsidR="00956057" w:rsidRPr="009C0ABF" w:rsidRDefault="00956057" w:rsidP="00B72746">
      <w:pPr>
        <w:pStyle w:val="3Bodytext"/>
        <w:numPr>
          <w:ilvl w:val="0"/>
          <w:numId w:val="11"/>
        </w:numPr>
        <w:jc w:val="both"/>
        <w:rPr>
          <w:color w:val="000000" w:themeColor="text1"/>
        </w:rPr>
      </w:pPr>
      <w:r>
        <w:rPr>
          <w:color w:val="000000" w:themeColor="text1"/>
        </w:rPr>
        <w:t xml:space="preserve">a </w:t>
      </w:r>
      <w:r w:rsidRPr="00956057">
        <w:rPr>
          <w:color w:val="000000" w:themeColor="text1"/>
        </w:rPr>
        <w:t>General Schedule Authority Required (Telephone/Online) listing for</w:t>
      </w:r>
      <w:r>
        <w:rPr>
          <w:color w:val="000000" w:themeColor="text1"/>
        </w:rPr>
        <w:t xml:space="preserve"> </w:t>
      </w:r>
      <w:r w:rsidRPr="00956057">
        <w:rPr>
          <w:color w:val="000000" w:themeColor="text1"/>
        </w:rPr>
        <w:t>Chronic lymphocytic leukaemia (CLL) or small lymphocytic lymphoma (SLL)</w:t>
      </w:r>
      <w:r w:rsidR="0095086E">
        <w:rPr>
          <w:color w:val="000000" w:themeColor="text1"/>
        </w:rPr>
        <w:t>.</w:t>
      </w:r>
    </w:p>
    <w:p w14:paraId="0094486E" w14:textId="77777777" w:rsidR="007E490F" w:rsidRPr="00A6439B" w:rsidRDefault="007E490F" w:rsidP="00B72746">
      <w:pPr>
        <w:pStyle w:val="4-SubsectionHeading"/>
        <w:spacing w:before="0"/>
      </w:pPr>
      <w:r w:rsidRPr="00A6439B">
        <w:t xml:space="preserve">Previous PBAC consideration </w:t>
      </w:r>
    </w:p>
    <w:p w14:paraId="20458048" w14:textId="5F673D26" w:rsidR="00543871" w:rsidRPr="00543871" w:rsidRDefault="00532384" w:rsidP="00E27672">
      <w:pPr>
        <w:pStyle w:val="3Bodytext"/>
        <w:jc w:val="both"/>
      </w:pPr>
      <w:r w:rsidRPr="002A45C7">
        <w:t>Zanubrutinib</w:t>
      </w:r>
      <w:r w:rsidR="007E490F" w:rsidRPr="002A45C7">
        <w:t xml:space="preserve"> was previously considered for </w:t>
      </w:r>
      <w:r w:rsidRPr="002A45C7">
        <w:t xml:space="preserve">WM </w:t>
      </w:r>
      <w:r w:rsidR="007E490F" w:rsidRPr="002A45C7">
        <w:t xml:space="preserve">by the PBAC </w:t>
      </w:r>
      <w:r w:rsidR="0095086E">
        <w:t xml:space="preserve">in </w:t>
      </w:r>
      <w:r w:rsidRPr="002A45C7">
        <w:t>July 2021</w:t>
      </w:r>
      <w:r w:rsidR="0095086E">
        <w:t xml:space="preserve"> and </w:t>
      </w:r>
      <w:r w:rsidRPr="002A45C7">
        <w:t>March</w:t>
      </w:r>
      <w:r w:rsidR="00AC6B36">
        <w:t> </w:t>
      </w:r>
      <w:r w:rsidRPr="002A45C7">
        <w:t>2022</w:t>
      </w:r>
      <w:r w:rsidR="00543871">
        <w:t xml:space="preserve">, and was recommended at </w:t>
      </w:r>
      <w:r w:rsidR="00543871" w:rsidRPr="00543871">
        <w:t>its March 202</w:t>
      </w:r>
      <w:r w:rsidR="00543871">
        <w:t>2</w:t>
      </w:r>
      <w:r w:rsidR="00543871" w:rsidRPr="00543871">
        <w:t xml:space="preserve"> meeting</w:t>
      </w:r>
      <w:r w:rsidR="0042484C">
        <w:t xml:space="preserve">. </w:t>
      </w:r>
    </w:p>
    <w:p w14:paraId="24FB0A05" w14:textId="77777777" w:rsidR="00FE04D6" w:rsidRDefault="006B3308" w:rsidP="00E27672">
      <w:pPr>
        <w:pStyle w:val="3Bodytext"/>
        <w:jc w:val="both"/>
      </w:pPr>
      <w:r>
        <w:t>The previous submissions used an epidemiological approach to estimate the financial impact of listing zanubrutinib</w:t>
      </w:r>
      <w:r w:rsidR="0046691A">
        <w:t xml:space="preserve">. </w:t>
      </w:r>
      <w:r w:rsidR="00753C5A">
        <w:t>In July 2021, t</w:t>
      </w:r>
      <w:r w:rsidR="00753C5A" w:rsidRPr="00753C5A">
        <w:t xml:space="preserve">he PBAC </w:t>
      </w:r>
      <w:r w:rsidR="00753C5A">
        <w:t xml:space="preserve">considered </w:t>
      </w:r>
      <w:r w:rsidR="00753C5A" w:rsidRPr="00753C5A">
        <w:t xml:space="preserve">that the </w:t>
      </w:r>
      <w:r w:rsidR="00753C5A">
        <w:t xml:space="preserve">financial </w:t>
      </w:r>
      <w:r w:rsidR="00753C5A" w:rsidRPr="00753C5A">
        <w:t>impact was likely underestimated, noting the number of patients receiving zanubrutinib (due to underestimating the number of eligible patients and uptake) and the duration of treatment were likely underestimated</w:t>
      </w:r>
      <w:r w:rsidR="00753C5A">
        <w:t xml:space="preserve"> </w:t>
      </w:r>
      <w:r w:rsidR="00753C5A" w:rsidRPr="00543871">
        <w:t>(paragraph 7.</w:t>
      </w:r>
      <w:r w:rsidR="00753C5A">
        <w:t>15</w:t>
      </w:r>
      <w:r w:rsidR="00753C5A" w:rsidRPr="00543871">
        <w:t xml:space="preserve">, zanubrutinib, Public Summary Document (PSD), </w:t>
      </w:r>
      <w:r w:rsidR="00753C5A">
        <w:t xml:space="preserve">July </w:t>
      </w:r>
      <w:r w:rsidR="00753C5A" w:rsidRPr="00543871">
        <w:t>202</w:t>
      </w:r>
      <w:r w:rsidR="00753C5A">
        <w:t>1</w:t>
      </w:r>
      <w:r w:rsidR="00753C5A" w:rsidRPr="00543871">
        <w:t>).</w:t>
      </w:r>
      <w:r w:rsidR="004513A1" w:rsidRPr="004513A1">
        <w:t xml:space="preserve"> </w:t>
      </w:r>
    </w:p>
    <w:p w14:paraId="6DF501B3" w14:textId="200B7C30" w:rsidR="004513A1" w:rsidRPr="001B1F9C" w:rsidRDefault="00FE04D6" w:rsidP="00E27672">
      <w:pPr>
        <w:pStyle w:val="3Bodytext"/>
        <w:jc w:val="both"/>
      </w:pPr>
      <w:r w:rsidRPr="001B1F9C">
        <w:t>On 6 September 2021, a</w:t>
      </w:r>
      <w:r w:rsidR="004513A1" w:rsidRPr="001B1F9C">
        <w:t xml:space="preserve"> Facilitated Resolution Pathway workshop was held for zanubrutinib to explore feasible options to address outstanding issues raised during the July 2021 PBAC consideration (paragraph 6.47, zanubrutinib, PSD, March 2022).</w:t>
      </w:r>
    </w:p>
    <w:p w14:paraId="104561A4" w14:textId="22E558FD" w:rsidR="0046691A" w:rsidRPr="00316A08" w:rsidRDefault="00FE04D6" w:rsidP="00E27672">
      <w:pPr>
        <w:pStyle w:val="3Bodytext"/>
        <w:jc w:val="both"/>
      </w:pPr>
      <w:r w:rsidRPr="001B1F9C">
        <w:t xml:space="preserve">In March 2022, the resubmission revised the financial estimates in terms of the prevalent patient population, uptake, PBS cost offsets and costs of bleeding events. The pre-PBAC response further updated the estimated number of grandfathered patients and the treatment durations in response to the </w:t>
      </w:r>
      <w:bookmarkStart w:id="2" w:name="_Hlk175733672"/>
      <w:r w:rsidR="00DC1A52" w:rsidRPr="00DC1A52">
        <w:rPr>
          <w:iCs/>
        </w:rPr>
        <w:t>Economic Sub-</w:t>
      </w:r>
      <w:bookmarkEnd w:id="2"/>
      <w:r w:rsidR="00F567D8" w:rsidRPr="00DC1A52">
        <w:rPr>
          <w:iCs/>
        </w:rPr>
        <w:t xml:space="preserve">Committee </w:t>
      </w:r>
      <w:r w:rsidR="00F567D8">
        <w:t>(</w:t>
      </w:r>
      <w:r w:rsidRPr="001B1F9C">
        <w:t>ESC’s</w:t>
      </w:r>
      <w:r w:rsidR="00DC1A52">
        <w:t>)</w:t>
      </w:r>
      <w:r w:rsidRPr="001B1F9C">
        <w:t xml:space="preserve"> advice that the treatment durations in the economic evaluation and financial estimates should be </w:t>
      </w:r>
      <w:r w:rsidRPr="00316A08">
        <w:t xml:space="preserve">consistent. Overall, the PBAC considered that the financial estimates informed by the patient numbers in the resubmission and average treatment durations from the economic model were a reasonable basis for an RSA </w:t>
      </w:r>
      <w:r w:rsidR="0046691A" w:rsidRPr="00316A08">
        <w:t>(paragraph 7.7, zanubrutinib, PSD, March 2022)</w:t>
      </w:r>
      <w:r w:rsidR="00097FDE" w:rsidRPr="00316A08">
        <w:t>.</w:t>
      </w:r>
    </w:p>
    <w:p w14:paraId="5ABE2F02" w14:textId="2C0D49EA" w:rsidR="00A43FB6" w:rsidRPr="00555E51" w:rsidRDefault="00903383" w:rsidP="00E27672">
      <w:pPr>
        <w:pStyle w:val="3Bodytext"/>
        <w:jc w:val="both"/>
        <w:rPr>
          <w:szCs w:val="24"/>
        </w:rPr>
      </w:pPr>
      <w:r>
        <w:t>A summary of t</w:t>
      </w:r>
      <w:r w:rsidR="00097FDE" w:rsidRPr="00097FDE">
        <w:t xml:space="preserve">he key parameters in the utilisation </w:t>
      </w:r>
      <w:r w:rsidR="0018148A">
        <w:t xml:space="preserve">and financial estimates </w:t>
      </w:r>
      <w:r w:rsidR="00097FDE" w:rsidRPr="00097FDE">
        <w:t>considered by the PBAC at its March 2022</w:t>
      </w:r>
      <w:r>
        <w:t xml:space="preserve"> </w:t>
      </w:r>
      <w:r w:rsidR="009742A6">
        <w:t xml:space="preserve">meeting </w:t>
      </w:r>
      <w:r>
        <w:t xml:space="preserve">is provided </w:t>
      </w:r>
      <w:r w:rsidR="00BA002D" w:rsidRPr="00555E51">
        <w:rPr>
          <w:szCs w:val="24"/>
        </w:rPr>
        <w:t xml:space="preserve">in </w:t>
      </w:r>
      <w:r w:rsidR="00876F4A" w:rsidRPr="00555E51">
        <w:rPr>
          <w:szCs w:val="24"/>
        </w:rPr>
        <w:fldChar w:fldCharType="begin" w:fldLock="1"/>
      </w:r>
      <w:r w:rsidR="00876F4A" w:rsidRPr="00555E51">
        <w:rPr>
          <w:szCs w:val="24"/>
        </w:rPr>
        <w:instrText xml:space="preserve"> REF _Ref167452341 \h  \* MERGEFORMAT </w:instrText>
      </w:r>
      <w:r w:rsidR="00876F4A" w:rsidRPr="00555E51">
        <w:rPr>
          <w:szCs w:val="24"/>
        </w:rPr>
      </w:r>
      <w:r w:rsidR="00876F4A" w:rsidRPr="00555E51">
        <w:rPr>
          <w:szCs w:val="24"/>
        </w:rPr>
        <w:fldChar w:fldCharType="separate"/>
      </w:r>
      <w:r w:rsidR="00B31544" w:rsidRPr="00B31544">
        <w:rPr>
          <w:szCs w:val="24"/>
        </w:rPr>
        <w:t>Table 2</w:t>
      </w:r>
      <w:r w:rsidR="00876F4A" w:rsidRPr="00555E51">
        <w:rPr>
          <w:szCs w:val="24"/>
        </w:rPr>
        <w:fldChar w:fldCharType="end"/>
      </w:r>
      <w:r w:rsidR="001C6D69">
        <w:t>.</w:t>
      </w:r>
    </w:p>
    <w:p w14:paraId="45CFC68A" w14:textId="7FC4C3B2" w:rsidR="00876F4A" w:rsidRDefault="00876F4A" w:rsidP="00B72746">
      <w:pPr>
        <w:pStyle w:val="3Bodytext"/>
        <w:keepNext/>
        <w:keepLines/>
        <w:numPr>
          <w:ilvl w:val="0"/>
          <w:numId w:val="0"/>
        </w:numPr>
        <w:suppressLineNumbers/>
        <w:suppressAutoHyphens/>
        <w:spacing w:after="0"/>
        <w:ind w:left="720" w:hanging="720"/>
        <w:jc w:val="both"/>
        <w:rPr>
          <w:rFonts w:ascii="Arial Narrow" w:hAnsi="Arial Narrow" w:cs="Calibri"/>
          <w:b/>
          <w:bCs/>
          <w:sz w:val="20"/>
          <w:szCs w:val="20"/>
          <w:lang w:eastAsia="en-US"/>
        </w:rPr>
      </w:pPr>
      <w:bookmarkStart w:id="3" w:name="_Ref167452341"/>
      <w:r w:rsidRPr="00D62804">
        <w:rPr>
          <w:rFonts w:ascii="Arial Narrow" w:hAnsi="Arial Narrow" w:cs="Calibri"/>
          <w:b/>
          <w:bCs/>
          <w:sz w:val="20"/>
          <w:szCs w:val="20"/>
          <w:lang w:eastAsia="en-US"/>
        </w:rPr>
        <w:lastRenderedPageBreak/>
        <w:t xml:space="preserve">Table </w:t>
      </w:r>
      <w:r w:rsidRPr="00D62804">
        <w:rPr>
          <w:rFonts w:ascii="Arial Narrow" w:hAnsi="Arial Narrow" w:cs="Calibri"/>
          <w:b/>
          <w:bCs/>
          <w:sz w:val="20"/>
          <w:szCs w:val="20"/>
          <w:lang w:eastAsia="en-US"/>
        </w:rPr>
        <w:fldChar w:fldCharType="begin" w:fldLock="1"/>
      </w:r>
      <w:r w:rsidRPr="00D62804">
        <w:rPr>
          <w:rFonts w:ascii="Arial Narrow" w:hAnsi="Arial Narrow" w:cs="Calibri"/>
          <w:b/>
          <w:bCs/>
          <w:sz w:val="20"/>
          <w:szCs w:val="20"/>
          <w:lang w:eastAsia="en-US"/>
        </w:rPr>
        <w:instrText xml:space="preserve"> SEQ Table \* ARABIC  \* MERGEFORMAT </w:instrText>
      </w:r>
      <w:r w:rsidRPr="00D62804">
        <w:rPr>
          <w:rFonts w:ascii="Arial Narrow" w:hAnsi="Arial Narrow" w:cs="Calibri"/>
          <w:b/>
          <w:bCs/>
          <w:sz w:val="20"/>
          <w:szCs w:val="20"/>
          <w:lang w:eastAsia="en-US"/>
        </w:rPr>
        <w:fldChar w:fldCharType="separate"/>
      </w:r>
      <w:r w:rsidR="00D05088">
        <w:rPr>
          <w:rFonts w:ascii="Arial Narrow" w:hAnsi="Arial Narrow" w:cs="Calibri"/>
          <w:b/>
          <w:bCs/>
          <w:noProof/>
          <w:sz w:val="20"/>
          <w:szCs w:val="20"/>
          <w:lang w:eastAsia="en-US"/>
        </w:rPr>
        <w:t>2</w:t>
      </w:r>
      <w:r w:rsidRPr="00D62804">
        <w:rPr>
          <w:rFonts w:ascii="Arial Narrow" w:hAnsi="Arial Narrow" w:cs="Calibri"/>
          <w:b/>
          <w:bCs/>
          <w:sz w:val="20"/>
          <w:szCs w:val="20"/>
          <w:lang w:eastAsia="en-US"/>
        </w:rPr>
        <w:fldChar w:fldCharType="end"/>
      </w:r>
      <w:bookmarkEnd w:id="3"/>
      <w:r w:rsidRPr="00D62804">
        <w:rPr>
          <w:rFonts w:ascii="Arial Narrow" w:hAnsi="Arial Narrow" w:cs="Calibri"/>
          <w:b/>
          <w:bCs/>
          <w:sz w:val="20"/>
          <w:szCs w:val="20"/>
          <w:lang w:eastAsia="en-US"/>
        </w:rPr>
        <w:t xml:space="preserve">: Summary of </w:t>
      </w:r>
      <w:r w:rsidRPr="00876F4A">
        <w:rPr>
          <w:rFonts w:ascii="Arial Narrow" w:hAnsi="Arial Narrow" w:cs="Calibri"/>
          <w:b/>
          <w:bCs/>
          <w:sz w:val="20"/>
          <w:szCs w:val="20"/>
          <w:lang w:eastAsia="en-US"/>
        </w:rPr>
        <w:t xml:space="preserve">key </w:t>
      </w:r>
      <w:r w:rsidR="00B50591">
        <w:rPr>
          <w:rFonts w:ascii="Arial Narrow" w:hAnsi="Arial Narrow" w:cs="Calibri"/>
          <w:b/>
          <w:bCs/>
          <w:sz w:val="20"/>
          <w:szCs w:val="20"/>
          <w:lang w:eastAsia="en-US"/>
        </w:rPr>
        <w:t>parameters considered by the PBAC at its March 2022 meeting</w:t>
      </w:r>
    </w:p>
    <w:tbl>
      <w:tblPr>
        <w:tblStyle w:val="TableGrid"/>
        <w:tblW w:w="0" w:type="auto"/>
        <w:tblInd w:w="-5" w:type="dxa"/>
        <w:tblLook w:val="04A0" w:firstRow="1" w:lastRow="0" w:firstColumn="1" w:lastColumn="0" w:noHBand="0" w:noVBand="1"/>
        <w:tblCaption w:val="Table 2: Summary of key parameters considered by the PBAC at its March 2022 meeting"/>
        <w:tblDescription w:val="Table 2: Summary of key parameters considered by the PBAC at its March 2022 meeting"/>
      </w:tblPr>
      <w:tblGrid>
        <w:gridCol w:w="1560"/>
        <w:gridCol w:w="2976"/>
        <w:gridCol w:w="4485"/>
      </w:tblGrid>
      <w:tr w:rsidR="00757C1E" w:rsidRPr="0018148A" w14:paraId="7BBF728E" w14:textId="77777777" w:rsidTr="00543871">
        <w:tc>
          <w:tcPr>
            <w:tcW w:w="1560" w:type="dxa"/>
          </w:tcPr>
          <w:p w14:paraId="18D2C182" w14:textId="4FEDDAC6" w:rsidR="00757C1E" w:rsidRPr="0018148A" w:rsidRDefault="00757C1E" w:rsidP="00B72746">
            <w:pPr>
              <w:keepNext/>
              <w:keepLines/>
              <w:suppressLineNumbers/>
              <w:suppressAutoHyphens/>
              <w:jc w:val="left"/>
              <w:rPr>
                <w:rFonts w:ascii="Arial Narrow" w:hAnsi="Arial Narrow" w:cs="Arial"/>
                <w:b/>
                <w:bCs/>
                <w:snapToGrid w:val="0"/>
                <w:sz w:val="20"/>
                <w:szCs w:val="20"/>
              </w:rPr>
            </w:pPr>
            <w:r w:rsidRPr="0018148A">
              <w:rPr>
                <w:rFonts w:ascii="Arial Narrow" w:hAnsi="Arial Narrow" w:cs="Arial"/>
                <w:b/>
                <w:bCs/>
                <w:snapToGrid w:val="0"/>
                <w:sz w:val="20"/>
                <w:szCs w:val="20"/>
              </w:rPr>
              <w:t xml:space="preserve">Description </w:t>
            </w:r>
          </w:p>
        </w:tc>
        <w:tc>
          <w:tcPr>
            <w:tcW w:w="2976" w:type="dxa"/>
          </w:tcPr>
          <w:p w14:paraId="685667F3" w14:textId="43A690D9" w:rsidR="00757C1E" w:rsidRPr="0018148A" w:rsidRDefault="00757C1E" w:rsidP="00B72746">
            <w:pPr>
              <w:keepNext/>
              <w:keepLines/>
              <w:suppressLineNumbers/>
              <w:suppressAutoHyphens/>
              <w:jc w:val="left"/>
              <w:rPr>
                <w:rFonts w:ascii="Arial Narrow" w:hAnsi="Arial Narrow" w:cs="Arial"/>
                <w:b/>
                <w:bCs/>
                <w:snapToGrid w:val="0"/>
                <w:sz w:val="20"/>
                <w:szCs w:val="20"/>
              </w:rPr>
            </w:pPr>
            <w:r w:rsidRPr="0018148A">
              <w:rPr>
                <w:rFonts w:ascii="Arial Narrow" w:hAnsi="Arial Narrow" w:cs="Arial"/>
                <w:b/>
                <w:bCs/>
                <w:snapToGrid w:val="0"/>
                <w:sz w:val="20"/>
                <w:szCs w:val="20"/>
              </w:rPr>
              <w:t xml:space="preserve">Method/Value </w:t>
            </w:r>
          </w:p>
        </w:tc>
        <w:tc>
          <w:tcPr>
            <w:tcW w:w="4485" w:type="dxa"/>
          </w:tcPr>
          <w:p w14:paraId="5C77D1FB" w14:textId="06EA1C1A" w:rsidR="00757C1E" w:rsidRPr="0018148A" w:rsidRDefault="00757C1E" w:rsidP="00B72746">
            <w:pPr>
              <w:keepNext/>
              <w:keepLines/>
              <w:suppressLineNumbers/>
              <w:suppressAutoHyphens/>
              <w:jc w:val="left"/>
              <w:rPr>
                <w:rFonts w:ascii="Arial Narrow" w:hAnsi="Arial Narrow" w:cs="Arial"/>
                <w:b/>
                <w:bCs/>
                <w:snapToGrid w:val="0"/>
                <w:sz w:val="20"/>
                <w:szCs w:val="20"/>
              </w:rPr>
            </w:pPr>
            <w:r w:rsidRPr="0018148A">
              <w:rPr>
                <w:rFonts w:ascii="Arial Narrow" w:hAnsi="Arial Narrow" w:cs="Arial"/>
                <w:b/>
                <w:bCs/>
                <w:snapToGrid w:val="0"/>
                <w:sz w:val="20"/>
                <w:szCs w:val="20"/>
              </w:rPr>
              <w:t>March 2022 PBAC consideration</w:t>
            </w:r>
          </w:p>
        </w:tc>
      </w:tr>
      <w:tr w:rsidR="00757C1E" w:rsidRPr="0018148A" w14:paraId="48D91473" w14:textId="77777777" w:rsidTr="00773531">
        <w:tc>
          <w:tcPr>
            <w:tcW w:w="1560" w:type="dxa"/>
            <w:vAlign w:val="center"/>
          </w:tcPr>
          <w:p w14:paraId="7A9AB2C2" w14:textId="3DB26A3A" w:rsidR="00757C1E" w:rsidRPr="0018148A" w:rsidRDefault="00757C1E"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Incidence rate</w:t>
            </w:r>
          </w:p>
        </w:tc>
        <w:tc>
          <w:tcPr>
            <w:tcW w:w="2976" w:type="dxa"/>
            <w:vAlign w:val="center"/>
          </w:tcPr>
          <w:p w14:paraId="1BC8C260" w14:textId="57988958" w:rsidR="00757C1E" w:rsidRPr="0018148A" w:rsidRDefault="00757C1E"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 xml:space="preserve">Estimated a WM incidence of 0.37 per 100,000 </w:t>
            </w:r>
            <w:r w:rsidR="000D1BE1" w:rsidRPr="0018148A">
              <w:rPr>
                <w:rFonts w:ascii="Arial Narrow" w:hAnsi="Arial Narrow" w:cs="Arial"/>
                <w:snapToGrid w:val="0"/>
                <w:sz w:val="20"/>
                <w:szCs w:val="20"/>
              </w:rPr>
              <w:t>(</w:t>
            </w:r>
            <w:r w:rsidR="008D56CD" w:rsidRPr="0018148A">
              <w:rPr>
                <w:rFonts w:ascii="Arial Narrow" w:hAnsi="Arial Narrow" w:cs="Arial"/>
                <w:snapToGrid w:val="0"/>
                <w:sz w:val="20"/>
                <w:szCs w:val="20"/>
              </w:rPr>
              <w:t>AIHW 2017, Code C88 stated).</w:t>
            </w:r>
          </w:p>
        </w:tc>
        <w:tc>
          <w:tcPr>
            <w:tcW w:w="4485" w:type="dxa"/>
            <w:vAlign w:val="center"/>
          </w:tcPr>
          <w:p w14:paraId="4279770D" w14:textId="33F6BE3E" w:rsidR="00757C1E" w:rsidRPr="0018148A" w:rsidRDefault="00555C07"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 xml:space="preserve">The </w:t>
            </w:r>
            <w:r w:rsidR="00757C1E" w:rsidRPr="0018148A">
              <w:rPr>
                <w:rFonts w:ascii="Arial Narrow" w:hAnsi="Arial Narrow" w:cs="Arial"/>
                <w:snapToGrid w:val="0"/>
                <w:sz w:val="20"/>
                <w:szCs w:val="20"/>
              </w:rPr>
              <w:t>WM incidence could not be verified</w:t>
            </w:r>
            <w:r w:rsidR="008D56CD" w:rsidRPr="0018148A">
              <w:rPr>
                <w:rFonts w:ascii="Arial Narrow" w:hAnsi="Arial Narrow" w:cs="Arial"/>
                <w:snapToGrid w:val="0"/>
                <w:sz w:val="20"/>
                <w:szCs w:val="20"/>
              </w:rPr>
              <w:t xml:space="preserve"> as </w:t>
            </w:r>
            <w:r w:rsidR="00757C1E" w:rsidRPr="0018148A">
              <w:rPr>
                <w:rFonts w:ascii="Arial Narrow" w:hAnsi="Arial Narrow" w:cs="Arial"/>
                <w:snapToGrid w:val="0"/>
                <w:sz w:val="20"/>
                <w:szCs w:val="20"/>
              </w:rPr>
              <w:t xml:space="preserve">Code C88 in </w:t>
            </w:r>
            <w:r w:rsidRPr="0018148A">
              <w:rPr>
                <w:rFonts w:ascii="Arial Narrow" w:hAnsi="Arial Narrow" w:cs="Arial"/>
                <w:snapToGrid w:val="0"/>
                <w:sz w:val="20"/>
                <w:szCs w:val="20"/>
              </w:rPr>
              <w:t xml:space="preserve">the </w:t>
            </w:r>
            <w:r w:rsidR="00757C1E" w:rsidRPr="0018148A">
              <w:rPr>
                <w:rFonts w:ascii="Arial Narrow" w:hAnsi="Arial Narrow" w:cs="Arial"/>
                <w:snapToGrid w:val="0"/>
                <w:sz w:val="20"/>
                <w:szCs w:val="20"/>
              </w:rPr>
              <w:t>AIHW 2017 data refer</w:t>
            </w:r>
            <w:r w:rsidR="004B6749">
              <w:rPr>
                <w:rFonts w:ascii="Arial Narrow" w:hAnsi="Arial Narrow" w:cs="Arial"/>
                <w:snapToGrid w:val="0"/>
                <w:sz w:val="20"/>
                <w:szCs w:val="20"/>
              </w:rPr>
              <w:t>red</w:t>
            </w:r>
            <w:r w:rsidR="00757C1E" w:rsidRPr="0018148A">
              <w:rPr>
                <w:rFonts w:ascii="Arial Narrow" w:hAnsi="Arial Narrow" w:cs="Arial"/>
                <w:snapToGrid w:val="0"/>
                <w:sz w:val="20"/>
                <w:szCs w:val="20"/>
              </w:rPr>
              <w:t xml:space="preserve"> to immunoproliferative cancers but d</w:t>
            </w:r>
            <w:r w:rsidR="004B6749">
              <w:rPr>
                <w:rFonts w:ascii="Arial Narrow" w:hAnsi="Arial Narrow" w:cs="Arial"/>
                <w:snapToGrid w:val="0"/>
                <w:sz w:val="20"/>
                <w:szCs w:val="20"/>
              </w:rPr>
              <w:t>id</w:t>
            </w:r>
            <w:r w:rsidR="00757C1E" w:rsidRPr="0018148A">
              <w:rPr>
                <w:rFonts w:ascii="Arial Narrow" w:hAnsi="Arial Narrow" w:cs="Arial"/>
                <w:snapToGrid w:val="0"/>
                <w:sz w:val="20"/>
                <w:szCs w:val="20"/>
              </w:rPr>
              <w:t xml:space="preserve"> not specify </w:t>
            </w:r>
            <w:r w:rsidRPr="0018148A">
              <w:rPr>
                <w:rFonts w:ascii="Arial Narrow" w:hAnsi="Arial Narrow" w:cs="Arial"/>
                <w:snapToGrid w:val="0"/>
                <w:sz w:val="20"/>
                <w:szCs w:val="20"/>
              </w:rPr>
              <w:t xml:space="preserve">the </w:t>
            </w:r>
            <w:r w:rsidR="00757C1E" w:rsidRPr="0018148A">
              <w:rPr>
                <w:rFonts w:ascii="Arial Narrow" w:hAnsi="Arial Narrow" w:cs="Arial"/>
                <w:snapToGrid w:val="0"/>
                <w:sz w:val="20"/>
                <w:szCs w:val="20"/>
              </w:rPr>
              <w:t>WM subset</w:t>
            </w:r>
            <w:r w:rsidR="008D56CD" w:rsidRPr="0018148A">
              <w:rPr>
                <w:rFonts w:ascii="Arial Narrow" w:hAnsi="Arial Narrow" w:cs="Arial"/>
                <w:snapToGrid w:val="0"/>
                <w:sz w:val="20"/>
                <w:szCs w:val="20"/>
              </w:rPr>
              <w:t xml:space="preserve"> (Table 22, zanubrutinib, PSD, March 2022)</w:t>
            </w:r>
            <w:r w:rsidRPr="0018148A">
              <w:rPr>
                <w:rFonts w:ascii="Arial Narrow" w:hAnsi="Arial Narrow" w:cs="Arial"/>
                <w:snapToGrid w:val="0"/>
                <w:sz w:val="20"/>
                <w:szCs w:val="20"/>
              </w:rPr>
              <w:t>.</w:t>
            </w:r>
          </w:p>
        </w:tc>
      </w:tr>
      <w:tr w:rsidR="00757C1E" w:rsidRPr="0018148A" w14:paraId="37F8F5E1" w14:textId="77777777" w:rsidTr="00773531">
        <w:tc>
          <w:tcPr>
            <w:tcW w:w="1560" w:type="dxa"/>
            <w:vAlign w:val="center"/>
          </w:tcPr>
          <w:p w14:paraId="4AF25ABD" w14:textId="3C1F6804" w:rsidR="00757C1E" w:rsidRPr="0018148A" w:rsidRDefault="00757C1E"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Prevalence rate</w:t>
            </w:r>
            <w:r w:rsidR="002D4599" w:rsidRPr="0018148A">
              <w:rPr>
                <w:rFonts w:ascii="Arial Narrow" w:hAnsi="Arial Narrow" w:cs="Arial"/>
                <w:snapToGrid w:val="0"/>
                <w:sz w:val="20"/>
                <w:szCs w:val="20"/>
              </w:rPr>
              <w:t xml:space="preserve"> for second line or later (2L+) use in Year 1</w:t>
            </w:r>
            <w:r w:rsidR="00A00F8B">
              <w:rPr>
                <w:rFonts w:ascii="Arial Narrow" w:hAnsi="Arial Narrow" w:cs="Arial"/>
                <w:snapToGrid w:val="0"/>
                <w:sz w:val="20"/>
                <w:szCs w:val="20"/>
              </w:rPr>
              <w:t xml:space="preserve"> </w:t>
            </w:r>
          </w:p>
        </w:tc>
        <w:tc>
          <w:tcPr>
            <w:tcW w:w="2976" w:type="dxa"/>
            <w:vAlign w:val="center"/>
          </w:tcPr>
          <w:p w14:paraId="0348C44B" w14:textId="566A4472" w:rsidR="00757C1E" w:rsidRPr="0018148A" w:rsidRDefault="00AE3C64"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sz w:val="20"/>
                <w:szCs w:val="20"/>
              </w:rPr>
              <w:t xml:space="preserve">For Year 1, a prevalence rate </w:t>
            </w:r>
            <w:r w:rsidR="00B052E7" w:rsidRPr="0018148A">
              <w:rPr>
                <w:rFonts w:ascii="Arial Narrow" w:hAnsi="Arial Narrow"/>
                <w:sz w:val="20"/>
                <w:szCs w:val="20"/>
              </w:rPr>
              <w:t xml:space="preserve">of </w:t>
            </w:r>
            <w:r w:rsidR="006F7600" w:rsidRPr="0018148A">
              <w:rPr>
                <w:rFonts w:ascii="Arial Narrow" w:hAnsi="Arial Narrow"/>
                <w:sz w:val="20"/>
                <w:szCs w:val="20"/>
              </w:rPr>
              <w:t xml:space="preserve">1.22 per 100,000 </w:t>
            </w:r>
            <w:r w:rsidRPr="0018148A">
              <w:rPr>
                <w:rFonts w:ascii="Arial Narrow" w:hAnsi="Arial Narrow"/>
                <w:sz w:val="20"/>
                <w:szCs w:val="20"/>
              </w:rPr>
              <w:t>was estimated</w:t>
            </w:r>
            <w:r w:rsidR="006F7600" w:rsidRPr="0018148A">
              <w:rPr>
                <w:rFonts w:ascii="Arial Narrow" w:hAnsi="Arial Narrow"/>
                <w:sz w:val="20"/>
                <w:szCs w:val="20"/>
              </w:rPr>
              <w:t xml:space="preserve"> for the WM subtype, </w:t>
            </w:r>
            <w:r w:rsidRPr="0018148A">
              <w:rPr>
                <w:rFonts w:ascii="Arial Narrow" w:hAnsi="Arial Narrow"/>
                <w:sz w:val="20"/>
                <w:szCs w:val="20"/>
              </w:rPr>
              <w:t>assuming that 1.5% of 5-year prevalence of NHL</w:t>
            </w:r>
            <w:r w:rsidR="006F7600" w:rsidRPr="0018148A">
              <w:rPr>
                <w:rFonts w:ascii="Arial Narrow" w:hAnsi="Arial Narrow"/>
                <w:sz w:val="20"/>
                <w:szCs w:val="20"/>
              </w:rPr>
              <w:t xml:space="preserve"> (</w:t>
            </w:r>
            <w:r w:rsidR="006F7600" w:rsidRPr="0018148A">
              <w:rPr>
                <w:rFonts w:ascii="Arial Narrow" w:hAnsi="Arial Narrow" w:cs="Arial"/>
                <w:snapToGrid w:val="0"/>
                <w:sz w:val="20"/>
                <w:szCs w:val="20"/>
              </w:rPr>
              <w:t xml:space="preserve">19,691) </w:t>
            </w:r>
            <w:r w:rsidRPr="0018148A">
              <w:rPr>
                <w:rFonts w:ascii="Arial Narrow" w:hAnsi="Arial Narrow"/>
                <w:sz w:val="20"/>
                <w:szCs w:val="20"/>
              </w:rPr>
              <w:t>(AIHW 2021, Code C82-86)</w:t>
            </w:r>
            <w:r w:rsidR="00B052E7" w:rsidRPr="0018148A">
              <w:rPr>
                <w:rFonts w:ascii="Arial Narrow" w:hAnsi="Arial Narrow"/>
                <w:sz w:val="20"/>
                <w:szCs w:val="20"/>
              </w:rPr>
              <w:t xml:space="preserve"> was WM. </w:t>
            </w:r>
          </w:p>
        </w:tc>
        <w:tc>
          <w:tcPr>
            <w:tcW w:w="4485" w:type="dxa"/>
            <w:vAlign w:val="center"/>
          </w:tcPr>
          <w:p w14:paraId="0AD567BA" w14:textId="2A1F140D" w:rsidR="00757C1E" w:rsidRPr="0018148A" w:rsidRDefault="003D3211" w:rsidP="00773531">
            <w:pPr>
              <w:keepNext/>
              <w:keepLines/>
              <w:suppressLineNumbers/>
              <w:suppressAutoHyphens/>
              <w:jc w:val="left"/>
              <w:rPr>
                <w:rFonts w:ascii="Arial Narrow" w:hAnsi="Arial Narrow" w:cs="Arial"/>
                <w:snapToGrid w:val="0"/>
                <w:sz w:val="20"/>
                <w:szCs w:val="20"/>
              </w:rPr>
            </w:pPr>
            <w:r>
              <w:rPr>
                <w:rFonts w:ascii="Arial Narrow" w:hAnsi="Arial Narrow" w:cs="Arial"/>
                <w:snapToGrid w:val="0"/>
                <w:sz w:val="20"/>
                <w:szCs w:val="20"/>
              </w:rPr>
              <w:t>A</w:t>
            </w:r>
            <w:r w:rsidRPr="003D3211">
              <w:rPr>
                <w:rFonts w:ascii="Arial Narrow" w:hAnsi="Arial Narrow" w:cs="Arial"/>
                <w:snapToGrid w:val="0"/>
                <w:sz w:val="20"/>
                <w:szCs w:val="20"/>
              </w:rPr>
              <w:t xml:space="preserve"> prevalence rate of 1.22 </w:t>
            </w:r>
            <w:r w:rsidR="00B052E7" w:rsidRPr="0018148A">
              <w:rPr>
                <w:rFonts w:ascii="Arial Narrow" w:hAnsi="Arial Narrow" w:cs="Arial"/>
                <w:snapToGrid w:val="0"/>
                <w:sz w:val="20"/>
                <w:szCs w:val="20"/>
              </w:rPr>
              <w:t>was the midpoint of the high and low prevalence scenarios of 1.34 and 1.10</w:t>
            </w:r>
            <w:r w:rsidR="004B6749">
              <w:rPr>
                <w:rFonts w:ascii="Arial Narrow" w:hAnsi="Arial Narrow" w:cs="Arial"/>
                <w:snapToGrid w:val="0"/>
                <w:sz w:val="20"/>
                <w:szCs w:val="20"/>
              </w:rPr>
              <w:t>,</w:t>
            </w:r>
            <w:r w:rsidR="00B052E7" w:rsidRPr="0018148A">
              <w:rPr>
                <w:rFonts w:ascii="Arial Narrow" w:hAnsi="Arial Narrow" w:cs="Arial"/>
                <w:snapToGrid w:val="0"/>
                <w:sz w:val="20"/>
                <w:szCs w:val="20"/>
              </w:rPr>
              <w:t xml:space="preserve"> noting the Lymphoma Australia reference that </w:t>
            </w:r>
            <w:r w:rsidR="009227A2">
              <w:rPr>
                <w:rFonts w:ascii="Arial Narrow" w:hAnsi="Arial Narrow" w:cs="Arial"/>
                <w:snapToGrid w:val="0"/>
                <w:sz w:val="20"/>
                <w:szCs w:val="20"/>
              </w:rPr>
              <w:t>o</w:t>
            </w:r>
            <w:r w:rsidR="00B052E7" w:rsidRPr="0018148A">
              <w:rPr>
                <w:rFonts w:ascii="Arial Narrow" w:hAnsi="Arial Narrow" w:cs="Arial"/>
                <w:snapToGrid w:val="0"/>
                <w:sz w:val="20"/>
                <w:szCs w:val="20"/>
              </w:rPr>
              <w:t>nly 1 or 2 people (1-2%) in every 100 people with NHL have</w:t>
            </w:r>
            <w:r w:rsidR="004B6749">
              <w:rPr>
                <w:rFonts w:ascii="Arial Narrow" w:hAnsi="Arial Narrow" w:cs="Arial"/>
                <w:snapToGrid w:val="0"/>
                <w:sz w:val="20"/>
                <w:szCs w:val="20"/>
              </w:rPr>
              <w:t xml:space="preserve"> WM</w:t>
            </w:r>
            <w:r w:rsidR="00351877" w:rsidRPr="0018148A">
              <w:rPr>
                <w:rFonts w:ascii="Arial Narrow" w:hAnsi="Arial Narrow" w:cs="Arial"/>
                <w:snapToGrid w:val="0"/>
                <w:sz w:val="20"/>
                <w:szCs w:val="20"/>
              </w:rPr>
              <w:t>. However, the underlying source that informed the Lymphoma Australia assumption was not available at that time.</w:t>
            </w:r>
          </w:p>
        </w:tc>
      </w:tr>
      <w:tr w:rsidR="002D4599" w:rsidRPr="0018148A" w14:paraId="328026B6" w14:textId="77777777" w:rsidTr="00773531">
        <w:tc>
          <w:tcPr>
            <w:tcW w:w="1560" w:type="dxa"/>
            <w:vAlign w:val="center"/>
          </w:tcPr>
          <w:p w14:paraId="11EF6A17" w14:textId="6AC6A7AB" w:rsidR="002D4599" w:rsidRPr="0018148A" w:rsidRDefault="009D0966"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Time on treatment</w:t>
            </w:r>
          </w:p>
        </w:tc>
        <w:tc>
          <w:tcPr>
            <w:tcW w:w="2976" w:type="dxa"/>
            <w:vAlign w:val="center"/>
          </w:tcPr>
          <w:p w14:paraId="28C5AE47" w14:textId="1DC21249" w:rsidR="002D4599" w:rsidRPr="0018148A" w:rsidRDefault="00EC1F38" w:rsidP="00773531">
            <w:pPr>
              <w:keepNext/>
              <w:keepLines/>
              <w:suppressLineNumbers/>
              <w:suppressAutoHyphens/>
              <w:jc w:val="left"/>
              <w:rPr>
                <w:rFonts w:ascii="Arial Narrow" w:hAnsi="Arial Narrow"/>
                <w:sz w:val="20"/>
                <w:szCs w:val="20"/>
              </w:rPr>
            </w:pPr>
            <w:r w:rsidRPr="0018148A">
              <w:rPr>
                <w:rFonts w:ascii="Arial Narrow" w:hAnsi="Arial Narrow"/>
                <w:sz w:val="20"/>
                <w:szCs w:val="20"/>
              </w:rPr>
              <w:t xml:space="preserve">Treatment durations were estimated to be 37.5 and 37.1 months in the TN and R/R populations, respectively, </w:t>
            </w:r>
            <w:r w:rsidR="009D0966" w:rsidRPr="0018148A">
              <w:rPr>
                <w:rFonts w:ascii="Arial Narrow" w:hAnsi="Arial Narrow"/>
                <w:sz w:val="20"/>
                <w:szCs w:val="20"/>
              </w:rPr>
              <w:t xml:space="preserve">with </w:t>
            </w:r>
            <w:r w:rsidRPr="0018148A">
              <w:rPr>
                <w:rFonts w:ascii="Arial Narrow" w:hAnsi="Arial Narrow"/>
                <w:sz w:val="20"/>
                <w:szCs w:val="20"/>
              </w:rPr>
              <w:t xml:space="preserve">a </w:t>
            </w:r>
            <w:r w:rsidR="00E926B5" w:rsidRPr="00E926B5">
              <w:rPr>
                <w:rFonts w:ascii="Arial Narrow" w:hAnsi="Arial Narrow"/>
                <w:color w:val="000000"/>
                <w:spacing w:val="53"/>
                <w:sz w:val="20"/>
                <w:szCs w:val="20"/>
                <w:shd w:val="solid" w:color="000000" w:fill="000000"/>
                <w:fitText w:val="330" w:id="-893114622"/>
                <w14:textFill>
                  <w14:solidFill>
                    <w14:srgbClr w14:val="000000">
                      <w14:alpha w14:val="100000"/>
                    </w14:srgbClr>
                  </w14:solidFill>
                </w14:textFill>
              </w:rPr>
              <w:t>|||</w:t>
            </w:r>
            <w:r w:rsidR="00E926B5" w:rsidRPr="00E926B5">
              <w:rPr>
                <w:rFonts w:ascii="Arial Narrow" w:hAnsi="Arial Narrow"/>
                <w:color w:val="000000"/>
                <w:spacing w:val="1"/>
                <w:sz w:val="20"/>
                <w:szCs w:val="20"/>
                <w:shd w:val="solid" w:color="000000" w:fill="000000"/>
                <w:fitText w:val="330" w:id="-893114622"/>
                <w14:textFill>
                  <w14:solidFill>
                    <w14:srgbClr w14:val="000000">
                      <w14:alpha w14:val="100000"/>
                    </w14:srgbClr>
                  </w14:solidFill>
                </w14:textFill>
              </w:rPr>
              <w:t>|</w:t>
            </w:r>
            <w:r w:rsidRPr="0018148A">
              <w:rPr>
                <w:rFonts w:ascii="Arial Narrow" w:hAnsi="Arial Narrow"/>
                <w:sz w:val="20"/>
                <w:szCs w:val="20"/>
              </w:rPr>
              <w:t xml:space="preserve">-month financial stopping rule </w:t>
            </w:r>
            <w:r w:rsidR="009D0966" w:rsidRPr="0018148A">
              <w:rPr>
                <w:rFonts w:ascii="Arial Narrow" w:hAnsi="Arial Narrow"/>
                <w:sz w:val="20"/>
                <w:szCs w:val="20"/>
              </w:rPr>
              <w:t>applied</w:t>
            </w:r>
            <w:r w:rsidRPr="0018148A">
              <w:rPr>
                <w:rFonts w:ascii="Arial Narrow" w:hAnsi="Arial Narrow"/>
                <w:sz w:val="20"/>
                <w:szCs w:val="20"/>
              </w:rPr>
              <w:t xml:space="preserve">. </w:t>
            </w:r>
          </w:p>
        </w:tc>
        <w:tc>
          <w:tcPr>
            <w:tcW w:w="4485" w:type="dxa"/>
            <w:vAlign w:val="center"/>
          </w:tcPr>
          <w:p w14:paraId="42BB9CEE" w14:textId="55B7C0E9" w:rsidR="002D4599" w:rsidRPr="0018148A" w:rsidRDefault="005E1D0C"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sz w:val="20"/>
                <w:szCs w:val="20"/>
              </w:rPr>
              <w:t>Treatment durations were determined a</w:t>
            </w:r>
            <w:r w:rsidRPr="0018148A">
              <w:rPr>
                <w:rFonts w:ascii="Arial Narrow" w:hAnsi="Arial Narrow" w:cs="Arial"/>
                <w:snapToGrid w:val="0"/>
                <w:sz w:val="20"/>
                <w:szCs w:val="20"/>
              </w:rPr>
              <w:t xml:space="preserve">s per the ESC’s advice that the duration of treatment should be consistent between the models and financial estimates. </w:t>
            </w:r>
            <w:r w:rsidR="00EC1F38" w:rsidRPr="0018148A">
              <w:rPr>
                <w:rFonts w:ascii="Arial Narrow" w:hAnsi="Arial Narrow" w:cs="Arial"/>
                <w:snapToGrid w:val="0"/>
                <w:sz w:val="20"/>
                <w:szCs w:val="20"/>
              </w:rPr>
              <w:t xml:space="preserve">The treatment duration in the economic models was </w:t>
            </w:r>
            <w:r w:rsidRPr="0018148A">
              <w:rPr>
                <w:rFonts w:ascii="Arial Narrow" w:hAnsi="Arial Narrow" w:cs="Arial"/>
                <w:snapToGrid w:val="0"/>
                <w:sz w:val="20"/>
                <w:szCs w:val="20"/>
              </w:rPr>
              <w:t xml:space="preserve">approximately </w:t>
            </w:r>
            <w:r w:rsidR="00EC1F38" w:rsidRPr="0018148A">
              <w:rPr>
                <w:rFonts w:ascii="Arial Narrow" w:hAnsi="Arial Narrow" w:cs="Arial"/>
                <w:snapToGrid w:val="0"/>
                <w:sz w:val="20"/>
                <w:szCs w:val="20"/>
              </w:rPr>
              <w:t xml:space="preserve">37 months as this accounted for discontinuations. </w:t>
            </w:r>
            <w:r w:rsidR="008B27DA" w:rsidRPr="0018148A">
              <w:rPr>
                <w:rFonts w:ascii="Arial Narrow" w:hAnsi="Arial Narrow" w:cs="Arial"/>
                <w:snapToGrid w:val="0"/>
                <w:sz w:val="20"/>
                <w:szCs w:val="20"/>
              </w:rPr>
              <w:t>(paragraph 6.80, zanubrutinib, PSD, March 2022).</w:t>
            </w:r>
          </w:p>
        </w:tc>
      </w:tr>
      <w:tr w:rsidR="002D4599" w:rsidRPr="0018148A" w14:paraId="41D8CB83" w14:textId="77777777" w:rsidTr="00773531">
        <w:tc>
          <w:tcPr>
            <w:tcW w:w="1560" w:type="dxa"/>
            <w:vAlign w:val="center"/>
          </w:tcPr>
          <w:p w14:paraId="0B7C4FF8" w14:textId="6C91814E" w:rsidR="002D4599" w:rsidRPr="0018148A" w:rsidRDefault="002D4599"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sz w:val="20"/>
                <w:szCs w:val="20"/>
              </w:rPr>
              <w:t xml:space="preserve">Uptake rate </w:t>
            </w:r>
          </w:p>
        </w:tc>
        <w:tc>
          <w:tcPr>
            <w:tcW w:w="2976" w:type="dxa"/>
            <w:vAlign w:val="center"/>
          </w:tcPr>
          <w:p w14:paraId="3B149A29" w14:textId="372E073F" w:rsidR="002D4599" w:rsidRPr="0018148A" w:rsidRDefault="009D0966"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 xml:space="preserve">Estimated an uptake rate of </w:t>
            </w:r>
            <w:r w:rsidR="002D4599" w:rsidRPr="0018148A">
              <w:rPr>
                <w:rFonts w:ascii="Arial Narrow" w:hAnsi="Arial Narrow" w:cs="Arial"/>
                <w:snapToGrid w:val="0"/>
                <w:sz w:val="20"/>
                <w:szCs w:val="20"/>
              </w:rPr>
              <w:t>95%</w:t>
            </w:r>
            <w:r w:rsidRPr="0018148A">
              <w:rPr>
                <w:rFonts w:ascii="Arial Narrow" w:hAnsi="Arial Narrow" w:cs="Arial"/>
                <w:snapToGrid w:val="0"/>
                <w:sz w:val="20"/>
                <w:szCs w:val="20"/>
              </w:rPr>
              <w:t xml:space="preserve"> in </w:t>
            </w:r>
            <w:r w:rsidRPr="0018148A">
              <w:rPr>
                <w:rFonts w:ascii="Arial Narrow" w:hAnsi="Arial Narrow"/>
                <w:sz w:val="20"/>
                <w:szCs w:val="20"/>
              </w:rPr>
              <w:t xml:space="preserve">Years 4-6, assuming patient preference for oral therapy </w:t>
            </w:r>
            <w:r w:rsidR="00343F20">
              <w:rPr>
                <w:rFonts w:ascii="Arial Narrow" w:hAnsi="Arial Narrow"/>
                <w:sz w:val="20"/>
                <w:szCs w:val="20"/>
              </w:rPr>
              <w:t>according to s</w:t>
            </w:r>
            <w:r w:rsidRPr="0018148A">
              <w:rPr>
                <w:rFonts w:ascii="Arial Narrow" w:hAnsi="Arial Narrow"/>
                <w:sz w:val="20"/>
                <w:szCs w:val="20"/>
              </w:rPr>
              <w:t xml:space="preserve">ponsor's </w:t>
            </w:r>
            <w:r w:rsidR="00343F20">
              <w:rPr>
                <w:rFonts w:ascii="Arial Narrow" w:hAnsi="Arial Narrow"/>
                <w:sz w:val="20"/>
                <w:szCs w:val="20"/>
              </w:rPr>
              <w:t>m</w:t>
            </w:r>
            <w:r w:rsidRPr="0018148A">
              <w:rPr>
                <w:rFonts w:ascii="Arial Narrow" w:hAnsi="Arial Narrow"/>
                <w:sz w:val="20"/>
                <w:szCs w:val="20"/>
              </w:rPr>
              <w:t xml:space="preserve">arket </w:t>
            </w:r>
            <w:r w:rsidR="00343F20">
              <w:rPr>
                <w:rFonts w:ascii="Arial Narrow" w:hAnsi="Arial Narrow"/>
                <w:sz w:val="20"/>
                <w:szCs w:val="20"/>
              </w:rPr>
              <w:t>r</w:t>
            </w:r>
            <w:r w:rsidRPr="0018148A">
              <w:rPr>
                <w:rFonts w:ascii="Arial Narrow" w:hAnsi="Arial Narrow"/>
                <w:sz w:val="20"/>
                <w:szCs w:val="20"/>
              </w:rPr>
              <w:t>esearch.</w:t>
            </w:r>
          </w:p>
        </w:tc>
        <w:tc>
          <w:tcPr>
            <w:tcW w:w="4485" w:type="dxa"/>
            <w:vAlign w:val="center"/>
          </w:tcPr>
          <w:p w14:paraId="206AF229" w14:textId="402F37EC" w:rsidR="002D4599" w:rsidRPr="001B1F9C" w:rsidRDefault="008B27DA" w:rsidP="00773531">
            <w:pPr>
              <w:keepNext/>
              <w:keepLines/>
              <w:suppressLineNumbers/>
              <w:suppressAutoHyphens/>
              <w:jc w:val="left"/>
              <w:rPr>
                <w:rFonts w:ascii="Arial Narrow" w:hAnsi="Arial Narrow" w:cs="Arial"/>
                <w:snapToGrid w:val="0"/>
                <w:sz w:val="20"/>
                <w:szCs w:val="20"/>
              </w:rPr>
            </w:pPr>
            <w:r w:rsidRPr="001B1F9C">
              <w:rPr>
                <w:rFonts w:ascii="Arial Narrow" w:hAnsi="Arial Narrow" w:cs="Arial"/>
                <w:snapToGrid w:val="0"/>
                <w:sz w:val="20"/>
                <w:szCs w:val="20"/>
              </w:rPr>
              <w:t xml:space="preserve">It was considered reasonable, </w:t>
            </w:r>
            <w:r w:rsidR="009D0966" w:rsidRPr="001B1F9C">
              <w:rPr>
                <w:rFonts w:ascii="Arial Narrow" w:hAnsi="Arial Narrow" w:cs="Arial"/>
                <w:snapToGrid w:val="0"/>
                <w:sz w:val="20"/>
                <w:szCs w:val="20"/>
              </w:rPr>
              <w:t xml:space="preserve">given the indolent nature of the disease, patients are likely to cycle through all available treatments during their lifetimes. Therefore, patients might choose an alternative treatment initially but go on to </w:t>
            </w:r>
            <w:r w:rsidRPr="001B1F9C">
              <w:rPr>
                <w:rFonts w:ascii="Arial Narrow" w:hAnsi="Arial Narrow" w:cs="Arial"/>
                <w:snapToGrid w:val="0"/>
                <w:sz w:val="20"/>
                <w:szCs w:val="20"/>
              </w:rPr>
              <w:t xml:space="preserve">zanubrutinib </w:t>
            </w:r>
            <w:r w:rsidR="009D0966" w:rsidRPr="001B1F9C">
              <w:rPr>
                <w:rFonts w:ascii="Arial Narrow" w:hAnsi="Arial Narrow" w:cs="Arial"/>
                <w:snapToGrid w:val="0"/>
                <w:sz w:val="20"/>
                <w:szCs w:val="20"/>
              </w:rPr>
              <w:t>as a later line</w:t>
            </w:r>
            <w:r w:rsidRPr="001B1F9C">
              <w:rPr>
                <w:rFonts w:ascii="Arial Narrow" w:hAnsi="Arial Narrow" w:cs="Arial"/>
                <w:snapToGrid w:val="0"/>
                <w:sz w:val="20"/>
                <w:szCs w:val="20"/>
              </w:rPr>
              <w:t xml:space="preserve"> (Table 22, zanubrutinib, PSD, March 2022).</w:t>
            </w:r>
          </w:p>
        </w:tc>
      </w:tr>
      <w:tr w:rsidR="007A021F" w:rsidRPr="0018148A" w14:paraId="44DCBCAB" w14:textId="77777777" w:rsidTr="00773531">
        <w:tc>
          <w:tcPr>
            <w:tcW w:w="1560" w:type="dxa"/>
            <w:vAlign w:val="center"/>
          </w:tcPr>
          <w:p w14:paraId="316D251C" w14:textId="6D255312" w:rsidR="007A021F" w:rsidRPr="0018148A" w:rsidRDefault="007A021F" w:rsidP="00773531">
            <w:pPr>
              <w:keepNext/>
              <w:keepLines/>
              <w:suppressLineNumbers/>
              <w:suppressAutoHyphens/>
              <w:jc w:val="left"/>
              <w:rPr>
                <w:rFonts w:ascii="Arial Narrow" w:hAnsi="Arial Narrow"/>
                <w:sz w:val="20"/>
                <w:szCs w:val="20"/>
              </w:rPr>
            </w:pPr>
            <w:r w:rsidRPr="0018148A">
              <w:rPr>
                <w:rFonts w:ascii="Arial Narrow" w:hAnsi="Arial Narrow"/>
                <w:sz w:val="20"/>
                <w:szCs w:val="20"/>
              </w:rPr>
              <w:t>PBS cost offsets</w:t>
            </w:r>
          </w:p>
        </w:tc>
        <w:tc>
          <w:tcPr>
            <w:tcW w:w="2976" w:type="dxa"/>
            <w:vAlign w:val="center"/>
          </w:tcPr>
          <w:p w14:paraId="43358182" w14:textId="3E8FD597" w:rsidR="007A021F" w:rsidRPr="0018148A" w:rsidRDefault="007A021F"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 xml:space="preserve">Treatment cost offsets included in the resubmission were filgrastim (associated with neutropenia treatment), cyclophosphamide (5% IV and 14% oral R/R regimens), and chlorambucil (16% TN regimens). </w:t>
            </w:r>
          </w:p>
        </w:tc>
        <w:tc>
          <w:tcPr>
            <w:tcW w:w="4485" w:type="dxa"/>
            <w:vAlign w:val="center"/>
          </w:tcPr>
          <w:p w14:paraId="76B62600" w14:textId="110CAF73" w:rsidR="007A021F" w:rsidRPr="0018148A" w:rsidRDefault="007A021F"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 xml:space="preserve">Removed non-PBS subsidised treatment </w:t>
            </w:r>
            <w:r w:rsidR="00D071C3" w:rsidRPr="0018148A">
              <w:rPr>
                <w:rFonts w:ascii="Arial Narrow" w:hAnsi="Arial Narrow" w:cs="Arial"/>
                <w:snapToGrid w:val="0"/>
                <w:sz w:val="20"/>
                <w:szCs w:val="20"/>
              </w:rPr>
              <w:t>in response to the July 2021 PBAC</w:t>
            </w:r>
            <w:r w:rsidRPr="0018148A">
              <w:rPr>
                <w:rFonts w:ascii="Arial Narrow" w:hAnsi="Arial Narrow" w:cs="Arial"/>
                <w:snapToGrid w:val="0"/>
                <w:sz w:val="20"/>
                <w:szCs w:val="20"/>
              </w:rPr>
              <w:t xml:space="preserve"> consider</w:t>
            </w:r>
            <w:r w:rsidR="00D071C3" w:rsidRPr="0018148A">
              <w:rPr>
                <w:rFonts w:ascii="Arial Narrow" w:hAnsi="Arial Narrow" w:cs="Arial"/>
                <w:snapToGrid w:val="0"/>
                <w:sz w:val="20"/>
                <w:szCs w:val="20"/>
              </w:rPr>
              <w:t>ation</w:t>
            </w:r>
            <w:r w:rsidRPr="0018148A">
              <w:rPr>
                <w:rFonts w:ascii="Arial Narrow" w:hAnsi="Arial Narrow" w:cs="Arial"/>
                <w:snapToGrid w:val="0"/>
                <w:sz w:val="20"/>
                <w:szCs w:val="20"/>
              </w:rPr>
              <w:t xml:space="preserve"> that PBS cost-offsets for bendamustine and rituximab were inappropriate</w:t>
            </w:r>
            <w:r w:rsidR="00D071C3" w:rsidRPr="0018148A">
              <w:rPr>
                <w:rFonts w:ascii="Arial Narrow" w:hAnsi="Arial Narrow" w:cs="Arial"/>
                <w:snapToGrid w:val="0"/>
                <w:sz w:val="20"/>
                <w:szCs w:val="20"/>
              </w:rPr>
              <w:t>,</w:t>
            </w:r>
            <w:r w:rsidRPr="0018148A">
              <w:rPr>
                <w:rFonts w:ascii="Arial Narrow" w:hAnsi="Arial Narrow" w:cs="Arial"/>
                <w:snapToGrid w:val="0"/>
                <w:sz w:val="20"/>
                <w:szCs w:val="20"/>
              </w:rPr>
              <w:t xml:space="preserve"> given these therapies </w:t>
            </w:r>
            <w:r w:rsidR="00D071C3" w:rsidRPr="0018148A">
              <w:rPr>
                <w:rFonts w:ascii="Arial Narrow" w:hAnsi="Arial Narrow" w:cs="Arial"/>
                <w:snapToGrid w:val="0"/>
                <w:sz w:val="20"/>
                <w:szCs w:val="20"/>
              </w:rPr>
              <w:t xml:space="preserve">were </w:t>
            </w:r>
            <w:r w:rsidRPr="0018148A">
              <w:rPr>
                <w:rFonts w:ascii="Arial Narrow" w:hAnsi="Arial Narrow" w:cs="Arial"/>
                <w:snapToGrid w:val="0"/>
                <w:sz w:val="20"/>
                <w:szCs w:val="20"/>
              </w:rPr>
              <w:t>not PBS</w:t>
            </w:r>
            <w:r w:rsidR="00D071C3" w:rsidRPr="0018148A">
              <w:rPr>
                <w:rFonts w:ascii="Arial Narrow" w:hAnsi="Arial Narrow" w:cs="Arial"/>
                <w:snapToGrid w:val="0"/>
                <w:sz w:val="20"/>
                <w:szCs w:val="20"/>
              </w:rPr>
              <w:t>-listed</w:t>
            </w:r>
            <w:r w:rsidRPr="0018148A">
              <w:rPr>
                <w:rFonts w:ascii="Arial Narrow" w:hAnsi="Arial Narrow" w:cs="Arial"/>
                <w:snapToGrid w:val="0"/>
                <w:sz w:val="20"/>
                <w:szCs w:val="20"/>
              </w:rPr>
              <w:t xml:space="preserve"> (paragraph 7.15, zanubrutinib, PSD, July 2021)</w:t>
            </w:r>
            <w:r w:rsidR="00D071C3" w:rsidRPr="0018148A">
              <w:rPr>
                <w:rFonts w:ascii="Arial Narrow" w:hAnsi="Arial Narrow" w:cs="Arial"/>
                <w:snapToGrid w:val="0"/>
                <w:sz w:val="20"/>
                <w:szCs w:val="20"/>
              </w:rPr>
              <w:t>.</w:t>
            </w:r>
          </w:p>
        </w:tc>
      </w:tr>
      <w:tr w:rsidR="007A021F" w:rsidRPr="0018148A" w14:paraId="62028E10" w14:textId="77777777" w:rsidTr="00773531">
        <w:tc>
          <w:tcPr>
            <w:tcW w:w="1560" w:type="dxa"/>
            <w:vAlign w:val="center"/>
          </w:tcPr>
          <w:p w14:paraId="64570715" w14:textId="25F2B0D8" w:rsidR="007A021F" w:rsidRPr="0018148A" w:rsidRDefault="007A021F" w:rsidP="00773531">
            <w:pPr>
              <w:keepNext/>
              <w:keepLines/>
              <w:suppressLineNumbers/>
              <w:suppressAutoHyphens/>
              <w:jc w:val="left"/>
              <w:rPr>
                <w:rFonts w:ascii="Arial Narrow" w:hAnsi="Arial Narrow"/>
                <w:sz w:val="20"/>
                <w:szCs w:val="20"/>
              </w:rPr>
            </w:pPr>
            <w:r w:rsidRPr="0018148A">
              <w:rPr>
                <w:rFonts w:ascii="Arial Narrow" w:hAnsi="Arial Narrow"/>
                <w:sz w:val="20"/>
                <w:szCs w:val="20"/>
              </w:rPr>
              <w:t>Costs of bleeding events</w:t>
            </w:r>
          </w:p>
        </w:tc>
        <w:tc>
          <w:tcPr>
            <w:tcW w:w="2976" w:type="dxa"/>
            <w:vAlign w:val="center"/>
          </w:tcPr>
          <w:p w14:paraId="79B79A59" w14:textId="50E0DB56" w:rsidR="007A021F" w:rsidRPr="0018148A" w:rsidRDefault="007A021F"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MBS item 13706 ($86.70</w:t>
            </w:r>
            <w:r w:rsidR="00D071C3" w:rsidRPr="0018148A">
              <w:rPr>
                <w:rFonts w:ascii="Arial Narrow" w:hAnsi="Arial Narrow" w:cs="Arial"/>
                <w:snapToGrid w:val="0"/>
                <w:sz w:val="20"/>
                <w:szCs w:val="20"/>
              </w:rPr>
              <w:t xml:space="preserve">, </w:t>
            </w:r>
            <w:r w:rsidR="00D071C3" w:rsidRPr="0018148A">
              <w:rPr>
                <w:rFonts w:ascii="Arial Narrow" w:hAnsi="Arial Narrow"/>
                <w:sz w:val="20"/>
                <w:szCs w:val="20"/>
              </w:rPr>
              <w:t>80% fee</w:t>
            </w:r>
            <w:r w:rsidRPr="0018148A">
              <w:rPr>
                <w:rFonts w:ascii="Arial Narrow" w:hAnsi="Arial Narrow" w:cs="Arial"/>
                <w:snapToGrid w:val="0"/>
                <w:sz w:val="20"/>
                <w:szCs w:val="20"/>
              </w:rPr>
              <w:t xml:space="preserve">) was </w:t>
            </w:r>
            <w:r w:rsidR="00D071C3" w:rsidRPr="0018148A">
              <w:rPr>
                <w:rFonts w:ascii="Arial Narrow" w:hAnsi="Arial Narrow" w:cs="Arial"/>
                <w:snapToGrid w:val="0"/>
                <w:sz w:val="20"/>
                <w:szCs w:val="20"/>
              </w:rPr>
              <w:t xml:space="preserve">included in the resubmission </w:t>
            </w:r>
            <w:r w:rsidRPr="0018148A">
              <w:rPr>
                <w:rFonts w:ascii="Arial Narrow" w:hAnsi="Arial Narrow" w:cs="Arial"/>
                <w:snapToGrid w:val="0"/>
                <w:sz w:val="20"/>
                <w:szCs w:val="20"/>
              </w:rPr>
              <w:t>as the cost for bleeding events</w:t>
            </w:r>
            <w:r w:rsidR="00D071C3" w:rsidRPr="0018148A">
              <w:rPr>
                <w:rFonts w:ascii="Arial Narrow" w:hAnsi="Arial Narrow" w:cs="Arial"/>
                <w:snapToGrid w:val="0"/>
                <w:sz w:val="20"/>
                <w:szCs w:val="20"/>
              </w:rPr>
              <w:t>.</w:t>
            </w:r>
          </w:p>
        </w:tc>
        <w:tc>
          <w:tcPr>
            <w:tcW w:w="4485" w:type="dxa"/>
            <w:vAlign w:val="center"/>
          </w:tcPr>
          <w:p w14:paraId="13A953DA" w14:textId="6A01FE4A" w:rsidR="007A021F" w:rsidRPr="0018148A" w:rsidRDefault="00D071C3" w:rsidP="00773531">
            <w:pPr>
              <w:keepNext/>
              <w:keepLines/>
              <w:suppressLineNumbers/>
              <w:suppressAutoHyphens/>
              <w:jc w:val="left"/>
              <w:rPr>
                <w:rFonts w:ascii="Arial Narrow" w:hAnsi="Arial Narrow" w:cs="Arial"/>
                <w:snapToGrid w:val="0"/>
                <w:sz w:val="20"/>
                <w:szCs w:val="20"/>
              </w:rPr>
            </w:pPr>
            <w:r w:rsidRPr="0018148A">
              <w:rPr>
                <w:rFonts w:ascii="Arial Narrow" w:hAnsi="Arial Narrow" w:cs="Arial"/>
                <w:snapToGrid w:val="0"/>
                <w:sz w:val="20"/>
                <w:szCs w:val="20"/>
              </w:rPr>
              <w:t>The resubmission used the ASPEN</w:t>
            </w:r>
            <w:r w:rsidR="004240FE" w:rsidRPr="0018148A">
              <w:rPr>
                <w:rFonts w:ascii="Arial Narrow" w:hAnsi="Arial Narrow" w:cs="Arial"/>
                <w:snapToGrid w:val="0"/>
                <w:sz w:val="20"/>
                <w:szCs w:val="20"/>
                <w:vertAlign w:val="superscript"/>
              </w:rPr>
              <w:t>a</w:t>
            </w:r>
            <w:r w:rsidRPr="0018148A">
              <w:rPr>
                <w:rFonts w:ascii="Arial Narrow" w:hAnsi="Arial Narrow" w:cs="Arial"/>
                <w:snapToGrid w:val="0"/>
                <w:sz w:val="20"/>
                <w:szCs w:val="20"/>
              </w:rPr>
              <w:t xml:space="preserve"> data as annual incidence of major haemorrhage while receiving treatment.</w:t>
            </w:r>
            <w:r w:rsidR="000075C1" w:rsidRPr="0018148A">
              <w:rPr>
                <w:rFonts w:ascii="Arial Narrow" w:hAnsi="Arial Narrow" w:cs="Arial"/>
                <w:snapToGrid w:val="0"/>
                <w:sz w:val="20"/>
                <w:szCs w:val="20"/>
              </w:rPr>
              <w:t xml:space="preserve"> </w:t>
            </w:r>
            <w:r w:rsidRPr="0018148A">
              <w:rPr>
                <w:rFonts w:ascii="Arial Narrow" w:hAnsi="Arial Narrow" w:cs="Arial"/>
                <w:snapToGrid w:val="0"/>
                <w:sz w:val="20"/>
                <w:szCs w:val="20"/>
              </w:rPr>
              <w:t>Cost of major haemorrhage appeared low, but likely to be a hospitalisation cost</w:t>
            </w:r>
            <w:r w:rsidR="000075C1" w:rsidRPr="0018148A">
              <w:rPr>
                <w:rFonts w:ascii="Arial Narrow" w:hAnsi="Arial Narrow" w:cs="Arial"/>
                <w:snapToGrid w:val="0"/>
                <w:sz w:val="20"/>
                <w:szCs w:val="20"/>
              </w:rPr>
              <w:t xml:space="preserve"> (Table 22, zanubrutinib, PSD, March 2022).</w:t>
            </w:r>
          </w:p>
        </w:tc>
      </w:tr>
    </w:tbl>
    <w:p w14:paraId="41F8349F" w14:textId="592D4C5D" w:rsidR="00351877" w:rsidRPr="00D13618" w:rsidRDefault="00351877" w:rsidP="00B72746">
      <w:pPr>
        <w:pStyle w:val="TableFigureFooter"/>
        <w:keepNext/>
        <w:keepLines/>
        <w:widowControl w:val="0"/>
        <w:suppressLineNumbers/>
        <w:suppressAutoHyphens/>
        <w:rPr>
          <w:szCs w:val="18"/>
        </w:rPr>
      </w:pPr>
      <w:r w:rsidRPr="00D13618">
        <w:rPr>
          <w:szCs w:val="18"/>
        </w:rPr>
        <w:t>Source: compiled by the Secretariat during the evaluation</w:t>
      </w:r>
      <w:r w:rsidR="00E717B4" w:rsidRPr="00D13618">
        <w:rPr>
          <w:szCs w:val="18"/>
        </w:rPr>
        <w:t>; zanubrutinib, Public Summary Document (PSD), March 2022</w:t>
      </w:r>
      <w:r w:rsidR="00944849" w:rsidRPr="00D13618">
        <w:rPr>
          <w:szCs w:val="18"/>
        </w:rPr>
        <w:t xml:space="preserve"> PBAC meeting</w:t>
      </w:r>
    </w:p>
    <w:p w14:paraId="65273982" w14:textId="30D9FCA9" w:rsidR="00A4215F" w:rsidRPr="00D13618" w:rsidRDefault="00351877" w:rsidP="00B72746">
      <w:pPr>
        <w:pStyle w:val="TableFigureFooter"/>
        <w:keepNext/>
        <w:keepLines/>
        <w:widowControl w:val="0"/>
        <w:suppressLineNumbers/>
        <w:suppressAutoHyphens/>
        <w:rPr>
          <w:szCs w:val="18"/>
        </w:rPr>
      </w:pPr>
      <w:r w:rsidRPr="00D13618">
        <w:rPr>
          <w:szCs w:val="18"/>
        </w:rPr>
        <w:t>Abbreviations: The</w:t>
      </w:r>
      <w:r w:rsidR="00201947" w:rsidRPr="00D13618">
        <w:rPr>
          <w:szCs w:val="18"/>
        </w:rPr>
        <w:t xml:space="preserve"> Australian Institute of Health and Welfare (AIHW); </w:t>
      </w:r>
      <w:r w:rsidR="007A280C" w:rsidRPr="00D13618">
        <w:rPr>
          <w:szCs w:val="18"/>
        </w:rPr>
        <w:t xml:space="preserve">NHL=non-Hodgkin lymphoma; </w:t>
      </w:r>
      <w:r w:rsidR="00A4215F" w:rsidRPr="00D13618">
        <w:rPr>
          <w:szCs w:val="18"/>
        </w:rPr>
        <w:t>2L=second</w:t>
      </w:r>
      <w:r w:rsidR="007A280C" w:rsidRPr="00D13618">
        <w:rPr>
          <w:szCs w:val="18"/>
        </w:rPr>
        <w:t xml:space="preserve"> </w:t>
      </w:r>
      <w:r w:rsidR="00A4215F" w:rsidRPr="00D13618">
        <w:rPr>
          <w:szCs w:val="18"/>
        </w:rPr>
        <w:t xml:space="preserve">line treatment, R/R=relapsed/refractory, TN=treatment naïve, </w:t>
      </w:r>
      <w:r w:rsidR="007A021F" w:rsidRPr="00D13618">
        <w:rPr>
          <w:szCs w:val="18"/>
        </w:rPr>
        <w:t>MBS=Medicare Benefits Schedule</w:t>
      </w:r>
    </w:p>
    <w:p w14:paraId="7FB5516F" w14:textId="16CEC2B4" w:rsidR="004240FE" w:rsidRPr="00D13618" w:rsidRDefault="004240FE" w:rsidP="00773531">
      <w:pPr>
        <w:pStyle w:val="TableFigureFooter"/>
        <w:keepLines/>
        <w:widowControl w:val="0"/>
        <w:suppressLineNumbers/>
        <w:suppressAutoHyphens/>
        <w:contextualSpacing w:val="0"/>
        <w:rPr>
          <w:szCs w:val="18"/>
        </w:rPr>
      </w:pPr>
      <w:r w:rsidRPr="00D13618">
        <w:rPr>
          <w:szCs w:val="18"/>
          <w:vertAlign w:val="superscript"/>
        </w:rPr>
        <w:t>a</w:t>
      </w:r>
      <w:r w:rsidRPr="00D13618">
        <w:rPr>
          <w:szCs w:val="18"/>
        </w:rPr>
        <w:t xml:space="preserve"> ASPEN: a Phase 3, Randomized, Open-Label, Multicenter Study Comparing the Efficacy and Safety of the Bruton’s Tyrosine Kinase (BTK) Inhibitors BGB-3111 and Ibrutinib in Subjects with </w:t>
      </w:r>
      <w:r w:rsidR="00DB1FE9" w:rsidRPr="00D13618">
        <w:rPr>
          <w:szCs w:val="18"/>
        </w:rPr>
        <w:t>Waldenström</w:t>
      </w:r>
      <w:r w:rsidRPr="00D13618">
        <w:rPr>
          <w:szCs w:val="18"/>
        </w:rPr>
        <w:t xml:space="preserve"> Macroglobulinemia (WM). Clinical Study Report BGB-3111-302</w:t>
      </w:r>
    </w:p>
    <w:p w14:paraId="5865BBA4" w14:textId="77777777" w:rsidR="00831604" w:rsidRDefault="00831604" w:rsidP="00831604">
      <w:pPr>
        <w:pStyle w:val="4-SubsectionHeading"/>
      </w:pPr>
      <w:r w:rsidRPr="002A5826">
        <w:t>Current RSA and expenditure</w:t>
      </w:r>
      <w:r w:rsidRPr="00A6439B">
        <w:t xml:space="preserve"> </w:t>
      </w:r>
    </w:p>
    <w:p w14:paraId="7FEEB60F" w14:textId="11F8AE0E" w:rsidR="00543871" w:rsidRPr="00EF5380" w:rsidRDefault="00543871" w:rsidP="00453FAA">
      <w:pPr>
        <w:pStyle w:val="3Bodytext"/>
        <w:jc w:val="both"/>
      </w:pPr>
      <w:bookmarkStart w:id="4" w:name="_Ref167996602"/>
      <w:r w:rsidRPr="00A268DC">
        <w:t xml:space="preserve">At its March 2022 meeting, </w:t>
      </w:r>
      <w:r w:rsidRPr="00EF5380">
        <w:t xml:space="preserve">the PBAC considered it was unlikely that the patient numbers had been overestimated and thus considered, provided the expenditure caps were based on the average (not maximum) treatment durations from the economic models and the rebate for use above the expenditure caps was </w:t>
      </w:r>
      <w:r w:rsidR="00E926B5" w:rsidRPr="00E42CD7">
        <w:rPr>
          <w:color w:val="000000"/>
          <w:w w:val="15"/>
          <w:shd w:val="solid" w:color="000000" w:fill="000000"/>
          <w:fitText w:val="-20" w:id="-893114621"/>
          <w14:textFill>
            <w14:solidFill>
              <w14:srgbClr w14:val="000000">
                <w14:alpha w14:val="100000"/>
              </w14:srgbClr>
            </w14:solidFill>
          </w14:textFill>
        </w:rPr>
        <w:t xml:space="preserve">|  </w:t>
      </w:r>
      <w:r w:rsidR="00E926B5" w:rsidRPr="00E42CD7">
        <w:rPr>
          <w:color w:val="000000"/>
          <w:spacing w:val="-69"/>
          <w:w w:val="15"/>
          <w:shd w:val="solid" w:color="000000" w:fill="000000"/>
          <w:fitText w:val="-20" w:id="-893114621"/>
          <w14:textFill>
            <w14:solidFill>
              <w14:srgbClr w14:val="000000">
                <w14:alpha w14:val="100000"/>
              </w14:srgbClr>
            </w14:solidFill>
          </w14:textFill>
        </w:rPr>
        <w:t>|</w:t>
      </w:r>
      <w:r w:rsidRPr="00EF5380">
        <w:t>%, that a cost-effective price would likely be achieved using an RSA (paragraph 7.6, zanubrutinib, PSD, March 2022).</w:t>
      </w:r>
      <w:bookmarkEnd w:id="4"/>
    </w:p>
    <w:p w14:paraId="70AB8802" w14:textId="28614F07" w:rsidR="00984F8B" w:rsidRPr="00A04027" w:rsidRDefault="00984F8B" w:rsidP="00984F8B">
      <w:pPr>
        <w:pStyle w:val="3Bodytext"/>
        <w:jc w:val="both"/>
      </w:pPr>
      <w:r w:rsidRPr="00A04027">
        <w:t xml:space="preserve">The submission noted that </w:t>
      </w:r>
      <w:r w:rsidR="00453FAA" w:rsidRPr="00A04027">
        <w:t>the PBAC</w:t>
      </w:r>
      <w:r w:rsidR="00A04027" w:rsidRPr="00A04027">
        <w:t xml:space="preserve"> acknowledged </w:t>
      </w:r>
      <w:bookmarkStart w:id="5" w:name="_Hlk172502205"/>
      <w:r w:rsidR="00453FAA" w:rsidRPr="00A04027">
        <w:t xml:space="preserve">there were no </w:t>
      </w:r>
      <w:r w:rsidR="00A04027" w:rsidRPr="00A04027">
        <w:t xml:space="preserve">PBS-listed therapies </w:t>
      </w:r>
      <w:r w:rsidR="00453FAA" w:rsidRPr="00A04027">
        <w:t>specifically for WM</w:t>
      </w:r>
      <w:r w:rsidRPr="00A04027">
        <w:t xml:space="preserve">, </w:t>
      </w:r>
      <w:bookmarkEnd w:id="5"/>
      <w:r w:rsidRPr="00A04027">
        <w:t xml:space="preserve">while chemo-immunotherapy was considered </w:t>
      </w:r>
      <w:r w:rsidR="00A04027" w:rsidRPr="00A04027">
        <w:t xml:space="preserve">as </w:t>
      </w:r>
      <w:r w:rsidRPr="00A04027">
        <w:t xml:space="preserve">standard </w:t>
      </w:r>
      <w:r w:rsidR="00A04027" w:rsidRPr="00A04027">
        <w:t xml:space="preserve">treatment </w:t>
      </w:r>
      <w:r w:rsidRPr="00A04027">
        <w:t xml:space="preserve">at the time of PBAC consideration </w:t>
      </w:r>
      <w:r w:rsidR="009702DA">
        <w:t>of</w:t>
      </w:r>
      <w:r w:rsidR="009702DA" w:rsidRPr="00A04027">
        <w:t xml:space="preserve"> </w:t>
      </w:r>
      <w:r w:rsidRPr="00A04027">
        <w:t xml:space="preserve">zanubrutinib. </w:t>
      </w:r>
      <w:r w:rsidR="00A04027" w:rsidRPr="00A04027">
        <w:t xml:space="preserve">Given the rarity of </w:t>
      </w:r>
      <w:r w:rsidR="009702DA">
        <w:t>WM</w:t>
      </w:r>
      <w:r w:rsidR="00A04027" w:rsidRPr="00A04027">
        <w:t xml:space="preserve">, </w:t>
      </w:r>
      <w:r w:rsidR="00A04027" w:rsidRPr="00A04027">
        <w:lastRenderedPageBreak/>
        <w:t>t</w:t>
      </w:r>
      <w:r w:rsidRPr="00A04027">
        <w:t xml:space="preserve">he submission </w:t>
      </w:r>
      <w:r w:rsidR="00A04027" w:rsidRPr="00A04027">
        <w:t xml:space="preserve">highlighted that its </w:t>
      </w:r>
      <w:r w:rsidRPr="00A04027">
        <w:t>epidemiology and treatment patterns were not well</w:t>
      </w:r>
      <w:r w:rsidR="00A04027" w:rsidRPr="00A04027">
        <w:t xml:space="preserve"> defined due to </w:t>
      </w:r>
      <w:r w:rsidRPr="00A04027">
        <w:t xml:space="preserve">the absence of an Australian disease registry or specific </w:t>
      </w:r>
      <w:r w:rsidR="00A04027" w:rsidRPr="00A04027">
        <w:t>PBS-subsidised</w:t>
      </w:r>
      <w:r w:rsidRPr="00A04027">
        <w:t xml:space="preserve"> treatment for this </w:t>
      </w:r>
      <w:r w:rsidR="00284CC0">
        <w:t xml:space="preserve">patient </w:t>
      </w:r>
      <w:r w:rsidRPr="00A04027">
        <w:t>population.</w:t>
      </w:r>
    </w:p>
    <w:p w14:paraId="392CF76A" w14:textId="6CCE8307" w:rsidR="00831604" w:rsidRPr="008D6824" w:rsidRDefault="00CA0506" w:rsidP="00CB1AD7">
      <w:pPr>
        <w:pStyle w:val="3Bodytext"/>
        <w:jc w:val="both"/>
        <w:rPr>
          <w:rFonts w:cstheme="minorHAnsi"/>
          <w:szCs w:val="24"/>
        </w:rPr>
      </w:pPr>
      <w:r w:rsidRPr="008D6824">
        <w:rPr>
          <w:rFonts w:cstheme="minorHAnsi"/>
          <w:szCs w:val="24"/>
        </w:rPr>
        <w:t xml:space="preserve">The submission stated that the actual zanubrutinib utilisation for the treatment of WM has been higher than the estimated </w:t>
      </w:r>
      <w:r w:rsidR="001D1EEB" w:rsidRPr="008D6824">
        <w:rPr>
          <w:rFonts w:cstheme="minorHAnsi"/>
          <w:szCs w:val="24"/>
        </w:rPr>
        <w:t xml:space="preserve">utilisation </w:t>
      </w:r>
      <w:r w:rsidR="000137F4" w:rsidRPr="008D6824">
        <w:rPr>
          <w:rFonts w:cstheme="minorHAnsi"/>
          <w:szCs w:val="24"/>
        </w:rPr>
        <w:t>since it was PBS-listed on 1</w:t>
      </w:r>
      <w:r w:rsidR="00EB4332">
        <w:rPr>
          <w:rFonts w:cstheme="minorHAnsi"/>
          <w:szCs w:val="24"/>
        </w:rPr>
        <w:t> </w:t>
      </w:r>
      <w:r w:rsidR="000137F4" w:rsidRPr="008D6824">
        <w:rPr>
          <w:rFonts w:cstheme="minorHAnsi"/>
          <w:szCs w:val="24"/>
        </w:rPr>
        <w:t>July</w:t>
      </w:r>
      <w:r w:rsidR="00EB4332">
        <w:rPr>
          <w:rFonts w:cstheme="minorHAnsi"/>
          <w:szCs w:val="24"/>
        </w:rPr>
        <w:t> </w:t>
      </w:r>
      <w:r w:rsidR="000137F4" w:rsidRPr="008D6824">
        <w:rPr>
          <w:rFonts w:cstheme="minorHAnsi"/>
          <w:szCs w:val="24"/>
        </w:rPr>
        <w:t xml:space="preserve">2022. </w:t>
      </w:r>
      <w:r w:rsidR="00D579C7" w:rsidRPr="008D6824">
        <w:rPr>
          <w:rFonts w:cstheme="minorHAnsi"/>
          <w:szCs w:val="24"/>
        </w:rPr>
        <w:t>The actual Commonwealth payment</w:t>
      </w:r>
      <w:r w:rsidR="001D1EEB" w:rsidRPr="008D6824">
        <w:rPr>
          <w:rStyle w:val="FootnoteReference"/>
          <w:rFonts w:cstheme="minorHAnsi"/>
          <w:szCs w:val="24"/>
        </w:rPr>
        <w:footnoteReference w:id="2"/>
      </w:r>
      <w:r w:rsidR="00D579C7" w:rsidRPr="008D6824">
        <w:rPr>
          <w:rFonts w:cstheme="minorHAnsi"/>
          <w:szCs w:val="24"/>
        </w:rPr>
        <w:t xml:space="preserve"> was </w:t>
      </w:r>
      <w:r w:rsidR="00E926B5" w:rsidRPr="00E42CD7">
        <w:rPr>
          <w:rFonts w:cstheme="minorHAnsi"/>
          <w:color w:val="000000"/>
          <w:w w:val="15"/>
          <w:szCs w:val="24"/>
          <w:shd w:val="solid" w:color="000000" w:fill="000000"/>
          <w:fitText w:val="-20" w:id="-893114620"/>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20"/>
          <w14:textFill>
            <w14:solidFill>
              <w14:srgbClr w14:val="000000">
                <w14:alpha w14:val="100000"/>
              </w14:srgbClr>
            </w14:solidFill>
          </w14:textFill>
        </w:rPr>
        <w:t>|</w:t>
      </w:r>
      <w:r w:rsidR="00371031" w:rsidRPr="00371031">
        <w:rPr>
          <w:rFonts w:cstheme="minorHAnsi"/>
          <w:szCs w:val="24"/>
        </w:rPr>
        <w:t xml:space="preserve"> </w:t>
      </w:r>
      <w:r w:rsidR="00E926B5" w:rsidRPr="00E42CD7">
        <w:rPr>
          <w:rFonts w:cstheme="minorHAnsi"/>
          <w:color w:val="000000"/>
          <w:w w:val="15"/>
          <w:szCs w:val="24"/>
          <w:shd w:val="solid" w:color="000000" w:fill="000000"/>
          <w:fitText w:val="-20" w:id="-893114619"/>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19"/>
          <w14:textFill>
            <w14:solidFill>
              <w14:srgbClr w14:val="000000">
                <w14:alpha w14:val="100000"/>
              </w14:srgbClr>
            </w14:solidFill>
          </w14:textFill>
        </w:rPr>
        <w:t>|</w:t>
      </w:r>
      <w:r w:rsidR="00D579C7" w:rsidRPr="008D6824">
        <w:rPr>
          <w:rFonts w:cstheme="minorHAnsi"/>
          <w:szCs w:val="24"/>
        </w:rPr>
        <w:t xml:space="preserve"> in Year 1 (1</w:t>
      </w:r>
      <w:r w:rsidR="00EB4332">
        <w:rPr>
          <w:rFonts w:cstheme="minorHAnsi"/>
          <w:szCs w:val="24"/>
        </w:rPr>
        <w:t> </w:t>
      </w:r>
      <w:r w:rsidR="00D579C7" w:rsidRPr="008D6824">
        <w:rPr>
          <w:rFonts w:cstheme="minorHAnsi"/>
          <w:szCs w:val="24"/>
        </w:rPr>
        <w:t>July</w:t>
      </w:r>
      <w:r w:rsidR="00EB4332">
        <w:rPr>
          <w:rFonts w:cstheme="minorHAnsi"/>
          <w:szCs w:val="24"/>
        </w:rPr>
        <w:t> </w:t>
      </w:r>
      <w:r w:rsidR="00D579C7" w:rsidRPr="008D6824">
        <w:rPr>
          <w:rFonts w:cstheme="minorHAnsi"/>
          <w:szCs w:val="24"/>
        </w:rPr>
        <w:t>2022 to 30</w:t>
      </w:r>
      <w:r w:rsidR="000D2D23">
        <w:rPr>
          <w:rFonts w:cstheme="minorHAnsi"/>
          <w:szCs w:val="24"/>
        </w:rPr>
        <w:t> </w:t>
      </w:r>
      <w:r w:rsidR="00D579C7" w:rsidRPr="008D6824">
        <w:rPr>
          <w:rFonts w:cstheme="minorHAnsi"/>
          <w:szCs w:val="24"/>
        </w:rPr>
        <w:t>June</w:t>
      </w:r>
      <w:r w:rsidR="000D2D23">
        <w:rPr>
          <w:rFonts w:cstheme="minorHAnsi"/>
          <w:szCs w:val="24"/>
        </w:rPr>
        <w:t> </w:t>
      </w:r>
      <w:r w:rsidR="00D579C7" w:rsidRPr="008D6824">
        <w:rPr>
          <w:rFonts w:cstheme="minorHAnsi"/>
          <w:szCs w:val="24"/>
        </w:rPr>
        <w:t xml:space="preserve">2023), while the </w:t>
      </w:r>
      <w:r w:rsidR="008D6824" w:rsidRPr="008D6824">
        <w:rPr>
          <w:rFonts w:cstheme="minorHAnsi"/>
          <w:szCs w:val="24"/>
        </w:rPr>
        <w:t xml:space="preserve">subsidisation </w:t>
      </w:r>
      <w:r w:rsidR="00D579C7" w:rsidRPr="008D6824">
        <w:rPr>
          <w:rFonts w:cstheme="minorHAnsi"/>
          <w:szCs w:val="24"/>
        </w:rPr>
        <w:t xml:space="preserve">cap was </w:t>
      </w:r>
      <w:r w:rsidR="00E926B5" w:rsidRPr="00E42CD7">
        <w:rPr>
          <w:rFonts w:cstheme="minorHAnsi"/>
          <w:color w:val="000000"/>
          <w:w w:val="15"/>
          <w:szCs w:val="24"/>
          <w:shd w:val="solid" w:color="000000" w:fill="000000"/>
          <w:fitText w:val="-20" w:id="-893114618"/>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18"/>
          <w14:textFill>
            <w14:solidFill>
              <w14:srgbClr w14:val="000000">
                <w14:alpha w14:val="100000"/>
              </w14:srgbClr>
            </w14:solidFill>
          </w14:textFill>
        </w:rPr>
        <w:t>|</w:t>
      </w:r>
      <w:r w:rsidR="00371031" w:rsidRPr="00371031">
        <w:rPr>
          <w:rFonts w:cstheme="minorHAnsi"/>
          <w:szCs w:val="24"/>
        </w:rPr>
        <w:t xml:space="preserve"> </w:t>
      </w:r>
      <w:r w:rsidR="00E926B5" w:rsidRPr="00E42CD7">
        <w:rPr>
          <w:rFonts w:cstheme="minorHAnsi"/>
          <w:color w:val="000000"/>
          <w:w w:val="15"/>
          <w:szCs w:val="24"/>
          <w:shd w:val="solid" w:color="000000" w:fill="000000"/>
          <w:fitText w:val="-20" w:id="-893114617"/>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17"/>
          <w14:textFill>
            <w14:solidFill>
              <w14:srgbClr w14:val="000000">
                <w14:alpha w14:val="100000"/>
              </w14:srgbClr>
            </w14:solidFill>
          </w14:textFill>
        </w:rPr>
        <w:t>|</w:t>
      </w:r>
      <w:r w:rsidR="00D579C7" w:rsidRPr="008D6824">
        <w:rPr>
          <w:rFonts w:cstheme="minorHAnsi"/>
          <w:szCs w:val="24"/>
        </w:rPr>
        <w:t xml:space="preserve">, and the Commonwealth payment </w:t>
      </w:r>
      <w:r w:rsidR="007B0440" w:rsidRPr="008D6824">
        <w:rPr>
          <w:rFonts w:cstheme="minorHAnsi"/>
          <w:szCs w:val="24"/>
        </w:rPr>
        <w:t xml:space="preserve">was </w:t>
      </w:r>
      <w:r w:rsidR="00E926B5" w:rsidRPr="00E42CD7">
        <w:rPr>
          <w:rFonts w:cstheme="minorHAnsi"/>
          <w:color w:val="000000"/>
          <w:w w:val="15"/>
          <w:szCs w:val="24"/>
          <w:shd w:val="solid" w:color="000000" w:fill="000000"/>
          <w:fitText w:val="-20" w:id="-893114616"/>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16"/>
          <w14:textFill>
            <w14:solidFill>
              <w14:srgbClr w14:val="000000">
                <w14:alpha w14:val="100000"/>
              </w14:srgbClr>
            </w14:solidFill>
          </w14:textFill>
        </w:rPr>
        <w:t>|</w:t>
      </w:r>
      <w:r w:rsidR="00371031" w:rsidRPr="00371031">
        <w:rPr>
          <w:rFonts w:cstheme="minorHAnsi"/>
          <w:szCs w:val="24"/>
        </w:rPr>
        <w:t xml:space="preserve"> </w:t>
      </w:r>
      <w:r w:rsidR="00E926B5" w:rsidRPr="00E42CD7">
        <w:rPr>
          <w:rFonts w:cstheme="minorHAnsi"/>
          <w:color w:val="000000"/>
          <w:w w:val="15"/>
          <w:szCs w:val="24"/>
          <w:shd w:val="solid" w:color="000000" w:fill="000000"/>
          <w:fitText w:val="-20" w:id="-893114615"/>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15"/>
          <w14:textFill>
            <w14:solidFill>
              <w14:srgbClr w14:val="000000">
                <w14:alpha w14:val="100000"/>
              </w14:srgbClr>
            </w14:solidFill>
          </w14:textFill>
        </w:rPr>
        <w:t>|</w:t>
      </w:r>
      <w:r w:rsidR="007B0440" w:rsidRPr="008D6824">
        <w:rPr>
          <w:rFonts w:cstheme="minorHAnsi"/>
          <w:szCs w:val="24"/>
        </w:rPr>
        <w:t xml:space="preserve"> in the first seven months of Year 2, which is higher than the </w:t>
      </w:r>
      <w:r w:rsidR="003031B4">
        <w:rPr>
          <w:rFonts w:cstheme="minorHAnsi"/>
          <w:szCs w:val="24"/>
        </w:rPr>
        <w:t>s</w:t>
      </w:r>
      <w:r w:rsidR="008D6824" w:rsidRPr="008D6824">
        <w:rPr>
          <w:rFonts w:cstheme="minorHAnsi"/>
          <w:szCs w:val="24"/>
        </w:rPr>
        <w:t xml:space="preserve">ubsidisation </w:t>
      </w:r>
      <w:r w:rsidR="007B0440" w:rsidRPr="008D6824">
        <w:rPr>
          <w:rFonts w:cstheme="minorHAnsi"/>
          <w:szCs w:val="24"/>
        </w:rPr>
        <w:t xml:space="preserve">cap </w:t>
      </w:r>
      <w:r w:rsidR="003031B4">
        <w:rPr>
          <w:rFonts w:cstheme="minorHAnsi"/>
          <w:szCs w:val="24"/>
        </w:rPr>
        <w:t xml:space="preserve">for Year 2 </w:t>
      </w:r>
      <w:r w:rsidR="007B0440" w:rsidRPr="008D6824">
        <w:rPr>
          <w:rFonts w:cstheme="minorHAnsi"/>
          <w:szCs w:val="24"/>
        </w:rPr>
        <w:t xml:space="preserve">of </w:t>
      </w:r>
      <w:r w:rsidR="00E926B5" w:rsidRPr="00E42CD7">
        <w:rPr>
          <w:rFonts w:cstheme="minorHAnsi"/>
          <w:color w:val="000000"/>
          <w:w w:val="15"/>
          <w:szCs w:val="24"/>
          <w:shd w:val="solid" w:color="000000" w:fill="000000"/>
          <w:fitText w:val="-20" w:id="-893114614"/>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14"/>
          <w14:textFill>
            <w14:solidFill>
              <w14:srgbClr w14:val="000000">
                <w14:alpha w14:val="100000"/>
              </w14:srgbClr>
            </w14:solidFill>
          </w14:textFill>
        </w:rPr>
        <w:t>|</w:t>
      </w:r>
      <w:r w:rsidR="00371031" w:rsidRPr="00371031">
        <w:rPr>
          <w:rFonts w:cstheme="minorHAnsi"/>
          <w:szCs w:val="24"/>
        </w:rPr>
        <w:t xml:space="preserve"> </w:t>
      </w:r>
      <w:r w:rsidR="00E926B5" w:rsidRPr="00E42CD7">
        <w:rPr>
          <w:rFonts w:cstheme="minorHAnsi"/>
          <w:color w:val="000000"/>
          <w:w w:val="15"/>
          <w:szCs w:val="24"/>
          <w:shd w:val="solid" w:color="000000" w:fill="000000"/>
          <w:fitText w:val="-20" w:id="-893114613"/>
          <w14:textFill>
            <w14:solidFill>
              <w14:srgbClr w14:val="000000">
                <w14:alpha w14:val="100000"/>
              </w14:srgbClr>
            </w14:solidFill>
          </w14:textFill>
        </w:rPr>
        <w:t xml:space="preserve">|  </w:t>
      </w:r>
      <w:r w:rsidR="00E926B5" w:rsidRPr="00E42CD7">
        <w:rPr>
          <w:rFonts w:cstheme="minorHAnsi"/>
          <w:color w:val="000000"/>
          <w:spacing w:val="-69"/>
          <w:w w:val="15"/>
          <w:szCs w:val="24"/>
          <w:shd w:val="solid" w:color="000000" w:fill="000000"/>
          <w:fitText w:val="-20" w:id="-893114613"/>
          <w14:textFill>
            <w14:solidFill>
              <w14:srgbClr w14:val="000000">
                <w14:alpha w14:val="100000"/>
              </w14:srgbClr>
            </w14:solidFill>
          </w14:textFill>
        </w:rPr>
        <w:t>|</w:t>
      </w:r>
      <w:r w:rsidR="007B0440" w:rsidRPr="008D6824">
        <w:rPr>
          <w:rFonts w:cstheme="minorHAnsi"/>
          <w:szCs w:val="24"/>
        </w:rPr>
        <w:t xml:space="preserve">. This is outlined in </w:t>
      </w:r>
      <w:r w:rsidR="008D6824" w:rsidRPr="008D6824">
        <w:rPr>
          <w:rFonts w:cstheme="minorHAnsi"/>
          <w:szCs w:val="24"/>
        </w:rPr>
        <w:fldChar w:fldCharType="begin" w:fldLock="1"/>
      </w:r>
      <w:r w:rsidR="008D6824" w:rsidRPr="008D6824">
        <w:rPr>
          <w:rFonts w:cstheme="minorHAnsi"/>
          <w:szCs w:val="24"/>
        </w:rPr>
        <w:instrText xml:space="preserve"> REF _Ref158278855 \h  \* MERGEFORMAT </w:instrText>
      </w:r>
      <w:r w:rsidR="008D6824" w:rsidRPr="008D6824">
        <w:rPr>
          <w:rFonts w:cstheme="minorHAnsi"/>
          <w:szCs w:val="24"/>
        </w:rPr>
      </w:r>
      <w:r w:rsidR="008D6824" w:rsidRPr="008D6824">
        <w:rPr>
          <w:rFonts w:cstheme="minorHAnsi"/>
          <w:szCs w:val="24"/>
        </w:rPr>
        <w:fldChar w:fldCharType="separate"/>
      </w:r>
      <w:r w:rsidR="00B31544" w:rsidRPr="00B31544">
        <w:rPr>
          <w:rFonts w:cstheme="minorHAnsi"/>
          <w:szCs w:val="24"/>
        </w:rPr>
        <w:t xml:space="preserve">Table </w:t>
      </w:r>
      <w:r w:rsidR="00B31544" w:rsidRPr="00B31544">
        <w:rPr>
          <w:rFonts w:cstheme="minorHAnsi"/>
          <w:noProof/>
          <w:szCs w:val="24"/>
        </w:rPr>
        <w:t>3</w:t>
      </w:r>
      <w:r w:rsidR="008D6824" w:rsidRPr="008D6824">
        <w:rPr>
          <w:rFonts w:cstheme="minorHAnsi"/>
          <w:szCs w:val="24"/>
        </w:rPr>
        <w:fldChar w:fldCharType="end"/>
      </w:r>
      <w:r w:rsidR="007B0440" w:rsidRPr="008D6824">
        <w:rPr>
          <w:rFonts w:cstheme="minorHAnsi"/>
          <w:szCs w:val="24"/>
        </w:rPr>
        <w:t>.</w:t>
      </w:r>
    </w:p>
    <w:p w14:paraId="6B72919C" w14:textId="3BA2B9CC" w:rsidR="007B0440" w:rsidRPr="008D6824" w:rsidRDefault="008D6824" w:rsidP="00D133EB">
      <w:pPr>
        <w:pStyle w:val="Caption"/>
        <w:keepNext/>
        <w:keepLines/>
        <w:spacing w:after="0"/>
        <w:rPr>
          <w:rFonts w:ascii="Arial Narrow" w:hAnsi="Arial Narrow"/>
          <w:b/>
          <w:bCs/>
          <w:i w:val="0"/>
          <w:iCs w:val="0"/>
          <w:sz w:val="20"/>
          <w:szCs w:val="20"/>
        </w:rPr>
      </w:pPr>
      <w:bookmarkStart w:id="6" w:name="_Ref158278855"/>
      <w:bookmarkStart w:id="7" w:name="_Toc160780472"/>
      <w:r w:rsidRPr="008D6824">
        <w:rPr>
          <w:rFonts w:ascii="Arial Narrow" w:hAnsi="Arial Narrow"/>
          <w:b/>
          <w:bCs/>
          <w:i w:val="0"/>
          <w:iCs w:val="0"/>
          <w:sz w:val="20"/>
          <w:szCs w:val="20"/>
        </w:rPr>
        <w:t xml:space="preserve">Table </w:t>
      </w:r>
      <w:r w:rsidRPr="008D6824">
        <w:rPr>
          <w:rFonts w:ascii="Arial Narrow" w:hAnsi="Arial Narrow"/>
          <w:b/>
          <w:bCs/>
          <w:i w:val="0"/>
          <w:iCs w:val="0"/>
          <w:sz w:val="20"/>
          <w:szCs w:val="20"/>
        </w:rPr>
        <w:fldChar w:fldCharType="begin" w:fldLock="1"/>
      </w:r>
      <w:r w:rsidRPr="008D6824">
        <w:rPr>
          <w:rFonts w:ascii="Arial Narrow" w:hAnsi="Arial Narrow"/>
          <w:b/>
          <w:bCs/>
          <w:i w:val="0"/>
          <w:iCs w:val="0"/>
          <w:sz w:val="20"/>
          <w:szCs w:val="20"/>
        </w:rPr>
        <w:instrText xml:space="preserve"> SEQ Table \* ARABIC </w:instrText>
      </w:r>
      <w:r w:rsidRPr="008D6824">
        <w:rPr>
          <w:rFonts w:ascii="Arial Narrow" w:hAnsi="Arial Narrow"/>
          <w:b/>
          <w:bCs/>
          <w:i w:val="0"/>
          <w:iCs w:val="0"/>
          <w:sz w:val="20"/>
          <w:szCs w:val="20"/>
        </w:rPr>
        <w:fldChar w:fldCharType="separate"/>
      </w:r>
      <w:r w:rsidR="00D05088">
        <w:rPr>
          <w:rFonts w:ascii="Arial Narrow" w:hAnsi="Arial Narrow"/>
          <w:b/>
          <w:bCs/>
          <w:i w:val="0"/>
          <w:iCs w:val="0"/>
          <w:noProof/>
          <w:sz w:val="20"/>
          <w:szCs w:val="20"/>
        </w:rPr>
        <w:t>3</w:t>
      </w:r>
      <w:r w:rsidRPr="008D6824">
        <w:rPr>
          <w:rFonts w:ascii="Arial Narrow" w:hAnsi="Arial Narrow"/>
          <w:b/>
          <w:bCs/>
          <w:i w:val="0"/>
          <w:iCs w:val="0"/>
          <w:sz w:val="20"/>
          <w:szCs w:val="20"/>
        </w:rPr>
        <w:fldChar w:fldCharType="end"/>
      </w:r>
      <w:bookmarkEnd w:id="6"/>
      <w:r w:rsidR="007B0440" w:rsidRPr="008D6824">
        <w:rPr>
          <w:rFonts w:ascii="Arial Narrow" w:hAnsi="Arial Narrow"/>
          <w:b/>
          <w:bCs/>
          <w:i w:val="0"/>
          <w:iCs w:val="0"/>
          <w:sz w:val="20"/>
          <w:szCs w:val="20"/>
        </w:rPr>
        <w:t xml:space="preserve">: Zanubrutinib RSA subsidisation caps and Commonwealth Payments since PBS </w:t>
      </w:r>
      <w:bookmarkEnd w:id="7"/>
      <w:r w:rsidR="007B0440" w:rsidRPr="008D6824">
        <w:rPr>
          <w:rFonts w:ascii="Arial Narrow" w:hAnsi="Arial Narrow"/>
          <w:b/>
          <w:bCs/>
          <w:i w:val="0"/>
          <w:iCs w:val="0"/>
          <w:sz w:val="20"/>
          <w:szCs w:val="20"/>
        </w:rPr>
        <w:t>listing</w:t>
      </w:r>
    </w:p>
    <w:tbl>
      <w:tblPr>
        <w:tblStyle w:val="Submissionstandard1"/>
        <w:tblW w:w="0" w:type="auto"/>
        <w:tblInd w:w="0" w:type="dxa"/>
        <w:tblLook w:val="04A0" w:firstRow="1" w:lastRow="0" w:firstColumn="1" w:lastColumn="0" w:noHBand="0" w:noVBand="1"/>
        <w:tblCaption w:val="Table 3: Zanubrutinib RSA subsidisation caps and Commonwealth Payments since PBS listing"/>
        <w:tblDescription w:val="Table 3: Zanubrutinib RSA subsidisation caps and Commonwealth Payments since PBS listing"/>
      </w:tblPr>
      <w:tblGrid>
        <w:gridCol w:w="700"/>
        <w:gridCol w:w="1501"/>
        <w:gridCol w:w="2047"/>
        <w:gridCol w:w="4768"/>
      </w:tblGrid>
      <w:tr w:rsidR="007B0440" w:rsidRPr="00BB4EB6" w14:paraId="34E9674A" w14:textId="77777777" w:rsidTr="00773531">
        <w:trPr>
          <w:cnfStyle w:val="100000000000" w:firstRow="1" w:lastRow="0" w:firstColumn="0" w:lastColumn="0" w:oddVBand="0" w:evenVBand="0" w:oddHBand="0" w:evenHBand="0" w:firstRowFirstColumn="0" w:firstRowLastColumn="0" w:lastRowFirstColumn="0" w:lastRowLastColumn="0"/>
          <w:trHeight w:val="283"/>
        </w:trPr>
        <w:tc>
          <w:tcPr>
            <w:tcW w:w="0" w:type="auto"/>
            <w:shd w:val="clear" w:color="auto" w:fill="auto"/>
            <w:noWrap/>
            <w:hideMark/>
          </w:tcPr>
          <w:p w14:paraId="2548FE24" w14:textId="3F73DE62" w:rsidR="007B0440" w:rsidRPr="007B0440" w:rsidRDefault="007B0440" w:rsidP="00D133EB">
            <w:pPr>
              <w:pStyle w:val="TableText0"/>
              <w:keepLines/>
              <w:rPr>
                <w:bCs w:val="0"/>
                <w:szCs w:val="20"/>
                <w:lang w:val="en-AU" w:eastAsia="en-AU" w:bidi="ar-SA"/>
              </w:rPr>
            </w:pPr>
          </w:p>
        </w:tc>
        <w:tc>
          <w:tcPr>
            <w:tcW w:w="0" w:type="auto"/>
            <w:shd w:val="clear" w:color="auto" w:fill="auto"/>
            <w:vAlign w:val="center"/>
          </w:tcPr>
          <w:p w14:paraId="7C4A7747" w14:textId="77777777" w:rsidR="007B0440" w:rsidRPr="007B0440" w:rsidRDefault="007B0440" w:rsidP="00773531">
            <w:pPr>
              <w:pStyle w:val="TableText0"/>
              <w:keepLines/>
              <w:jc w:val="center"/>
              <w:rPr>
                <w:bCs w:val="0"/>
                <w:szCs w:val="20"/>
                <w:lang w:val="en-AU" w:eastAsia="en-AU" w:bidi="ar-SA"/>
              </w:rPr>
            </w:pPr>
            <w:r w:rsidRPr="007B0440">
              <w:rPr>
                <w:bCs w:val="0"/>
                <w:szCs w:val="20"/>
                <w:lang w:val="en-AU" w:eastAsia="en-AU" w:bidi="ar-SA"/>
              </w:rPr>
              <w:t>Date range</w:t>
            </w:r>
          </w:p>
        </w:tc>
        <w:tc>
          <w:tcPr>
            <w:tcW w:w="2047" w:type="dxa"/>
            <w:shd w:val="clear" w:color="auto" w:fill="auto"/>
            <w:vAlign w:val="center"/>
          </w:tcPr>
          <w:p w14:paraId="4FCED494" w14:textId="77777777" w:rsidR="007B0440" w:rsidRPr="007B0440" w:rsidRDefault="007B0440" w:rsidP="00773531">
            <w:pPr>
              <w:pStyle w:val="TableText0"/>
              <w:keepLines/>
              <w:jc w:val="center"/>
              <w:rPr>
                <w:bCs w:val="0"/>
                <w:szCs w:val="20"/>
                <w:lang w:val="en-AU" w:eastAsia="en-AU" w:bidi="ar-SA"/>
              </w:rPr>
            </w:pPr>
            <w:r w:rsidRPr="007B0440">
              <w:rPr>
                <w:bCs w:val="0"/>
                <w:szCs w:val="20"/>
                <w:lang w:val="en-AU" w:eastAsia="en-AU" w:bidi="ar-SA"/>
              </w:rPr>
              <w:t>RSA Subsidisation Cap</w:t>
            </w:r>
          </w:p>
        </w:tc>
        <w:tc>
          <w:tcPr>
            <w:tcW w:w="4768" w:type="dxa"/>
            <w:shd w:val="clear" w:color="auto" w:fill="auto"/>
            <w:vAlign w:val="center"/>
          </w:tcPr>
          <w:p w14:paraId="4CBE2049" w14:textId="77777777" w:rsidR="007B0440" w:rsidRPr="007B0440" w:rsidRDefault="007B0440" w:rsidP="00773531">
            <w:pPr>
              <w:pStyle w:val="TableText0"/>
              <w:keepLines/>
              <w:jc w:val="center"/>
              <w:rPr>
                <w:bCs w:val="0"/>
                <w:szCs w:val="20"/>
                <w:lang w:val="en-AU" w:eastAsia="en-AU" w:bidi="ar-SA"/>
              </w:rPr>
            </w:pPr>
            <w:r w:rsidRPr="007B0440">
              <w:rPr>
                <w:bCs w:val="0"/>
                <w:szCs w:val="20"/>
                <w:lang w:val="en-AU" w:eastAsia="en-AU" w:bidi="ar-SA"/>
              </w:rPr>
              <w:t>Commonwealth Payment</w:t>
            </w:r>
          </w:p>
        </w:tc>
      </w:tr>
      <w:tr w:rsidR="007B0440" w:rsidRPr="00BB4EB6" w14:paraId="51B64503" w14:textId="77777777" w:rsidTr="00773531">
        <w:trPr>
          <w:trHeight w:val="283"/>
        </w:trPr>
        <w:tc>
          <w:tcPr>
            <w:tcW w:w="0" w:type="auto"/>
            <w:shd w:val="clear" w:color="auto" w:fill="auto"/>
            <w:noWrap/>
            <w:vAlign w:val="center"/>
            <w:hideMark/>
          </w:tcPr>
          <w:p w14:paraId="792C4265" w14:textId="77112A1A" w:rsidR="007B0440" w:rsidRPr="007B0440" w:rsidRDefault="001D1EEB" w:rsidP="00773531">
            <w:pPr>
              <w:pStyle w:val="TableText0"/>
              <w:keepLines/>
              <w:rPr>
                <w:szCs w:val="20"/>
                <w:lang w:val="en-AU" w:eastAsia="en-AU" w:bidi="ar-SA"/>
              </w:rPr>
            </w:pPr>
            <w:r>
              <w:rPr>
                <w:szCs w:val="20"/>
                <w:lang w:val="en-AU" w:eastAsia="en-AU" w:bidi="ar-SA"/>
              </w:rPr>
              <w:t>Year 1</w:t>
            </w:r>
          </w:p>
        </w:tc>
        <w:tc>
          <w:tcPr>
            <w:tcW w:w="0" w:type="auto"/>
            <w:shd w:val="clear" w:color="auto" w:fill="auto"/>
            <w:vAlign w:val="center"/>
          </w:tcPr>
          <w:p w14:paraId="31FC0598" w14:textId="77777777" w:rsidR="007B0440" w:rsidRPr="007B0440" w:rsidRDefault="007B0440" w:rsidP="00773531">
            <w:pPr>
              <w:pStyle w:val="TableText0"/>
              <w:keepLines/>
              <w:jc w:val="center"/>
              <w:rPr>
                <w:szCs w:val="20"/>
                <w:lang w:val="en-AU" w:eastAsia="en-AU" w:bidi="ar-SA"/>
              </w:rPr>
            </w:pPr>
            <w:r w:rsidRPr="007B0440">
              <w:rPr>
                <w:szCs w:val="20"/>
                <w:lang w:val="en-AU" w:eastAsia="en-AU" w:bidi="ar-SA"/>
              </w:rPr>
              <w:t>July 2022 to June 2023</w:t>
            </w:r>
          </w:p>
        </w:tc>
        <w:tc>
          <w:tcPr>
            <w:tcW w:w="2047" w:type="dxa"/>
            <w:shd w:val="clear" w:color="auto" w:fill="auto"/>
            <w:vAlign w:val="center"/>
          </w:tcPr>
          <w:p w14:paraId="2C6F5716" w14:textId="0704D6F0" w:rsidR="007B0440" w:rsidRPr="007B0440" w:rsidRDefault="007B0440" w:rsidP="00773531">
            <w:pPr>
              <w:pStyle w:val="TableText0"/>
              <w:keepLines/>
              <w:jc w:val="center"/>
              <w:rPr>
                <w:szCs w:val="20"/>
                <w:lang w:val="en-AU" w:eastAsia="en-AU" w:bidi="ar-SA"/>
              </w:rPr>
            </w:pPr>
            <w:r w:rsidRPr="007B0440">
              <w:rPr>
                <w:szCs w:val="20"/>
                <w:lang w:val="en-AU" w:eastAsia="en-AU" w:bidi="ar-SA"/>
              </w:rPr>
              <w:t>$</w:t>
            </w:r>
            <w:r w:rsidR="00E926B5" w:rsidRPr="00E926B5">
              <w:rPr>
                <w:color w:val="000000"/>
                <w:szCs w:val="20"/>
                <w:shd w:val="solid" w:color="000000" w:fill="000000"/>
                <w14:textFill>
                  <w14:solidFill>
                    <w14:srgbClr w14:val="000000">
                      <w14:alpha w14:val="100000"/>
                    </w14:srgbClr>
                  </w14:solidFill>
                </w14:textFill>
              </w:rPr>
              <w:t>|</w:t>
            </w:r>
          </w:p>
        </w:tc>
        <w:tc>
          <w:tcPr>
            <w:tcW w:w="4768" w:type="dxa"/>
            <w:shd w:val="clear" w:color="auto" w:fill="auto"/>
            <w:vAlign w:val="center"/>
          </w:tcPr>
          <w:p w14:paraId="466CA9AE" w14:textId="2E6A14FE" w:rsidR="007B0440" w:rsidRPr="007B0440" w:rsidRDefault="007B0440" w:rsidP="00773531">
            <w:pPr>
              <w:pStyle w:val="TableText0"/>
              <w:keepLines/>
              <w:jc w:val="center"/>
              <w:rPr>
                <w:szCs w:val="20"/>
                <w:lang w:val="en-AU" w:eastAsia="en-AU" w:bidi="ar-SA"/>
              </w:rPr>
            </w:pPr>
            <w:r w:rsidRPr="007B0440">
              <w:rPr>
                <w:szCs w:val="20"/>
                <w:lang w:val="en-AU" w:eastAsia="en-AU" w:bidi="ar-SA"/>
              </w:rPr>
              <w:t>$</w:t>
            </w:r>
            <w:r w:rsidR="00E926B5" w:rsidRPr="00E926B5">
              <w:rPr>
                <w:color w:val="000000"/>
                <w:szCs w:val="20"/>
                <w:shd w:val="solid" w:color="000000" w:fill="000000"/>
                <w14:textFill>
                  <w14:solidFill>
                    <w14:srgbClr w14:val="000000">
                      <w14:alpha w14:val="100000"/>
                    </w14:srgbClr>
                  </w14:solidFill>
                </w14:textFill>
              </w:rPr>
              <w:t>|</w:t>
            </w:r>
            <w:r w:rsidR="008D6824" w:rsidRPr="00513DCF">
              <w:rPr>
                <w:szCs w:val="20"/>
                <w:vertAlign w:val="superscript"/>
                <w:lang w:val="en-AU" w:eastAsia="en-AU" w:bidi="ar-SA"/>
              </w:rPr>
              <w:t>a</w:t>
            </w:r>
          </w:p>
        </w:tc>
      </w:tr>
      <w:tr w:rsidR="007B0440" w:rsidRPr="00BB4EB6" w14:paraId="1DF200A4" w14:textId="77777777" w:rsidTr="00773531">
        <w:trPr>
          <w:trHeight w:val="283"/>
        </w:trPr>
        <w:tc>
          <w:tcPr>
            <w:tcW w:w="0" w:type="auto"/>
            <w:shd w:val="clear" w:color="auto" w:fill="auto"/>
            <w:noWrap/>
            <w:vAlign w:val="center"/>
            <w:hideMark/>
          </w:tcPr>
          <w:p w14:paraId="588264E5" w14:textId="6CBA3AEF" w:rsidR="007B0440" w:rsidRPr="007B0440" w:rsidRDefault="001D1EEB" w:rsidP="00773531">
            <w:pPr>
              <w:pStyle w:val="TableText0"/>
              <w:keepLines/>
              <w:rPr>
                <w:szCs w:val="20"/>
                <w:lang w:val="en-AU" w:eastAsia="en-AU" w:bidi="ar-SA"/>
              </w:rPr>
            </w:pPr>
            <w:r>
              <w:rPr>
                <w:szCs w:val="20"/>
                <w:lang w:val="en-AU" w:eastAsia="en-AU" w:bidi="ar-SA"/>
              </w:rPr>
              <w:t>Year 2</w:t>
            </w:r>
          </w:p>
        </w:tc>
        <w:tc>
          <w:tcPr>
            <w:tcW w:w="0" w:type="auto"/>
            <w:shd w:val="clear" w:color="auto" w:fill="auto"/>
            <w:vAlign w:val="center"/>
          </w:tcPr>
          <w:p w14:paraId="1D65991C" w14:textId="77777777" w:rsidR="007B0440" w:rsidRPr="007B0440" w:rsidRDefault="007B0440" w:rsidP="00773531">
            <w:pPr>
              <w:pStyle w:val="TableText0"/>
              <w:keepLines/>
              <w:jc w:val="center"/>
              <w:rPr>
                <w:szCs w:val="20"/>
                <w:lang w:val="en-AU" w:eastAsia="en-AU" w:bidi="ar-SA"/>
              </w:rPr>
            </w:pPr>
            <w:r w:rsidRPr="007B0440">
              <w:rPr>
                <w:szCs w:val="20"/>
                <w:lang w:val="en-AU" w:eastAsia="en-AU" w:bidi="ar-SA"/>
              </w:rPr>
              <w:t>July 2023 to June 2024</w:t>
            </w:r>
          </w:p>
        </w:tc>
        <w:tc>
          <w:tcPr>
            <w:tcW w:w="2047" w:type="dxa"/>
            <w:shd w:val="clear" w:color="auto" w:fill="auto"/>
            <w:vAlign w:val="center"/>
          </w:tcPr>
          <w:p w14:paraId="5DAF7A92" w14:textId="1352A71B" w:rsidR="007B0440" w:rsidRPr="007B0440" w:rsidRDefault="007B0440" w:rsidP="00773531">
            <w:pPr>
              <w:pStyle w:val="TableText0"/>
              <w:keepLines/>
              <w:jc w:val="center"/>
              <w:rPr>
                <w:szCs w:val="20"/>
                <w:lang w:val="en-AU" w:eastAsia="en-AU" w:bidi="ar-SA"/>
              </w:rPr>
            </w:pPr>
            <w:r w:rsidRPr="007B0440">
              <w:rPr>
                <w:szCs w:val="20"/>
                <w:lang w:val="en-AU" w:eastAsia="en-AU" w:bidi="ar-SA"/>
              </w:rPr>
              <w:t>$</w:t>
            </w:r>
            <w:r w:rsidR="00E926B5" w:rsidRPr="00E926B5">
              <w:rPr>
                <w:color w:val="000000"/>
                <w:szCs w:val="20"/>
                <w:shd w:val="solid" w:color="000000" w:fill="000000"/>
                <w14:textFill>
                  <w14:solidFill>
                    <w14:srgbClr w14:val="000000">
                      <w14:alpha w14:val="100000"/>
                    </w14:srgbClr>
                  </w14:solidFill>
                </w14:textFill>
              </w:rPr>
              <w:t>|</w:t>
            </w:r>
          </w:p>
        </w:tc>
        <w:tc>
          <w:tcPr>
            <w:tcW w:w="4768" w:type="dxa"/>
            <w:shd w:val="clear" w:color="auto" w:fill="auto"/>
            <w:vAlign w:val="center"/>
          </w:tcPr>
          <w:p w14:paraId="2FFE241B" w14:textId="79263C92" w:rsidR="007B0440" w:rsidRPr="007B0440" w:rsidRDefault="007B0440" w:rsidP="00773531">
            <w:pPr>
              <w:pStyle w:val="TableText0"/>
              <w:keepLines/>
              <w:jc w:val="center"/>
              <w:rPr>
                <w:szCs w:val="20"/>
                <w:lang w:val="en-AU" w:eastAsia="en-AU" w:bidi="ar-SA"/>
              </w:rPr>
            </w:pPr>
            <w:r w:rsidRPr="007B0440">
              <w:rPr>
                <w:szCs w:val="20"/>
                <w:lang w:val="en-AU" w:eastAsia="en-AU" w:bidi="ar-SA"/>
              </w:rPr>
              <w:t>$</w:t>
            </w:r>
            <w:r w:rsidR="00E926B5" w:rsidRPr="00E926B5">
              <w:rPr>
                <w:color w:val="000000"/>
                <w:szCs w:val="20"/>
                <w:shd w:val="solid" w:color="000000" w:fill="000000"/>
                <w14:textFill>
                  <w14:solidFill>
                    <w14:srgbClr w14:val="000000">
                      <w14:alpha w14:val="100000"/>
                    </w14:srgbClr>
                  </w14:solidFill>
                </w14:textFill>
              </w:rPr>
              <w:t>|</w:t>
            </w:r>
            <w:r w:rsidRPr="007B0440">
              <w:rPr>
                <w:szCs w:val="20"/>
                <w:lang w:val="en-AU" w:eastAsia="en-AU" w:bidi="ar-SA"/>
              </w:rPr>
              <w:t xml:space="preserve"> (</w:t>
            </w:r>
            <w:r w:rsidR="008D6824">
              <w:rPr>
                <w:szCs w:val="20"/>
                <w:lang w:val="en-AU" w:eastAsia="en-AU" w:bidi="ar-SA"/>
              </w:rPr>
              <w:t xml:space="preserve">actuals; </w:t>
            </w:r>
            <w:r w:rsidRPr="007B0440">
              <w:rPr>
                <w:szCs w:val="20"/>
                <w:lang w:val="en-AU" w:eastAsia="en-AU" w:bidi="ar-SA"/>
              </w:rPr>
              <w:t>Jul</w:t>
            </w:r>
            <w:r w:rsidR="008D6824">
              <w:rPr>
                <w:szCs w:val="20"/>
                <w:lang w:val="en-AU" w:eastAsia="en-AU" w:bidi="ar-SA"/>
              </w:rPr>
              <w:t>y 20</w:t>
            </w:r>
            <w:r w:rsidRPr="007B0440">
              <w:rPr>
                <w:szCs w:val="20"/>
                <w:lang w:val="en-AU" w:eastAsia="en-AU" w:bidi="ar-SA"/>
              </w:rPr>
              <w:t xml:space="preserve">23 to </w:t>
            </w:r>
            <w:r w:rsidR="008D6824">
              <w:rPr>
                <w:szCs w:val="20"/>
                <w:lang w:val="en-AU" w:eastAsia="en-AU" w:bidi="ar-SA"/>
              </w:rPr>
              <w:t>January 20</w:t>
            </w:r>
            <w:r w:rsidRPr="007B0440">
              <w:rPr>
                <w:szCs w:val="20"/>
                <w:lang w:val="en-AU" w:eastAsia="en-AU" w:bidi="ar-SA"/>
              </w:rPr>
              <w:t>24)</w:t>
            </w:r>
            <w:r w:rsidR="008D6824" w:rsidRPr="008D6824">
              <w:rPr>
                <w:szCs w:val="20"/>
                <w:vertAlign w:val="superscript"/>
                <w:lang w:val="en-AU" w:eastAsia="en-AU" w:bidi="ar-SA"/>
              </w:rPr>
              <w:t>b</w:t>
            </w:r>
          </w:p>
          <w:p w14:paraId="43BBFD52" w14:textId="044C8DF8" w:rsidR="007B0440" w:rsidRPr="007B0440" w:rsidRDefault="007B0440" w:rsidP="00773531">
            <w:pPr>
              <w:pStyle w:val="TableText0"/>
              <w:keepLines/>
              <w:jc w:val="center"/>
              <w:rPr>
                <w:szCs w:val="20"/>
                <w:lang w:val="en-AU" w:eastAsia="en-AU" w:bidi="ar-SA"/>
              </w:rPr>
            </w:pPr>
            <w:r w:rsidRPr="007B0440">
              <w:rPr>
                <w:szCs w:val="20"/>
                <w:lang w:val="en-AU" w:eastAsia="en-AU" w:bidi="ar-SA"/>
              </w:rPr>
              <w:t>$</w:t>
            </w:r>
            <w:r w:rsidR="00E926B5" w:rsidRPr="00F567D8">
              <w:rPr>
                <w:color w:val="000000"/>
                <w:spacing w:val="41"/>
                <w:szCs w:val="20"/>
                <w:shd w:val="solid" w:color="000000" w:fill="000000"/>
                <w:fitText w:val="210" w:id="-893114612"/>
                <w14:textFill>
                  <w14:solidFill>
                    <w14:srgbClr w14:val="000000">
                      <w14:alpha w14:val="100000"/>
                    </w14:srgbClr>
                  </w14:solidFill>
                </w14:textFill>
              </w:rPr>
              <w:t>||</w:t>
            </w:r>
            <w:r w:rsidR="00E926B5" w:rsidRPr="00F567D8">
              <w:rPr>
                <w:color w:val="000000"/>
                <w:spacing w:val="1"/>
                <w:szCs w:val="20"/>
                <w:shd w:val="solid" w:color="000000" w:fill="000000"/>
                <w:fitText w:val="210" w:id="-893114612"/>
                <w14:textFill>
                  <w14:solidFill>
                    <w14:srgbClr w14:val="000000">
                      <w14:alpha w14:val="100000"/>
                    </w14:srgbClr>
                  </w14:solidFill>
                </w14:textFill>
              </w:rPr>
              <w:t>|</w:t>
            </w:r>
            <w:r w:rsidRPr="007B0440">
              <w:rPr>
                <w:szCs w:val="20"/>
                <w:lang w:val="en-AU" w:eastAsia="en-AU" w:bidi="ar-SA"/>
              </w:rPr>
              <w:t>(</w:t>
            </w:r>
            <w:r w:rsidR="008D6824">
              <w:rPr>
                <w:szCs w:val="20"/>
                <w:lang w:val="en-AU" w:eastAsia="en-AU" w:bidi="ar-SA"/>
              </w:rPr>
              <w:t xml:space="preserve">estimates for 12 months, based on the </w:t>
            </w:r>
            <w:r w:rsidRPr="007B0440">
              <w:rPr>
                <w:szCs w:val="20"/>
                <w:lang w:val="en-AU" w:eastAsia="en-AU" w:bidi="ar-SA"/>
              </w:rPr>
              <w:t>Jul</w:t>
            </w:r>
            <w:r w:rsidR="008D6824">
              <w:rPr>
                <w:szCs w:val="20"/>
                <w:lang w:val="en-AU" w:eastAsia="en-AU" w:bidi="ar-SA"/>
              </w:rPr>
              <w:t>y 20</w:t>
            </w:r>
            <w:r w:rsidRPr="007B0440">
              <w:rPr>
                <w:szCs w:val="20"/>
                <w:lang w:val="en-AU" w:eastAsia="en-AU" w:bidi="ar-SA"/>
              </w:rPr>
              <w:t xml:space="preserve">23 to </w:t>
            </w:r>
            <w:r w:rsidR="008D6824">
              <w:rPr>
                <w:szCs w:val="20"/>
                <w:lang w:val="en-AU" w:eastAsia="en-AU" w:bidi="ar-SA"/>
              </w:rPr>
              <w:t>January 20</w:t>
            </w:r>
            <w:r w:rsidRPr="007B0440">
              <w:rPr>
                <w:szCs w:val="20"/>
                <w:lang w:val="en-AU" w:eastAsia="en-AU" w:bidi="ar-SA"/>
              </w:rPr>
              <w:t>24 actuals)</w:t>
            </w:r>
          </w:p>
        </w:tc>
      </w:tr>
    </w:tbl>
    <w:p w14:paraId="680F62DA" w14:textId="1EC34664" w:rsidR="007B0440" w:rsidRPr="007B0440" w:rsidRDefault="007B0440" w:rsidP="00D133EB">
      <w:pPr>
        <w:keepNext/>
        <w:keepLines/>
        <w:rPr>
          <w:rFonts w:ascii="Arial Narrow" w:hAnsi="Arial Narrow"/>
          <w:sz w:val="18"/>
          <w:szCs w:val="18"/>
        </w:rPr>
      </w:pPr>
      <w:r w:rsidRPr="007B0440">
        <w:rPr>
          <w:rFonts w:ascii="Arial Narrow" w:hAnsi="Arial Narrow"/>
          <w:sz w:val="18"/>
          <w:szCs w:val="18"/>
        </w:rPr>
        <w:t xml:space="preserve">Source: </w:t>
      </w:r>
      <w:r>
        <w:rPr>
          <w:rFonts w:ascii="Arial Narrow" w:hAnsi="Arial Narrow"/>
          <w:sz w:val="18"/>
          <w:szCs w:val="18"/>
        </w:rPr>
        <w:t>Table 1.1</w:t>
      </w:r>
      <w:r w:rsidR="00EA23B7">
        <w:rPr>
          <w:rFonts w:ascii="Arial Narrow" w:hAnsi="Arial Narrow"/>
          <w:sz w:val="18"/>
          <w:szCs w:val="18"/>
        </w:rPr>
        <w:t>, p4</w:t>
      </w:r>
      <w:r>
        <w:rPr>
          <w:rFonts w:ascii="Arial Narrow" w:hAnsi="Arial Narrow"/>
          <w:sz w:val="18"/>
          <w:szCs w:val="18"/>
        </w:rPr>
        <w:t xml:space="preserve"> of the submission </w:t>
      </w:r>
    </w:p>
    <w:p w14:paraId="315025C7" w14:textId="42D98552" w:rsidR="007B0440" w:rsidRPr="007B0440" w:rsidRDefault="008D6824" w:rsidP="00D133EB">
      <w:pPr>
        <w:keepNext/>
        <w:keepLines/>
        <w:rPr>
          <w:rFonts w:ascii="Arial Narrow" w:hAnsi="Arial Narrow"/>
          <w:sz w:val="18"/>
          <w:szCs w:val="18"/>
        </w:rPr>
      </w:pPr>
      <w:r w:rsidRPr="008D6824">
        <w:rPr>
          <w:rFonts w:ascii="Arial Narrow" w:hAnsi="Arial Narrow"/>
          <w:sz w:val="18"/>
          <w:szCs w:val="18"/>
          <w:vertAlign w:val="superscript"/>
        </w:rPr>
        <w:t>a</w:t>
      </w:r>
      <w:r w:rsidR="007B0440" w:rsidRPr="007B0440">
        <w:rPr>
          <w:rFonts w:ascii="Arial Narrow" w:hAnsi="Arial Narrow"/>
          <w:sz w:val="18"/>
          <w:szCs w:val="18"/>
        </w:rPr>
        <w:t>. PBS Rebate Management Service - Reimbursement Calculation Report, Deed Commonwealth Payment, dated 1/8/2023</w:t>
      </w:r>
    </w:p>
    <w:p w14:paraId="6AC6224D" w14:textId="261C6638" w:rsidR="007B0440" w:rsidRDefault="008D6824" w:rsidP="00773531">
      <w:pPr>
        <w:keepLines/>
        <w:spacing w:after="120"/>
        <w:rPr>
          <w:rFonts w:ascii="Arial Narrow" w:hAnsi="Arial Narrow"/>
          <w:sz w:val="18"/>
          <w:szCs w:val="18"/>
        </w:rPr>
      </w:pPr>
      <w:r w:rsidRPr="008D6824">
        <w:rPr>
          <w:rFonts w:ascii="Arial Narrow" w:hAnsi="Arial Narrow"/>
          <w:sz w:val="18"/>
          <w:szCs w:val="18"/>
          <w:vertAlign w:val="superscript"/>
        </w:rPr>
        <w:t>b</w:t>
      </w:r>
      <w:r w:rsidR="007B0440" w:rsidRPr="007B0440">
        <w:rPr>
          <w:rFonts w:ascii="Arial Narrow" w:hAnsi="Arial Narrow"/>
          <w:sz w:val="18"/>
          <w:szCs w:val="18"/>
        </w:rPr>
        <w:t>. PBS Rebate Management Service - Reimbursement Calculation Report, Special Pricing Arrangement, months Jul</w:t>
      </w:r>
      <w:r>
        <w:rPr>
          <w:rFonts w:ascii="Arial Narrow" w:hAnsi="Arial Narrow"/>
          <w:sz w:val="18"/>
          <w:szCs w:val="18"/>
        </w:rPr>
        <w:t>y 20</w:t>
      </w:r>
      <w:r w:rsidR="007B0440" w:rsidRPr="007B0440">
        <w:rPr>
          <w:rFonts w:ascii="Arial Narrow" w:hAnsi="Arial Narrow"/>
          <w:sz w:val="18"/>
          <w:szCs w:val="18"/>
        </w:rPr>
        <w:t>23 to Jan</w:t>
      </w:r>
      <w:r>
        <w:rPr>
          <w:rFonts w:ascii="Arial Narrow" w:hAnsi="Arial Narrow"/>
          <w:sz w:val="18"/>
          <w:szCs w:val="18"/>
        </w:rPr>
        <w:t>uary 20</w:t>
      </w:r>
      <w:r w:rsidR="007B0440" w:rsidRPr="007B0440">
        <w:rPr>
          <w:rFonts w:ascii="Arial Narrow" w:hAnsi="Arial Narrow"/>
          <w:sz w:val="18"/>
          <w:szCs w:val="18"/>
        </w:rPr>
        <w:t>24</w:t>
      </w:r>
    </w:p>
    <w:p w14:paraId="1B8790B6" w14:textId="77777777" w:rsidR="00964A9F" w:rsidRPr="00A6439B" w:rsidRDefault="00964A9F" w:rsidP="0054756C">
      <w:pPr>
        <w:pStyle w:val="2-SectionHeading"/>
        <w:spacing w:before="0"/>
      </w:pPr>
      <w:r w:rsidRPr="00A6439B">
        <w:t xml:space="preserve">Requested listing </w:t>
      </w:r>
    </w:p>
    <w:p w14:paraId="17118911" w14:textId="68621E3C" w:rsidR="00964A9F" w:rsidRPr="00532384" w:rsidRDefault="00964A9F" w:rsidP="00232890">
      <w:pPr>
        <w:pStyle w:val="3Bodytext"/>
        <w:jc w:val="both"/>
        <w:rPr>
          <w:rFonts w:cstheme="minorHAnsi"/>
        </w:rPr>
      </w:pPr>
      <w:r w:rsidRPr="00346643">
        <w:t>The submission propose</w:t>
      </w:r>
      <w:r w:rsidR="00346643" w:rsidRPr="00346643">
        <w:t>d</w:t>
      </w:r>
      <w:r w:rsidRPr="00346643">
        <w:t xml:space="preserve"> no changes to the existing listing</w:t>
      </w:r>
      <w:r w:rsidR="00346643">
        <w:t xml:space="preserve">. Therefore, </w:t>
      </w:r>
      <w:r w:rsidR="00346643" w:rsidRPr="00346643">
        <w:t xml:space="preserve">the full restrictions have not been </w:t>
      </w:r>
      <w:r w:rsidR="00346643">
        <w:t xml:space="preserve">included </w:t>
      </w:r>
      <w:r w:rsidR="00346643" w:rsidRPr="00346643">
        <w:t>here</w:t>
      </w:r>
      <w:r w:rsidR="00346643">
        <w:t xml:space="preserve">. </w:t>
      </w:r>
    </w:p>
    <w:p w14:paraId="26611E7B" w14:textId="582A1187" w:rsidR="007810CA" w:rsidRPr="00F91831" w:rsidRDefault="00C27C1C" w:rsidP="00417008">
      <w:pPr>
        <w:pStyle w:val="Heading1"/>
        <w:keepNext/>
        <w:keepLines/>
        <w:numPr>
          <w:ilvl w:val="0"/>
          <w:numId w:val="1"/>
        </w:numPr>
        <w:ind w:left="709" w:hanging="709"/>
        <w:jc w:val="both"/>
        <w:rPr>
          <w:sz w:val="32"/>
          <w:szCs w:val="32"/>
        </w:rPr>
      </w:pPr>
      <w:r w:rsidRPr="00A6439B">
        <w:rPr>
          <w:sz w:val="32"/>
          <w:szCs w:val="32"/>
        </w:rPr>
        <w:t>Consideration of the evidence</w:t>
      </w:r>
    </w:p>
    <w:p w14:paraId="3A5E6401" w14:textId="79C49607" w:rsidR="006C3644" w:rsidRDefault="006C3644" w:rsidP="0020391E">
      <w:pPr>
        <w:pStyle w:val="4-SubsectionHeading"/>
        <w:spacing w:before="0"/>
        <w:rPr>
          <w:lang w:eastAsia="en-US"/>
        </w:rPr>
      </w:pPr>
      <w:r>
        <w:rPr>
          <w:lang w:eastAsia="en-US"/>
        </w:rPr>
        <w:t>Sponsor hearing</w:t>
      </w:r>
    </w:p>
    <w:p w14:paraId="2A047716" w14:textId="62E55004" w:rsidR="006C3644" w:rsidRDefault="006C3644" w:rsidP="0020391E">
      <w:pPr>
        <w:pStyle w:val="3Bodytext"/>
        <w:keepNext/>
        <w:jc w:val="both"/>
      </w:pPr>
      <w:r w:rsidRPr="006C3644">
        <w:t>There was no hearing for this item</w:t>
      </w:r>
      <w:r>
        <w:t>.</w:t>
      </w:r>
    </w:p>
    <w:p w14:paraId="15950775" w14:textId="7818B812" w:rsidR="006C3644" w:rsidRDefault="006C3644" w:rsidP="006C3644">
      <w:pPr>
        <w:pStyle w:val="4-SubsectionHeading"/>
        <w:keepNext w:val="0"/>
        <w:spacing w:before="0"/>
        <w:rPr>
          <w:lang w:eastAsia="en-US"/>
        </w:rPr>
      </w:pPr>
      <w:r w:rsidRPr="006C3644">
        <w:rPr>
          <w:lang w:eastAsia="en-US"/>
        </w:rPr>
        <w:t>Consumer comments</w:t>
      </w:r>
    </w:p>
    <w:p w14:paraId="038ED2C7" w14:textId="7B7108A0" w:rsidR="006C3644" w:rsidRPr="006C3644" w:rsidRDefault="006C3644" w:rsidP="006C3644">
      <w:pPr>
        <w:pStyle w:val="3Bodytext"/>
        <w:jc w:val="both"/>
        <w:rPr>
          <w:lang w:eastAsia="en-US"/>
        </w:rPr>
      </w:pPr>
      <w:r w:rsidRPr="006C3644">
        <w:rPr>
          <w:lang w:eastAsia="en-US"/>
        </w:rPr>
        <w:t>The PBAC noted that no consumer comments were received for this item</w:t>
      </w:r>
      <w:r>
        <w:rPr>
          <w:lang w:eastAsia="en-US"/>
        </w:rPr>
        <w:t>.</w:t>
      </w:r>
    </w:p>
    <w:p w14:paraId="54B50BB7" w14:textId="0C086D86" w:rsidR="000D616D" w:rsidRDefault="000D616D" w:rsidP="006D54C5">
      <w:pPr>
        <w:pStyle w:val="4-SubsectionHeading"/>
        <w:keepNext w:val="0"/>
        <w:spacing w:before="0"/>
        <w:rPr>
          <w:lang w:eastAsia="en-US"/>
        </w:rPr>
      </w:pPr>
      <w:r w:rsidRPr="000D616D">
        <w:rPr>
          <w:lang w:eastAsia="en-US"/>
        </w:rPr>
        <w:t xml:space="preserve">Revised </w:t>
      </w:r>
      <w:r w:rsidR="00F91831">
        <w:rPr>
          <w:lang w:eastAsia="en-US"/>
        </w:rPr>
        <w:t xml:space="preserve">utilisation </w:t>
      </w:r>
      <w:r w:rsidRPr="000D616D">
        <w:rPr>
          <w:lang w:eastAsia="en-US"/>
        </w:rPr>
        <w:t>estimates</w:t>
      </w:r>
    </w:p>
    <w:p w14:paraId="065A1267" w14:textId="6E5B4CE6" w:rsidR="000D616D" w:rsidRPr="00DE5FB2" w:rsidRDefault="00941D2A" w:rsidP="006D54C5">
      <w:pPr>
        <w:pStyle w:val="5-SubsectionSubheading"/>
        <w:spacing w:before="0" w:after="120"/>
        <w:rPr>
          <w:lang w:eastAsia="en-US"/>
        </w:rPr>
      </w:pPr>
      <w:r w:rsidRPr="00DE5FB2">
        <w:rPr>
          <w:lang w:eastAsia="en-US"/>
        </w:rPr>
        <w:t>New</w:t>
      </w:r>
      <w:r w:rsidR="00F91831" w:rsidRPr="00DE5FB2">
        <w:rPr>
          <w:lang w:eastAsia="en-US"/>
        </w:rPr>
        <w:t xml:space="preserve"> epidemiological data </w:t>
      </w:r>
    </w:p>
    <w:p w14:paraId="07E4AE94" w14:textId="162742B0" w:rsidR="00F91831" w:rsidRPr="00ED3F0B" w:rsidRDefault="00BB62DB" w:rsidP="006D54C5">
      <w:pPr>
        <w:pStyle w:val="3Bodytext"/>
        <w:jc w:val="both"/>
      </w:pPr>
      <w:bookmarkStart w:id="8" w:name="_Ref170234648"/>
      <w:r w:rsidRPr="00BB62DB">
        <w:t xml:space="preserve">The submission stated that </w:t>
      </w:r>
      <w:r w:rsidR="00F91831" w:rsidRPr="00BB62DB">
        <w:t>blood cancer data as published by the Australian Institute of Health and Welfare (AIHW)</w:t>
      </w:r>
      <w:r w:rsidR="00904B7B" w:rsidRPr="00BB62DB">
        <w:t xml:space="preserve"> were only available within the International Classification of Diseases 10</w:t>
      </w:r>
      <w:r w:rsidR="00904B7B" w:rsidRPr="000556D1">
        <w:rPr>
          <w:vertAlign w:val="superscript"/>
        </w:rPr>
        <w:t>th</w:t>
      </w:r>
      <w:r w:rsidR="00904B7B" w:rsidRPr="00BB62DB">
        <w:t xml:space="preserve"> Revision (ICD-10) framework</w:t>
      </w:r>
      <w:r w:rsidR="000556D1">
        <w:t xml:space="preserve"> at the time of PBAC consideration for zanubrutinib.</w:t>
      </w:r>
      <w:r w:rsidR="00904B7B" w:rsidRPr="00BB62DB">
        <w:t xml:space="preserve"> </w:t>
      </w:r>
      <w:r w:rsidR="000556D1">
        <w:t xml:space="preserve">The </w:t>
      </w:r>
      <w:r w:rsidR="007061DB" w:rsidRPr="00BB62DB">
        <w:t xml:space="preserve">smallest AIHW published grouping available was </w:t>
      </w:r>
      <w:r w:rsidR="000556D1" w:rsidRPr="00BB62DB">
        <w:t xml:space="preserve">Code </w:t>
      </w:r>
      <w:r w:rsidR="007061DB" w:rsidRPr="00BB62DB">
        <w:t xml:space="preserve">C88, which </w:t>
      </w:r>
      <w:r w:rsidR="000556D1">
        <w:t>was</w:t>
      </w:r>
      <w:r w:rsidR="007061DB" w:rsidRPr="00BB62DB">
        <w:t xml:space="preserve"> ‘Immunoproliferative Cancers’. WM </w:t>
      </w:r>
      <w:r w:rsidR="000556D1">
        <w:t xml:space="preserve">belonged </w:t>
      </w:r>
      <w:r w:rsidR="007061DB" w:rsidRPr="00BB62DB">
        <w:t>in this group as d</w:t>
      </w:r>
      <w:r w:rsidR="000556D1">
        <w:t>id</w:t>
      </w:r>
      <w:r w:rsidR="007061DB" w:rsidRPr="00BB62DB">
        <w:t xml:space="preserve"> marginal zone lymphoma (MZL, C88.4). It was unknow</w:t>
      </w:r>
      <w:r w:rsidR="00B329BC">
        <w:t>n</w:t>
      </w:r>
      <w:r w:rsidR="007061DB" w:rsidRPr="00BB62DB">
        <w:t xml:space="preserve"> what proportion of </w:t>
      </w:r>
      <w:r w:rsidR="000556D1" w:rsidRPr="00BB62DB">
        <w:t xml:space="preserve">Code </w:t>
      </w:r>
      <w:r w:rsidR="007061DB" w:rsidRPr="00BB62DB">
        <w:lastRenderedPageBreak/>
        <w:t>C88 was WM, MZL or other</w:t>
      </w:r>
      <w:r w:rsidR="00161CB1">
        <w:t>s</w:t>
      </w:r>
      <w:r w:rsidR="000556D1">
        <w:t xml:space="preserve">. As such, it was noted that </w:t>
      </w:r>
      <w:r w:rsidR="007061DB" w:rsidRPr="00BB62DB">
        <w:t>AIHW Code C88 refer</w:t>
      </w:r>
      <w:r w:rsidR="000556D1">
        <w:t>red</w:t>
      </w:r>
      <w:r w:rsidR="007061DB" w:rsidRPr="00BB62DB">
        <w:t xml:space="preserve"> to </w:t>
      </w:r>
      <w:r w:rsidR="007061DB" w:rsidRPr="00ED3F0B">
        <w:t>immunoproliferative cancers</w:t>
      </w:r>
      <w:r w:rsidR="000556D1" w:rsidRPr="00ED3F0B">
        <w:t>,</w:t>
      </w:r>
      <w:r w:rsidR="007061DB" w:rsidRPr="00ED3F0B">
        <w:t xml:space="preserve"> but d</w:t>
      </w:r>
      <w:r w:rsidR="000556D1" w:rsidRPr="00ED3F0B">
        <w:t>id</w:t>
      </w:r>
      <w:r w:rsidR="007061DB" w:rsidRPr="00ED3F0B">
        <w:t xml:space="preserve"> not specify </w:t>
      </w:r>
      <w:r w:rsidR="000556D1" w:rsidRPr="00ED3F0B">
        <w:t xml:space="preserve">the </w:t>
      </w:r>
      <w:r w:rsidR="007061DB" w:rsidRPr="00ED3F0B">
        <w:t xml:space="preserve">WM subset </w:t>
      </w:r>
      <w:r w:rsidR="000556D1" w:rsidRPr="00ED3F0B">
        <w:t xml:space="preserve">in the March 2022 consideration </w:t>
      </w:r>
      <w:r w:rsidR="007061DB" w:rsidRPr="00ED3F0B">
        <w:t>(</w:t>
      </w:r>
      <w:r w:rsidR="000556D1" w:rsidRPr="00ED3F0B">
        <w:t>Table 22, zanubrutinib, PSD, March 2022).</w:t>
      </w:r>
      <w:bookmarkEnd w:id="8"/>
      <w:r w:rsidR="007061DB" w:rsidRPr="00ED3F0B">
        <w:t xml:space="preserve"> </w:t>
      </w:r>
    </w:p>
    <w:p w14:paraId="229E5C4E" w14:textId="526CF3C3" w:rsidR="003719BA" w:rsidRPr="00ED3F0B" w:rsidRDefault="005F2BD0" w:rsidP="006D54C5">
      <w:pPr>
        <w:pStyle w:val="3Bodytext"/>
        <w:jc w:val="both"/>
        <w:rPr>
          <w:i/>
          <w:iCs/>
        </w:rPr>
      </w:pPr>
      <w:r w:rsidRPr="00ED3F0B">
        <w:t>In August 2023, the AIHW published comprehensive cancer statistics</w:t>
      </w:r>
      <w:r w:rsidR="00161CB1" w:rsidRPr="00ED3F0B">
        <w:t>,</w:t>
      </w:r>
      <w:r w:rsidRPr="00ED3F0B">
        <w:t xml:space="preserve"> including incidence and survival</w:t>
      </w:r>
      <w:r w:rsidR="00161CB1" w:rsidRPr="00ED3F0B">
        <w:t xml:space="preserve"> data, providing a </w:t>
      </w:r>
      <w:r w:rsidRPr="00ED3F0B">
        <w:t xml:space="preserve">more </w:t>
      </w:r>
      <w:r w:rsidR="00161CB1" w:rsidRPr="00ED3F0B">
        <w:t xml:space="preserve">detailed </w:t>
      </w:r>
      <w:r w:rsidRPr="00ED3F0B">
        <w:t>understanding of cancer subtypes for the period of 2003</w:t>
      </w:r>
      <w:r w:rsidR="00161CB1" w:rsidRPr="00ED3F0B">
        <w:t> – </w:t>
      </w:r>
      <w:r w:rsidRPr="00ED3F0B">
        <w:t>2019</w:t>
      </w:r>
      <w:r w:rsidR="00161CB1" w:rsidRPr="00ED3F0B">
        <w:t xml:space="preserve"> (AIHW 2023a)</w:t>
      </w:r>
      <w:r w:rsidRPr="00ED3F0B">
        <w:t xml:space="preserve">. </w:t>
      </w:r>
      <w:r w:rsidR="00161CB1" w:rsidRPr="00ED3F0B">
        <w:t>Th</w:t>
      </w:r>
      <w:r w:rsidR="009952C1" w:rsidRPr="00ED3F0B">
        <w:t>ese</w:t>
      </w:r>
      <w:r w:rsidR="00161CB1" w:rsidRPr="00ED3F0B">
        <w:t xml:space="preserve"> new data allowed for the identification of individual </w:t>
      </w:r>
      <w:r w:rsidR="00E903E8" w:rsidRPr="00ED3F0B">
        <w:t xml:space="preserve">haematological </w:t>
      </w:r>
      <w:r w:rsidR="00161CB1" w:rsidRPr="00ED3F0B">
        <w:t xml:space="preserve">subtypes, such as </w:t>
      </w:r>
      <w:r w:rsidR="009630DC" w:rsidRPr="00ED3F0B">
        <w:t>WM</w:t>
      </w:r>
      <w:r w:rsidR="00161CB1" w:rsidRPr="00ED3F0B">
        <w:t>.</w:t>
      </w:r>
      <w:r w:rsidR="009630DC" w:rsidRPr="00ED3F0B">
        <w:t xml:space="preserve"> Based on the new data specific to </w:t>
      </w:r>
      <w:r w:rsidR="00693532" w:rsidRPr="00ED3F0B">
        <w:t xml:space="preserve">the </w:t>
      </w:r>
      <w:r w:rsidR="009630DC" w:rsidRPr="00ED3F0B">
        <w:t xml:space="preserve">WM subset, an analysis was conducted to evaluate </w:t>
      </w:r>
      <w:r w:rsidR="00693532" w:rsidRPr="00ED3F0B">
        <w:t xml:space="preserve">the potential underestimation of utilisation in the previous submission, which was likely due to underestimated disease incidence and prevalence rates. The submission claimed that the analysis provided evidence to support higher actual utilisation than previously estimated. </w:t>
      </w:r>
    </w:p>
    <w:p w14:paraId="3E7C71BE" w14:textId="5E74D2B0" w:rsidR="00E934C5" w:rsidRPr="004E57EB" w:rsidRDefault="00E934C5" w:rsidP="00E934C5">
      <w:pPr>
        <w:pStyle w:val="3Bodytext"/>
        <w:jc w:val="both"/>
        <w:rPr>
          <w:i/>
          <w:iCs/>
        </w:rPr>
      </w:pPr>
      <w:r w:rsidRPr="00E934C5">
        <w:t xml:space="preserve">The pre-PBAC response provided results </w:t>
      </w:r>
      <w:r w:rsidR="00B11DEC">
        <w:t>of</w:t>
      </w:r>
      <w:r w:rsidRPr="00E934C5">
        <w:t xml:space="preserve"> studies (Talaulikar et al., 2023 and Nguyen et al., 2024)</w:t>
      </w:r>
      <w:r w:rsidR="00B11DEC">
        <w:t xml:space="preserve"> </w:t>
      </w:r>
      <w:r w:rsidRPr="00E934C5">
        <w:rPr>
          <w:szCs w:val="24"/>
        </w:rPr>
        <w:t>on the incidence and prevalence of WM in Australia based on all WM cases from January</w:t>
      </w:r>
      <w:r w:rsidR="000839FD">
        <w:rPr>
          <w:szCs w:val="24"/>
        </w:rPr>
        <w:t> </w:t>
      </w:r>
      <w:r w:rsidRPr="00E934C5">
        <w:rPr>
          <w:szCs w:val="24"/>
        </w:rPr>
        <w:t>2009 to December</w:t>
      </w:r>
      <w:r w:rsidR="00E15D75">
        <w:rPr>
          <w:szCs w:val="24"/>
        </w:rPr>
        <w:t> </w:t>
      </w:r>
      <w:r w:rsidRPr="00E934C5">
        <w:rPr>
          <w:szCs w:val="24"/>
        </w:rPr>
        <w:t>2018 in Victoria, Tasmania, Australian Capital Territory, and Queensland extracted from the Australian cancer registry database</w:t>
      </w:r>
      <w:r w:rsidRPr="00E934C5">
        <w:rPr>
          <w:rStyle w:val="FootnoteReference"/>
          <w:szCs w:val="24"/>
        </w:rPr>
        <w:footnoteReference w:id="3"/>
      </w:r>
      <w:r>
        <w:rPr>
          <w:i/>
          <w:iCs/>
          <w:szCs w:val="24"/>
        </w:rPr>
        <w:t xml:space="preserve"> </w:t>
      </w:r>
      <w:r w:rsidRPr="00E934C5">
        <w:t>as supplementary evidence</w:t>
      </w:r>
      <w:r w:rsidRPr="004E57EB">
        <w:rPr>
          <w:i/>
          <w:iCs/>
        </w:rPr>
        <w:t>.</w:t>
      </w:r>
      <w:r w:rsidR="00964804">
        <w:rPr>
          <w:i/>
          <w:iCs/>
        </w:rPr>
        <w:t xml:space="preserve"> </w:t>
      </w:r>
      <w:r w:rsidR="00964804">
        <w:t xml:space="preserve">The pre-PBAC response noted that the sponsor was involved in these studies. </w:t>
      </w:r>
    </w:p>
    <w:p w14:paraId="6CB61EA9" w14:textId="76501CF3" w:rsidR="009C119F" w:rsidRPr="00DE5FB2" w:rsidRDefault="009C119F" w:rsidP="00E934C5">
      <w:pPr>
        <w:pStyle w:val="5-SubsectionSubheading"/>
        <w:spacing w:before="0" w:after="120"/>
        <w:rPr>
          <w:lang w:eastAsia="en-US"/>
        </w:rPr>
      </w:pPr>
      <w:r w:rsidRPr="00DE5FB2">
        <w:rPr>
          <w:lang w:eastAsia="en-US"/>
        </w:rPr>
        <w:t xml:space="preserve">Revised incidence </w:t>
      </w:r>
    </w:p>
    <w:p w14:paraId="07E12785" w14:textId="7B6D4DE3" w:rsidR="00651BBF" w:rsidRPr="004D1607" w:rsidRDefault="00007D5A" w:rsidP="006D54C5">
      <w:pPr>
        <w:pStyle w:val="3Bodytext"/>
        <w:jc w:val="both"/>
      </w:pPr>
      <w:r w:rsidRPr="004D1607">
        <w:t xml:space="preserve">In March 2022, the incidence </w:t>
      </w:r>
      <w:r w:rsidR="0099443F">
        <w:t xml:space="preserve">rate </w:t>
      </w:r>
      <w:r w:rsidRPr="004D1607">
        <w:t xml:space="preserve">of 0.37 per 100,000 population </w:t>
      </w:r>
      <w:r w:rsidR="00651BBF" w:rsidRPr="004D1607">
        <w:t xml:space="preserve">for WM could not be verified due to the absence of reliable Australian data specific to the WM subset (see paragraph </w:t>
      </w:r>
      <w:r w:rsidR="003F29E8">
        <w:fldChar w:fldCharType="begin" w:fldLock="1"/>
      </w:r>
      <w:r w:rsidR="003F29E8">
        <w:instrText xml:space="preserve"> REF _Ref170234648 \r \h </w:instrText>
      </w:r>
      <w:r w:rsidR="003F29E8">
        <w:fldChar w:fldCharType="separate"/>
      </w:r>
      <w:r w:rsidR="00B31544">
        <w:t>4.3</w:t>
      </w:r>
      <w:r w:rsidR="003F29E8">
        <w:fldChar w:fldCharType="end"/>
      </w:r>
      <w:r w:rsidR="00651BBF" w:rsidRPr="004D1607">
        <w:t xml:space="preserve">). To support this </w:t>
      </w:r>
      <w:r w:rsidR="0099443F" w:rsidRPr="004D1607">
        <w:t xml:space="preserve">incidence </w:t>
      </w:r>
      <w:r w:rsidR="00651BBF" w:rsidRPr="004D1607">
        <w:t xml:space="preserve">base case, the sponsor provided a rationale that the incidence of WM could be derived using the AIHW 2017 data </w:t>
      </w:r>
      <w:r w:rsidR="004D1607" w:rsidRPr="004D1607">
        <w:t xml:space="preserve">indicating </w:t>
      </w:r>
      <w:r w:rsidR="00651BBF" w:rsidRPr="004D1607">
        <w:t xml:space="preserve">the incidence of non-Hodgkin </w:t>
      </w:r>
      <w:r w:rsidR="004D1607" w:rsidRPr="004D1607">
        <w:t>l</w:t>
      </w:r>
      <w:r w:rsidR="00651BBF" w:rsidRPr="004D1607">
        <w:t>ymphoma (NHL) in Australia (19.8 per 100,000)</w:t>
      </w:r>
      <w:r w:rsidR="004D1607" w:rsidRPr="004D1607">
        <w:t xml:space="preserve"> and assuming </w:t>
      </w:r>
      <w:r w:rsidR="00651BBF" w:rsidRPr="004D1607">
        <w:t>WM account</w:t>
      </w:r>
      <w:r w:rsidR="004D1607" w:rsidRPr="004D1607">
        <w:t>ed</w:t>
      </w:r>
      <w:r w:rsidR="00651BBF" w:rsidRPr="004D1607">
        <w:t xml:space="preserve"> for 1</w:t>
      </w:r>
      <w:r w:rsidR="00BD7ADD">
        <w:t> </w:t>
      </w:r>
      <w:r w:rsidR="00651BBF" w:rsidRPr="004D1607">
        <w:t>-</w:t>
      </w:r>
      <w:r w:rsidR="00BD7ADD">
        <w:t> </w:t>
      </w:r>
      <w:r w:rsidR="00651BBF" w:rsidRPr="004D1607">
        <w:t>2% of NHL cases (Lymphoma Australia</w:t>
      </w:r>
      <w:r w:rsidR="00651BBF" w:rsidRPr="004D1607">
        <w:rPr>
          <w:rStyle w:val="FootnoteReference"/>
        </w:rPr>
        <w:footnoteReference w:id="4"/>
      </w:r>
      <w:r w:rsidR="00651BBF" w:rsidRPr="004D1607">
        <w:t>)</w:t>
      </w:r>
      <w:r w:rsidR="004D1607" w:rsidRPr="004D1607">
        <w:t>. However, it was unknown where Lymphoma Australia sourced the estimate of 1</w:t>
      </w:r>
      <w:r w:rsidR="00BD7ADD">
        <w:t> </w:t>
      </w:r>
      <w:r w:rsidR="004D1607" w:rsidRPr="004D1607">
        <w:t>-</w:t>
      </w:r>
      <w:r w:rsidR="00BD7ADD">
        <w:t> </w:t>
      </w:r>
      <w:r w:rsidR="004D1607" w:rsidRPr="004D1607">
        <w:t>2% (paragraph 6.83, zanubrutinib, PSD, March 2022)</w:t>
      </w:r>
      <w:r w:rsidR="004D1607">
        <w:t>.</w:t>
      </w:r>
    </w:p>
    <w:p w14:paraId="644E3086" w14:textId="09EF761C" w:rsidR="00803327" w:rsidRPr="001A180B" w:rsidRDefault="00803327" w:rsidP="006D54C5">
      <w:pPr>
        <w:pStyle w:val="3Bodytext"/>
        <w:jc w:val="both"/>
      </w:pPr>
      <w:r w:rsidRPr="0023361D">
        <w:t xml:space="preserve">The submission proposed to update the </w:t>
      </w:r>
      <w:r w:rsidR="0099443F" w:rsidRPr="0023361D">
        <w:t xml:space="preserve">incidence </w:t>
      </w:r>
      <w:r w:rsidRPr="0023361D">
        <w:t xml:space="preserve">rate of WM </w:t>
      </w:r>
      <w:r w:rsidR="004D1607" w:rsidRPr="0023361D">
        <w:t>from 0.37 to 0.60 per 100,000 population</w:t>
      </w:r>
      <w:r w:rsidRPr="0023361D">
        <w:t xml:space="preserve">, based on recent </w:t>
      </w:r>
      <w:r w:rsidR="004D1607" w:rsidRPr="0023361D">
        <w:t>AIHW data (AIHW 2023a)</w:t>
      </w:r>
      <w:r w:rsidR="0023361D" w:rsidRPr="0023361D">
        <w:t>. This</w:t>
      </w:r>
      <w:r w:rsidRPr="0023361D">
        <w:t xml:space="preserve"> is the midpoint between the </w:t>
      </w:r>
      <w:r w:rsidR="005C63B9">
        <w:t xml:space="preserve">incidence </w:t>
      </w:r>
      <w:r w:rsidRPr="0023361D">
        <w:t xml:space="preserve">rates </w:t>
      </w:r>
      <w:r w:rsidR="005C63B9">
        <w:t>in</w:t>
      </w:r>
      <w:r w:rsidR="005C63B9" w:rsidRPr="0023361D">
        <w:t xml:space="preserve"> </w:t>
      </w:r>
      <w:r w:rsidRPr="0023361D">
        <w:t>2017 (0.5</w:t>
      </w:r>
      <w:r w:rsidR="0023361D" w:rsidRPr="0023361D">
        <w:t xml:space="preserve"> per </w:t>
      </w:r>
      <w:r w:rsidRPr="0023361D">
        <w:t>100,000, low</w:t>
      </w:r>
      <w:r w:rsidR="0023361D" w:rsidRPr="0023361D">
        <w:t>er estimate</w:t>
      </w:r>
      <w:r w:rsidRPr="0023361D">
        <w:t>) and 2018 (0.7</w:t>
      </w:r>
      <w:r w:rsidR="00773531">
        <w:t> </w:t>
      </w:r>
      <w:r w:rsidR="0023361D" w:rsidRPr="0023361D">
        <w:t xml:space="preserve">per </w:t>
      </w:r>
      <w:r w:rsidRPr="0023361D">
        <w:t>100,000, high</w:t>
      </w:r>
      <w:r w:rsidR="0023361D" w:rsidRPr="0023361D">
        <w:t>er estimate</w:t>
      </w:r>
      <w:r w:rsidRPr="0023361D">
        <w:t>)</w:t>
      </w:r>
      <w:r w:rsidR="004D1607" w:rsidRPr="0023361D">
        <w:t>,</w:t>
      </w:r>
      <w:r w:rsidRPr="0023361D">
        <w:t xml:space="preserve"> </w:t>
      </w:r>
      <w:r w:rsidR="004D1607" w:rsidRPr="0023361D">
        <w:t xml:space="preserve">as outlined in </w:t>
      </w:r>
      <w:r w:rsidR="0023361D" w:rsidRPr="0023361D">
        <w:fldChar w:fldCharType="begin" w:fldLock="1"/>
      </w:r>
      <w:r w:rsidR="0023361D" w:rsidRPr="0023361D">
        <w:instrText xml:space="preserve"> REF _Ref167791196 \h </w:instrText>
      </w:r>
      <w:r w:rsidR="0023361D">
        <w:instrText xml:space="preserve"> \* MERGEFORMAT </w:instrText>
      </w:r>
      <w:r w:rsidR="0023361D" w:rsidRPr="0023361D">
        <w:fldChar w:fldCharType="separate"/>
      </w:r>
      <w:r w:rsidR="00B31544" w:rsidRPr="00B31544">
        <w:t>Table 4</w:t>
      </w:r>
      <w:r w:rsidR="0023361D" w:rsidRPr="0023361D">
        <w:fldChar w:fldCharType="end"/>
      </w:r>
      <w:r w:rsidR="0023361D" w:rsidRPr="0023361D">
        <w:t>.</w:t>
      </w:r>
      <w:r w:rsidR="0019122C">
        <w:t xml:space="preserve"> </w:t>
      </w:r>
      <w:r w:rsidR="001A180B" w:rsidRPr="001A180B">
        <w:t>The p</w:t>
      </w:r>
      <w:r w:rsidR="0003394C" w:rsidRPr="001A180B">
        <w:t>re-PBAC response stated that the incidence rate of 0.6 in 2019 was chosen</w:t>
      </w:r>
      <w:r w:rsidR="001A180B" w:rsidRPr="001A180B">
        <w:t xml:space="preserve">, as </w:t>
      </w:r>
      <w:r w:rsidR="0003394C" w:rsidRPr="001A180B">
        <w:t>it was the most recent</w:t>
      </w:r>
      <w:r w:rsidR="00FD4D9A">
        <w:t xml:space="preserve"> available</w:t>
      </w:r>
      <w:r w:rsidR="0003394C" w:rsidRPr="001A180B">
        <w:t xml:space="preserve"> </w:t>
      </w:r>
      <w:r w:rsidR="008E5474">
        <w:t>data</w:t>
      </w:r>
      <w:r w:rsidR="00FD4D9A">
        <w:t>,</w:t>
      </w:r>
      <w:r w:rsidR="008E5474">
        <w:t xml:space="preserve"> </w:t>
      </w:r>
      <w:r w:rsidR="0003394C" w:rsidRPr="001A180B">
        <w:t xml:space="preserve">and </w:t>
      </w:r>
      <w:r w:rsidR="00FD4D9A">
        <w:t xml:space="preserve">equal to </w:t>
      </w:r>
      <w:r w:rsidR="0003394C" w:rsidRPr="001A180B">
        <w:t xml:space="preserve">the average </w:t>
      </w:r>
      <w:r w:rsidR="001A180B" w:rsidRPr="001A180B">
        <w:t xml:space="preserve">rate from the preceding </w:t>
      </w:r>
      <w:r w:rsidR="0003394C" w:rsidRPr="001A180B">
        <w:t>three</w:t>
      </w:r>
      <w:r w:rsidR="001A180B" w:rsidRPr="001A180B">
        <w:t>-</w:t>
      </w:r>
      <w:r w:rsidR="0003394C" w:rsidRPr="001A180B">
        <w:t>year</w:t>
      </w:r>
      <w:r w:rsidR="001A180B" w:rsidRPr="001A180B">
        <w:t xml:space="preserve"> period</w:t>
      </w:r>
      <w:r w:rsidR="0003394C" w:rsidRPr="001A180B">
        <w:t xml:space="preserve"> (2017-2019). </w:t>
      </w:r>
    </w:p>
    <w:p w14:paraId="029CF290" w14:textId="46507566" w:rsidR="00803327" w:rsidRPr="0023361D" w:rsidRDefault="00E27672" w:rsidP="00F07354">
      <w:pPr>
        <w:pStyle w:val="Caption"/>
        <w:keepNext/>
        <w:keepLines/>
        <w:suppressLineNumbers/>
        <w:suppressAutoHyphens/>
        <w:spacing w:after="0"/>
        <w:rPr>
          <w:rFonts w:ascii="Arial Narrow" w:hAnsi="Arial Narrow"/>
          <w:b/>
          <w:bCs/>
          <w:i w:val="0"/>
          <w:iCs w:val="0"/>
          <w:sz w:val="20"/>
          <w:szCs w:val="20"/>
        </w:rPr>
      </w:pPr>
      <w:bookmarkStart w:id="9" w:name="_Ref167791196"/>
      <w:bookmarkStart w:id="10" w:name="_Ref149563929"/>
      <w:bookmarkStart w:id="11" w:name="_Toc160780474"/>
      <w:r w:rsidRPr="00E27672">
        <w:rPr>
          <w:rFonts w:ascii="Arial Narrow" w:hAnsi="Arial Narrow"/>
          <w:b/>
          <w:bCs/>
          <w:i w:val="0"/>
          <w:iCs w:val="0"/>
          <w:sz w:val="20"/>
          <w:szCs w:val="20"/>
        </w:rPr>
        <w:lastRenderedPageBreak/>
        <w:t xml:space="preserve">Table </w:t>
      </w:r>
      <w:r w:rsidRPr="00E27672">
        <w:rPr>
          <w:rFonts w:ascii="Arial Narrow" w:hAnsi="Arial Narrow"/>
          <w:b/>
          <w:bCs/>
          <w:i w:val="0"/>
          <w:iCs w:val="0"/>
          <w:sz w:val="20"/>
          <w:szCs w:val="20"/>
        </w:rPr>
        <w:fldChar w:fldCharType="begin" w:fldLock="1"/>
      </w:r>
      <w:r w:rsidRPr="00E27672">
        <w:rPr>
          <w:rFonts w:ascii="Arial Narrow" w:hAnsi="Arial Narrow"/>
          <w:b/>
          <w:bCs/>
          <w:i w:val="0"/>
          <w:iCs w:val="0"/>
          <w:sz w:val="20"/>
          <w:szCs w:val="20"/>
        </w:rPr>
        <w:instrText xml:space="preserve"> SEQ Table \* ARABIC </w:instrText>
      </w:r>
      <w:r w:rsidRPr="00E27672">
        <w:rPr>
          <w:rFonts w:ascii="Arial Narrow" w:hAnsi="Arial Narrow"/>
          <w:b/>
          <w:bCs/>
          <w:i w:val="0"/>
          <w:iCs w:val="0"/>
          <w:sz w:val="20"/>
          <w:szCs w:val="20"/>
        </w:rPr>
        <w:fldChar w:fldCharType="separate"/>
      </w:r>
      <w:r w:rsidR="00D05088">
        <w:rPr>
          <w:rFonts w:ascii="Arial Narrow" w:hAnsi="Arial Narrow"/>
          <w:b/>
          <w:bCs/>
          <w:i w:val="0"/>
          <w:iCs w:val="0"/>
          <w:noProof/>
          <w:sz w:val="20"/>
          <w:szCs w:val="20"/>
        </w:rPr>
        <w:t>4</w:t>
      </w:r>
      <w:r w:rsidRPr="00E27672">
        <w:rPr>
          <w:rFonts w:ascii="Arial Narrow" w:hAnsi="Arial Narrow"/>
          <w:b/>
          <w:bCs/>
          <w:i w:val="0"/>
          <w:iCs w:val="0"/>
          <w:sz w:val="20"/>
          <w:szCs w:val="20"/>
        </w:rPr>
        <w:fldChar w:fldCharType="end"/>
      </w:r>
      <w:bookmarkEnd w:id="9"/>
      <w:bookmarkEnd w:id="10"/>
      <w:r w:rsidR="00803327" w:rsidRPr="0023361D">
        <w:rPr>
          <w:rFonts w:ascii="Arial Narrow" w:hAnsi="Arial Narrow"/>
          <w:b/>
          <w:bCs/>
          <w:i w:val="0"/>
          <w:iCs w:val="0"/>
          <w:sz w:val="20"/>
          <w:szCs w:val="20"/>
        </w:rPr>
        <w:t xml:space="preserve">: </w:t>
      </w:r>
      <w:r w:rsidR="00037AD7">
        <w:rPr>
          <w:rFonts w:ascii="Arial Narrow" w:hAnsi="Arial Narrow"/>
          <w:b/>
          <w:bCs/>
          <w:i w:val="0"/>
          <w:iCs w:val="0"/>
          <w:sz w:val="20"/>
          <w:szCs w:val="20"/>
        </w:rPr>
        <w:t>I</w:t>
      </w:r>
      <w:r w:rsidR="00803327" w:rsidRPr="0023361D">
        <w:rPr>
          <w:rFonts w:ascii="Arial Narrow" w:hAnsi="Arial Narrow"/>
          <w:b/>
          <w:bCs/>
          <w:i w:val="0"/>
          <w:iCs w:val="0"/>
          <w:sz w:val="20"/>
          <w:szCs w:val="20"/>
        </w:rPr>
        <w:t xml:space="preserve">ncidence </w:t>
      </w:r>
      <w:r w:rsidR="00037AD7">
        <w:rPr>
          <w:rFonts w:ascii="Arial Narrow" w:hAnsi="Arial Narrow"/>
          <w:b/>
          <w:bCs/>
          <w:i w:val="0"/>
          <w:iCs w:val="0"/>
          <w:sz w:val="20"/>
          <w:szCs w:val="20"/>
        </w:rPr>
        <w:t xml:space="preserve">of WM </w:t>
      </w:r>
      <w:r w:rsidR="00803327" w:rsidRPr="0023361D">
        <w:rPr>
          <w:rFonts w:ascii="Arial Narrow" w:hAnsi="Arial Narrow"/>
          <w:b/>
          <w:bCs/>
          <w:i w:val="0"/>
          <w:iCs w:val="0"/>
          <w:sz w:val="20"/>
          <w:szCs w:val="20"/>
        </w:rPr>
        <w:t>in Australia as published by AIHW</w:t>
      </w:r>
      <w:r w:rsidR="00037AD7">
        <w:rPr>
          <w:rFonts w:ascii="Arial Narrow" w:hAnsi="Arial Narrow"/>
          <w:b/>
          <w:bCs/>
          <w:i w:val="0"/>
          <w:iCs w:val="0"/>
          <w:sz w:val="20"/>
          <w:szCs w:val="20"/>
        </w:rPr>
        <w:t xml:space="preserve"> </w:t>
      </w:r>
      <w:r w:rsidR="00037AD7" w:rsidRPr="00037AD7">
        <w:rPr>
          <w:rFonts w:ascii="Arial Narrow" w:hAnsi="Arial Narrow"/>
          <w:b/>
          <w:bCs/>
          <w:i w:val="0"/>
          <w:iCs w:val="0"/>
          <w:sz w:val="20"/>
          <w:szCs w:val="20"/>
        </w:rPr>
        <w:t xml:space="preserve">for the period </w:t>
      </w:r>
      <w:r w:rsidR="00037AD7">
        <w:rPr>
          <w:rFonts w:ascii="Arial Narrow" w:hAnsi="Arial Narrow"/>
          <w:b/>
          <w:bCs/>
          <w:i w:val="0"/>
          <w:iCs w:val="0"/>
          <w:sz w:val="20"/>
          <w:szCs w:val="20"/>
        </w:rPr>
        <w:t xml:space="preserve">of </w:t>
      </w:r>
      <w:r w:rsidR="00803327" w:rsidRPr="0023361D">
        <w:rPr>
          <w:rFonts w:ascii="Arial Narrow" w:hAnsi="Arial Narrow"/>
          <w:b/>
          <w:bCs/>
          <w:i w:val="0"/>
          <w:iCs w:val="0"/>
          <w:sz w:val="20"/>
          <w:szCs w:val="20"/>
        </w:rPr>
        <w:t>2015-2019</w:t>
      </w:r>
      <w:bookmarkEnd w:id="11"/>
      <w:r w:rsidR="00037AD7" w:rsidRPr="00037AD7">
        <w:t xml:space="preserve"> </w:t>
      </w:r>
    </w:p>
    <w:tbl>
      <w:tblPr>
        <w:tblStyle w:val="Submissionstandard1"/>
        <w:tblW w:w="8359" w:type="dxa"/>
        <w:tblInd w:w="0" w:type="dxa"/>
        <w:tblLook w:val="04A0" w:firstRow="1" w:lastRow="0" w:firstColumn="1" w:lastColumn="0" w:noHBand="0" w:noVBand="1"/>
        <w:tblCaption w:val="Table 4: Incidence of WM in Australia as published by AIHW for the period of 2015-2019 "/>
        <w:tblDescription w:val="Table 4: Incidence of WM in Australia as published by AIHW for the period of 2015-2019 "/>
      </w:tblPr>
      <w:tblGrid>
        <w:gridCol w:w="1838"/>
        <w:gridCol w:w="1701"/>
        <w:gridCol w:w="4820"/>
      </w:tblGrid>
      <w:tr w:rsidR="00803327" w:rsidRPr="0023361D" w14:paraId="21052214" w14:textId="77777777" w:rsidTr="003F79DB">
        <w:trPr>
          <w:cnfStyle w:val="100000000000" w:firstRow="1" w:lastRow="0" w:firstColumn="0" w:lastColumn="0" w:oddVBand="0" w:evenVBand="0" w:oddHBand="0" w:evenHBand="0" w:firstRowFirstColumn="0" w:firstRowLastColumn="0" w:lastRowFirstColumn="0" w:lastRowLastColumn="0"/>
          <w:trHeight w:val="283"/>
        </w:trPr>
        <w:tc>
          <w:tcPr>
            <w:tcW w:w="1838" w:type="dxa"/>
            <w:shd w:val="clear" w:color="auto" w:fill="auto"/>
            <w:noWrap/>
            <w:vAlign w:val="center"/>
            <w:hideMark/>
          </w:tcPr>
          <w:p w14:paraId="5A1227E5"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Year</w:t>
            </w:r>
          </w:p>
        </w:tc>
        <w:tc>
          <w:tcPr>
            <w:tcW w:w="1701" w:type="dxa"/>
            <w:shd w:val="clear" w:color="auto" w:fill="auto"/>
            <w:vAlign w:val="center"/>
          </w:tcPr>
          <w:p w14:paraId="05917522" w14:textId="77777777" w:rsidR="00803327" w:rsidRPr="0023361D" w:rsidRDefault="00803327" w:rsidP="003F79DB">
            <w:pPr>
              <w:keepNext/>
              <w:keepLines/>
              <w:suppressLineNumbers/>
              <w:suppressAutoHyphens/>
              <w:jc w:val="center"/>
              <w:rPr>
                <w:rFonts w:ascii="Arial Narrow" w:hAnsi="Arial Narrow"/>
                <w:sz w:val="20"/>
                <w:szCs w:val="20"/>
                <w:lang w:val="en-AU" w:eastAsia="en-AU" w:bidi="ar-SA"/>
              </w:rPr>
            </w:pPr>
            <w:r w:rsidRPr="0023361D">
              <w:rPr>
                <w:rFonts w:ascii="Arial Narrow" w:hAnsi="Arial Narrow"/>
                <w:sz w:val="20"/>
                <w:szCs w:val="20"/>
                <w:lang w:val="en-AU" w:eastAsia="en-AU" w:bidi="ar-SA"/>
              </w:rPr>
              <w:t>Incidence</w:t>
            </w:r>
          </w:p>
        </w:tc>
        <w:tc>
          <w:tcPr>
            <w:tcW w:w="4820" w:type="dxa"/>
            <w:shd w:val="clear" w:color="auto" w:fill="auto"/>
            <w:vAlign w:val="center"/>
          </w:tcPr>
          <w:p w14:paraId="384743E9" w14:textId="0BA3F2C4" w:rsidR="00803327" w:rsidRPr="0023361D" w:rsidRDefault="0099443F" w:rsidP="003F79DB">
            <w:pPr>
              <w:keepNext/>
              <w:keepLines/>
              <w:suppressLineNumbers/>
              <w:suppressAutoHyphens/>
              <w:jc w:val="center"/>
              <w:rPr>
                <w:rFonts w:ascii="Arial Narrow" w:hAnsi="Arial Narrow"/>
                <w:sz w:val="20"/>
                <w:szCs w:val="20"/>
                <w:lang w:val="en-AU" w:eastAsia="en-AU" w:bidi="ar-SA"/>
              </w:rPr>
            </w:pPr>
            <w:r>
              <w:rPr>
                <w:rFonts w:ascii="Arial Narrow" w:hAnsi="Arial Narrow"/>
                <w:sz w:val="20"/>
                <w:szCs w:val="20"/>
                <w:lang w:val="en-AU" w:eastAsia="en-AU" w:bidi="ar-SA"/>
              </w:rPr>
              <w:t>I</w:t>
            </w:r>
            <w:r w:rsidR="00803327" w:rsidRPr="0023361D">
              <w:rPr>
                <w:rFonts w:ascii="Arial Narrow" w:hAnsi="Arial Narrow"/>
                <w:sz w:val="20"/>
                <w:szCs w:val="20"/>
                <w:lang w:val="en-AU" w:eastAsia="en-AU" w:bidi="ar-SA"/>
              </w:rPr>
              <w:t>ncidence rate per 100,000 population</w:t>
            </w:r>
          </w:p>
        </w:tc>
      </w:tr>
      <w:tr w:rsidR="00803327" w:rsidRPr="0023361D" w14:paraId="3858AB68" w14:textId="77777777" w:rsidTr="003F79DB">
        <w:trPr>
          <w:trHeight w:val="283"/>
        </w:trPr>
        <w:tc>
          <w:tcPr>
            <w:tcW w:w="1838" w:type="dxa"/>
            <w:shd w:val="clear" w:color="auto" w:fill="auto"/>
            <w:noWrap/>
            <w:vAlign w:val="center"/>
            <w:hideMark/>
          </w:tcPr>
          <w:p w14:paraId="5CF92A56"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2019</w:t>
            </w:r>
          </w:p>
        </w:tc>
        <w:tc>
          <w:tcPr>
            <w:tcW w:w="1701" w:type="dxa"/>
            <w:shd w:val="clear" w:color="auto" w:fill="auto"/>
            <w:vAlign w:val="center"/>
          </w:tcPr>
          <w:p w14:paraId="5DDA139C"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149</w:t>
            </w:r>
          </w:p>
        </w:tc>
        <w:tc>
          <w:tcPr>
            <w:tcW w:w="4820" w:type="dxa"/>
            <w:shd w:val="clear" w:color="auto" w:fill="auto"/>
            <w:vAlign w:val="center"/>
          </w:tcPr>
          <w:p w14:paraId="122F36DE"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0.6</w:t>
            </w:r>
          </w:p>
        </w:tc>
      </w:tr>
      <w:tr w:rsidR="00803327" w:rsidRPr="0023361D" w14:paraId="737CAB9D" w14:textId="77777777" w:rsidTr="003F79DB">
        <w:trPr>
          <w:trHeight w:val="283"/>
        </w:trPr>
        <w:tc>
          <w:tcPr>
            <w:tcW w:w="1838" w:type="dxa"/>
            <w:shd w:val="clear" w:color="auto" w:fill="auto"/>
            <w:noWrap/>
            <w:vAlign w:val="center"/>
            <w:hideMark/>
          </w:tcPr>
          <w:p w14:paraId="3CB47692"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2018</w:t>
            </w:r>
          </w:p>
        </w:tc>
        <w:tc>
          <w:tcPr>
            <w:tcW w:w="1701" w:type="dxa"/>
            <w:shd w:val="clear" w:color="auto" w:fill="auto"/>
            <w:vAlign w:val="center"/>
          </w:tcPr>
          <w:p w14:paraId="723584F2"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177</w:t>
            </w:r>
          </w:p>
        </w:tc>
        <w:tc>
          <w:tcPr>
            <w:tcW w:w="4820" w:type="dxa"/>
            <w:shd w:val="clear" w:color="auto" w:fill="auto"/>
            <w:vAlign w:val="center"/>
          </w:tcPr>
          <w:p w14:paraId="0A3A23D0"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0.7</w:t>
            </w:r>
          </w:p>
        </w:tc>
      </w:tr>
      <w:tr w:rsidR="00803327" w:rsidRPr="0023361D" w14:paraId="1127F0EB" w14:textId="77777777" w:rsidTr="003F79DB">
        <w:trPr>
          <w:trHeight w:val="283"/>
        </w:trPr>
        <w:tc>
          <w:tcPr>
            <w:tcW w:w="1838" w:type="dxa"/>
            <w:shd w:val="clear" w:color="auto" w:fill="auto"/>
            <w:noWrap/>
            <w:vAlign w:val="center"/>
            <w:hideMark/>
          </w:tcPr>
          <w:p w14:paraId="10D0AA10"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2017</w:t>
            </w:r>
          </w:p>
        </w:tc>
        <w:tc>
          <w:tcPr>
            <w:tcW w:w="1701" w:type="dxa"/>
            <w:shd w:val="clear" w:color="auto" w:fill="auto"/>
            <w:vAlign w:val="center"/>
          </w:tcPr>
          <w:p w14:paraId="3018DD63"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134</w:t>
            </w:r>
          </w:p>
        </w:tc>
        <w:tc>
          <w:tcPr>
            <w:tcW w:w="4820" w:type="dxa"/>
            <w:shd w:val="clear" w:color="auto" w:fill="auto"/>
            <w:vAlign w:val="center"/>
          </w:tcPr>
          <w:p w14:paraId="44F1F3EF"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0.5</w:t>
            </w:r>
          </w:p>
        </w:tc>
      </w:tr>
      <w:tr w:rsidR="00803327" w:rsidRPr="0023361D" w14:paraId="6C2396CB" w14:textId="77777777" w:rsidTr="003F79DB">
        <w:trPr>
          <w:trHeight w:val="283"/>
        </w:trPr>
        <w:tc>
          <w:tcPr>
            <w:tcW w:w="1838" w:type="dxa"/>
            <w:shd w:val="clear" w:color="auto" w:fill="auto"/>
            <w:noWrap/>
            <w:vAlign w:val="center"/>
            <w:hideMark/>
          </w:tcPr>
          <w:p w14:paraId="445219B9"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2016</w:t>
            </w:r>
          </w:p>
        </w:tc>
        <w:tc>
          <w:tcPr>
            <w:tcW w:w="1701" w:type="dxa"/>
            <w:shd w:val="clear" w:color="auto" w:fill="auto"/>
            <w:vAlign w:val="center"/>
          </w:tcPr>
          <w:p w14:paraId="1CB1AA72"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121</w:t>
            </w:r>
          </w:p>
        </w:tc>
        <w:tc>
          <w:tcPr>
            <w:tcW w:w="4820" w:type="dxa"/>
            <w:shd w:val="clear" w:color="auto" w:fill="auto"/>
            <w:vAlign w:val="center"/>
          </w:tcPr>
          <w:p w14:paraId="66E4A1E4"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0.5</w:t>
            </w:r>
          </w:p>
        </w:tc>
      </w:tr>
      <w:tr w:rsidR="00803327" w:rsidRPr="0023361D" w14:paraId="128A365D" w14:textId="77777777" w:rsidTr="003F79DB">
        <w:trPr>
          <w:trHeight w:val="283"/>
        </w:trPr>
        <w:tc>
          <w:tcPr>
            <w:tcW w:w="1838" w:type="dxa"/>
            <w:shd w:val="clear" w:color="auto" w:fill="auto"/>
            <w:noWrap/>
            <w:vAlign w:val="center"/>
            <w:hideMark/>
          </w:tcPr>
          <w:p w14:paraId="2C5CEA53"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2015</w:t>
            </w:r>
          </w:p>
        </w:tc>
        <w:tc>
          <w:tcPr>
            <w:tcW w:w="1701" w:type="dxa"/>
            <w:shd w:val="clear" w:color="auto" w:fill="auto"/>
            <w:vAlign w:val="center"/>
          </w:tcPr>
          <w:p w14:paraId="0396404E"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118</w:t>
            </w:r>
          </w:p>
        </w:tc>
        <w:tc>
          <w:tcPr>
            <w:tcW w:w="4820" w:type="dxa"/>
            <w:shd w:val="clear" w:color="auto" w:fill="auto"/>
            <w:vAlign w:val="center"/>
          </w:tcPr>
          <w:p w14:paraId="362DB51F" w14:textId="77777777" w:rsidR="00803327" w:rsidRPr="0023361D" w:rsidRDefault="00803327" w:rsidP="003F79DB">
            <w:pPr>
              <w:pStyle w:val="TableText0"/>
              <w:keepLines/>
              <w:suppressLineNumbers/>
              <w:suppressAutoHyphens/>
              <w:jc w:val="center"/>
              <w:rPr>
                <w:bCs w:val="0"/>
                <w:szCs w:val="20"/>
                <w:lang w:val="en-AU" w:eastAsia="en-AU" w:bidi="ar-SA"/>
              </w:rPr>
            </w:pPr>
            <w:r w:rsidRPr="0023361D">
              <w:rPr>
                <w:bCs w:val="0"/>
                <w:szCs w:val="20"/>
                <w:lang w:val="en-AU" w:eastAsia="en-AU" w:bidi="ar-SA"/>
              </w:rPr>
              <w:t>0.5</w:t>
            </w:r>
          </w:p>
        </w:tc>
      </w:tr>
    </w:tbl>
    <w:p w14:paraId="3991E0A5" w14:textId="184E72EE" w:rsidR="0023361D" w:rsidRDefault="00803327" w:rsidP="00F07354">
      <w:pPr>
        <w:pStyle w:val="CaptionFootnote"/>
        <w:keepNext/>
        <w:keepLines/>
        <w:suppressLineNumbers/>
        <w:suppressAutoHyphens/>
        <w:spacing w:after="0"/>
        <w:rPr>
          <w:rFonts w:ascii="Arial Narrow" w:hAnsi="Arial Narrow"/>
          <w:sz w:val="18"/>
          <w:szCs w:val="18"/>
        </w:rPr>
      </w:pPr>
      <w:r w:rsidRPr="0023361D">
        <w:rPr>
          <w:rFonts w:ascii="Arial Narrow" w:hAnsi="Arial Narrow"/>
          <w:sz w:val="18"/>
          <w:szCs w:val="18"/>
        </w:rPr>
        <w:t>Source: Table 2.2</w:t>
      </w:r>
      <w:r w:rsidR="00944849">
        <w:rPr>
          <w:rFonts w:ascii="Arial Narrow" w:hAnsi="Arial Narrow"/>
          <w:sz w:val="18"/>
          <w:szCs w:val="18"/>
        </w:rPr>
        <w:t>, p7</w:t>
      </w:r>
      <w:r w:rsidRPr="0023361D">
        <w:rPr>
          <w:rFonts w:ascii="Arial Narrow" w:hAnsi="Arial Narrow"/>
          <w:sz w:val="18"/>
          <w:szCs w:val="18"/>
        </w:rPr>
        <w:t xml:space="preserve"> of the submission, </w:t>
      </w:r>
      <w:r w:rsidRPr="0023361D">
        <w:rPr>
          <w:rFonts w:ascii="Arial Narrow" w:hAnsi="Arial Narrow" w:cstheme="minorHAnsi"/>
          <w:color w:val="000000"/>
          <w:sz w:val="18"/>
          <w:szCs w:val="18"/>
        </w:rPr>
        <w:t>AIHW</w:t>
      </w:r>
      <w:r w:rsidR="0023361D">
        <w:rPr>
          <w:rFonts w:ascii="Arial Narrow" w:hAnsi="Arial Narrow" w:cstheme="minorHAnsi"/>
          <w:color w:val="000000"/>
          <w:sz w:val="18"/>
          <w:szCs w:val="18"/>
        </w:rPr>
        <w:t>;</w:t>
      </w:r>
      <w:r w:rsidRPr="0023361D">
        <w:rPr>
          <w:rFonts w:ascii="Arial Narrow" w:hAnsi="Arial Narrow" w:cstheme="minorHAnsi"/>
          <w:color w:val="000000"/>
          <w:sz w:val="18"/>
          <w:szCs w:val="18"/>
        </w:rPr>
        <w:t xml:space="preserve"> Cancer Data in Australia: Blood Cancer Survival by histology</w:t>
      </w:r>
      <w:r w:rsidRPr="0023361D">
        <w:rPr>
          <w:rFonts w:ascii="Arial Narrow" w:hAnsi="Arial Narrow"/>
          <w:sz w:val="18"/>
          <w:szCs w:val="18"/>
        </w:rPr>
        <w:t xml:space="preserve"> </w:t>
      </w:r>
      <w:r w:rsidRPr="0023361D">
        <w:rPr>
          <w:rFonts w:ascii="Arial Narrow" w:hAnsi="Arial Narrow"/>
          <w:sz w:val="18"/>
          <w:szCs w:val="18"/>
        </w:rPr>
        <w:fldChar w:fldCharType="begin" w:fldLock="1"/>
      </w:r>
      <w:r w:rsidRPr="0023361D">
        <w:rPr>
          <w:rFonts w:ascii="Arial Narrow" w:hAnsi="Arial Narrow"/>
          <w:sz w:val="18"/>
          <w:szCs w:val="18"/>
        </w:rPr>
        <w:instrText xml:space="preserve"> ADDIN EN.CITE &lt;EndNote&gt;&lt;Cite&gt;&lt;Author&gt;AIHW&lt;/Author&gt;&lt;Year&gt;2023&lt;/Year&gt;&lt;RecNum&gt;332&lt;/RecNum&gt;&lt;DisplayText&gt;(AIHW 2023a)&lt;/DisplayText&gt;&lt;record&gt;&lt;rec-number&gt;332&lt;/rec-number&gt;&lt;foreign-keys&gt;&lt;key app="EN" db-id="xta2zfs5afa5syevdt0pr25faaxt2awvasep" timestamp="1698269875"&gt;332&lt;/key&gt;&lt;/foreign-keys&gt;&lt;ref-type name="Web Page"&gt;12&lt;/ref-type&gt;&lt;contributors&gt;&lt;authors&gt;&lt;author&gt;AIHW&lt;/author&gt;&lt;/authors&gt;&lt;/contributors&gt;&lt;titles&gt;&lt;title&gt;Cancer data in Australia: Blood cancer incidence and survival by histology&lt;/title&gt;&lt;/titles&gt;&lt;number&gt;8 March 2023&lt;/number&gt;&lt;dates&gt;&lt;year&gt;2023&lt;/year&gt;&lt;/dates&gt;&lt;pub-location&gt;Canberra&lt;/pub-location&gt;&lt;publisher&gt;Australian Institute of Health Welfare&lt;/publisher&gt;&lt;urls&gt;&lt;related-urls&gt;&lt;url&gt;https://www.aihw.gov.au/reports/cancer/cancer-data-in-australia/contents/blood-cancer-incidence-and-survival-by-histology-e&lt;/url&gt;&lt;/related-urls&gt;&lt;/urls&gt;&lt;/record&gt;&lt;/Cite&gt;&lt;/EndNote&gt;</w:instrText>
      </w:r>
      <w:r w:rsidRPr="0023361D">
        <w:rPr>
          <w:rFonts w:ascii="Arial Narrow" w:hAnsi="Arial Narrow"/>
          <w:sz w:val="18"/>
          <w:szCs w:val="18"/>
        </w:rPr>
        <w:fldChar w:fldCharType="separate"/>
      </w:r>
      <w:r w:rsidRPr="0023361D">
        <w:rPr>
          <w:rFonts w:ascii="Arial Narrow" w:hAnsi="Arial Narrow"/>
          <w:noProof/>
          <w:sz w:val="18"/>
          <w:szCs w:val="18"/>
        </w:rPr>
        <w:t>(AIHW 2023a)</w:t>
      </w:r>
      <w:r w:rsidRPr="0023361D">
        <w:rPr>
          <w:rFonts w:ascii="Arial Narrow" w:hAnsi="Arial Narrow"/>
          <w:sz w:val="18"/>
          <w:szCs w:val="18"/>
        </w:rPr>
        <w:fldChar w:fldCharType="end"/>
      </w:r>
    </w:p>
    <w:p w14:paraId="38F941DF" w14:textId="1582A6DF" w:rsidR="00037AD7" w:rsidRPr="0023361D" w:rsidRDefault="00037AD7" w:rsidP="00773531">
      <w:pPr>
        <w:pStyle w:val="CaptionFootnote"/>
        <w:keepLines/>
        <w:suppressLineNumbers/>
        <w:suppressAutoHyphens/>
        <w:spacing w:after="120"/>
        <w:contextualSpacing w:val="0"/>
        <w:rPr>
          <w:rFonts w:ascii="Arial Narrow" w:hAnsi="Arial Narrow"/>
          <w:sz w:val="18"/>
          <w:szCs w:val="18"/>
        </w:rPr>
      </w:pPr>
      <w:bookmarkStart w:id="12" w:name="_Hlk167809279"/>
      <w:r>
        <w:rPr>
          <w:rFonts w:ascii="Arial Narrow" w:hAnsi="Arial Narrow"/>
          <w:sz w:val="18"/>
          <w:szCs w:val="18"/>
        </w:rPr>
        <w:t xml:space="preserve">Abbreviation: </w:t>
      </w:r>
      <w:r w:rsidRPr="00037AD7">
        <w:rPr>
          <w:rFonts w:ascii="Arial Narrow" w:hAnsi="Arial Narrow"/>
          <w:sz w:val="18"/>
          <w:szCs w:val="18"/>
        </w:rPr>
        <w:t>WM</w:t>
      </w:r>
      <w:r>
        <w:rPr>
          <w:rFonts w:ascii="Arial Narrow" w:hAnsi="Arial Narrow"/>
          <w:sz w:val="18"/>
          <w:szCs w:val="18"/>
        </w:rPr>
        <w:t>=</w:t>
      </w:r>
      <w:r w:rsidRPr="00037AD7">
        <w:rPr>
          <w:rFonts w:ascii="Arial Narrow" w:hAnsi="Arial Narrow"/>
          <w:sz w:val="18"/>
          <w:szCs w:val="18"/>
        </w:rPr>
        <w:t>Waldenström macroglobulinemia</w:t>
      </w:r>
    </w:p>
    <w:bookmarkEnd w:id="12"/>
    <w:p w14:paraId="33AB2BE6" w14:textId="0A8E402F" w:rsidR="008E5474" w:rsidRDefault="008E5474" w:rsidP="00773531">
      <w:pPr>
        <w:pStyle w:val="3Bodytext"/>
        <w:jc w:val="both"/>
        <w:rPr>
          <w:lang w:eastAsia="en-US"/>
        </w:rPr>
      </w:pPr>
      <w:r>
        <w:t xml:space="preserve">The pre-PBAC response </w:t>
      </w:r>
      <w:r w:rsidR="00787307">
        <w:t xml:space="preserve">stated </w:t>
      </w:r>
      <w:r>
        <w:t xml:space="preserve">that </w:t>
      </w:r>
      <w:r w:rsidRPr="0050224E">
        <w:t>the age-standardised incidence rate</w:t>
      </w:r>
      <w:r w:rsidR="006C77AA">
        <w:t>s</w:t>
      </w:r>
      <w:r w:rsidRPr="0050224E">
        <w:t xml:space="preserve"> (ASR</w:t>
      </w:r>
      <w:r w:rsidR="006C77AA">
        <w:t>s</w:t>
      </w:r>
      <w:r w:rsidRPr="0050224E">
        <w:t xml:space="preserve">) </w:t>
      </w:r>
      <w:r>
        <w:t xml:space="preserve">of </w:t>
      </w:r>
      <w:r w:rsidRPr="008E5474">
        <w:t>0.42 to 0.78 per 100,000</w:t>
      </w:r>
      <w:r>
        <w:t xml:space="preserve"> population in </w:t>
      </w:r>
      <w:r w:rsidRPr="0050224E">
        <w:t>Talaulikar</w:t>
      </w:r>
      <w:r>
        <w:t xml:space="preserve"> 2023 is comparable to the</w:t>
      </w:r>
      <w:r w:rsidR="006C77AA">
        <w:t xml:space="preserve"> </w:t>
      </w:r>
      <w:r w:rsidR="006C77AA" w:rsidRPr="00FE1752">
        <w:rPr>
          <w:rStyle w:val="eop"/>
          <w:rFonts w:cstheme="minorHAnsi"/>
          <w:color w:val="000000"/>
          <w:shd w:val="clear" w:color="auto" w:fill="FFFFFF"/>
        </w:rPr>
        <w:t xml:space="preserve">AIHW </w:t>
      </w:r>
      <w:r>
        <w:t xml:space="preserve">rates of </w:t>
      </w:r>
      <w:r w:rsidRPr="008E5474">
        <w:t xml:space="preserve">0.4 to 0.7 per 100,000 </w:t>
      </w:r>
      <w:r w:rsidR="006C77AA">
        <w:t>in the same period</w:t>
      </w:r>
      <w:r w:rsidR="00FC3CFE">
        <w:t xml:space="preserve">. </w:t>
      </w:r>
      <w:r w:rsidR="006C77AA" w:rsidRPr="006C77AA">
        <w:t xml:space="preserve">The pre-PBAC response </w:t>
      </w:r>
      <w:r>
        <w:t>argued that</w:t>
      </w:r>
      <w:r w:rsidR="006C77AA">
        <w:t xml:space="preserve">, based on </w:t>
      </w:r>
      <w:r w:rsidR="006C77AA" w:rsidRPr="0050224E">
        <w:t>Talaulikar</w:t>
      </w:r>
      <w:r w:rsidR="006C77AA">
        <w:t xml:space="preserve"> 2023 projecting the Australian ASR to rise to 1.4 </w:t>
      </w:r>
      <w:r w:rsidR="006C77AA" w:rsidRPr="006C77AA">
        <w:t xml:space="preserve">per 100,000 </w:t>
      </w:r>
      <w:r w:rsidR="006C77AA">
        <w:t xml:space="preserve">by </w:t>
      </w:r>
      <w:r w:rsidR="006C77AA" w:rsidRPr="006C77AA">
        <w:t>2038</w:t>
      </w:r>
      <w:r w:rsidR="006C77AA">
        <w:t>,</w:t>
      </w:r>
      <w:r>
        <w:t xml:space="preserve"> the proposed </w:t>
      </w:r>
      <w:r w:rsidR="00CE2EB9">
        <w:t xml:space="preserve">flat </w:t>
      </w:r>
      <w:r>
        <w:t xml:space="preserve">incidence rate of 0.6 </w:t>
      </w:r>
      <w:r w:rsidR="00CE2EB9">
        <w:t xml:space="preserve">per 100,000 population </w:t>
      </w:r>
      <w:r>
        <w:t xml:space="preserve">over time is likely </w:t>
      </w:r>
      <w:r w:rsidR="00CE2EB9">
        <w:t xml:space="preserve">a </w:t>
      </w:r>
      <w:r>
        <w:t>conservative</w:t>
      </w:r>
      <w:r w:rsidR="00CE2EB9">
        <w:t xml:space="preserve"> estimate, </w:t>
      </w:r>
      <w:r w:rsidR="00BC6959">
        <w:t xml:space="preserve">accounting for the </w:t>
      </w:r>
      <w:r w:rsidR="00CE2EB9" w:rsidRPr="00CE2EB9">
        <w:t xml:space="preserve">increasing </w:t>
      </w:r>
      <w:r w:rsidR="00D35496">
        <w:t xml:space="preserve">aging </w:t>
      </w:r>
      <w:r w:rsidR="00CE2EB9" w:rsidRPr="00CE2EB9">
        <w:t>population</w:t>
      </w:r>
      <w:r w:rsidR="00D35496">
        <w:t>.</w:t>
      </w:r>
    </w:p>
    <w:p w14:paraId="36CF0BC8" w14:textId="27BA5DBF" w:rsidR="00117A97" w:rsidRPr="00DE5FB2" w:rsidRDefault="00117A97" w:rsidP="00C804E0">
      <w:pPr>
        <w:pStyle w:val="5-SubsectionSubheading"/>
        <w:spacing w:before="120" w:after="120"/>
        <w:rPr>
          <w:lang w:eastAsia="en-US"/>
        </w:rPr>
      </w:pPr>
      <w:r w:rsidRPr="00DE5FB2">
        <w:rPr>
          <w:lang w:eastAsia="en-US"/>
        </w:rPr>
        <w:t xml:space="preserve">Revised prevalence </w:t>
      </w:r>
    </w:p>
    <w:p w14:paraId="29CA694B" w14:textId="1227301C" w:rsidR="000A6E53" w:rsidRPr="00973FDC" w:rsidRDefault="00350109" w:rsidP="00E82BCF">
      <w:pPr>
        <w:pStyle w:val="3Bodytext"/>
        <w:jc w:val="both"/>
      </w:pPr>
      <w:r w:rsidRPr="00973FDC">
        <w:t xml:space="preserve">The resubmission in March 2022 used a prevalence rate of 1.22 per 100,000 to estimate </w:t>
      </w:r>
      <w:r w:rsidR="00D01421" w:rsidRPr="00973FDC">
        <w:t xml:space="preserve">the </w:t>
      </w:r>
      <w:r w:rsidRPr="00973FDC">
        <w:t xml:space="preserve">prevalent population for second line or later (2L+) use in Year 1. </w:t>
      </w:r>
      <w:r w:rsidR="00015ED4">
        <w:t>T</w:t>
      </w:r>
      <w:r w:rsidR="00015ED4" w:rsidRPr="00015ED4">
        <w:t>he</w:t>
      </w:r>
      <w:r w:rsidR="00120DD5">
        <w:t xml:space="preserve"> </w:t>
      </w:r>
      <w:r w:rsidR="00015ED4" w:rsidRPr="00015ED4">
        <w:t>five</w:t>
      </w:r>
      <w:r w:rsidR="0096061A">
        <w:t>-</w:t>
      </w:r>
      <w:r w:rsidR="00015ED4" w:rsidRPr="00015ED4">
        <w:t>year prevalence rate</w:t>
      </w:r>
      <w:r w:rsidR="00015ED4">
        <w:t xml:space="preserve"> of </w:t>
      </w:r>
      <w:r w:rsidR="00015ED4" w:rsidRPr="00015ED4">
        <w:t xml:space="preserve">1.22 per 100,000 </w:t>
      </w:r>
      <w:r w:rsidR="00015ED4">
        <w:t xml:space="preserve">for WM was derived from </w:t>
      </w:r>
      <w:r w:rsidR="00015ED4" w:rsidRPr="00015ED4">
        <w:t xml:space="preserve">a five-year prevalence </w:t>
      </w:r>
      <w:r w:rsidR="00015ED4">
        <w:t>of</w:t>
      </w:r>
      <w:r w:rsidR="00CB3303" w:rsidRPr="00973FDC">
        <w:t xml:space="preserve"> </w:t>
      </w:r>
      <w:r w:rsidR="00015ED4" w:rsidRPr="00015ED4">
        <w:t xml:space="preserve">19,691 </w:t>
      </w:r>
      <w:r w:rsidR="00015ED4">
        <w:t xml:space="preserve">cases for NHL </w:t>
      </w:r>
      <w:r w:rsidR="00015ED4" w:rsidRPr="00015ED4">
        <w:t>(AIHW 2021, Code C82-86)</w:t>
      </w:r>
      <w:r w:rsidR="00B934C6" w:rsidRPr="00973FDC">
        <w:t>,</w:t>
      </w:r>
      <w:r w:rsidR="00CB3303" w:rsidRPr="00973FDC">
        <w:t xml:space="preserve"> </w:t>
      </w:r>
      <w:r w:rsidRPr="00973FDC">
        <w:t xml:space="preserve">assuming </w:t>
      </w:r>
      <w:r w:rsidR="00015ED4">
        <w:t xml:space="preserve">that </w:t>
      </w:r>
      <w:r w:rsidRPr="00973FDC">
        <w:t xml:space="preserve">1.5% of </w:t>
      </w:r>
      <w:r w:rsidR="00015ED4" w:rsidRPr="00015ED4">
        <w:t>these cases</w:t>
      </w:r>
      <w:r w:rsidR="00015ED4">
        <w:t xml:space="preserve"> were the WM subtype</w:t>
      </w:r>
      <w:r w:rsidR="00231506">
        <w:t>.</w:t>
      </w:r>
    </w:p>
    <w:p w14:paraId="6D9215E4" w14:textId="6B068466" w:rsidR="00BE25B0" w:rsidRPr="00A57BF4" w:rsidRDefault="00BE25B0" w:rsidP="00E82BCF">
      <w:pPr>
        <w:pStyle w:val="3Bodytext"/>
        <w:jc w:val="both"/>
      </w:pPr>
      <w:r w:rsidRPr="00A57BF4">
        <w:t>The submission stated that</w:t>
      </w:r>
      <w:r w:rsidR="004A18E6" w:rsidRPr="00A57BF4">
        <w:t>, like the incidence rate,</w:t>
      </w:r>
      <w:r w:rsidRPr="00A57BF4">
        <w:t xml:space="preserve"> </w:t>
      </w:r>
      <w:bookmarkStart w:id="13" w:name="_Hlk167801086"/>
      <w:r w:rsidR="004A18E6" w:rsidRPr="00A57BF4">
        <w:t xml:space="preserve">the five-year prevalence rate </w:t>
      </w:r>
      <w:bookmarkEnd w:id="13"/>
      <w:r w:rsidR="004A18E6" w:rsidRPr="00A57BF4">
        <w:t xml:space="preserve">of 1.22 per 100,000 for WM in the previous submission was </w:t>
      </w:r>
      <w:r w:rsidRPr="00A57BF4">
        <w:t xml:space="preserve">unlikely accurate using the </w:t>
      </w:r>
      <w:r w:rsidR="004A18E6" w:rsidRPr="00A57BF4">
        <w:t xml:space="preserve">Lymphoma Australia </w:t>
      </w:r>
      <w:r w:rsidRPr="00A57BF4">
        <w:t>data</w:t>
      </w:r>
      <w:r w:rsidR="004A18E6" w:rsidRPr="00A57BF4">
        <w:t>,</w:t>
      </w:r>
      <w:r w:rsidRPr="00A57BF4">
        <w:t xml:space="preserve"> </w:t>
      </w:r>
      <w:r w:rsidR="004A18E6" w:rsidRPr="00A57BF4">
        <w:t xml:space="preserve">which was from an unknown source. Further, </w:t>
      </w:r>
      <w:r w:rsidRPr="00A57BF4">
        <w:t>the NHL grouping of ICD-10 codes as published by the AIHW include</w:t>
      </w:r>
      <w:r w:rsidR="004A18E6" w:rsidRPr="00A57BF4">
        <w:t>d</w:t>
      </w:r>
      <w:r w:rsidRPr="00A57BF4">
        <w:t xml:space="preserve"> C82</w:t>
      </w:r>
      <w:r w:rsidR="004A18E6" w:rsidRPr="00A57BF4">
        <w:t> </w:t>
      </w:r>
      <w:r w:rsidRPr="00A57BF4">
        <w:t>-</w:t>
      </w:r>
      <w:r w:rsidR="004A18E6" w:rsidRPr="00A57BF4">
        <w:t> </w:t>
      </w:r>
      <w:r w:rsidR="00A57BF4">
        <w:t>C</w:t>
      </w:r>
      <w:r w:rsidRPr="00A57BF4">
        <w:t xml:space="preserve">86, </w:t>
      </w:r>
      <w:r w:rsidR="004A18E6" w:rsidRPr="00A57BF4">
        <w:t xml:space="preserve">while </w:t>
      </w:r>
      <w:r w:rsidRPr="00A57BF4">
        <w:t xml:space="preserve">WM </w:t>
      </w:r>
      <w:r w:rsidR="004A18E6" w:rsidRPr="00A57BF4">
        <w:t>was</w:t>
      </w:r>
      <w:r w:rsidRPr="00A57BF4">
        <w:t xml:space="preserve"> C88</w:t>
      </w:r>
      <w:r w:rsidR="004A18E6" w:rsidRPr="00A57BF4">
        <w:t xml:space="preserve">. </w:t>
      </w:r>
      <w:r w:rsidR="00A57BF4" w:rsidRPr="00A57BF4">
        <w:t xml:space="preserve">This means </w:t>
      </w:r>
      <w:r w:rsidR="004A18E6" w:rsidRPr="00A57BF4">
        <w:t>the fi</w:t>
      </w:r>
      <w:r w:rsidR="00A57BF4" w:rsidRPr="00A57BF4">
        <w:t>ve</w:t>
      </w:r>
      <w:r w:rsidR="004A18E6" w:rsidRPr="00A57BF4">
        <w:t xml:space="preserve">-year prevalence rate of WM </w:t>
      </w:r>
      <w:r w:rsidR="00C74242">
        <w:t xml:space="preserve">applied in March 2022 </w:t>
      </w:r>
      <w:r w:rsidR="00A57BF4" w:rsidRPr="00A57BF4">
        <w:t xml:space="preserve">did not include </w:t>
      </w:r>
      <w:r w:rsidRPr="00A57BF4">
        <w:t>WM patients.</w:t>
      </w:r>
    </w:p>
    <w:p w14:paraId="00A29F16" w14:textId="0BE44539" w:rsidR="00893E87" w:rsidRPr="00941D2A" w:rsidRDefault="00941D2A" w:rsidP="00E82BCF">
      <w:pPr>
        <w:pStyle w:val="3Bodytext"/>
        <w:jc w:val="both"/>
      </w:pPr>
      <w:r w:rsidRPr="00941D2A">
        <w:t>The submission presented updated assumptions that differed from the previous submission</w:t>
      </w:r>
      <w:r w:rsidR="006B0E44">
        <w:t xml:space="preserve"> to estimate a prevalence rate for WM</w:t>
      </w:r>
      <w:r w:rsidRPr="00941D2A">
        <w:t>, as outlined below:</w:t>
      </w:r>
    </w:p>
    <w:p w14:paraId="2C3C27CE" w14:textId="1C8475A0" w:rsidR="00893E87" w:rsidRPr="00642BF3" w:rsidRDefault="006B0E44" w:rsidP="00417008">
      <w:pPr>
        <w:pStyle w:val="3Bodytext"/>
        <w:numPr>
          <w:ilvl w:val="0"/>
          <w:numId w:val="8"/>
        </w:numPr>
        <w:jc w:val="both"/>
      </w:pPr>
      <w:r w:rsidRPr="00642BF3">
        <w:t>Change from five-year to ten-year prevalence</w:t>
      </w:r>
    </w:p>
    <w:p w14:paraId="7B95A94B" w14:textId="2BB3D60A" w:rsidR="006B0E44" w:rsidRPr="00A057C3" w:rsidRDefault="009B497A" w:rsidP="00417008">
      <w:pPr>
        <w:pStyle w:val="3Bodytext"/>
        <w:numPr>
          <w:ilvl w:val="0"/>
          <w:numId w:val="12"/>
        </w:numPr>
        <w:jc w:val="both"/>
      </w:pPr>
      <w:r w:rsidRPr="00A057C3">
        <w:t xml:space="preserve">The submission </w:t>
      </w:r>
      <w:r w:rsidR="00A91C1B" w:rsidRPr="00A057C3">
        <w:t xml:space="preserve">referred to </w:t>
      </w:r>
      <w:bookmarkStart w:id="14" w:name="_Hlk167806074"/>
      <w:r w:rsidR="00A91C1B" w:rsidRPr="00A057C3">
        <w:t>Maqbool 2020</w:t>
      </w:r>
      <w:bookmarkEnd w:id="14"/>
      <w:r w:rsidR="00A91C1B" w:rsidRPr="00A057C3">
        <w:rPr>
          <w:rStyle w:val="FootnoteReference"/>
        </w:rPr>
        <w:footnoteReference w:id="5"/>
      </w:r>
      <w:r w:rsidR="00EA20CF" w:rsidRPr="00A057C3">
        <w:t>, which noted that “at least 25% of patients are asymptomatic at presentation and half of them will not require therapy for at least 3 years. However, only 13% of patients with asymptomatic WM are treatment free at 10 years after diagnosis”.</w:t>
      </w:r>
      <w:r w:rsidR="00D76EC7" w:rsidRPr="00A057C3">
        <w:t xml:space="preserve"> As such, the submission </w:t>
      </w:r>
      <w:r w:rsidR="00BC06D6" w:rsidRPr="00A057C3">
        <w:t xml:space="preserve">anticipated that </w:t>
      </w:r>
      <w:r w:rsidR="00D76EC7" w:rsidRPr="00A057C3">
        <w:t xml:space="preserve">37% </w:t>
      </w:r>
      <w:r w:rsidR="00BC06D6" w:rsidRPr="00A057C3">
        <w:t>(50%</w:t>
      </w:r>
      <w:r w:rsidR="009040BA" w:rsidRPr="00A057C3">
        <w:t xml:space="preserve"> - </w:t>
      </w:r>
      <w:r w:rsidR="00BC06D6" w:rsidRPr="00A057C3">
        <w:t xml:space="preserve">13%) </w:t>
      </w:r>
      <w:r w:rsidR="00D76EC7" w:rsidRPr="00A057C3">
        <w:t xml:space="preserve">of asymptomatic patients would require </w:t>
      </w:r>
      <w:r w:rsidR="00D76EC7" w:rsidRPr="00A057C3">
        <w:lastRenderedPageBreak/>
        <w:t xml:space="preserve">treatment between four and ten years </w:t>
      </w:r>
      <w:r w:rsidR="00BC06D6" w:rsidRPr="00A057C3">
        <w:t xml:space="preserve">after </w:t>
      </w:r>
      <w:r w:rsidR="00D76EC7" w:rsidRPr="00A057C3">
        <w:t>diagnosis</w:t>
      </w:r>
      <w:r w:rsidR="00BC06D6" w:rsidRPr="00A057C3">
        <w:t xml:space="preserve">. </w:t>
      </w:r>
      <w:r w:rsidR="005C5038" w:rsidRPr="00A057C3">
        <w:t>The evaluation noted this is not an estimate of disease prevalence but of treated prevalence</w:t>
      </w:r>
      <w:r w:rsidR="00884B20" w:rsidRPr="00A057C3">
        <w:t xml:space="preserve"> or uptake. </w:t>
      </w:r>
    </w:p>
    <w:p w14:paraId="555C0003" w14:textId="0BACB31C" w:rsidR="00893E87" w:rsidRPr="00642BF3" w:rsidRDefault="00566FFE" w:rsidP="00417008">
      <w:pPr>
        <w:pStyle w:val="3Bodytext"/>
        <w:numPr>
          <w:ilvl w:val="0"/>
          <w:numId w:val="12"/>
        </w:numPr>
        <w:jc w:val="both"/>
      </w:pPr>
      <w:r w:rsidRPr="00642BF3">
        <w:t xml:space="preserve">The submission stated that Maqbool 2020 </w:t>
      </w:r>
      <w:r w:rsidR="009B497A" w:rsidRPr="00642BF3">
        <w:t>provide</w:t>
      </w:r>
      <w:r w:rsidR="00642BF3" w:rsidRPr="00642BF3">
        <w:t xml:space="preserve">d evidence </w:t>
      </w:r>
      <w:r w:rsidR="009B497A" w:rsidRPr="00642BF3">
        <w:t>that exclu</w:t>
      </w:r>
      <w:r w:rsidR="00642BF3" w:rsidRPr="00642BF3">
        <w:t>ding</w:t>
      </w:r>
      <w:r w:rsidR="009B497A" w:rsidRPr="00642BF3">
        <w:t xml:space="preserve"> </w:t>
      </w:r>
      <w:r w:rsidR="00357214" w:rsidRPr="00642BF3">
        <w:t xml:space="preserve">patients diagnosed more than five years ago from the prevalent population would likely result in </w:t>
      </w:r>
      <w:r w:rsidR="00642BF3" w:rsidRPr="00642BF3">
        <w:t xml:space="preserve">an </w:t>
      </w:r>
      <w:r w:rsidR="00357214" w:rsidRPr="00642BF3">
        <w:t>underestimat</w:t>
      </w:r>
      <w:r w:rsidR="00642BF3" w:rsidRPr="00642BF3">
        <w:t>ion</w:t>
      </w:r>
      <w:r w:rsidRPr="00642BF3">
        <w:t xml:space="preserve"> of PBS utilisation</w:t>
      </w:r>
      <w:r w:rsidR="00357214" w:rsidRPr="00642BF3">
        <w:t>.</w:t>
      </w:r>
      <w:r w:rsidRPr="00642BF3">
        <w:t xml:space="preserve"> Therefore</w:t>
      </w:r>
      <w:r w:rsidR="00357214" w:rsidRPr="00642BF3">
        <w:t xml:space="preserve">, </w:t>
      </w:r>
      <w:r w:rsidR="00642BF3" w:rsidRPr="00642BF3">
        <w:t>the updated model used a</w:t>
      </w:r>
      <w:r w:rsidR="00357214" w:rsidRPr="00642BF3">
        <w:t xml:space="preserve"> ten-year prevalence rate </w:t>
      </w:r>
      <w:r w:rsidR="00642BF3" w:rsidRPr="00642BF3">
        <w:t xml:space="preserve">to calculate the prevalent </w:t>
      </w:r>
      <w:r w:rsidR="00357214" w:rsidRPr="00642BF3">
        <w:t>population</w:t>
      </w:r>
      <w:r w:rsidR="00642BF3" w:rsidRPr="00642BF3">
        <w:t>, rather than the previously used five-year prevalence rate</w:t>
      </w:r>
      <w:r w:rsidR="00357214" w:rsidRPr="00642BF3">
        <w:t xml:space="preserve">. </w:t>
      </w:r>
    </w:p>
    <w:p w14:paraId="04DD20E0" w14:textId="179F01E6" w:rsidR="00357214" w:rsidRPr="0004755F" w:rsidRDefault="00FE190A" w:rsidP="00417008">
      <w:pPr>
        <w:pStyle w:val="3Bodytext"/>
        <w:numPr>
          <w:ilvl w:val="0"/>
          <w:numId w:val="8"/>
        </w:numPr>
        <w:jc w:val="both"/>
      </w:pPr>
      <w:r w:rsidRPr="0004755F">
        <w:t xml:space="preserve">Calculating prevalence from </w:t>
      </w:r>
      <w:r w:rsidR="0004755F" w:rsidRPr="0004755F">
        <w:t xml:space="preserve">incidence and observed </w:t>
      </w:r>
      <w:r w:rsidRPr="0004755F">
        <w:t xml:space="preserve">survival </w:t>
      </w:r>
    </w:p>
    <w:p w14:paraId="29AAC4E7" w14:textId="3D11AE85" w:rsidR="00FE190A" w:rsidRPr="00DB72C7" w:rsidRDefault="000B25F4" w:rsidP="00417008">
      <w:pPr>
        <w:pStyle w:val="3Bodytext"/>
        <w:numPr>
          <w:ilvl w:val="0"/>
          <w:numId w:val="9"/>
        </w:numPr>
        <w:jc w:val="both"/>
        <w:rPr>
          <w:rFonts w:cstheme="minorHAnsi"/>
          <w:szCs w:val="24"/>
        </w:rPr>
      </w:pPr>
      <w:r w:rsidRPr="000B25F4">
        <w:t xml:space="preserve">The submission estimated prevalence from incidence and observed WM survival rates </w:t>
      </w:r>
      <w:r w:rsidR="00FB27B6">
        <w:t xml:space="preserve">(how many WM patients are alive at a certain point in time) </w:t>
      </w:r>
      <w:r w:rsidRPr="000B25F4">
        <w:t xml:space="preserve">published by the </w:t>
      </w:r>
      <w:bookmarkStart w:id="15" w:name="_Hlk170226107"/>
      <w:r w:rsidRPr="000B25F4">
        <w:t>AIHW</w:t>
      </w:r>
      <w:r>
        <w:t xml:space="preserve"> </w:t>
      </w:r>
      <w:bookmarkEnd w:id="15"/>
      <w:r w:rsidRPr="000B25F4">
        <w:t>(</w:t>
      </w:r>
      <w:r w:rsidR="008E08F3" w:rsidRPr="00DB72C7">
        <w:rPr>
          <w:rFonts w:cstheme="minorHAnsi"/>
          <w:szCs w:val="24"/>
        </w:rPr>
        <w:fldChar w:fldCharType="begin" w:fldLock="1"/>
      </w:r>
      <w:r w:rsidR="008E08F3" w:rsidRPr="00C804E0">
        <w:rPr>
          <w:rFonts w:cstheme="minorHAnsi"/>
          <w:szCs w:val="24"/>
        </w:rPr>
        <w:instrText xml:space="preserve"> REF _Ref157157190 \h </w:instrText>
      </w:r>
      <w:r w:rsidR="00E01220" w:rsidRPr="00C804E0">
        <w:rPr>
          <w:rFonts w:cstheme="minorHAnsi"/>
          <w:szCs w:val="24"/>
        </w:rPr>
        <w:instrText xml:space="preserve"> \* MERGEFORMAT </w:instrText>
      </w:r>
      <w:r w:rsidR="008E08F3" w:rsidRPr="00DB72C7">
        <w:rPr>
          <w:rFonts w:cstheme="minorHAnsi"/>
          <w:szCs w:val="24"/>
        </w:rPr>
      </w:r>
      <w:r w:rsidR="008E08F3" w:rsidRPr="00DB72C7">
        <w:rPr>
          <w:rFonts w:cstheme="minorHAnsi"/>
          <w:szCs w:val="24"/>
        </w:rPr>
        <w:fldChar w:fldCharType="separate"/>
      </w:r>
      <w:r w:rsidR="00DB72C7" w:rsidRPr="00DB72C7">
        <w:rPr>
          <w:rFonts w:cstheme="minorHAnsi"/>
          <w:szCs w:val="24"/>
        </w:rPr>
        <w:t xml:space="preserve">Figure </w:t>
      </w:r>
      <w:r w:rsidR="00DB72C7" w:rsidRPr="00DB72C7">
        <w:rPr>
          <w:rFonts w:ascii="Arial Narrow" w:hAnsi="Arial Narrow"/>
          <w:b/>
          <w:bCs/>
          <w:sz w:val="20"/>
          <w:szCs w:val="20"/>
        </w:rPr>
        <w:t>1</w:t>
      </w:r>
      <w:r w:rsidR="008E08F3" w:rsidRPr="00DB72C7">
        <w:rPr>
          <w:rFonts w:cstheme="minorHAnsi"/>
          <w:szCs w:val="24"/>
        </w:rPr>
        <w:fldChar w:fldCharType="end"/>
      </w:r>
      <w:r w:rsidR="008E08F3" w:rsidRPr="00DB72C7">
        <w:rPr>
          <w:rFonts w:cstheme="minorHAnsi"/>
          <w:szCs w:val="24"/>
        </w:rPr>
        <w:t xml:space="preserve">, </w:t>
      </w:r>
      <w:r w:rsidRPr="00DB72C7">
        <w:rPr>
          <w:rFonts w:cstheme="minorHAnsi"/>
          <w:szCs w:val="24"/>
        </w:rPr>
        <w:t>AIHW 2023a</w:t>
      </w:r>
      <w:r w:rsidR="00BC7A11" w:rsidRPr="00DB72C7">
        <w:rPr>
          <w:rFonts w:cstheme="minorHAnsi"/>
          <w:szCs w:val="24"/>
        </w:rPr>
        <w:t>)</w:t>
      </w:r>
      <w:r w:rsidRPr="00DB72C7">
        <w:rPr>
          <w:rFonts w:cstheme="minorHAnsi"/>
          <w:szCs w:val="24"/>
        </w:rPr>
        <w:t>, which provides survival rates up to five</w:t>
      </w:r>
      <w:r w:rsidR="008E08F3" w:rsidRPr="00DB72C7">
        <w:rPr>
          <w:rFonts w:cstheme="minorHAnsi"/>
          <w:szCs w:val="24"/>
        </w:rPr>
        <w:t> </w:t>
      </w:r>
      <w:r w:rsidRPr="00DB72C7">
        <w:rPr>
          <w:rFonts w:cstheme="minorHAnsi"/>
          <w:szCs w:val="24"/>
        </w:rPr>
        <w:t>years annually after dia</w:t>
      </w:r>
      <w:r w:rsidRPr="000B25F4">
        <w:t>gnosis</w:t>
      </w:r>
      <w:r w:rsidR="008E08F3">
        <w:t>,</w:t>
      </w:r>
      <w:r w:rsidR="008E08F3" w:rsidRPr="008E08F3">
        <w:t xml:space="preserve"> with the most recent period being 2015</w:t>
      </w:r>
      <w:r w:rsidR="008E08F3">
        <w:t> </w:t>
      </w:r>
      <w:r w:rsidR="008E08F3" w:rsidRPr="008E08F3">
        <w:t>-</w:t>
      </w:r>
      <w:r w:rsidR="008E08F3">
        <w:t> </w:t>
      </w:r>
      <w:r w:rsidR="008E08F3" w:rsidRPr="008E08F3">
        <w:t>2019</w:t>
      </w:r>
      <w:r w:rsidRPr="000B25F4">
        <w:t>. To calculate a</w:t>
      </w:r>
      <w:r w:rsidR="00FB27B6">
        <w:t xml:space="preserve"> </w:t>
      </w:r>
      <w:r w:rsidRPr="000B25F4">
        <w:t>ten-year prevalence, the survival for Years 6</w:t>
      </w:r>
      <w:r w:rsidR="00FB27B6">
        <w:t> </w:t>
      </w:r>
      <w:r w:rsidRPr="000B25F4">
        <w:t>-</w:t>
      </w:r>
      <w:r w:rsidR="00FB27B6">
        <w:t> </w:t>
      </w:r>
      <w:r w:rsidRPr="000B25F4">
        <w:t xml:space="preserve">10 were taken from the overall survival of those diagnosed with </w:t>
      </w:r>
      <w:r>
        <w:t xml:space="preserve">WM </w:t>
      </w:r>
      <w:r w:rsidRPr="000B25F4">
        <w:t>between 2001 and 2010 as recorded within the United States SEER database</w:t>
      </w:r>
      <w:r w:rsidR="00FE190A" w:rsidRPr="000B25F4">
        <w:t xml:space="preserve"> (Castillo et al., 2015</w:t>
      </w:r>
      <w:r>
        <w:rPr>
          <w:rStyle w:val="FootnoteReference"/>
        </w:rPr>
        <w:footnoteReference w:id="6"/>
      </w:r>
      <w:r w:rsidR="00FE190A" w:rsidRPr="000B25F4">
        <w:t>)</w:t>
      </w:r>
      <w:r w:rsidR="000D5E37" w:rsidRPr="000B25F4">
        <w:t xml:space="preserve">. </w:t>
      </w:r>
      <w:bookmarkStart w:id="16" w:name="_Hlk172477235"/>
      <w:r w:rsidR="00E24011">
        <w:t xml:space="preserve">The evaluation </w:t>
      </w:r>
      <w:r w:rsidR="00DE06E7">
        <w:t xml:space="preserve">indicated </w:t>
      </w:r>
      <w:r w:rsidR="00E24011">
        <w:t>that i</w:t>
      </w:r>
      <w:r w:rsidR="00C55323" w:rsidRPr="00E24011">
        <w:t xml:space="preserve">t is </w:t>
      </w:r>
      <w:r w:rsidR="00DE06E7">
        <w:t xml:space="preserve">uncertain whether </w:t>
      </w:r>
      <w:r w:rsidR="00C55323" w:rsidRPr="00E24011">
        <w:t xml:space="preserve">the survival rates from the SEER database </w:t>
      </w:r>
      <w:r w:rsidR="00DE06E7">
        <w:t xml:space="preserve">would </w:t>
      </w:r>
      <w:r w:rsidR="00DE06E7" w:rsidRPr="00DE06E7">
        <w:t>accurately reflect those of</w:t>
      </w:r>
      <w:r w:rsidR="00C55323" w:rsidRPr="00E24011">
        <w:t xml:space="preserve"> Australian patients</w:t>
      </w:r>
      <w:r w:rsidR="00E24011">
        <w:rPr>
          <w:i/>
          <w:iCs/>
        </w:rPr>
        <w:t>,</w:t>
      </w:r>
      <w:r w:rsidR="00C55323" w:rsidRPr="00DB72C7">
        <w:rPr>
          <w:i/>
          <w:iCs/>
        </w:rPr>
        <w:t xml:space="preserve"> </w:t>
      </w:r>
      <w:bookmarkEnd w:id="16"/>
      <w:r w:rsidR="00E24011">
        <w:t xml:space="preserve">and </w:t>
      </w:r>
      <w:r w:rsidR="00DE06E7">
        <w:t xml:space="preserve">the submission could </w:t>
      </w:r>
      <w:r w:rsidR="002B07B3">
        <w:t xml:space="preserve">have </w:t>
      </w:r>
      <w:r w:rsidR="00DE06E7">
        <w:t>use</w:t>
      </w:r>
      <w:r w:rsidR="002B07B3">
        <w:t>d</w:t>
      </w:r>
      <w:r w:rsidR="00DE06E7">
        <w:t xml:space="preserve"> </w:t>
      </w:r>
      <w:r w:rsidR="007C40D6" w:rsidRPr="007C40D6">
        <w:t>a</w:t>
      </w:r>
      <w:r w:rsidR="00C55323" w:rsidRPr="007C40D6">
        <w:t xml:space="preserve"> more recent study based on data from the SEER database (Yin et al., 2020</w:t>
      </w:r>
      <w:r w:rsidR="00C55323" w:rsidRPr="007C40D6">
        <w:rPr>
          <w:rStyle w:val="FootnoteReference"/>
        </w:rPr>
        <w:footnoteReference w:id="7"/>
      </w:r>
      <w:r w:rsidR="00C55323" w:rsidRPr="007C40D6">
        <w:t>)</w:t>
      </w:r>
      <w:r w:rsidR="00DE06E7">
        <w:t xml:space="preserve">, which </w:t>
      </w:r>
      <w:r w:rsidR="00C55323" w:rsidRPr="007C40D6">
        <w:t>reports lower survival rates for WM at 5</w:t>
      </w:r>
      <w:r w:rsidR="0014322A" w:rsidRPr="007C40D6">
        <w:t> </w:t>
      </w:r>
      <w:r w:rsidR="00C55323" w:rsidRPr="007C40D6">
        <w:t>years (64.4%) and 10</w:t>
      </w:r>
      <w:r w:rsidR="0014322A" w:rsidRPr="007C40D6">
        <w:t> </w:t>
      </w:r>
      <w:r w:rsidR="00C55323" w:rsidRPr="007C40D6">
        <w:t xml:space="preserve">years (42.2%) than presented </w:t>
      </w:r>
      <w:r w:rsidR="00C55323" w:rsidRPr="007C40D6">
        <w:rPr>
          <w:rFonts w:cstheme="minorHAnsi"/>
          <w:szCs w:val="24"/>
        </w:rPr>
        <w:t xml:space="preserve">in </w:t>
      </w:r>
      <w:r w:rsidR="00162785" w:rsidRPr="007C40D6">
        <w:rPr>
          <w:rFonts w:cstheme="minorHAnsi"/>
          <w:szCs w:val="24"/>
        </w:rPr>
        <w:fldChar w:fldCharType="begin" w:fldLock="1"/>
      </w:r>
      <w:r w:rsidR="00162785" w:rsidRPr="007C40D6">
        <w:rPr>
          <w:rFonts w:cstheme="minorHAnsi"/>
          <w:szCs w:val="24"/>
        </w:rPr>
        <w:instrText xml:space="preserve"> REF _Ref158643302 \h  \* MERGEFORMAT </w:instrText>
      </w:r>
      <w:r w:rsidR="00162785" w:rsidRPr="007C40D6">
        <w:rPr>
          <w:rFonts w:cstheme="minorHAnsi"/>
          <w:szCs w:val="24"/>
        </w:rPr>
      </w:r>
      <w:r w:rsidR="00162785" w:rsidRPr="007C40D6">
        <w:rPr>
          <w:rFonts w:cstheme="minorHAnsi"/>
          <w:szCs w:val="24"/>
        </w:rPr>
        <w:fldChar w:fldCharType="separate"/>
      </w:r>
      <w:r w:rsidR="00B31544" w:rsidRPr="00B31544">
        <w:rPr>
          <w:rFonts w:cstheme="minorHAnsi"/>
          <w:szCs w:val="24"/>
        </w:rPr>
        <w:t xml:space="preserve">Table </w:t>
      </w:r>
      <w:r w:rsidR="00B31544" w:rsidRPr="00B31544">
        <w:rPr>
          <w:rFonts w:cstheme="minorHAnsi"/>
          <w:noProof/>
          <w:szCs w:val="24"/>
        </w:rPr>
        <w:t>5</w:t>
      </w:r>
      <w:r w:rsidR="00162785" w:rsidRPr="007C40D6">
        <w:rPr>
          <w:rFonts w:cstheme="minorHAnsi"/>
          <w:szCs w:val="24"/>
        </w:rPr>
        <w:fldChar w:fldCharType="end"/>
      </w:r>
      <w:r w:rsidR="00C55323" w:rsidRPr="007C40D6">
        <w:t xml:space="preserve"> below.</w:t>
      </w:r>
    </w:p>
    <w:p w14:paraId="2DB5FD17" w14:textId="1AA3905D" w:rsidR="00B06A91" w:rsidRDefault="00B06A91" w:rsidP="00417008">
      <w:pPr>
        <w:pStyle w:val="ListParagraph"/>
        <w:numPr>
          <w:ilvl w:val="0"/>
          <w:numId w:val="9"/>
        </w:numPr>
        <w:jc w:val="both"/>
        <w:rPr>
          <w:rFonts w:eastAsiaTheme="minorHAnsi" w:cstheme="minorHAnsi"/>
          <w:snapToGrid/>
        </w:rPr>
      </w:pPr>
      <w:bookmarkStart w:id="17" w:name="_Hlk167867555"/>
      <w:r w:rsidRPr="009C56CD">
        <w:rPr>
          <w:rFonts w:eastAsiaTheme="minorHAnsi" w:cstheme="minorHAnsi"/>
          <w:snapToGrid/>
        </w:rPr>
        <w:t xml:space="preserve">818 patients </w:t>
      </w:r>
      <w:bookmarkEnd w:id="17"/>
      <w:r w:rsidRPr="009C56CD">
        <w:rPr>
          <w:rFonts w:eastAsiaTheme="minorHAnsi" w:cstheme="minorHAnsi"/>
          <w:snapToGrid/>
        </w:rPr>
        <w:t>diagnosed with WM in the previous ten years (2010 – 2019) were estimated to be alive as of 31</w:t>
      </w:r>
      <w:r>
        <w:rPr>
          <w:rFonts w:eastAsiaTheme="minorHAnsi" w:cstheme="minorHAnsi"/>
          <w:snapToGrid/>
        </w:rPr>
        <w:t> </w:t>
      </w:r>
      <w:r w:rsidRPr="009C56CD">
        <w:rPr>
          <w:rFonts w:eastAsiaTheme="minorHAnsi" w:cstheme="minorHAnsi"/>
          <w:snapToGrid/>
        </w:rPr>
        <w:t>December</w:t>
      </w:r>
      <w:r>
        <w:rPr>
          <w:rFonts w:eastAsiaTheme="minorHAnsi" w:cstheme="minorHAnsi"/>
          <w:snapToGrid/>
        </w:rPr>
        <w:t> </w:t>
      </w:r>
      <w:r w:rsidRPr="009C56CD">
        <w:rPr>
          <w:rFonts w:eastAsiaTheme="minorHAnsi" w:cstheme="minorHAnsi"/>
          <w:snapToGrid/>
        </w:rPr>
        <w:t>2019 (</w:t>
      </w:r>
      <w:r w:rsidRPr="009C56CD">
        <w:rPr>
          <w:rFonts w:eastAsiaTheme="minorHAnsi" w:cstheme="minorHAnsi"/>
          <w:snapToGrid/>
        </w:rPr>
        <w:fldChar w:fldCharType="begin" w:fldLock="1"/>
      </w:r>
      <w:r w:rsidRPr="009C56CD">
        <w:rPr>
          <w:rFonts w:eastAsiaTheme="minorHAnsi" w:cstheme="minorHAnsi"/>
          <w:snapToGrid/>
        </w:rPr>
        <w:instrText xml:space="preserve"> REF _Ref158643302 \h  \* MERGEFORMAT </w:instrText>
      </w:r>
      <w:r w:rsidRPr="009C56CD">
        <w:rPr>
          <w:rFonts w:eastAsiaTheme="minorHAnsi" w:cstheme="minorHAnsi"/>
          <w:snapToGrid/>
        </w:rPr>
      </w:r>
      <w:r w:rsidRPr="009C56CD">
        <w:rPr>
          <w:rFonts w:eastAsiaTheme="minorHAnsi" w:cstheme="minorHAnsi"/>
          <w:snapToGrid/>
        </w:rPr>
        <w:fldChar w:fldCharType="separate"/>
      </w:r>
      <w:r w:rsidR="00AD6E26" w:rsidRPr="00AD6E26">
        <w:rPr>
          <w:rFonts w:cstheme="minorHAnsi"/>
        </w:rPr>
        <w:t xml:space="preserve">Table </w:t>
      </w:r>
      <w:r w:rsidR="00AD6E26" w:rsidRPr="00AD6E26">
        <w:rPr>
          <w:rFonts w:cstheme="minorHAnsi"/>
          <w:noProof/>
        </w:rPr>
        <w:t>5</w:t>
      </w:r>
      <w:r w:rsidRPr="009C56CD">
        <w:rPr>
          <w:rFonts w:eastAsiaTheme="minorHAnsi" w:cstheme="minorHAnsi"/>
          <w:snapToGrid/>
        </w:rPr>
        <w:fldChar w:fldCharType="end"/>
      </w:r>
      <w:r w:rsidRPr="009C56CD">
        <w:rPr>
          <w:rFonts w:eastAsiaTheme="minorHAnsi" w:cstheme="minorHAnsi"/>
          <w:snapToGrid/>
        </w:rPr>
        <w:t xml:space="preserve">). </w:t>
      </w:r>
      <w:r>
        <w:rPr>
          <w:rFonts w:eastAsiaTheme="minorHAnsi" w:cstheme="minorHAnsi"/>
          <w:snapToGrid/>
        </w:rPr>
        <w:t xml:space="preserve">This </w:t>
      </w:r>
      <w:r w:rsidRPr="00B06A91">
        <w:rPr>
          <w:rFonts w:eastAsiaTheme="minorHAnsi" w:cstheme="minorHAnsi"/>
          <w:snapToGrid/>
        </w:rPr>
        <w:t>was calculated by applying the one-year observed survival rate to the 2019 incidence (the most recent year</w:t>
      </w:r>
      <w:r w:rsidR="00716DDB">
        <w:rPr>
          <w:rFonts w:eastAsiaTheme="minorHAnsi" w:cstheme="minorHAnsi"/>
          <w:snapToGrid/>
        </w:rPr>
        <w:t xml:space="preserve"> of available</w:t>
      </w:r>
      <w:r w:rsidRPr="00B06A91">
        <w:rPr>
          <w:rFonts w:eastAsiaTheme="minorHAnsi" w:cstheme="minorHAnsi"/>
          <w:snapToGrid/>
        </w:rPr>
        <w:t xml:space="preserve"> incidence</w:t>
      </w:r>
      <w:r w:rsidR="00716DDB">
        <w:rPr>
          <w:rFonts w:eastAsiaTheme="minorHAnsi" w:cstheme="minorHAnsi"/>
          <w:snapToGrid/>
        </w:rPr>
        <w:t xml:space="preserve"> data</w:t>
      </w:r>
      <w:r w:rsidRPr="00B06A91">
        <w:rPr>
          <w:rFonts w:eastAsiaTheme="minorHAnsi" w:cstheme="minorHAnsi"/>
          <w:snapToGrid/>
        </w:rPr>
        <w:t>), the two-year observed survival rate to the 2018 incidence until the tenth year</w:t>
      </w:r>
      <w:r>
        <w:rPr>
          <w:rFonts w:eastAsiaTheme="minorHAnsi" w:cstheme="minorHAnsi"/>
          <w:snapToGrid/>
        </w:rPr>
        <w:t xml:space="preserve">, and then summing </w:t>
      </w:r>
      <w:r w:rsidRPr="00B06A91">
        <w:rPr>
          <w:rFonts w:eastAsiaTheme="minorHAnsi" w:cstheme="minorHAnsi"/>
          <w:snapToGrid/>
        </w:rPr>
        <w:t>these values</w:t>
      </w:r>
      <w:r>
        <w:rPr>
          <w:rFonts w:eastAsiaTheme="minorHAnsi" w:cstheme="minorHAnsi"/>
          <w:snapToGrid/>
        </w:rPr>
        <w:t>.</w:t>
      </w:r>
    </w:p>
    <w:p w14:paraId="29867D54" w14:textId="7BEF1CD5" w:rsidR="00E82BCF" w:rsidRPr="00FE5B79" w:rsidRDefault="008E08F3" w:rsidP="00417008">
      <w:pPr>
        <w:pStyle w:val="3Bodytext"/>
        <w:numPr>
          <w:ilvl w:val="0"/>
          <w:numId w:val="9"/>
        </w:numPr>
        <w:ind w:left="1434" w:hanging="357"/>
        <w:jc w:val="both"/>
      </w:pPr>
      <w:r w:rsidRPr="009C56CD">
        <w:t>T</w:t>
      </w:r>
      <w:r w:rsidR="000D5E37" w:rsidRPr="009C56CD">
        <w:t xml:space="preserve">he ten-year prevalence </w:t>
      </w:r>
      <w:r w:rsidR="000E1E23" w:rsidRPr="000E1E23">
        <w:t>of 3.21</w:t>
      </w:r>
      <w:r w:rsidR="000E1E23">
        <w:t xml:space="preserve"> </w:t>
      </w:r>
      <w:r w:rsidR="000E1E23" w:rsidRPr="000E1E23">
        <w:t>per</w:t>
      </w:r>
      <w:r w:rsidR="000E1E23">
        <w:t xml:space="preserve"> </w:t>
      </w:r>
      <w:r w:rsidR="000E1E23" w:rsidRPr="000E1E23">
        <w:t>100,000</w:t>
      </w:r>
      <w:r w:rsidR="000E1E23">
        <w:t xml:space="preserve"> </w:t>
      </w:r>
      <w:r w:rsidR="000E1E23" w:rsidRPr="000E1E23">
        <w:t xml:space="preserve">population </w:t>
      </w:r>
      <w:bookmarkStart w:id="18" w:name="_Hlk167813645"/>
      <w:r w:rsidR="000D5E37" w:rsidRPr="009C56CD">
        <w:t xml:space="preserve">was calculated </w:t>
      </w:r>
      <w:bookmarkEnd w:id="18"/>
      <w:r w:rsidR="000E1E23">
        <w:t xml:space="preserve">as </w:t>
      </w:r>
      <w:r w:rsidR="000E1E23" w:rsidRPr="000E1E23">
        <w:t>818</w:t>
      </w:r>
      <w:r w:rsidR="001A6A06">
        <w:t> </w:t>
      </w:r>
      <w:r w:rsidR="000E1E23" w:rsidRPr="000E1E23">
        <w:t xml:space="preserve">patients </w:t>
      </w:r>
      <w:r w:rsidR="00881C84" w:rsidRPr="009C56CD">
        <w:t xml:space="preserve">divided by </w:t>
      </w:r>
      <w:r w:rsidR="000E1E23" w:rsidRPr="009C56CD">
        <w:rPr>
          <w:rFonts w:cstheme="minorHAnsi"/>
        </w:rPr>
        <w:t>the Australian population of 25,522,169 as of 31 December 2019</w:t>
      </w:r>
      <w:r w:rsidR="000E1E23">
        <w:rPr>
          <w:rFonts w:cstheme="minorHAnsi"/>
        </w:rPr>
        <w:t xml:space="preserve"> </w:t>
      </w:r>
      <w:r w:rsidR="000E1E23" w:rsidRPr="009C56CD">
        <w:t>(the most recent year in the model)</w:t>
      </w:r>
      <w:r w:rsidR="000E1E23">
        <w:t xml:space="preserve">, </w:t>
      </w:r>
      <w:r w:rsidR="000E1E23">
        <w:rPr>
          <w:rFonts w:cstheme="minorHAnsi"/>
        </w:rPr>
        <w:t>as shown in</w:t>
      </w:r>
      <w:r w:rsidR="000E1E23" w:rsidRPr="009C56CD">
        <w:rPr>
          <w:rFonts w:cstheme="minorHAnsi"/>
        </w:rPr>
        <w:t xml:space="preserve"> </w:t>
      </w:r>
      <w:r w:rsidR="000E1E23" w:rsidRPr="00BE671E">
        <w:fldChar w:fldCharType="begin" w:fldLock="1"/>
      </w:r>
      <w:r w:rsidR="000E1E23" w:rsidRPr="00BE671E">
        <w:instrText xml:space="preserve"> REF _Ref157675296 \h  \* MERGEFORMAT </w:instrText>
      </w:r>
      <w:r w:rsidR="000E1E23" w:rsidRPr="00BE671E">
        <w:fldChar w:fldCharType="separate"/>
      </w:r>
      <w:r w:rsidR="00BE671E" w:rsidRPr="00BE671E">
        <w:t>Table 6</w:t>
      </w:r>
      <w:r w:rsidR="000E1E23" w:rsidRPr="00BE671E">
        <w:fldChar w:fldCharType="end"/>
      </w:r>
      <w:r w:rsidR="000E1E23" w:rsidRPr="00BE671E">
        <w:t>.</w:t>
      </w:r>
      <w:r w:rsidR="00881C84" w:rsidRPr="009C56CD">
        <w:t xml:space="preserve"> </w:t>
      </w:r>
      <w:bookmarkStart w:id="19" w:name="_Ref157157190"/>
      <w:bookmarkStart w:id="20" w:name="_Toc160780487"/>
    </w:p>
    <w:p w14:paraId="233E4700" w14:textId="46F11384" w:rsidR="004958B0" w:rsidRPr="008E08F3" w:rsidRDefault="00E82BCF" w:rsidP="003F79DB">
      <w:pPr>
        <w:pStyle w:val="Caption"/>
        <w:keepNext/>
        <w:keepLines/>
        <w:spacing w:after="0"/>
        <w:rPr>
          <w:rFonts w:ascii="Arial Narrow" w:hAnsi="Arial Narrow"/>
          <w:b/>
          <w:bCs/>
          <w:i w:val="0"/>
          <w:iCs w:val="0"/>
          <w:sz w:val="20"/>
          <w:szCs w:val="20"/>
        </w:rPr>
      </w:pPr>
      <w:r w:rsidRPr="00E82BCF">
        <w:rPr>
          <w:rFonts w:ascii="Arial Narrow" w:hAnsi="Arial Narrow"/>
          <w:b/>
          <w:bCs/>
          <w:i w:val="0"/>
          <w:iCs w:val="0"/>
          <w:sz w:val="20"/>
          <w:szCs w:val="20"/>
        </w:rPr>
        <w:lastRenderedPageBreak/>
        <w:t xml:space="preserve">Figure </w:t>
      </w:r>
      <w:r w:rsidRPr="00E82BCF">
        <w:rPr>
          <w:rFonts w:ascii="Arial Narrow" w:hAnsi="Arial Narrow"/>
          <w:b/>
          <w:bCs/>
          <w:i w:val="0"/>
          <w:iCs w:val="0"/>
          <w:sz w:val="20"/>
          <w:szCs w:val="20"/>
        </w:rPr>
        <w:fldChar w:fldCharType="begin" w:fldLock="1"/>
      </w:r>
      <w:r w:rsidRPr="00E82BCF">
        <w:rPr>
          <w:rFonts w:ascii="Arial Narrow" w:hAnsi="Arial Narrow"/>
          <w:b/>
          <w:bCs/>
          <w:i w:val="0"/>
          <w:iCs w:val="0"/>
          <w:sz w:val="20"/>
          <w:szCs w:val="20"/>
        </w:rPr>
        <w:instrText xml:space="preserve"> SEQ Figure \* ARABIC </w:instrText>
      </w:r>
      <w:r w:rsidRPr="00E82BCF">
        <w:rPr>
          <w:rFonts w:ascii="Arial Narrow" w:hAnsi="Arial Narrow"/>
          <w:b/>
          <w:bCs/>
          <w:i w:val="0"/>
          <w:iCs w:val="0"/>
          <w:sz w:val="20"/>
          <w:szCs w:val="20"/>
        </w:rPr>
        <w:fldChar w:fldCharType="separate"/>
      </w:r>
      <w:r w:rsidRPr="00E82BCF">
        <w:rPr>
          <w:rFonts w:ascii="Arial Narrow" w:hAnsi="Arial Narrow"/>
          <w:b/>
          <w:bCs/>
          <w:i w:val="0"/>
          <w:iCs w:val="0"/>
          <w:sz w:val="20"/>
          <w:szCs w:val="20"/>
        </w:rPr>
        <w:t>1</w:t>
      </w:r>
      <w:r w:rsidRPr="00E82BCF">
        <w:rPr>
          <w:rFonts w:ascii="Arial Narrow" w:hAnsi="Arial Narrow"/>
          <w:b/>
          <w:bCs/>
          <w:i w:val="0"/>
          <w:iCs w:val="0"/>
          <w:sz w:val="20"/>
          <w:szCs w:val="20"/>
        </w:rPr>
        <w:fldChar w:fldCharType="end"/>
      </w:r>
      <w:bookmarkEnd w:id="19"/>
      <w:r w:rsidR="004958B0" w:rsidRPr="008E08F3">
        <w:rPr>
          <w:rFonts w:ascii="Arial Narrow" w:hAnsi="Arial Narrow"/>
          <w:b/>
          <w:bCs/>
          <w:i w:val="0"/>
          <w:iCs w:val="0"/>
          <w:sz w:val="20"/>
          <w:szCs w:val="20"/>
        </w:rPr>
        <w:t>: AIHW survival report for one year after diagnosis of WM.</w:t>
      </w:r>
      <w:bookmarkEnd w:id="20"/>
    </w:p>
    <w:p w14:paraId="46B20C2D" w14:textId="6611A1C5" w:rsidR="000D5E37" w:rsidRPr="004958B0" w:rsidRDefault="004958B0" w:rsidP="00D1031C">
      <w:pPr>
        <w:pStyle w:val="3Bodytext"/>
        <w:keepLines/>
        <w:numPr>
          <w:ilvl w:val="0"/>
          <w:numId w:val="0"/>
        </w:numPr>
        <w:suppressLineNumbers/>
        <w:suppressAutoHyphens/>
        <w:spacing w:after="0"/>
        <w:jc w:val="both"/>
        <w:rPr>
          <w:rFonts w:ascii="Arial Narrow" w:hAnsi="Arial Narrow"/>
          <w:i/>
          <w:iCs/>
          <w:sz w:val="18"/>
          <w:szCs w:val="18"/>
        </w:rPr>
      </w:pPr>
      <w:r w:rsidRPr="004958B0">
        <w:rPr>
          <w:rFonts w:ascii="Arial Narrow" w:hAnsi="Arial Narrow"/>
          <w:noProof/>
          <w:sz w:val="18"/>
          <w:szCs w:val="18"/>
        </w:rPr>
        <w:drawing>
          <wp:inline distT="0" distB="0" distL="0" distR="0" wp14:anchorId="4D77E6E6" wp14:editId="1A8948E7">
            <wp:extent cx="5504822" cy="3829050"/>
            <wp:effectExtent l="19050" t="19050" r="19685" b="19050"/>
            <wp:docPr id="2" name="Picture 2" descr="Figure 1: AIHW survival report for one year after diagnosis of 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AIHW survival report for one year after diagnosis of WM."/>
                    <pic:cNvPicPr/>
                  </pic:nvPicPr>
                  <pic:blipFill>
                    <a:blip r:embed="rId8"/>
                    <a:stretch>
                      <a:fillRect/>
                    </a:stretch>
                  </pic:blipFill>
                  <pic:spPr>
                    <a:xfrm>
                      <a:off x="0" y="0"/>
                      <a:ext cx="5631787" cy="3917365"/>
                    </a:xfrm>
                    <a:prstGeom prst="rect">
                      <a:avLst/>
                    </a:prstGeom>
                    <a:ln>
                      <a:solidFill>
                        <a:schemeClr val="accent1"/>
                      </a:solidFill>
                    </a:ln>
                  </pic:spPr>
                </pic:pic>
              </a:graphicData>
            </a:graphic>
          </wp:inline>
        </w:drawing>
      </w:r>
    </w:p>
    <w:p w14:paraId="412FBEFD" w14:textId="0DFF1DE0" w:rsidR="004958B0" w:rsidRPr="008E08F3" w:rsidRDefault="004958B0" w:rsidP="00D1031C">
      <w:pPr>
        <w:pStyle w:val="3Bodytext"/>
        <w:keepLines/>
        <w:numPr>
          <w:ilvl w:val="0"/>
          <w:numId w:val="0"/>
        </w:numPr>
        <w:suppressLineNumbers/>
        <w:suppressAutoHyphens/>
        <w:spacing w:after="0"/>
        <w:jc w:val="both"/>
        <w:rPr>
          <w:rFonts w:ascii="Arial Narrow" w:hAnsi="Arial Narrow"/>
          <w:sz w:val="18"/>
          <w:szCs w:val="18"/>
        </w:rPr>
      </w:pPr>
      <w:r w:rsidRPr="008E08F3">
        <w:rPr>
          <w:rFonts w:ascii="Arial Narrow" w:hAnsi="Arial Narrow"/>
          <w:sz w:val="18"/>
          <w:szCs w:val="18"/>
        </w:rPr>
        <w:t>Source: Figure 2.1</w:t>
      </w:r>
      <w:r w:rsidR="0002171F">
        <w:rPr>
          <w:rFonts w:ascii="Arial Narrow" w:hAnsi="Arial Narrow"/>
          <w:sz w:val="18"/>
          <w:szCs w:val="18"/>
        </w:rPr>
        <w:t>, p9</w:t>
      </w:r>
      <w:r w:rsidRPr="008E08F3">
        <w:rPr>
          <w:rFonts w:ascii="Arial Narrow" w:hAnsi="Arial Narrow"/>
          <w:sz w:val="18"/>
          <w:szCs w:val="18"/>
        </w:rPr>
        <w:t xml:space="preserve"> of the submission, </w:t>
      </w:r>
      <w:r w:rsidR="008E08F3" w:rsidRPr="008E08F3">
        <w:rPr>
          <w:rFonts w:ascii="Arial Narrow" w:hAnsi="Arial Narrow"/>
          <w:sz w:val="18"/>
          <w:szCs w:val="18"/>
        </w:rPr>
        <w:t xml:space="preserve">the </w:t>
      </w:r>
      <w:r w:rsidRPr="008E08F3">
        <w:rPr>
          <w:rFonts w:ascii="Arial Narrow" w:hAnsi="Arial Narrow"/>
          <w:sz w:val="18"/>
          <w:szCs w:val="18"/>
        </w:rPr>
        <w:t>AIHW, Cancer Data in Australia: Blood Cancer Survival by histology (AIHW 2023a)</w:t>
      </w:r>
    </w:p>
    <w:p w14:paraId="6659ABF0" w14:textId="6E0007EA" w:rsidR="008E08F3" w:rsidRDefault="008E08F3" w:rsidP="00D1031C">
      <w:pPr>
        <w:pStyle w:val="3Bodytext"/>
        <w:keepLines/>
        <w:numPr>
          <w:ilvl w:val="0"/>
          <w:numId w:val="0"/>
        </w:numPr>
        <w:suppressLineNumbers/>
        <w:suppressAutoHyphens/>
        <w:jc w:val="both"/>
        <w:rPr>
          <w:rFonts w:ascii="Arial Narrow" w:hAnsi="Arial Narrow"/>
          <w:sz w:val="18"/>
          <w:szCs w:val="18"/>
        </w:rPr>
      </w:pPr>
      <w:r w:rsidRPr="008E08F3">
        <w:rPr>
          <w:rFonts w:ascii="Arial Narrow" w:hAnsi="Arial Narrow"/>
          <w:sz w:val="18"/>
          <w:szCs w:val="18"/>
        </w:rPr>
        <w:t>Abbreviation: WM=Waldenström macroglobulinemia</w:t>
      </w:r>
    </w:p>
    <w:p w14:paraId="121463B4" w14:textId="35E11E43" w:rsidR="00F51FCD" w:rsidRPr="009C56CD" w:rsidRDefault="00E27672" w:rsidP="00700E3C">
      <w:pPr>
        <w:pStyle w:val="Caption"/>
        <w:keepNext/>
        <w:keepLines/>
        <w:spacing w:after="0"/>
        <w:rPr>
          <w:rFonts w:ascii="Arial Narrow" w:hAnsi="Arial Narrow"/>
          <w:b/>
          <w:bCs/>
          <w:i w:val="0"/>
          <w:iCs w:val="0"/>
          <w:sz w:val="20"/>
          <w:szCs w:val="20"/>
        </w:rPr>
      </w:pPr>
      <w:bookmarkStart w:id="21" w:name="_Ref158643302"/>
      <w:bookmarkStart w:id="22" w:name="_Toc160780475"/>
      <w:r w:rsidRPr="00E27672">
        <w:rPr>
          <w:rFonts w:ascii="Arial Narrow" w:hAnsi="Arial Narrow"/>
          <w:b/>
          <w:bCs/>
          <w:i w:val="0"/>
          <w:iCs w:val="0"/>
          <w:sz w:val="20"/>
          <w:szCs w:val="20"/>
        </w:rPr>
        <w:t xml:space="preserve">Table </w:t>
      </w:r>
      <w:r w:rsidRPr="00E27672">
        <w:rPr>
          <w:rFonts w:ascii="Arial Narrow" w:hAnsi="Arial Narrow"/>
          <w:b/>
          <w:bCs/>
          <w:i w:val="0"/>
          <w:iCs w:val="0"/>
          <w:sz w:val="20"/>
          <w:szCs w:val="20"/>
        </w:rPr>
        <w:fldChar w:fldCharType="begin" w:fldLock="1"/>
      </w:r>
      <w:r w:rsidRPr="00E27672">
        <w:rPr>
          <w:rFonts w:ascii="Arial Narrow" w:hAnsi="Arial Narrow"/>
          <w:b/>
          <w:bCs/>
          <w:i w:val="0"/>
          <w:iCs w:val="0"/>
          <w:sz w:val="20"/>
          <w:szCs w:val="20"/>
        </w:rPr>
        <w:instrText xml:space="preserve"> SEQ Table \* ARABIC </w:instrText>
      </w:r>
      <w:r w:rsidRPr="00E27672">
        <w:rPr>
          <w:rFonts w:ascii="Arial Narrow" w:hAnsi="Arial Narrow"/>
          <w:b/>
          <w:bCs/>
          <w:i w:val="0"/>
          <w:iCs w:val="0"/>
          <w:sz w:val="20"/>
          <w:szCs w:val="20"/>
        </w:rPr>
        <w:fldChar w:fldCharType="separate"/>
      </w:r>
      <w:r w:rsidR="00D05088">
        <w:rPr>
          <w:rFonts w:ascii="Arial Narrow" w:hAnsi="Arial Narrow"/>
          <w:b/>
          <w:bCs/>
          <w:i w:val="0"/>
          <w:iCs w:val="0"/>
          <w:noProof/>
          <w:sz w:val="20"/>
          <w:szCs w:val="20"/>
        </w:rPr>
        <w:t>5</w:t>
      </w:r>
      <w:r w:rsidRPr="00E27672">
        <w:rPr>
          <w:rFonts w:ascii="Arial Narrow" w:hAnsi="Arial Narrow"/>
          <w:b/>
          <w:bCs/>
          <w:i w:val="0"/>
          <w:iCs w:val="0"/>
          <w:sz w:val="20"/>
          <w:szCs w:val="20"/>
        </w:rPr>
        <w:fldChar w:fldCharType="end"/>
      </w:r>
      <w:bookmarkEnd w:id="21"/>
      <w:r w:rsidR="00F51FCD" w:rsidRPr="009C56CD">
        <w:rPr>
          <w:rFonts w:ascii="Arial Narrow" w:hAnsi="Arial Narrow"/>
          <w:b/>
          <w:bCs/>
          <w:i w:val="0"/>
          <w:iCs w:val="0"/>
          <w:sz w:val="20"/>
          <w:szCs w:val="20"/>
        </w:rPr>
        <w:t xml:space="preserve">: </w:t>
      </w:r>
      <w:r w:rsidR="000E5BCE" w:rsidRPr="009C56CD">
        <w:rPr>
          <w:rFonts w:ascii="Arial Narrow" w:hAnsi="Arial Narrow"/>
          <w:b/>
          <w:bCs/>
          <w:i w:val="0"/>
          <w:iCs w:val="0"/>
          <w:sz w:val="20"/>
          <w:szCs w:val="20"/>
        </w:rPr>
        <w:t>WM t</w:t>
      </w:r>
      <w:r w:rsidR="00F51FCD" w:rsidRPr="009C56CD">
        <w:rPr>
          <w:rFonts w:ascii="Arial Narrow" w:hAnsi="Arial Narrow"/>
          <w:b/>
          <w:bCs/>
          <w:i w:val="0"/>
          <w:iCs w:val="0"/>
          <w:sz w:val="20"/>
          <w:szCs w:val="20"/>
        </w:rPr>
        <w:t>en-year prevalence</w:t>
      </w:r>
      <w:r w:rsidR="000E5BCE" w:rsidRPr="009C56CD">
        <w:rPr>
          <w:rFonts w:ascii="Arial Narrow" w:hAnsi="Arial Narrow"/>
          <w:b/>
          <w:bCs/>
          <w:i w:val="0"/>
          <w:iCs w:val="0"/>
          <w:sz w:val="20"/>
          <w:szCs w:val="20"/>
        </w:rPr>
        <w:t xml:space="preserve"> </w:t>
      </w:r>
      <w:r w:rsidR="00F51FCD" w:rsidRPr="009C56CD">
        <w:rPr>
          <w:rFonts w:ascii="Arial Narrow" w:hAnsi="Arial Narrow"/>
          <w:b/>
          <w:bCs/>
          <w:i w:val="0"/>
          <w:iCs w:val="0"/>
          <w:sz w:val="20"/>
          <w:szCs w:val="20"/>
        </w:rPr>
        <w:t>in Australia</w:t>
      </w:r>
      <w:r w:rsidR="000E5BCE" w:rsidRPr="009C56CD">
        <w:rPr>
          <w:rFonts w:ascii="Arial Narrow" w:hAnsi="Arial Narrow"/>
          <w:b/>
          <w:bCs/>
          <w:i w:val="0"/>
          <w:iCs w:val="0"/>
          <w:sz w:val="20"/>
          <w:szCs w:val="20"/>
        </w:rPr>
        <w:t xml:space="preserve"> </w:t>
      </w:r>
      <w:r w:rsidR="00F51FCD" w:rsidRPr="009C56CD">
        <w:rPr>
          <w:rFonts w:ascii="Arial Narrow" w:hAnsi="Arial Narrow"/>
          <w:b/>
          <w:bCs/>
          <w:i w:val="0"/>
          <w:iCs w:val="0"/>
          <w:sz w:val="20"/>
          <w:szCs w:val="20"/>
        </w:rPr>
        <w:t>as of 31 December 2019</w:t>
      </w:r>
      <w:bookmarkEnd w:id="22"/>
    </w:p>
    <w:tbl>
      <w:tblPr>
        <w:tblStyle w:val="Submissionstandard1"/>
        <w:tblW w:w="5000" w:type="pct"/>
        <w:tblInd w:w="0" w:type="dxa"/>
        <w:tblLook w:val="04A0" w:firstRow="1" w:lastRow="0" w:firstColumn="1" w:lastColumn="0" w:noHBand="0" w:noVBand="1"/>
        <w:tblCaption w:val="Table 5: WM ten-year prevalence in Australia as of 31 December 2019"/>
        <w:tblDescription w:val="Table 5: WM ten-year prevalence in Australia as of 31 December 2019"/>
      </w:tblPr>
      <w:tblGrid>
        <w:gridCol w:w="1129"/>
        <w:gridCol w:w="1412"/>
        <w:gridCol w:w="1994"/>
        <w:gridCol w:w="2124"/>
        <w:gridCol w:w="2357"/>
      </w:tblGrid>
      <w:tr w:rsidR="007735A6" w:rsidRPr="00C84CD8" w14:paraId="3F3E1A7C" w14:textId="77777777" w:rsidTr="003F79DB">
        <w:trPr>
          <w:cnfStyle w:val="100000000000" w:firstRow="1" w:lastRow="0" w:firstColumn="0" w:lastColumn="0" w:oddVBand="0" w:evenVBand="0" w:oddHBand="0" w:evenHBand="0" w:firstRowFirstColumn="0" w:firstRowLastColumn="0" w:lastRowFirstColumn="0" w:lastRowLastColumn="0"/>
          <w:trHeight w:val="283"/>
        </w:trPr>
        <w:tc>
          <w:tcPr>
            <w:tcW w:w="626" w:type="pct"/>
            <w:shd w:val="clear" w:color="auto" w:fill="auto"/>
            <w:noWrap/>
            <w:vAlign w:val="center"/>
            <w:hideMark/>
          </w:tcPr>
          <w:p w14:paraId="3341BE3E"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Year</w:t>
            </w:r>
          </w:p>
        </w:tc>
        <w:tc>
          <w:tcPr>
            <w:tcW w:w="783" w:type="pct"/>
            <w:shd w:val="clear" w:color="auto" w:fill="auto"/>
            <w:noWrap/>
            <w:vAlign w:val="center"/>
            <w:hideMark/>
          </w:tcPr>
          <w:p w14:paraId="7C2C1FCB" w14:textId="60DA5D3F"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Incidence</w:t>
            </w:r>
            <w:r w:rsidR="00B47C50" w:rsidRPr="00C84CD8">
              <w:rPr>
                <w:rFonts w:ascii="Arial Narrow" w:eastAsia="Times New Roman" w:hAnsi="Arial Narrow" w:cstheme="minorHAnsi"/>
                <w:b w:val="0"/>
                <w:bCs/>
                <w:color w:val="000000"/>
                <w:sz w:val="20"/>
                <w:szCs w:val="20"/>
                <w:vertAlign w:val="superscript"/>
                <w:lang w:bidi="ar-SA"/>
              </w:rPr>
              <w:t>a</w:t>
            </w:r>
          </w:p>
        </w:tc>
        <w:tc>
          <w:tcPr>
            <w:tcW w:w="1106" w:type="pct"/>
            <w:shd w:val="clear" w:color="auto" w:fill="auto"/>
            <w:noWrap/>
            <w:vAlign w:val="center"/>
            <w:hideMark/>
          </w:tcPr>
          <w:p w14:paraId="43CCB5B1"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Years since diagnosed</w:t>
            </w:r>
          </w:p>
        </w:tc>
        <w:tc>
          <w:tcPr>
            <w:tcW w:w="1178" w:type="pct"/>
            <w:shd w:val="clear" w:color="auto" w:fill="auto"/>
            <w:noWrap/>
            <w:vAlign w:val="center"/>
            <w:hideMark/>
          </w:tcPr>
          <w:p w14:paraId="1F632663" w14:textId="266B10A9" w:rsidR="00F51FCD" w:rsidRPr="00C84CD8" w:rsidRDefault="005E6CF5"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O</w:t>
            </w:r>
            <w:r w:rsidR="00F51FCD" w:rsidRPr="00C84CD8">
              <w:rPr>
                <w:rFonts w:ascii="Arial Narrow" w:eastAsia="Times New Roman" w:hAnsi="Arial Narrow" w:cstheme="minorHAnsi"/>
                <w:color w:val="000000"/>
                <w:sz w:val="20"/>
                <w:szCs w:val="20"/>
                <w:lang w:bidi="ar-SA"/>
              </w:rPr>
              <w:t>bserved survival</w:t>
            </w:r>
          </w:p>
        </w:tc>
        <w:tc>
          <w:tcPr>
            <w:tcW w:w="1307" w:type="pct"/>
            <w:shd w:val="clear" w:color="auto" w:fill="auto"/>
            <w:noWrap/>
            <w:vAlign w:val="center"/>
            <w:hideMark/>
          </w:tcPr>
          <w:p w14:paraId="1B01E775" w14:textId="79E2B50F" w:rsidR="00B47C50" w:rsidRPr="00C84CD8" w:rsidRDefault="00F51FCD" w:rsidP="003F79DB">
            <w:pPr>
              <w:keepNext/>
              <w:keepLines/>
              <w:jc w:val="center"/>
              <w:rPr>
                <w:rFonts w:ascii="Arial Narrow" w:eastAsia="Times New Roman" w:hAnsi="Arial Narrow" w:cstheme="minorHAnsi"/>
                <w:b w:val="0"/>
                <w:color w:val="000000"/>
                <w:sz w:val="20"/>
                <w:szCs w:val="20"/>
                <w:lang w:bidi="ar-SA"/>
              </w:rPr>
            </w:pPr>
            <w:r w:rsidRPr="00C84CD8">
              <w:rPr>
                <w:rFonts w:ascii="Arial Narrow" w:eastAsia="Times New Roman" w:hAnsi="Arial Narrow" w:cstheme="minorHAnsi"/>
                <w:color w:val="000000"/>
                <w:sz w:val="20"/>
                <w:szCs w:val="20"/>
                <w:lang w:bidi="ar-SA"/>
              </w:rPr>
              <w:t>Patients alive</w:t>
            </w:r>
          </w:p>
          <w:p w14:paraId="39C46AB3" w14:textId="45C66A89"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as of 31</w:t>
            </w:r>
            <w:r w:rsidR="00B47C50" w:rsidRPr="00C84CD8">
              <w:rPr>
                <w:rFonts w:ascii="Arial Narrow" w:eastAsia="Times New Roman" w:hAnsi="Arial Narrow" w:cstheme="minorHAnsi"/>
                <w:color w:val="000000"/>
                <w:sz w:val="20"/>
                <w:szCs w:val="20"/>
                <w:lang w:bidi="ar-SA"/>
              </w:rPr>
              <w:t> </w:t>
            </w:r>
            <w:r w:rsidRPr="00C84CD8">
              <w:rPr>
                <w:rFonts w:ascii="Arial Narrow" w:eastAsia="Times New Roman" w:hAnsi="Arial Narrow" w:cstheme="minorHAnsi"/>
                <w:color w:val="000000"/>
                <w:sz w:val="20"/>
                <w:szCs w:val="20"/>
                <w:lang w:bidi="ar-SA"/>
              </w:rPr>
              <w:t>December</w:t>
            </w:r>
            <w:r w:rsidR="00B47C50" w:rsidRPr="00C84CD8">
              <w:rPr>
                <w:rFonts w:ascii="Arial Narrow" w:eastAsia="Times New Roman" w:hAnsi="Arial Narrow" w:cstheme="minorHAnsi"/>
                <w:color w:val="000000"/>
                <w:sz w:val="20"/>
                <w:szCs w:val="20"/>
                <w:lang w:bidi="ar-SA"/>
              </w:rPr>
              <w:t> </w:t>
            </w:r>
            <w:r w:rsidRPr="00C84CD8">
              <w:rPr>
                <w:rFonts w:ascii="Arial Narrow" w:eastAsia="Times New Roman" w:hAnsi="Arial Narrow" w:cstheme="minorHAnsi"/>
                <w:color w:val="000000"/>
                <w:sz w:val="20"/>
                <w:szCs w:val="20"/>
                <w:lang w:bidi="ar-SA"/>
              </w:rPr>
              <w:t>2019</w:t>
            </w:r>
          </w:p>
        </w:tc>
      </w:tr>
      <w:tr w:rsidR="007735A6" w:rsidRPr="00C84CD8" w14:paraId="5A43D1E9" w14:textId="77777777" w:rsidTr="003F79DB">
        <w:trPr>
          <w:trHeight w:val="283"/>
        </w:trPr>
        <w:tc>
          <w:tcPr>
            <w:tcW w:w="626" w:type="pct"/>
            <w:shd w:val="clear" w:color="auto" w:fill="auto"/>
            <w:noWrap/>
            <w:vAlign w:val="center"/>
            <w:hideMark/>
          </w:tcPr>
          <w:p w14:paraId="4C8AEF7F"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2019</w:t>
            </w:r>
          </w:p>
        </w:tc>
        <w:tc>
          <w:tcPr>
            <w:tcW w:w="783" w:type="pct"/>
            <w:shd w:val="clear" w:color="auto" w:fill="auto"/>
            <w:noWrap/>
            <w:vAlign w:val="center"/>
            <w:hideMark/>
          </w:tcPr>
          <w:p w14:paraId="0912BCEC"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149</w:t>
            </w:r>
          </w:p>
        </w:tc>
        <w:tc>
          <w:tcPr>
            <w:tcW w:w="1106" w:type="pct"/>
            <w:shd w:val="clear" w:color="auto" w:fill="auto"/>
            <w:noWrap/>
            <w:vAlign w:val="center"/>
            <w:hideMark/>
          </w:tcPr>
          <w:p w14:paraId="2EE65EC9"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1</w:t>
            </w:r>
          </w:p>
        </w:tc>
        <w:tc>
          <w:tcPr>
            <w:tcW w:w="1178" w:type="pct"/>
            <w:shd w:val="clear" w:color="auto" w:fill="auto"/>
            <w:noWrap/>
            <w:vAlign w:val="center"/>
            <w:hideMark/>
          </w:tcPr>
          <w:p w14:paraId="56CF0F92" w14:textId="7266A7E2"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sz w:val="20"/>
                <w:szCs w:val="20"/>
              </w:rPr>
              <w:t>90.3%</w:t>
            </w:r>
            <w:r w:rsidR="00B47C50" w:rsidRPr="00C84CD8">
              <w:rPr>
                <w:rFonts w:ascii="Arial Narrow" w:hAnsi="Arial Narrow" w:cstheme="minorHAnsi"/>
                <w:sz w:val="20"/>
                <w:szCs w:val="20"/>
                <w:vertAlign w:val="superscript"/>
              </w:rPr>
              <w:t>b</w:t>
            </w:r>
          </w:p>
        </w:tc>
        <w:tc>
          <w:tcPr>
            <w:tcW w:w="1307" w:type="pct"/>
            <w:shd w:val="clear" w:color="auto" w:fill="auto"/>
            <w:noWrap/>
            <w:vAlign w:val="center"/>
            <w:hideMark/>
          </w:tcPr>
          <w:p w14:paraId="609549F9"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135</w:t>
            </w:r>
          </w:p>
        </w:tc>
      </w:tr>
      <w:tr w:rsidR="007735A6" w:rsidRPr="00C84CD8" w14:paraId="2E6147FE" w14:textId="77777777" w:rsidTr="003F79DB">
        <w:trPr>
          <w:trHeight w:val="283"/>
        </w:trPr>
        <w:tc>
          <w:tcPr>
            <w:tcW w:w="626" w:type="pct"/>
            <w:shd w:val="clear" w:color="auto" w:fill="auto"/>
            <w:noWrap/>
            <w:vAlign w:val="center"/>
            <w:hideMark/>
          </w:tcPr>
          <w:p w14:paraId="76D8CC88"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2018</w:t>
            </w:r>
          </w:p>
        </w:tc>
        <w:tc>
          <w:tcPr>
            <w:tcW w:w="783" w:type="pct"/>
            <w:shd w:val="clear" w:color="auto" w:fill="auto"/>
            <w:noWrap/>
            <w:vAlign w:val="center"/>
            <w:hideMark/>
          </w:tcPr>
          <w:p w14:paraId="762B6507"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177</w:t>
            </w:r>
          </w:p>
        </w:tc>
        <w:tc>
          <w:tcPr>
            <w:tcW w:w="1106" w:type="pct"/>
            <w:shd w:val="clear" w:color="auto" w:fill="auto"/>
            <w:noWrap/>
            <w:vAlign w:val="center"/>
            <w:hideMark/>
          </w:tcPr>
          <w:p w14:paraId="79CFC5D6"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2</w:t>
            </w:r>
          </w:p>
        </w:tc>
        <w:tc>
          <w:tcPr>
            <w:tcW w:w="1178" w:type="pct"/>
            <w:shd w:val="clear" w:color="auto" w:fill="auto"/>
            <w:noWrap/>
            <w:vAlign w:val="center"/>
            <w:hideMark/>
          </w:tcPr>
          <w:p w14:paraId="32E58C2B" w14:textId="57B38AF9"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sz w:val="20"/>
                <w:szCs w:val="20"/>
              </w:rPr>
              <w:t>84.3%</w:t>
            </w:r>
            <w:r w:rsidR="00B47C50" w:rsidRPr="00C84CD8">
              <w:rPr>
                <w:rFonts w:ascii="Arial Narrow" w:hAnsi="Arial Narrow" w:cstheme="minorHAnsi"/>
                <w:sz w:val="20"/>
                <w:szCs w:val="20"/>
                <w:vertAlign w:val="superscript"/>
              </w:rPr>
              <w:t xml:space="preserve"> b</w:t>
            </w:r>
          </w:p>
        </w:tc>
        <w:tc>
          <w:tcPr>
            <w:tcW w:w="1307" w:type="pct"/>
            <w:shd w:val="clear" w:color="auto" w:fill="auto"/>
            <w:noWrap/>
            <w:vAlign w:val="center"/>
            <w:hideMark/>
          </w:tcPr>
          <w:p w14:paraId="2B3F16FA"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149</w:t>
            </w:r>
          </w:p>
        </w:tc>
      </w:tr>
      <w:tr w:rsidR="007735A6" w:rsidRPr="00C84CD8" w14:paraId="02D33902" w14:textId="77777777" w:rsidTr="003F79DB">
        <w:trPr>
          <w:trHeight w:val="283"/>
        </w:trPr>
        <w:tc>
          <w:tcPr>
            <w:tcW w:w="626" w:type="pct"/>
            <w:shd w:val="clear" w:color="auto" w:fill="auto"/>
            <w:noWrap/>
            <w:vAlign w:val="center"/>
            <w:hideMark/>
          </w:tcPr>
          <w:p w14:paraId="6513A693"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2017</w:t>
            </w:r>
          </w:p>
        </w:tc>
        <w:tc>
          <w:tcPr>
            <w:tcW w:w="783" w:type="pct"/>
            <w:shd w:val="clear" w:color="auto" w:fill="auto"/>
            <w:noWrap/>
            <w:vAlign w:val="center"/>
            <w:hideMark/>
          </w:tcPr>
          <w:p w14:paraId="3DEA444C"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134</w:t>
            </w:r>
          </w:p>
        </w:tc>
        <w:tc>
          <w:tcPr>
            <w:tcW w:w="1106" w:type="pct"/>
            <w:shd w:val="clear" w:color="auto" w:fill="auto"/>
            <w:noWrap/>
            <w:vAlign w:val="center"/>
            <w:hideMark/>
          </w:tcPr>
          <w:p w14:paraId="5F4AEADA"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3</w:t>
            </w:r>
          </w:p>
        </w:tc>
        <w:tc>
          <w:tcPr>
            <w:tcW w:w="1178" w:type="pct"/>
            <w:shd w:val="clear" w:color="auto" w:fill="auto"/>
            <w:noWrap/>
            <w:vAlign w:val="center"/>
            <w:hideMark/>
          </w:tcPr>
          <w:p w14:paraId="5820A5D4" w14:textId="65ACF02B"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sz w:val="20"/>
                <w:szCs w:val="20"/>
              </w:rPr>
              <w:t>78.6%</w:t>
            </w:r>
            <w:r w:rsidR="00B47C50" w:rsidRPr="00C84CD8">
              <w:rPr>
                <w:rFonts w:ascii="Arial Narrow" w:hAnsi="Arial Narrow" w:cstheme="minorHAnsi"/>
                <w:sz w:val="20"/>
                <w:szCs w:val="20"/>
                <w:vertAlign w:val="superscript"/>
              </w:rPr>
              <w:t xml:space="preserve"> b</w:t>
            </w:r>
          </w:p>
        </w:tc>
        <w:tc>
          <w:tcPr>
            <w:tcW w:w="1307" w:type="pct"/>
            <w:shd w:val="clear" w:color="auto" w:fill="auto"/>
            <w:noWrap/>
            <w:vAlign w:val="center"/>
            <w:hideMark/>
          </w:tcPr>
          <w:p w14:paraId="7786A0C9"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105</w:t>
            </w:r>
          </w:p>
        </w:tc>
      </w:tr>
      <w:tr w:rsidR="007735A6" w:rsidRPr="00C84CD8" w14:paraId="6A85B671" w14:textId="77777777" w:rsidTr="003F79DB">
        <w:trPr>
          <w:trHeight w:val="283"/>
        </w:trPr>
        <w:tc>
          <w:tcPr>
            <w:tcW w:w="626" w:type="pct"/>
            <w:shd w:val="clear" w:color="auto" w:fill="auto"/>
            <w:noWrap/>
            <w:vAlign w:val="center"/>
            <w:hideMark/>
          </w:tcPr>
          <w:p w14:paraId="7C3EAA1C"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2016</w:t>
            </w:r>
          </w:p>
        </w:tc>
        <w:tc>
          <w:tcPr>
            <w:tcW w:w="783" w:type="pct"/>
            <w:shd w:val="clear" w:color="auto" w:fill="auto"/>
            <w:noWrap/>
            <w:vAlign w:val="center"/>
            <w:hideMark/>
          </w:tcPr>
          <w:p w14:paraId="0B10F0B5"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121</w:t>
            </w:r>
          </w:p>
        </w:tc>
        <w:tc>
          <w:tcPr>
            <w:tcW w:w="1106" w:type="pct"/>
            <w:shd w:val="clear" w:color="auto" w:fill="auto"/>
            <w:noWrap/>
            <w:vAlign w:val="center"/>
            <w:hideMark/>
          </w:tcPr>
          <w:p w14:paraId="23EF15F7"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4</w:t>
            </w:r>
          </w:p>
        </w:tc>
        <w:tc>
          <w:tcPr>
            <w:tcW w:w="1178" w:type="pct"/>
            <w:shd w:val="clear" w:color="auto" w:fill="auto"/>
            <w:noWrap/>
            <w:vAlign w:val="center"/>
            <w:hideMark/>
          </w:tcPr>
          <w:p w14:paraId="262A5FC7" w14:textId="7C0C636C"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sz w:val="20"/>
                <w:szCs w:val="20"/>
              </w:rPr>
              <w:t>74.0%</w:t>
            </w:r>
            <w:r w:rsidR="00B47C50" w:rsidRPr="00C84CD8">
              <w:rPr>
                <w:rFonts w:ascii="Arial Narrow" w:hAnsi="Arial Narrow" w:cstheme="minorHAnsi"/>
                <w:sz w:val="20"/>
                <w:szCs w:val="20"/>
                <w:vertAlign w:val="superscript"/>
              </w:rPr>
              <w:t xml:space="preserve"> b</w:t>
            </w:r>
          </w:p>
        </w:tc>
        <w:tc>
          <w:tcPr>
            <w:tcW w:w="1307" w:type="pct"/>
            <w:shd w:val="clear" w:color="auto" w:fill="auto"/>
            <w:noWrap/>
            <w:vAlign w:val="center"/>
            <w:hideMark/>
          </w:tcPr>
          <w:p w14:paraId="42A90DDD"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90</w:t>
            </w:r>
          </w:p>
        </w:tc>
      </w:tr>
      <w:tr w:rsidR="007735A6" w:rsidRPr="00C84CD8" w14:paraId="5B2C9F69" w14:textId="77777777" w:rsidTr="003F79DB">
        <w:trPr>
          <w:trHeight w:val="283"/>
        </w:trPr>
        <w:tc>
          <w:tcPr>
            <w:tcW w:w="626" w:type="pct"/>
            <w:shd w:val="clear" w:color="auto" w:fill="auto"/>
            <w:noWrap/>
            <w:vAlign w:val="center"/>
            <w:hideMark/>
          </w:tcPr>
          <w:p w14:paraId="26B5011E"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2015</w:t>
            </w:r>
          </w:p>
        </w:tc>
        <w:tc>
          <w:tcPr>
            <w:tcW w:w="783" w:type="pct"/>
            <w:shd w:val="clear" w:color="auto" w:fill="auto"/>
            <w:noWrap/>
            <w:vAlign w:val="center"/>
            <w:hideMark/>
          </w:tcPr>
          <w:p w14:paraId="08F89D3D"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118</w:t>
            </w:r>
          </w:p>
        </w:tc>
        <w:tc>
          <w:tcPr>
            <w:tcW w:w="1106" w:type="pct"/>
            <w:shd w:val="clear" w:color="auto" w:fill="auto"/>
            <w:noWrap/>
            <w:vAlign w:val="center"/>
            <w:hideMark/>
          </w:tcPr>
          <w:p w14:paraId="44B4EF9F"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eastAsia="Times New Roman" w:hAnsi="Arial Narrow" w:cstheme="minorHAnsi"/>
                <w:color w:val="000000"/>
                <w:sz w:val="20"/>
                <w:szCs w:val="20"/>
                <w:lang w:bidi="ar-SA"/>
              </w:rPr>
              <w:t>5</w:t>
            </w:r>
          </w:p>
        </w:tc>
        <w:tc>
          <w:tcPr>
            <w:tcW w:w="1178" w:type="pct"/>
            <w:shd w:val="clear" w:color="auto" w:fill="auto"/>
            <w:noWrap/>
            <w:vAlign w:val="center"/>
            <w:hideMark/>
          </w:tcPr>
          <w:p w14:paraId="6C598505" w14:textId="50E39C55"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sz w:val="20"/>
                <w:szCs w:val="20"/>
              </w:rPr>
              <w:t>69.5%</w:t>
            </w:r>
            <w:r w:rsidR="00B47C50" w:rsidRPr="00C84CD8">
              <w:rPr>
                <w:rFonts w:ascii="Arial Narrow" w:hAnsi="Arial Narrow" w:cstheme="minorHAnsi"/>
                <w:sz w:val="20"/>
                <w:szCs w:val="20"/>
                <w:vertAlign w:val="superscript"/>
              </w:rPr>
              <w:t xml:space="preserve"> b</w:t>
            </w:r>
          </w:p>
        </w:tc>
        <w:tc>
          <w:tcPr>
            <w:tcW w:w="1307" w:type="pct"/>
            <w:shd w:val="clear" w:color="auto" w:fill="auto"/>
            <w:noWrap/>
            <w:vAlign w:val="center"/>
            <w:hideMark/>
          </w:tcPr>
          <w:p w14:paraId="4150FDFD"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82</w:t>
            </w:r>
          </w:p>
        </w:tc>
      </w:tr>
      <w:tr w:rsidR="007735A6" w:rsidRPr="00C84CD8" w14:paraId="0ADE4B81" w14:textId="77777777" w:rsidTr="003F79DB">
        <w:trPr>
          <w:trHeight w:val="283"/>
        </w:trPr>
        <w:tc>
          <w:tcPr>
            <w:tcW w:w="626" w:type="pct"/>
            <w:shd w:val="clear" w:color="auto" w:fill="auto"/>
            <w:noWrap/>
            <w:vAlign w:val="center"/>
          </w:tcPr>
          <w:p w14:paraId="59EC6A71"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2014</w:t>
            </w:r>
          </w:p>
        </w:tc>
        <w:tc>
          <w:tcPr>
            <w:tcW w:w="783" w:type="pct"/>
            <w:shd w:val="clear" w:color="auto" w:fill="auto"/>
            <w:noWrap/>
            <w:vAlign w:val="center"/>
          </w:tcPr>
          <w:p w14:paraId="5DBC4F16"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114</w:t>
            </w:r>
          </w:p>
        </w:tc>
        <w:tc>
          <w:tcPr>
            <w:tcW w:w="1106" w:type="pct"/>
            <w:shd w:val="clear" w:color="auto" w:fill="auto"/>
            <w:noWrap/>
            <w:vAlign w:val="center"/>
          </w:tcPr>
          <w:p w14:paraId="1C32D743"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6</w:t>
            </w:r>
          </w:p>
        </w:tc>
        <w:tc>
          <w:tcPr>
            <w:tcW w:w="1178" w:type="pct"/>
            <w:shd w:val="clear" w:color="auto" w:fill="auto"/>
            <w:noWrap/>
            <w:vAlign w:val="center"/>
          </w:tcPr>
          <w:p w14:paraId="6578D7C4" w14:textId="3314A1F0"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59.6%</w:t>
            </w:r>
            <w:r w:rsidR="00B47C50" w:rsidRPr="00C84CD8">
              <w:rPr>
                <w:rFonts w:ascii="Arial Narrow" w:hAnsi="Arial Narrow" w:cstheme="minorHAnsi"/>
                <w:color w:val="000000"/>
                <w:sz w:val="20"/>
                <w:szCs w:val="20"/>
                <w:vertAlign w:val="superscript"/>
              </w:rPr>
              <w:t>c</w:t>
            </w:r>
          </w:p>
        </w:tc>
        <w:tc>
          <w:tcPr>
            <w:tcW w:w="1307" w:type="pct"/>
            <w:shd w:val="clear" w:color="auto" w:fill="auto"/>
            <w:noWrap/>
            <w:vAlign w:val="center"/>
          </w:tcPr>
          <w:p w14:paraId="67FA5D68" w14:textId="77777777"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68</w:t>
            </w:r>
          </w:p>
        </w:tc>
      </w:tr>
      <w:tr w:rsidR="007735A6" w:rsidRPr="00C84CD8" w14:paraId="108FE6B3" w14:textId="77777777" w:rsidTr="003F79DB">
        <w:trPr>
          <w:trHeight w:val="283"/>
        </w:trPr>
        <w:tc>
          <w:tcPr>
            <w:tcW w:w="626" w:type="pct"/>
            <w:shd w:val="clear" w:color="auto" w:fill="auto"/>
            <w:noWrap/>
            <w:vAlign w:val="center"/>
          </w:tcPr>
          <w:p w14:paraId="0D035CD9"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2013</w:t>
            </w:r>
          </w:p>
        </w:tc>
        <w:tc>
          <w:tcPr>
            <w:tcW w:w="783" w:type="pct"/>
            <w:shd w:val="clear" w:color="auto" w:fill="auto"/>
            <w:noWrap/>
            <w:vAlign w:val="center"/>
          </w:tcPr>
          <w:p w14:paraId="550DA129"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96</w:t>
            </w:r>
          </w:p>
        </w:tc>
        <w:tc>
          <w:tcPr>
            <w:tcW w:w="1106" w:type="pct"/>
            <w:shd w:val="clear" w:color="auto" w:fill="auto"/>
            <w:noWrap/>
            <w:vAlign w:val="center"/>
          </w:tcPr>
          <w:p w14:paraId="06EC81CE"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7</w:t>
            </w:r>
          </w:p>
        </w:tc>
        <w:tc>
          <w:tcPr>
            <w:tcW w:w="1178" w:type="pct"/>
            <w:shd w:val="clear" w:color="auto" w:fill="auto"/>
            <w:noWrap/>
            <w:vAlign w:val="center"/>
          </w:tcPr>
          <w:p w14:paraId="3A3C827E" w14:textId="1E3B5B77"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55.6%</w:t>
            </w:r>
            <w:r w:rsidR="00B47C50" w:rsidRPr="00C84CD8">
              <w:rPr>
                <w:rFonts w:ascii="Arial Narrow" w:hAnsi="Arial Narrow" w:cstheme="minorHAnsi"/>
                <w:color w:val="000000"/>
                <w:sz w:val="20"/>
                <w:szCs w:val="20"/>
                <w:vertAlign w:val="superscript"/>
              </w:rPr>
              <w:t xml:space="preserve"> c</w:t>
            </w:r>
          </w:p>
        </w:tc>
        <w:tc>
          <w:tcPr>
            <w:tcW w:w="1307" w:type="pct"/>
            <w:shd w:val="clear" w:color="auto" w:fill="auto"/>
            <w:noWrap/>
            <w:vAlign w:val="center"/>
          </w:tcPr>
          <w:p w14:paraId="3E6700A1" w14:textId="77777777"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53</w:t>
            </w:r>
          </w:p>
        </w:tc>
      </w:tr>
      <w:tr w:rsidR="007735A6" w:rsidRPr="00C84CD8" w14:paraId="4EFA622F" w14:textId="77777777" w:rsidTr="003F79DB">
        <w:trPr>
          <w:trHeight w:val="283"/>
        </w:trPr>
        <w:tc>
          <w:tcPr>
            <w:tcW w:w="626" w:type="pct"/>
            <w:shd w:val="clear" w:color="auto" w:fill="auto"/>
            <w:noWrap/>
            <w:vAlign w:val="center"/>
          </w:tcPr>
          <w:p w14:paraId="7B921C11"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2012</w:t>
            </w:r>
          </w:p>
        </w:tc>
        <w:tc>
          <w:tcPr>
            <w:tcW w:w="783" w:type="pct"/>
            <w:shd w:val="clear" w:color="auto" w:fill="auto"/>
            <w:noWrap/>
            <w:vAlign w:val="center"/>
          </w:tcPr>
          <w:p w14:paraId="2F4BBD79"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99</w:t>
            </w:r>
          </w:p>
        </w:tc>
        <w:tc>
          <w:tcPr>
            <w:tcW w:w="1106" w:type="pct"/>
            <w:shd w:val="clear" w:color="auto" w:fill="auto"/>
            <w:noWrap/>
            <w:vAlign w:val="center"/>
          </w:tcPr>
          <w:p w14:paraId="07B0AA32"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8</w:t>
            </w:r>
          </w:p>
        </w:tc>
        <w:tc>
          <w:tcPr>
            <w:tcW w:w="1178" w:type="pct"/>
            <w:shd w:val="clear" w:color="auto" w:fill="auto"/>
            <w:noWrap/>
            <w:vAlign w:val="center"/>
          </w:tcPr>
          <w:p w14:paraId="1F7DEE79" w14:textId="73A28428"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50.7%</w:t>
            </w:r>
            <w:r w:rsidR="00B47C50" w:rsidRPr="00C84CD8">
              <w:rPr>
                <w:rFonts w:ascii="Arial Narrow" w:hAnsi="Arial Narrow" w:cstheme="minorHAnsi"/>
                <w:color w:val="000000"/>
                <w:sz w:val="20"/>
                <w:szCs w:val="20"/>
                <w:vertAlign w:val="superscript"/>
              </w:rPr>
              <w:t xml:space="preserve"> c</w:t>
            </w:r>
          </w:p>
        </w:tc>
        <w:tc>
          <w:tcPr>
            <w:tcW w:w="1307" w:type="pct"/>
            <w:shd w:val="clear" w:color="auto" w:fill="auto"/>
            <w:noWrap/>
            <w:vAlign w:val="center"/>
          </w:tcPr>
          <w:p w14:paraId="3D32552D" w14:textId="77777777"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50</w:t>
            </w:r>
          </w:p>
        </w:tc>
      </w:tr>
      <w:tr w:rsidR="007735A6" w:rsidRPr="00C84CD8" w14:paraId="07660EED" w14:textId="77777777" w:rsidTr="003F79DB">
        <w:trPr>
          <w:trHeight w:val="283"/>
        </w:trPr>
        <w:tc>
          <w:tcPr>
            <w:tcW w:w="626" w:type="pct"/>
            <w:shd w:val="clear" w:color="auto" w:fill="auto"/>
            <w:noWrap/>
            <w:vAlign w:val="center"/>
          </w:tcPr>
          <w:p w14:paraId="76957FCF"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2011</w:t>
            </w:r>
          </w:p>
        </w:tc>
        <w:tc>
          <w:tcPr>
            <w:tcW w:w="783" w:type="pct"/>
            <w:shd w:val="clear" w:color="auto" w:fill="auto"/>
            <w:noWrap/>
            <w:vAlign w:val="center"/>
          </w:tcPr>
          <w:p w14:paraId="60552720"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91</w:t>
            </w:r>
          </w:p>
        </w:tc>
        <w:tc>
          <w:tcPr>
            <w:tcW w:w="1106" w:type="pct"/>
            <w:shd w:val="clear" w:color="auto" w:fill="auto"/>
            <w:noWrap/>
            <w:vAlign w:val="center"/>
          </w:tcPr>
          <w:p w14:paraId="3DCAEB70"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9</w:t>
            </w:r>
          </w:p>
        </w:tc>
        <w:tc>
          <w:tcPr>
            <w:tcW w:w="1178" w:type="pct"/>
            <w:shd w:val="clear" w:color="auto" w:fill="auto"/>
            <w:noWrap/>
            <w:vAlign w:val="center"/>
          </w:tcPr>
          <w:p w14:paraId="2CB70859" w14:textId="31A31DF0"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47.4%</w:t>
            </w:r>
            <w:r w:rsidR="00B47C50" w:rsidRPr="00C84CD8">
              <w:rPr>
                <w:rFonts w:ascii="Arial Narrow" w:hAnsi="Arial Narrow" w:cstheme="minorHAnsi"/>
                <w:color w:val="000000"/>
                <w:sz w:val="20"/>
                <w:szCs w:val="20"/>
                <w:vertAlign w:val="superscript"/>
              </w:rPr>
              <w:t xml:space="preserve"> c</w:t>
            </w:r>
          </w:p>
        </w:tc>
        <w:tc>
          <w:tcPr>
            <w:tcW w:w="1307" w:type="pct"/>
            <w:shd w:val="clear" w:color="auto" w:fill="auto"/>
            <w:noWrap/>
            <w:vAlign w:val="center"/>
          </w:tcPr>
          <w:p w14:paraId="04C7FDF3" w14:textId="77777777"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43</w:t>
            </w:r>
          </w:p>
        </w:tc>
      </w:tr>
      <w:tr w:rsidR="007735A6" w:rsidRPr="00C84CD8" w14:paraId="06F9F257" w14:textId="77777777" w:rsidTr="003F79DB">
        <w:trPr>
          <w:trHeight w:val="283"/>
        </w:trPr>
        <w:tc>
          <w:tcPr>
            <w:tcW w:w="626" w:type="pct"/>
            <w:shd w:val="clear" w:color="auto" w:fill="auto"/>
            <w:noWrap/>
            <w:vAlign w:val="center"/>
          </w:tcPr>
          <w:p w14:paraId="71573DB0"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2010</w:t>
            </w:r>
          </w:p>
        </w:tc>
        <w:tc>
          <w:tcPr>
            <w:tcW w:w="783" w:type="pct"/>
            <w:shd w:val="clear" w:color="auto" w:fill="auto"/>
            <w:noWrap/>
            <w:vAlign w:val="center"/>
          </w:tcPr>
          <w:p w14:paraId="3AE66D7E"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96</w:t>
            </w:r>
          </w:p>
        </w:tc>
        <w:tc>
          <w:tcPr>
            <w:tcW w:w="1106" w:type="pct"/>
            <w:shd w:val="clear" w:color="auto" w:fill="auto"/>
            <w:noWrap/>
            <w:vAlign w:val="center"/>
          </w:tcPr>
          <w:p w14:paraId="35034B9F" w14:textId="77777777" w:rsidR="00F51FCD" w:rsidRPr="00C84CD8" w:rsidRDefault="00F51FCD" w:rsidP="003F79DB">
            <w:pPr>
              <w:keepNext/>
              <w:keepLines/>
              <w:jc w:val="center"/>
              <w:rPr>
                <w:rFonts w:ascii="Arial Narrow" w:eastAsia="Times New Roman" w:hAnsi="Arial Narrow" w:cstheme="minorHAnsi"/>
                <w:color w:val="000000"/>
                <w:sz w:val="20"/>
                <w:szCs w:val="20"/>
                <w:lang w:bidi="ar-SA"/>
              </w:rPr>
            </w:pPr>
            <w:r w:rsidRPr="00C84CD8">
              <w:rPr>
                <w:rFonts w:ascii="Arial Narrow" w:hAnsi="Arial Narrow" w:cstheme="minorHAnsi"/>
                <w:color w:val="000000"/>
                <w:sz w:val="20"/>
                <w:szCs w:val="20"/>
              </w:rPr>
              <w:t>10</w:t>
            </w:r>
          </w:p>
        </w:tc>
        <w:tc>
          <w:tcPr>
            <w:tcW w:w="1178" w:type="pct"/>
            <w:shd w:val="clear" w:color="auto" w:fill="auto"/>
            <w:noWrap/>
            <w:vAlign w:val="center"/>
          </w:tcPr>
          <w:p w14:paraId="5A78EC3A" w14:textId="46952886"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44.8%</w:t>
            </w:r>
            <w:r w:rsidR="00B47C50" w:rsidRPr="00C84CD8">
              <w:rPr>
                <w:rFonts w:ascii="Arial Narrow" w:hAnsi="Arial Narrow" w:cstheme="minorHAnsi"/>
                <w:color w:val="000000"/>
                <w:sz w:val="20"/>
                <w:szCs w:val="20"/>
                <w:vertAlign w:val="superscript"/>
              </w:rPr>
              <w:t xml:space="preserve"> c</w:t>
            </w:r>
          </w:p>
        </w:tc>
        <w:tc>
          <w:tcPr>
            <w:tcW w:w="1307" w:type="pct"/>
            <w:shd w:val="clear" w:color="auto" w:fill="auto"/>
            <w:noWrap/>
            <w:vAlign w:val="center"/>
          </w:tcPr>
          <w:p w14:paraId="6C0B4243" w14:textId="77777777" w:rsidR="00F51FCD" w:rsidRPr="00C84CD8" w:rsidRDefault="00F51FCD" w:rsidP="003F79DB">
            <w:pPr>
              <w:keepNext/>
              <w:keepLines/>
              <w:jc w:val="center"/>
              <w:rPr>
                <w:rFonts w:ascii="Arial Narrow" w:hAnsi="Arial Narrow" w:cstheme="minorHAnsi"/>
                <w:sz w:val="20"/>
                <w:szCs w:val="20"/>
              </w:rPr>
            </w:pPr>
            <w:r w:rsidRPr="00C84CD8">
              <w:rPr>
                <w:rFonts w:ascii="Arial Narrow" w:hAnsi="Arial Narrow" w:cstheme="minorHAnsi"/>
                <w:color w:val="000000"/>
                <w:sz w:val="20"/>
                <w:szCs w:val="20"/>
              </w:rPr>
              <w:t>43</w:t>
            </w:r>
          </w:p>
        </w:tc>
      </w:tr>
      <w:tr w:rsidR="007735A6" w:rsidRPr="00C84CD8" w14:paraId="4973045D" w14:textId="77777777" w:rsidTr="003F79DB">
        <w:trPr>
          <w:trHeight w:val="283"/>
        </w:trPr>
        <w:tc>
          <w:tcPr>
            <w:tcW w:w="626" w:type="pct"/>
            <w:shd w:val="clear" w:color="auto" w:fill="auto"/>
            <w:noWrap/>
            <w:vAlign w:val="center"/>
            <w:hideMark/>
          </w:tcPr>
          <w:p w14:paraId="3DD29998" w14:textId="77777777" w:rsidR="00F51FCD" w:rsidRPr="00C84CD8" w:rsidRDefault="00F51FCD" w:rsidP="003F79DB">
            <w:pPr>
              <w:keepNext/>
              <w:keepLine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Total</w:t>
            </w:r>
          </w:p>
        </w:tc>
        <w:tc>
          <w:tcPr>
            <w:tcW w:w="783" w:type="pct"/>
            <w:shd w:val="clear" w:color="auto" w:fill="auto"/>
            <w:noWrap/>
            <w:vAlign w:val="center"/>
            <w:hideMark/>
          </w:tcPr>
          <w:p w14:paraId="535B3994" w14:textId="77777777" w:rsidR="00F51FCD" w:rsidRPr="00C84CD8" w:rsidRDefault="00F51FCD" w:rsidP="003F79DB">
            <w:pPr>
              <w:keepNext/>
              <w:keepLine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1,195</w:t>
            </w:r>
          </w:p>
        </w:tc>
        <w:tc>
          <w:tcPr>
            <w:tcW w:w="1106" w:type="pct"/>
            <w:shd w:val="clear" w:color="auto" w:fill="auto"/>
            <w:noWrap/>
            <w:vAlign w:val="center"/>
            <w:hideMark/>
          </w:tcPr>
          <w:p w14:paraId="6DBCC90A" w14:textId="77777777" w:rsidR="00F51FCD" w:rsidRPr="00C84CD8" w:rsidRDefault="00F51FCD" w:rsidP="003F79DB">
            <w:pPr>
              <w:keepNext/>
              <w:keepLines/>
              <w:jc w:val="center"/>
              <w:rPr>
                <w:rFonts w:ascii="Arial Narrow" w:eastAsia="Times New Roman" w:hAnsi="Arial Narrow" w:cstheme="minorHAnsi"/>
                <w:b/>
                <w:bCs/>
                <w:color w:val="000000"/>
                <w:sz w:val="20"/>
                <w:szCs w:val="20"/>
                <w:lang w:bidi="ar-SA"/>
              </w:rPr>
            </w:pPr>
          </w:p>
        </w:tc>
        <w:tc>
          <w:tcPr>
            <w:tcW w:w="1178" w:type="pct"/>
            <w:shd w:val="clear" w:color="auto" w:fill="auto"/>
            <w:noWrap/>
            <w:vAlign w:val="center"/>
            <w:hideMark/>
          </w:tcPr>
          <w:p w14:paraId="7E798282" w14:textId="77777777" w:rsidR="00F51FCD" w:rsidRPr="00C84CD8" w:rsidRDefault="00F51FCD" w:rsidP="003F79DB">
            <w:pPr>
              <w:keepNext/>
              <w:keepLine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68.5%</w:t>
            </w:r>
          </w:p>
        </w:tc>
        <w:tc>
          <w:tcPr>
            <w:tcW w:w="1307" w:type="pct"/>
            <w:shd w:val="clear" w:color="auto" w:fill="auto"/>
            <w:noWrap/>
            <w:vAlign w:val="center"/>
            <w:hideMark/>
          </w:tcPr>
          <w:p w14:paraId="1690BB6D" w14:textId="77777777" w:rsidR="00F51FCD" w:rsidRPr="00C84CD8" w:rsidRDefault="00F51FCD" w:rsidP="003F79DB">
            <w:pPr>
              <w:keepNext/>
              <w:keepLines/>
              <w:jc w:val="center"/>
              <w:rPr>
                <w:rFonts w:ascii="Arial Narrow" w:eastAsia="Times New Roman" w:hAnsi="Arial Narrow" w:cstheme="minorHAnsi"/>
                <w:b/>
                <w:bCs/>
                <w:color w:val="000000"/>
                <w:sz w:val="20"/>
                <w:szCs w:val="20"/>
                <w:lang w:bidi="ar-SA"/>
              </w:rPr>
            </w:pPr>
            <w:r w:rsidRPr="00C84CD8">
              <w:rPr>
                <w:rFonts w:ascii="Arial Narrow" w:hAnsi="Arial Narrow" w:cstheme="minorHAnsi"/>
                <w:b/>
                <w:bCs/>
                <w:color w:val="000000"/>
                <w:sz w:val="20"/>
                <w:szCs w:val="20"/>
              </w:rPr>
              <w:t>818</w:t>
            </w:r>
          </w:p>
        </w:tc>
      </w:tr>
    </w:tbl>
    <w:p w14:paraId="5C7B2D5D" w14:textId="65188C93" w:rsidR="00F51FCD" w:rsidRPr="00B47C50" w:rsidRDefault="00F51FCD" w:rsidP="00700E3C">
      <w:pPr>
        <w:pStyle w:val="CaptionFootnote"/>
        <w:keepNext/>
        <w:keepLines/>
        <w:rPr>
          <w:rFonts w:ascii="Arial Narrow" w:hAnsi="Arial Narrow"/>
          <w:sz w:val="18"/>
          <w:szCs w:val="18"/>
        </w:rPr>
      </w:pPr>
      <w:r w:rsidRPr="00B47C50">
        <w:rPr>
          <w:rFonts w:ascii="Arial Narrow" w:hAnsi="Arial Narrow"/>
          <w:sz w:val="18"/>
          <w:szCs w:val="18"/>
        </w:rPr>
        <w:t>Source: Table 2.3</w:t>
      </w:r>
      <w:r w:rsidR="0002171F">
        <w:rPr>
          <w:rFonts w:ascii="Arial Narrow" w:hAnsi="Arial Narrow"/>
          <w:sz w:val="18"/>
          <w:szCs w:val="18"/>
        </w:rPr>
        <w:t>, p10</w:t>
      </w:r>
      <w:r w:rsidRPr="00B47C50">
        <w:rPr>
          <w:rFonts w:ascii="Arial Narrow" w:hAnsi="Arial Narrow"/>
          <w:sz w:val="18"/>
          <w:szCs w:val="18"/>
        </w:rPr>
        <w:t xml:space="preserve"> of the submission </w:t>
      </w:r>
    </w:p>
    <w:p w14:paraId="7C8830DB" w14:textId="665D74D3" w:rsidR="00F51FCD" w:rsidRPr="00B47C50" w:rsidRDefault="00B47C50" w:rsidP="00700E3C">
      <w:pPr>
        <w:pStyle w:val="CaptionFootnote"/>
        <w:keepNext/>
        <w:keepLines/>
        <w:rPr>
          <w:rFonts w:ascii="Arial Narrow" w:hAnsi="Arial Narrow"/>
          <w:sz w:val="18"/>
          <w:szCs w:val="18"/>
        </w:rPr>
      </w:pPr>
      <w:r w:rsidRPr="00B47C50">
        <w:rPr>
          <w:rFonts w:ascii="Arial Narrow" w:hAnsi="Arial Narrow"/>
          <w:sz w:val="18"/>
          <w:szCs w:val="18"/>
          <w:vertAlign w:val="superscript"/>
        </w:rPr>
        <w:t>a</w:t>
      </w:r>
      <w:r w:rsidRPr="00B47C50">
        <w:rPr>
          <w:rFonts w:ascii="Arial Narrow" w:hAnsi="Arial Narrow"/>
          <w:sz w:val="18"/>
          <w:szCs w:val="18"/>
        </w:rPr>
        <w:t xml:space="preserve"> </w:t>
      </w:r>
      <w:r w:rsidR="00F51FCD" w:rsidRPr="00B47C50">
        <w:rPr>
          <w:rFonts w:ascii="Arial Narrow" w:hAnsi="Arial Narrow"/>
          <w:sz w:val="18"/>
          <w:szCs w:val="18"/>
        </w:rPr>
        <w:t xml:space="preserve">AIHW, Cancer Data in Australia: Blood Cancer Incidence by histology </w:t>
      </w:r>
      <w:r w:rsidR="00F51FCD" w:rsidRPr="00B47C50">
        <w:rPr>
          <w:rFonts w:ascii="Arial Narrow" w:hAnsi="Arial Narrow"/>
          <w:sz w:val="18"/>
          <w:szCs w:val="18"/>
        </w:rPr>
        <w:fldChar w:fldCharType="begin" w:fldLock="1"/>
      </w:r>
      <w:r w:rsidR="00F51FCD" w:rsidRPr="00B47C50">
        <w:rPr>
          <w:rFonts w:ascii="Arial Narrow" w:hAnsi="Arial Narrow"/>
          <w:sz w:val="18"/>
          <w:szCs w:val="18"/>
        </w:rPr>
        <w:instrText xml:space="preserve"> ADDIN EN.CITE &lt;EndNote&gt;&lt;Cite&gt;&lt;Author&gt;AIHW&lt;/Author&gt;&lt;Year&gt;2023&lt;/Year&gt;&lt;RecNum&gt;332&lt;/RecNum&gt;&lt;DisplayText&gt;(AIHW 2023a)&lt;/DisplayText&gt;&lt;record&gt;&lt;rec-number&gt;332&lt;/rec-number&gt;&lt;foreign-keys&gt;&lt;key app="EN" db-id="xta2zfs5afa5syevdt0pr25faaxt2awvasep" timestamp="1698269875"&gt;332&lt;/key&gt;&lt;/foreign-keys&gt;&lt;ref-type name="Web Page"&gt;12&lt;/ref-type&gt;&lt;contributors&gt;&lt;authors&gt;&lt;author&gt;AIHW&lt;/author&gt;&lt;/authors&gt;&lt;/contributors&gt;&lt;titles&gt;&lt;title&gt;Cancer data in Australia: Blood cancer incidence and survival by histology&lt;/title&gt;&lt;/titles&gt;&lt;number&gt;8 March 2023&lt;/number&gt;&lt;dates&gt;&lt;year&gt;2023&lt;/year&gt;&lt;/dates&gt;&lt;pub-location&gt;Canberra&lt;/pub-location&gt;&lt;publisher&gt;Australian Institute of Health Welfare&lt;/publisher&gt;&lt;urls&gt;&lt;related-urls&gt;&lt;url&gt;https://www.aihw.gov.au/reports/cancer/cancer-data-in-australia/contents/blood-cancer-incidence-and-survival-by-histology-e&lt;/url&gt;&lt;/related-urls&gt;&lt;/urls&gt;&lt;/record&gt;&lt;/Cite&gt;&lt;/EndNote&gt;</w:instrText>
      </w:r>
      <w:r w:rsidR="00F51FCD" w:rsidRPr="00B47C50">
        <w:rPr>
          <w:rFonts w:ascii="Arial Narrow" w:hAnsi="Arial Narrow"/>
          <w:sz w:val="18"/>
          <w:szCs w:val="18"/>
        </w:rPr>
        <w:fldChar w:fldCharType="separate"/>
      </w:r>
      <w:r w:rsidR="00F51FCD" w:rsidRPr="00B47C50">
        <w:rPr>
          <w:rFonts w:ascii="Arial Narrow" w:hAnsi="Arial Narrow"/>
          <w:noProof/>
          <w:sz w:val="18"/>
          <w:szCs w:val="18"/>
        </w:rPr>
        <w:t>(AIHW 2023a)</w:t>
      </w:r>
      <w:r w:rsidR="00F51FCD" w:rsidRPr="00B47C50">
        <w:rPr>
          <w:rFonts w:ascii="Arial Narrow" w:hAnsi="Arial Narrow"/>
          <w:sz w:val="18"/>
          <w:szCs w:val="18"/>
        </w:rPr>
        <w:fldChar w:fldCharType="end"/>
      </w:r>
    </w:p>
    <w:p w14:paraId="0FC74D3A" w14:textId="54496E75" w:rsidR="00F51FCD" w:rsidRPr="00B47C50" w:rsidRDefault="00B47C50" w:rsidP="00700E3C">
      <w:pPr>
        <w:pStyle w:val="CaptionFootnote"/>
        <w:keepNext/>
        <w:keepLines/>
        <w:rPr>
          <w:rFonts w:ascii="Arial Narrow" w:hAnsi="Arial Narrow"/>
          <w:sz w:val="18"/>
          <w:szCs w:val="18"/>
        </w:rPr>
      </w:pPr>
      <w:r w:rsidRPr="00B47C50">
        <w:rPr>
          <w:rFonts w:ascii="Arial Narrow" w:hAnsi="Arial Narrow" w:cstheme="minorHAnsi"/>
          <w:color w:val="000000"/>
          <w:sz w:val="18"/>
          <w:szCs w:val="18"/>
          <w:vertAlign w:val="superscript"/>
        </w:rPr>
        <w:t>b</w:t>
      </w:r>
      <w:r w:rsidRPr="00B47C50">
        <w:rPr>
          <w:rFonts w:ascii="Arial Narrow" w:hAnsi="Arial Narrow" w:cstheme="minorHAnsi"/>
          <w:color w:val="000000"/>
          <w:sz w:val="18"/>
          <w:szCs w:val="18"/>
        </w:rPr>
        <w:t xml:space="preserve"> </w:t>
      </w:r>
      <w:r w:rsidR="00F51FCD" w:rsidRPr="00B47C50">
        <w:rPr>
          <w:rFonts w:ascii="Arial Narrow" w:hAnsi="Arial Narrow" w:cstheme="minorHAnsi"/>
          <w:color w:val="000000"/>
          <w:sz w:val="18"/>
          <w:szCs w:val="18"/>
        </w:rPr>
        <w:t xml:space="preserve">AIHW, Cancer Data in Australia: Blood Cancer Survival by histology </w:t>
      </w:r>
      <w:r w:rsidR="00F51FCD" w:rsidRPr="00B47C50">
        <w:rPr>
          <w:rFonts w:ascii="Arial Narrow" w:hAnsi="Arial Narrow"/>
          <w:sz w:val="18"/>
          <w:szCs w:val="18"/>
        </w:rPr>
        <w:fldChar w:fldCharType="begin" w:fldLock="1"/>
      </w:r>
      <w:r w:rsidR="00F51FCD" w:rsidRPr="00B47C50">
        <w:rPr>
          <w:rFonts w:ascii="Arial Narrow" w:hAnsi="Arial Narrow"/>
          <w:sz w:val="18"/>
          <w:szCs w:val="18"/>
        </w:rPr>
        <w:instrText xml:space="preserve"> ADDIN EN.CITE &lt;EndNote&gt;&lt;Cite&gt;&lt;Author&gt;AIHW&lt;/Author&gt;&lt;Year&gt;2023&lt;/Year&gt;&lt;RecNum&gt;332&lt;/RecNum&gt;&lt;DisplayText&gt;(AIHW 2023a)&lt;/DisplayText&gt;&lt;record&gt;&lt;rec-number&gt;332&lt;/rec-number&gt;&lt;foreign-keys&gt;&lt;key app="EN" db-id="xta2zfs5afa5syevdt0pr25faaxt2awvasep" timestamp="1698269875"&gt;332&lt;/key&gt;&lt;/foreign-keys&gt;&lt;ref-type name="Web Page"&gt;12&lt;/ref-type&gt;&lt;contributors&gt;&lt;authors&gt;&lt;author&gt;AIHW&lt;/author&gt;&lt;/authors&gt;&lt;/contributors&gt;&lt;titles&gt;&lt;title&gt;Cancer data in Australia: Blood cancer incidence and survival by histology&lt;/title&gt;&lt;/titles&gt;&lt;number&gt;8 March 2023&lt;/number&gt;&lt;dates&gt;&lt;year&gt;2023&lt;/year&gt;&lt;/dates&gt;&lt;pub-location&gt;Canberra&lt;/pub-location&gt;&lt;publisher&gt;Australian Institute of Health Welfare&lt;/publisher&gt;&lt;urls&gt;&lt;related-urls&gt;&lt;url&gt;https://www.aihw.gov.au/reports/cancer/cancer-data-in-australia/contents/blood-cancer-incidence-and-survival-by-histology-e&lt;/url&gt;&lt;/related-urls&gt;&lt;/urls&gt;&lt;/record&gt;&lt;/Cite&gt;&lt;/EndNote&gt;</w:instrText>
      </w:r>
      <w:r w:rsidR="00F51FCD" w:rsidRPr="00B47C50">
        <w:rPr>
          <w:rFonts w:ascii="Arial Narrow" w:hAnsi="Arial Narrow"/>
          <w:sz w:val="18"/>
          <w:szCs w:val="18"/>
        </w:rPr>
        <w:fldChar w:fldCharType="separate"/>
      </w:r>
      <w:r w:rsidR="00F51FCD" w:rsidRPr="00B47C50">
        <w:rPr>
          <w:rFonts w:ascii="Arial Narrow" w:hAnsi="Arial Narrow"/>
          <w:noProof/>
          <w:sz w:val="18"/>
          <w:szCs w:val="18"/>
        </w:rPr>
        <w:t>(AIHW 2023a)</w:t>
      </w:r>
      <w:r w:rsidR="00F51FCD" w:rsidRPr="00B47C50">
        <w:rPr>
          <w:rFonts w:ascii="Arial Narrow" w:hAnsi="Arial Narrow"/>
          <w:sz w:val="18"/>
          <w:szCs w:val="18"/>
        </w:rPr>
        <w:fldChar w:fldCharType="end"/>
      </w:r>
    </w:p>
    <w:p w14:paraId="798C8D64" w14:textId="580EC982" w:rsidR="00A4258E" w:rsidRPr="009F019F" w:rsidRDefault="00B47C50" w:rsidP="00773531">
      <w:pPr>
        <w:pStyle w:val="CaptionFootnote"/>
        <w:keepLines/>
        <w:spacing w:after="120"/>
        <w:contextualSpacing w:val="0"/>
        <w:rPr>
          <w:rFonts w:ascii="Arial Narrow" w:hAnsi="Arial Narrow"/>
          <w:sz w:val="18"/>
          <w:szCs w:val="18"/>
        </w:rPr>
      </w:pPr>
      <w:r w:rsidRPr="00B47C50">
        <w:rPr>
          <w:rFonts w:ascii="Arial Narrow" w:hAnsi="Arial Narrow"/>
          <w:sz w:val="18"/>
          <w:szCs w:val="18"/>
          <w:vertAlign w:val="superscript"/>
        </w:rPr>
        <w:t>c</w:t>
      </w:r>
      <w:r w:rsidRPr="00B47C50">
        <w:rPr>
          <w:rFonts w:ascii="Arial Narrow" w:hAnsi="Arial Narrow"/>
          <w:sz w:val="18"/>
          <w:szCs w:val="18"/>
        </w:rPr>
        <w:t xml:space="preserve"> </w:t>
      </w:r>
      <w:r w:rsidR="00F51FCD" w:rsidRPr="00B47C50">
        <w:rPr>
          <w:rFonts w:ascii="Arial Narrow" w:hAnsi="Arial Narrow"/>
          <w:sz w:val="18"/>
          <w:szCs w:val="18"/>
        </w:rPr>
        <w:t xml:space="preserve">SEER database, WM patients diagnosed between 2001 and 2010 </w:t>
      </w:r>
      <w:r w:rsidR="00F51FCD" w:rsidRPr="00B47C50">
        <w:rPr>
          <w:rFonts w:ascii="Arial Narrow" w:hAnsi="Arial Narrow"/>
          <w:sz w:val="18"/>
          <w:szCs w:val="18"/>
        </w:rPr>
        <w:fldChar w:fldCharType="begin" w:fldLock="1">
          <w:fldData xml:space="preserve">PEVuZE5vdGU+PENpdGU+PEF1dGhvcj5DYXN0aWxsbzwvQXV0aG9yPjxZZWFyPjIwMTU8L1llYXI+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</w:fldData>
        </w:fldChar>
      </w:r>
      <w:r w:rsidR="00F51FCD" w:rsidRPr="00B47C50">
        <w:rPr>
          <w:rFonts w:ascii="Arial Narrow" w:hAnsi="Arial Narrow"/>
          <w:sz w:val="18"/>
          <w:szCs w:val="18"/>
        </w:rPr>
        <w:instrText xml:space="preserve"> ADDIN EN.CITE </w:instrText>
      </w:r>
      <w:r w:rsidR="00F51FCD" w:rsidRPr="00B47C50">
        <w:rPr>
          <w:rFonts w:ascii="Arial Narrow" w:hAnsi="Arial Narrow"/>
          <w:sz w:val="18"/>
          <w:szCs w:val="18"/>
        </w:rPr>
        <w:fldChar w:fldCharType="begin" w:fldLock="1">
          <w:fldData xml:space="preserve">PEVuZE5vdGU+PENpdGU+PEF1dGhvcj5DYXN0aWxsbzwvQXV0aG9yPjxZZWFyPjIwMTU8L1llYXI+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</w:fldData>
        </w:fldChar>
      </w:r>
      <w:r w:rsidR="00F51FCD" w:rsidRPr="00B47C50">
        <w:rPr>
          <w:rFonts w:ascii="Arial Narrow" w:hAnsi="Arial Narrow"/>
          <w:sz w:val="18"/>
          <w:szCs w:val="18"/>
        </w:rPr>
        <w:instrText xml:space="preserve"> ADDIN EN.CITE.DATA </w:instrText>
      </w:r>
      <w:r w:rsidR="00F51FCD" w:rsidRPr="00B47C50">
        <w:rPr>
          <w:rFonts w:ascii="Arial Narrow" w:hAnsi="Arial Narrow"/>
          <w:sz w:val="18"/>
          <w:szCs w:val="18"/>
        </w:rPr>
      </w:r>
      <w:r w:rsidR="00F51FCD" w:rsidRPr="00B47C50">
        <w:rPr>
          <w:rFonts w:ascii="Arial Narrow" w:hAnsi="Arial Narrow"/>
          <w:sz w:val="18"/>
          <w:szCs w:val="18"/>
        </w:rPr>
        <w:fldChar w:fldCharType="end"/>
      </w:r>
      <w:r w:rsidR="00F51FCD" w:rsidRPr="00B47C50">
        <w:rPr>
          <w:rFonts w:ascii="Arial Narrow" w:hAnsi="Arial Narrow"/>
          <w:sz w:val="18"/>
          <w:szCs w:val="18"/>
        </w:rPr>
      </w:r>
      <w:r w:rsidR="00F51FCD" w:rsidRPr="00B47C50">
        <w:rPr>
          <w:rFonts w:ascii="Arial Narrow" w:hAnsi="Arial Narrow"/>
          <w:sz w:val="18"/>
          <w:szCs w:val="18"/>
        </w:rPr>
        <w:fldChar w:fldCharType="separate"/>
      </w:r>
      <w:r w:rsidR="00F51FCD" w:rsidRPr="00B47C50">
        <w:rPr>
          <w:rFonts w:ascii="Arial Narrow" w:hAnsi="Arial Narrow"/>
          <w:noProof/>
          <w:sz w:val="18"/>
          <w:szCs w:val="18"/>
        </w:rPr>
        <w:t>(Castillo</w:t>
      </w:r>
      <w:r w:rsidR="009C56CD" w:rsidRPr="00B47C50">
        <w:rPr>
          <w:rFonts w:ascii="Arial Narrow" w:hAnsi="Arial Narrow"/>
          <w:noProof/>
          <w:sz w:val="18"/>
          <w:szCs w:val="18"/>
        </w:rPr>
        <w:t xml:space="preserve"> </w:t>
      </w:r>
      <w:r w:rsidR="00F51FCD" w:rsidRPr="00B47C50">
        <w:rPr>
          <w:rFonts w:ascii="Arial Narrow" w:hAnsi="Arial Narrow"/>
          <w:noProof/>
          <w:sz w:val="18"/>
          <w:szCs w:val="18"/>
        </w:rPr>
        <w:t>et al.</w:t>
      </w:r>
      <w:r w:rsidR="009C56CD" w:rsidRPr="00B47C50">
        <w:rPr>
          <w:rFonts w:ascii="Arial Narrow" w:hAnsi="Arial Narrow"/>
          <w:noProof/>
          <w:sz w:val="18"/>
          <w:szCs w:val="18"/>
        </w:rPr>
        <w:t>,</w:t>
      </w:r>
      <w:r w:rsidR="00F51FCD" w:rsidRPr="00B47C50">
        <w:rPr>
          <w:rFonts w:ascii="Arial Narrow" w:hAnsi="Arial Narrow"/>
          <w:noProof/>
          <w:sz w:val="18"/>
          <w:szCs w:val="18"/>
        </w:rPr>
        <w:t xml:space="preserve"> 2015)</w:t>
      </w:r>
      <w:r w:rsidR="00F51FCD" w:rsidRPr="00B47C50">
        <w:rPr>
          <w:rFonts w:ascii="Arial Narrow" w:hAnsi="Arial Narrow"/>
          <w:sz w:val="18"/>
          <w:szCs w:val="18"/>
        </w:rPr>
        <w:fldChar w:fldCharType="end"/>
      </w:r>
      <w:bookmarkStart w:id="23" w:name="_Ref157675296"/>
      <w:bookmarkStart w:id="24" w:name="_Toc160780476"/>
    </w:p>
    <w:p w14:paraId="5ECA705A" w14:textId="38F9BCBB" w:rsidR="00A52D03" w:rsidRPr="00E82BCF" w:rsidRDefault="00E27672" w:rsidP="009F019F">
      <w:pPr>
        <w:pStyle w:val="Caption"/>
        <w:keepNext/>
        <w:keepLines/>
        <w:spacing w:after="0"/>
        <w:rPr>
          <w:rFonts w:ascii="Arial Narrow" w:hAnsi="Arial Narrow"/>
          <w:b/>
          <w:bCs/>
          <w:i w:val="0"/>
          <w:iCs w:val="0"/>
          <w:sz w:val="20"/>
          <w:szCs w:val="20"/>
        </w:rPr>
      </w:pPr>
      <w:r w:rsidRPr="00E82BCF">
        <w:rPr>
          <w:rFonts w:ascii="Arial Narrow" w:hAnsi="Arial Narrow"/>
          <w:b/>
          <w:bCs/>
          <w:i w:val="0"/>
          <w:iCs w:val="0"/>
          <w:sz w:val="20"/>
          <w:szCs w:val="20"/>
        </w:rPr>
        <w:lastRenderedPageBreak/>
        <w:t xml:space="preserve">Table </w:t>
      </w:r>
      <w:r w:rsidRPr="00E82BCF">
        <w:rPr>
          <w:rFonts w:ascii="Arial Narrow" w:hAnsi="Arial Narrow"/>
          <w:b/>
          <w:bCs/>
          <w:i w:val="0"/>
          <w:iCs w:val="0"/>
          <w:sz w:val="20"/>
          <w:szCs w:val="20"/>
        </w:rPr>
        <w:fldChar w:fldCharType="begin" w:fldLock="1"/>
      </w:r>
      <w:r w:rsidRPr="00E82BCF">
        <w:rPr>
          <w:rFonts w:ascii="Arial Narrow" w:hAnsi="Arial Narrow"/>
          <w:b/>
          <w:bCs/>
          <w:i w:val="0"/>
          <w:iCs w:val="0"/>
          <w:sz w:val="20"/>
          <w:szCs w:val="20"/>
        </w:rPr>
        <w:instrText xml:space="preserve"> SEQ Table \* ARABIC </w:instrText>
      </w:r>
      <w:r w:rsidRPr="00E82BCF">
        <w:rPr>
          <w:rFonts w:ascii="Arial Narrow" w:hAnsi="Arial Narrow"/>
          <w:b/>
          <w:bCs/>
          <w:i w:val="0"/>
          <w:iCs w:val="0"/>
          <w:sz w:val="20"/>
          <w:szCs w:val="20"/>
        </w:rPr>
        <w:fldChar w:fldCharType="separate"/>
      </w:r>
      <w:r w:rsidR="00D05088">
        <w:rPr>
          <w:rFonts w:ascii="Arial Narrow" w:hAnsi="Arial Narrow"/>
          <w:b/>
          <w:bCs/>
          <w:i w:val="0"/>
          <w:iCs w:val="0"/>
          <w:noProof/>
          <w:sz w:val="20"/>
          <w:szCs w:val="20"/>
        </w:rPr>
        <w:t>6</w:t>
      </w:r>
      <w:r w:rsidRPr="00E82BCF">
        <w:rPr>
          <w:rFonts w:ascii="Arial Narrow" w:hAnsi="Arial Narrow"/>
          <w:b/>
          <w:bCs/>
          <w:i w:val="0"/>
          <w:iCs w:val="0"/>
          <w:sz w:val="20"/>
          <w:szCs w:val="20"/>
        </w:rPr>
        <w:fldChar w:fldCharType="end"/>
      </w:r>
      <w:bookmarkEnd w:id="23"/>
      <w:r w:rsidR="00A52D03" w:rsidRPr="00E82BCF">
        <w:rPr>
          <w:rFonts w:ascii="Arial Narrow" w:hAnsi="Arial Narrow"/>
          <w:b/>
          <w:bCs/>
          <w:i w:val="0"/>
          <w:iCs w:val="0"/>
          <w:sz w:val="20"/>
          <w:szCs w:val="20"/>
        </w:rPr>
        <w:t xml:space="preserve">: </w:t>
      </w:r>
      <w:r w:rsidR="005E6CF5" w:rsidRPr="00E82BCF">
        <w:rPr>
          <w:rFonts w:ascii="Arial Narrow" w:hAnsi="Arial Narrow"/>
          <w:b/>
          <w:bCs/>
          <w:i w:val="0"/>
          <w:iCs w:val="0"/>
          <w:sz w:val="20"/>
          <w:szCs w:val="20"/>
        </w:rPr>
        <w:t xml:space="preserve">WM </w:t>
      </w:r>
      <w:r w:rsidR="00A52D03" w:rsidRPr="00E82BCF">
        <w:rPr>
          <w:rFonts w:ascii="Arial Narrow" w:hAnsi="Arial Narrow"/>
          <w:b/>
          <w:bCs/>
          <w:i w:val="0"/>
          <w:iCs w:val="0"/>
          <w:sz w:val="20"/>
          <w:szCs w:val="20"/>
        </w:rPr>
        <w:t>ten-year prevalence rate in Australia</w:t>
      </w:r>
      <w:r w:rsidR="00B47C50" w:rsidRPr="00E82BCF">
        <w:rPr>
          <w:rFonts w:ascii="Arial Narrow" w:hAnsi="Arial Narrow"/>
          <w:b/>
          <w:bCs/>
          <w:i w:val="0"/>
          <w:iCs w:val="0"/>
          <w:sz w:val="20"/>
          <w:szCs w:val="20"/>
        </w:rPr>
        <w:t xml:space="preserve"> </w:t>
      </w:r>
      <w:r w:rsidR="00A52D03" w:rsidRPr="00E82BCF">
        <w:rPr>
          <w:rFonts w:ascii="Arial Narrow" w:hAnsi="Arial Narrow"/>
          <w:b/>
          <w:bCs/>
          <w:i w:val="0"/>
          <w:iCs w:val="0"/>
          <w:sz w:val="20"/>
          <w:szCs w:val="20"/>
        </w:rPr>
        <w:t>as of 31 December 2019</w:t>
      </w:r>
      <w:bookmarkEnd w:id="24"/>
    </w:p>
    <w:tbl>
      <w:tblPr>
        <w:tblStyle w:val="Submissionstandard1"/>
        <w:tblW w:w="8931" w:type="dxa"/>
        <w:tblInd w:w="-5" w:type="dxa"/>
        <w:tblLook w:val="04A0" w:firstRow="1" w:lastRow="0" w:firstColumn="1" w:lastColumn="0" w:noHBand="0" w:noVBand="1"/>
        <w:tblCaption w:val="Table 6: WM ten-year prevalence rate in Australia as of 31 December 2019"/>
        <w:tblDescription w:val="Table 6: WM ten-year prevalence rate in Australia as of 31 December 2019"/>
      </w:tblPr>
      <w:tblGrid>
        <w:gridCol w:w="709"/>
        <w:gridCol w:w="1843"/>
        <w:gridCol w:w="1843"/>
        <w:gridCol w:w="1701"/>
        <w:gridCol w:w="2835"/>
      </w:tblGrid>
      <w:tr w:rsidR="00A52D03" w:rsidRPr="005E6CF5" w14:paraId="0F1905E1" w14:textId="77777777" w:rsidTr="00773531">
        <w:trPr>
          <w:cnfStyle w:val="100000000000" w:firstRow="1" w:lastRow="0" w:firstColumn="0" w:lastColumn="0" w:oddVBand="0" w:evenVBand="0" w:oddHBand="0" w:evenHBand="0" w:firstRowFirstColumn="0" w:firstRowLastColumn="0" w:lastRowFirstColumn="0" w:lastRowLastColumn="0"/>
          <w:trHeight w:val="300"/>
        </w:trPr>
        <w:tc>
          <w:tcPr>
            <w:tcW w:w="709" w:type="dxa"/>
            <w:shd w:val="clear" w:color="auto" w:fill="auto"/>
            <w:noWrap/>
            <w:vAlign w:val="center"/>
            <w:hideMark/>
          </w:tcPr>
          <w:p w14:paraId="174514C6" w14:textId="77777777"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Year</w:t>
            </w:r>
          </w:p>
        </w:tc>
        <w:tc>
          <w:tcPr>
            <w:tcW w:w="1843" w:type="dxa"/>
            <w:shd w:val="clear" w:color="auto" w:fill="auto"/>
            <w:noWrap/>
            <w:vAlign w:val="center"/>
            <w:hideMark/>
          </w:tcPr>
          <w:p w14:paraId="503AAEDE" w14:textId="109356D1" w:rsidR="00A52D03" w:rsidRPr="005E6CF5" w:rsidRDefault="00B47C50"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Ten</w:t>
            </w:r>
            <w:r w:rsidR="00A52D03" w:rsidRPr="005E6CF5">
              <w:rPr>
                <w:rFonts w:ascii="Arial Narrow" w:eastAsia="Times New Roman" w:hAnsi="Arial Narrow" w:cstheme="minorHAnsi"/>
                <w:color w:val="000000"/>
                <w:sz w:val="20"/>
                <w:szCs w:val="20"/>
                <w:lang w:bidi="ar-SA"/>
              </w:rPr>
              <w:t xml:space="preserve">-year prevalence </w:t>
            </w:r>
            <w:r w:rsidR="005E6CF5" w:rsidRPr="005E6CF5">
              <w:rPr>
                <w:rFonts w:ascii="Arial Narrow" w:eastAsia="Times New Roman" w:hAnsi="Arial Narrow" w:cstheme="minorHAnsi"/>
                <w:b w:val="0"/>
                <w:bCs/>
                <w:color w:val="000000"/>
                <w:sz w:val="20"/>
                <w:szCs w:val="20"/>
                <w:lang w:bidi="ar-SA"/>
              </w:rPr>
              <w:t>(</w:t>
            </w:r>
            <w:r w:rsidR="005E6CF5" w:rsidRPr="005E6CF5">
              <w:rPr>
                <w:rFonts w:ascii="Arial Narrow" w:hAnsi="Arial Narrow" w:cstheme="minorHAnsi"/>
                <w:bCs/>
                <w:color w:val="000000"/>
                <w:sz w:val="20"/>
                <w:szCs w:val="20"/>
              </w:rPr>
              <w:fldChar w:fldCharType="begin" w:fldLock="1"/>
            </w:r>
            <w:r w:rsidR="005E6CF5" w:rsidRPr="005E6CF5">
              <w:rPr>
                <w:rFonts w:ascii="Arial Narrow" w:eastAsia="Times New Roman" w:hAnsi="Arial Narrow" w:cstheme="minorHAnsi"/>
                <w:b w:val="0"/>
                <w:bCs/>
                <w:color w:val="000000"/>
                <w:sz w:val="20"/>
                <w:szCs w:val="20"/>
                <w:lang w:bidi="ar-SA"/>
              </w:rPr>
              <w:instrText xml:space="preserve"> REF _Ref158643302 \h  \* MERGEFORMAT </w:instrText>
            </w:r>
            <w:r w:rsidR="005E6CF5" w:rsidRPr="005E6CF5">
              <w:rPr>
                <w:rFonts w:ascii="Arial Narrow" w:hAnsi="Arial Narrow" w:cstheme="minorHAnsi"/>
                <w:bCs/>
                <w:color w:val="000000"/>
                <w:sz w:val="20"/>
                <w:szCs w:val="20"/>
              </w:rPr>
            </w:r>
            <w:r w:rsidR="005E6CF5" w:rsidRPr="005E6CF5">
              <w:rPr>
                <w:rFonts w:ascii="Arial Narrow" w:hAnsi="Arial Narrow" w:cstheme="minorHAnsi"/>
                <w:bCs/>
                <w:color w:val="000000"/>
                <w:sz w:val="20"/>
                <w:szCs w:val="20"/>
              </w:rPr>
              <w:fldChar w:fldCharType="separate"/>
            </w:r>
            <w:r w:rsidR="00B31544" w:rsidRPr="00B31544">
              <w:rPr>
                <w:rFonts w:ascii="Arial Narrow" w:hAnsi="Arial Narrow"/>
                <w:b w:val="0"/>
                <w:bCs/>
                <w:sz w:val="20"/>
                <w:szCs w:val="20"/>
              </w:rPr>
              <w:t xml:space="preserve">Table </w:t>
            </w:r>
            <w:r w:rsidR="00B31544" w:rsidRPr="00B31544">
              <w:rPr>
                <w:rFonts w:ascii="Arial Narrow" w:hAnsi="Arial Narrow"/>
                <w:b w:val="0"/>
                <w:bCs/>
                <w:noProof/>
                <w:sz w:val="20"/>
                <w:szCs w:val="20"/>
              </w:rPr>
              <w:t>5</w:t>
            </w:r>
            <w:r w:rsidR="005E6CF5" w:rsidRPr="005E6CF5">
              <w:rPr>
                <w:rFonts w:ascii="Arial Narrow" w:hAnsi="Arial Narrow" w:cstheme="minorHAnsi"/>
                <w:bCs/>
                <w:color w:val="000000"/>
                <w:sz w:val="20"/>
                <w:szCs w:val="20"/>
              </w:rPr>
              <w:fldChar w:fldCharType="end"/>
            </w:r>
            <w:r w:rsidR="005E6CF5">
              <w:rPr>
                <w:rFonts w:ascii="Arial Narrow" w:eastAsia="Times New Roman" w:hAnsi="Arial Narrow" w:cstheme="minorHAnsi"/>
                <w:color w:val="000000"/>
                <w:sz w:val="20"/>
                <w:szCs w:val="20"/>
                <w:lang w:bidi="ar-SA"/>
              </w:rPr>
              <w:t>)</w:t>
            </w:r>
          </w:p>
        </w:tc>
        <w:tc>
          <w:tcPr>
            <w:tcW w:w="1843" w:type="dxa"/>
            <w:shd w:val="clear" w:color="auto" w:fill="auto"/>
            <w:noWrap/>
            <w:vAlign w:val="center"/>
            <w:hideMark/>
          </w:tcPr>
          <w:p w14:paraId="76536AAA" w14:textId="2868250B"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Australian Population</w:t>
            </w:r>
            <w:r w:rsidR="00B47C50" w:rsidRPr="005E6CF5">
              <w:rPr>
                <w:rFonts w:ascii="Arial Narrow" w:eastAsia="Times New Roman" w:hAnsi="Arial Narrow" w:cstheme="minorHAnsi"/>
                <w:color w:val="000000"/>
                <w:sz w:val="20"/>
                <w:szCs w:val="20"/>
                <w:lang w:bidi="ar-SA"/>
              </w:rPr>
              <w:t xml:space="preserve"> 2019</w:t>
            </w:r>
          </w:p>
        </w:tc>
        <w:tc>
          <w:tcPr>
            <w:tcW w:w="1701" w:type="dxa"/>
            <w:shd w:val="clear" w:color="auto" w:fill="auto"/>
            <w:noWrap/>
            <w:vAlign w:val="center"/>
            <w:hideMark/>
          </w:tcPr>
          <w:p w14:paraId="792FEACC" w14:textId="3F47A9B0"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 xml:space="preserve">Crude </w:t>
            </w:r>
            <w:r w:rsidR="00B47C50" w:rsidRPr="005E6CF5">
              <w:rPr>
                <w:rFonts w:ascii="Arial Narrow" w:eastAsia="Times New Roman" w:hAnsi="Arial Narrow" w:cstheme="minorHAnsi"/>
                <w:color w:val="000000"/>
                <w:sz w:val="20"/>
                <w:szCs w:val="20"/>
                <w:lang w:bidi="ar-SA"/>
              </w:rPr>
              <w:t>ten</w:t>
            </w:r>
            <w:r w:rsidRPr="005E6CF5">
              <w:rPr>
                <w:rFonts w:ascii="Arial Narrow" w:eastAsia="Times New Roman" w:hAnsi="Arial Narrow" w:cstheme="minorHAnsi"/>
                <w:color w:val="000000"/>
                <w:sz w:val="20"/>
                <w:szCs w:val="20"/>
                <w:lang w:bidi="ar-SA"/>
              </w:rPr>
              <w:t>-year prevalence rate</w:t>
            </w:r>
          </w:p>
        </w:tc>
        <w:tc>
          <w:tcPr>
            <w:tcW w:w="2835" w:type="dxa"/>
            <w:shd w:val="clear" w:color="auto" w:fill="auto"/>
            <w:vAlign w:val="center"/>
          </w:tcPr>
          <w:p w14:paraId="3E4F9BCE" w14:textId="77777777"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Crude ten-year prevalence rate per 100,000 population</w:t>
            </w:r>
          </w:p>
        </w:tc>
      </w:tr>
      <w:tr w:rsidR="00A52D03" w:rsidRPr="005E6CF5" w14:paraId="4A705495" w14:textId="77777777" w:rsidTr="00773531">
        <w:trPr>
          <w:trHeight w:val="300"/>
        </w:trPr>
        <w:tc>
          <w:tcPr>
            <w:tcW w:w="709" w:type="dxa"/>
            <w:shd w:val="clear" w:color="auto" w:fill="auto"/>
            <w:noWrap/>
            <w:vAlign w:val="center"/>
            <w:hideMark/>
          </w:tcPr>
          <w:p w14:paraId="4E034C9F" w14:textId="77777777"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2019</w:t>
            </w:r>
          </w:p>
        </w:tc>
        <w:tc>
          <w:tcPr>
            <w:tcW w:w="1843" w:type="dxa"/>
            <w:shd w:val="clear" w:color="auto" w:fill="auto"/>
            <w:noWrap/>
            <w:vAlign w:val="center"/>
            <w:hideMark/>
          </w:tcPr>
          <w:p w14:paraId="6F9F5F54" w14:textId="2F055183"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818</w:t>
            </w:r>
          </w:p>
        </w:tc>
        <w:tc>
          <w:tcPr>
            <w:tcW w:w="1843" w:type="dxa"/>
            <w:shd w:val="clear" w:color="auto" w:fill="auto"/>
            <w:noWrap/>
            <w:vAlign w:val="center"/>
            <w:hideMark/>
          </w:tcPr>
          <w:p w14:paraId="5019051D" w14:textId="475B3D28"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25,522,169</w:t>
            </w:r>
            <w:r w:rsidR="005E6CF5" w:rsidRPr="005E6CF5">
              <w:rPr>
                <w:rFonts w:ascii="Arial Narrow" w:eastAsia="Times New Roman" w:hAnsi="Arial Narrow" w:cstheme="minorHAnsi"/>
                <w:color w:val="000000"/>
                <w:sz w:val="20"/>
                <w:szCs w:val="20"/>
                <w:vertAlign w:val="superscript"/>
                <w:lang w:bidi="ar-SA"/>
              </w:rPr>
              <w:t>a</w:t>
            </w:r>
          </w:p>
        </w:tc>
        <w:tc>
          <w:tcPr>
            <w:tcW w:w="1701" w:type="dxa"/>
            <w:shd w:val="clear" w:color="auto" w:fill="auto"/>
            <w:noWrap/>
            <w:vAlign w:val="center"/>
            <w:hideMark/>
          </w:tcPr>
          <w:p w14:paraId="6AE5FD14" w14:textId="77777777"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0.0000321</w:t>
            </w:r>
          </w:p>
        </w:tc>
        <w:tc>
          <w:tcPr>
            <w:tcW w:w="2835" w:type="dxa"/>
            <w:shd w:val="clear" w:color="auto" w:fill="auto"/>
            <w:vAlign w:val="center"/>
          </w:tcPr>
          <w:p w14:paraId="142AD66A" w14:textId="77777777" w:rsidR="00A52D03" w:rsidRPr="005E6CF5" w:rsidRDefault="00A52D03" w:rsidP="00773531">
            <w:pPr>
              <w:keepNext/>
              <w:keepLines/>
              <w:suppressLineNumbers/>
              <w:suppressAutoHyphens/>
              <w:jc w:val="center"/>
              <w:rPr>
                <w:rFonts w:ascii="Arial Narrow" w:eastAsia="Times New Roman" w:hAnsi="Arial Narrow" w:cstheme="minorHAnsi"/>
                <w:color w:val="000000"/>
                <w:sz w:val="20"/>
                <w:szCs w:val="20"/>
                <w:lang w:bidi="ar-SA"/>
              </w:rPr>
            </w:pPr>
            <w:r w:rsidRPr="005E6CF5">
              <w:rPr>
                <w:rFonts w:ascii="Arial Narrow" w:eastAsia="Times New Roman" w:hAnsi="Arial Narrow" w:cstheme="minorHAnsi"/>
                <w:color w:val="000000"/>
                <w:sz w:val="20"/>
                <w:szCs w:val="20"/>
                <w:lang w:bidi="ar-SA"/>
              </w:rPr>
              <w:t>3.21</w:t>
            </w:r>
          </w:p>
        </w:tc>
      </w:tr>
    </w:tbl>
    <w:p w14:paraId="3D3ED8DC" w14:textId="3E324457" w:rsidR="00A52D03" w:rsidRPr="005E6CF5" w:rsidRDefault="00A52D03" w:rsidP="009F019F">
      <w:pPr>
        <w:pStyle w:val="CaptionFootnote"/>
        <w:keepNext/>
        <w:keepLines/>
        <w:suppressLineNumbers/>
        <w:suppressAutoHyphens/>
        <w:spacing w:after="0"/>
        <w:rPr>
          <w:rFonts w:ascii="Arial Narrow" w:hAnsi="Arial Narrow"/>
          <w:sz w:val="18"/>
          <w:szCs w:val="18"/>
        </w:rPr>
      </w:pPr>
      <w:r w:rsidRPr="005E6CF5">
        <w:rPr>
          <w:rFonts w:ascii="Arial Narrow" w:hAnsi="Arial Narrow"/>
          <w:sz w:val="18"/>
          <w:szCs w:val="18"/>
        </w:rPr>
        <w:t xml:space="preserve">Source: </w:t>
      </w:r>
      <w:r w:rsidR="00860703" w:rsidRPr="005E6CF5">
        <w:rPr>
          <w:rFonts w:ascii="Arial Narrow" w:hAnsi="Arial Narrow"/>
          <w:sz w:val="18"/>
          <w:szCs w:val="18"/>
        </w:rPr>
        <w:t>Table 2.4</w:t>
      </w:r>
      <w:r w:rsidR="0002171F">
        <w:rPr>
          <w:rFonts w:ascii="Arial Narrow" w:hAnsi="Arial Narrow"/>
          <w:sz w:val="18"/>
          <w:szCs w:val="18"/>
        </w:rPr>
        <w:t>, p10</w:t>
      </w:r>
      <w:r w:rsidR="00860703" w:rsidRPr="005E6CF5">
        <w:rPr>
          <w:rFonts w:ascii="Arial Narrow" w:hAnsi="Arial Narrow"/>
          <w:sz w:val="18"/>
          <w:szCs w:val="18"/>
        </w:rPr>
        <w:t xml:space="preserve"> of the submission </w:t>
      </w:r>
    </w:p>
    <w:p w14:paraId="2F124125" w14:textId="331A31B3" w:rsidR="00A52D03" w:rsidRPr="005E6CF5" w:rsidRDefault="00B47C50" w:rsidP="00773531">
      <w:pPr>
        <w:pStyle w:val="CaptionFootnote"/>
        <w:keepLines/>
        <w:suppressLineNumbers/>
        <w:suppressAutoHyphens/>
        <w:spacing w:after="120"/>
        <w:contextualSpacing w:val="0"/>
        <w:rPr>
          <w:rFonts w:ascii="Arial Narrow" w:hAnsi="Arial Narrow"/>
          <w:sz w:val="18"/>
          <w:szCs w:val="18"/>
        </w:rPr>
      </w:pPr>
      <w:r w:rsidRPr="005E6CF5">
        <w:rPr>
          <w:rFonts w:ascii="Arial Narrow" w:hAnsi="Arial Narrow"/>
          <w:sz w:val="18"/>
          <w:szCs w:val="18"/>
          <w:vertAlign w:val="superscript"/>
        </w:rPr>
        <w:t>a</w:t>
      </w:r>
      <w:r w:rsidR="00A52D03" w:rsidRPr="005E6CF5">
        <w:rPr>
          <w:rFonts w:ascii="Arial Narrow" w:hAnsi="Arial Narrow"/>
          <w:sz w:val="18"/>
          <w:szCs w:val="18"/>
        </w:rPr>
        <w:t xml:space="preserve">. National, state and territory population, reference period 2019 </w:t>
      </w:r>
      <w:r w:rsidR="00A52D03" w:rsidRPr="005E6CF5">
        <w:rPr>
          <w:rFonts w:ascii="Arial Narrow" w:hAnsi="Arial Narrow"/>
          <w:sz w:val="18"/>
          <w:szCs w:val="18"/>
        </w:rPr>
        <w:fldChar w:fldCharType="begin" w:fldLock="1"/>
      </w:r>
      <w:r w:rsidR="00A52D03" w:rsidRPr="005E6CF5">
        <w:rPr>
          <w:rFonts w:ascii="Arial Narrow" w:hAnsi="Arial Narrow"/>
          <w:sz w:val="18"/>
          <w:szCs w:val="18"/>
        </w:rPr>
        <w:instrText xml:space="preserve"> ADDIN EN.CITE &lt;EndNote&gt;&lt;Cite&gt;&lt;Author&gt;Australian Bureau of Statistics&lt;/Author&gt;&lt;Year&gt;2019&lt;/Year&gt;&lt;RecNum&gt;335&lt;/RecNum&gt;&lt;DisplayText&gt;(Australian Bureau of Statistics 2019)&lt;/DisplayText&gt;&lt;record&gt;&lt;rec-number&gt;335&lt;/rec-number&gt;&lt;foreign-keys&gt;&lt;key app="EN" db-id="xta2zfs5afa5syevdt0pr25faaxt2awvasep" timestamp="1698273525"&gt;335&lt;/key&gt;&lt;/foreign-keys&gt;&lt;ref-type name="Web Page"&gt;12&lt;/ref-type&gt;&lt;contributors&gt;&lt;authors&gt;&lt;author&gt;Australian Bureau of Statistics,&lt;/author&gt;&lt;/authors&gt;&lt;/contributors&gt;&lt;titles&gt;&lt;title&gt;National, state and territory population&lt;/title&gt;&lt;/titles&gt;&lt;volume&gt;2023&lt;/volume&gt;&lt;number&gt;19 December 2023&lt;/number&gt;&lt;dates&gt;&lt;year&gt;2019&lt;/year&gt;&lt;/dates&gt;&lt;pub-location&gt;Canberra&lt;/pub-location&gt;&lt;publisher&gt;Australian Bureau of Statistics,&lt;/publisher&gt;&lt;urls&gt;&lt;related-urls&gt;&lt;url&gt;https://www.abs.gov.au/statistics/people/population/national-state-and-territory-population/dec-2019&lt;/url&gt;&lt;/related-urls&gt;&lt;/urls&gt;&lt;/record&gt;&lt;/Cite&gt;&lt;/EndNote&gt;</w:instrText>
      </w:r>
      <w:r w:rsidR="00A52D03" w:rsidRPr="005E6CF5">
        <w:rPr>
          <w:rFonts w:ascii="Arial Narrow" w:hAnsi="Arial Narrow"/>
          <w:sz w:val="18"/>
          <w:szCs w:val="18"/>
        </w:rPr>
        <w:fldChar w:fldCharType="separate"/>
      </w:r>
      <w:r w:rsidR="00A52D03" w:rsidRPr="005E6CF5">
        <w:rPr>
          <w:rFonts w:ascii="Arial Narrow" w:hAnsi="Arial Narrow"/>
          <w:noProof/>
          <w:sz w:val="18"/>
          <w:szCs w:val="18"/>
        </w:rPr>
        <w:t>(Australian Bureau of Statistics 2019)</w:t>
      </w:r>
      <w:r w:rsidR="00A52D03" w:rsidRPr="005E6CF5">
        <w:rPr>
          <w:rFonts w:ascii="Arial Narrow" w:hAnsi="Arial Narrow"/>
          <w:sz w:val="18"/>
          <w:szCs w:val="18"/>
        </w:rPr>
        <w:fldChar w:fldCharType="end"/>
      </w:r>
    </w:p>
    <w:p w14:paraId="269F374B" w14:textId="72FB956E" w:rsidR="00FE5B79" w:rsidRPr="00FE5B79" w:rsidRDefault="00543010" w:rsidP="00773531">
      <w:pPr>
        <w:pStyle w:val="3Bodytext"/>
        <w:jc w:val="both"/>
      </w:pPr>
      <w:r>
        <w:t>The p</w:t>
      </w:r>
      <w:r w:rsidR="00FE5B79" w:rsidRPr="00FE5B79">
        <w:t xml:space="preserve">re-PBAC response </w:t>
      </w:r>
      <w:r w:rsidR="00ED68AB">
        <w:t xml:space="preserve">noted </w:t>
      </w:r>
      <w:r w:rsidR="00FE5B79" w:rsidRPr="00FE5B79">
        <w:t xml:space="preserve">that, while Yin 2020 was published </w:t>
      </w:r>
      <w:r w:rsidR="00CA6063">
        <w:t xml:space="preserve">more recently </w:t>
      </w:r>
      <w:r w:rsidR="00FE5B79" w:rsidRPr="00FE5B79">
        <w:t xml:space="preserve">than </w:t>
      </w:r>
      <w:bookmarkStart w:id="25" w:name="_Hlk172478312"/>
      <w:r w:rsidR="00FE5B79" w:rsidRPr="00FE5B79">
        <w:t xml:space="preserve">Castillo 2015, the survival rates in Yin 2020 </w:t>
      </w:r>
      <w:bookmarkEnd w:id="25"/>
      <w:r w:rsidR="00FE5B79" w:rsidRPr="00FE5B79">
        <w:t xml:space="preserve">were </w:t>
      </w:r>
      <w:r w:rsidR="00CA6063">
        <w:t xml:space="preserve">based on data from the period of </w:t>
      </w:r>
      <w:r w:rsidR="00FE5B79" w:rsidRPr="00FE5B79">
        <w:t>1980 to 2016</w:t>
      </w:r>
      <w:r w:rsidR="00CA6063">
        <w:t>, whereas</w:t>
      </w:r>
      <w:r w:rsidR="00FE5B79" w:rsidRPr="00FE5B79">
        <w:t xml:space="preserve"> Castillo 2015</w:t>
      </w:r>
      <w:r w:rsidR="00CA6063">
        <w:t xml:space="preserve"> covered </w:t>
      </w:r>
      <w:r w:rsidR="00FE5B79" w:rsidRPr="00FE5B79">
        <w:t>2001</w:t>
      </w:r>
      <w:r w:rsidR="00CA6063">
        <w:t xml:space="preserve"> to </w:t>
      </w:r>
      <w:r w:rsidR="00FE5B79" w:rsidRPr="00FE5B79">
        <w:t>2010</w:t>
      </w:r>
      <w:r w:rsidR="00CA6063">
        <w:t xml:space="preserve">. The sponsor considered that the survival rates from earlier decades were less relevant because patients diagnosed before 2000 are less likely to be alive and thus eligible as prevalent patients, </w:t>
      </w:r>
      <w:r w:rsidR="00CA6063" w:rsidRPr="00CA6063">
        <w:t>and the five-year survival rates have significantly increased over time.</w:t>
      </w:r>
      <w:r w:rsidR="002D4D9E">
        <w:t xml:space="preserve"> </w:t>
      </w:r>
    </w:p>
    <w:p w14:paraId="3A17E81E" w14:textId="6AB7A132" w:rsidR="003033F6" w:rsidRDefault="002C046D" w:rsidP="00A4258E">
      <w:pPr>
        <w:pStyle w:val="3Bodytext"/>
        <w:spacing w:before="120"/>
        <w:jc w:val="both"/>
        <w:rPr>
          <w:rFonts w:cstheme="minorHAnsi"/>
          <w:szCs w:val="24"/>
        </w:rPr>
      </w:pPr>
      <w:r>
        <w:rPr>
          <w:rFonts w:cstheme="minorHAnsi"/>
          <w:szCs w:val="24"/>
        </w:rPr>
        <w:t>The pre-PBAC response also</w:t>
      </w:r>
      <w:r w:rsidR="0095250D" w:rsidRPr="0095250D">
        <w:rPr>
          <w:rFonts w:cstheme="minorHAnsi"/>
          <w:szCs w:val="24"/>
        </w:rPr>
        <w:t xml:space="preserve"> </w:t>
      </w:r>
      <w:r w:rsidR="001E76B4">
        <w:rPr>
          <w:rFonts w:cstheme="minorHAnsi"/>
          <w:szCs w:val="24"/>
        </w:rPr>
        <w:t xml:space="preserve">presented </w:t>
      </w:r>
      <w:r w:rsidR="0095250D" w:rsidRPr="0095250D">
        <w:rPr>
          <w:rFonts w:cstheme="minorHAnsi"/>
          <w:szCs w:val="24"/>
        </w:rPr>
        <w:t xml:space="preserve">a comparison of survival rates </w:t>
      </w:r>
      <w:r w:rsidR="001E76B4">
        <w:rPr>
          <w:rFonts w:cstheme="minorHAnsi"/>
          <w:szCs w:val="24"/>
        </w:rPr>
        <w:t xml:space="preserve">from </w:t>
      </w:r>
      <w:r w:rsidR="0095250D" w:rsidRPr="0095250D">
        <w:rPr>
          <w:rFonts w:cstheme="minorHAnsi"/>
          <w:szCs w:val="24"/>
        </w:rPr>
        <w:t>multiple sources</w:t>
      </w:r>
      <w:r w:rsidR="001E76B4">
        <w:rPr>
          <w:rFonts w:cstheme="minorHAnsi"/>
          <w:szCs w:val="24"/>
        </w:rPr>
        <w:t xml:space="preserve"> to support the claim that survival rates are </w:t>
      </w:r>
      <w:r w:rsidR="0095250D" w:rsidRPr="0095250D">
        <w:rPr>
          <w:rFonts w:cstheme="minorHAnsi"/>
          <w:szCs w:val="24"/>
        </w:rPr>
        <w:t xml:space="preserve">comparable </w:t>
      </w:r>
      <w:r w:rsidR="001E76B4">
        <w:rPr>
          <w:rFonts w:cstheme="minorHAnsi"/>
          <w:szCs w:val="24"/>
        </w:rPr>
        <w:t xml:space="preserve">in </w:t>
      </w:r>
      <w:r w:rsidR="0095250D" w:rsidRPr="0095250D">
        <w:rPr>
          <w:rFonts w:cstheme="minorHAnsi"/>
          <w:szCs w:val="24"/>
        </w:rPr>
        <w:t xml:space="preserve">Australian and US SEER data. The sponsor further provided the revised ten-year prevalence rate of 3.15 per 100,000 population by </w:t>
      </w:r>
      <w:r w:rsidR="00821563">
        <w:rPr>
          <w:rFonts w:cstheme="minorHAnsi"/>
          <w:szCs w:val="24"/>
        </w:rPr>
        <w:t xml:space="preserve">applying </w:t>
      </w:r>
      <w:bookmarkStart w:id="26" w:name="_Hlk172507718"/>
      <w:r w:rsidR="0095250D" w:rsidRPr="0095250D">
        <w:rPr>
          <w:rFonts w:cstheme="minorHAnsi"/>
          <w:szCs w:val="24"/>
        </w:rPr>
        <w:t xml:space="preserve">the results from Castillo 2015 and Yin 2020 for six to ten-year survival rates in the pre-PBAC response. </w:t>
      </w:r>
    </w:p>
    <w:bookmarkEnd w:id="26"/>
    <w:p w14:paraId="4BAF3488" w14:textId="2A5106EF" w:rsidR="00860703" w:rsidRPr="007B575D" w:rsidRDefault="00860703" w:rsidP="00A4258E">
      <w:pPr>
        <w:pStyle w:val="3Bodytext"/>
        <w:spacing w:before="120"/>
        <w:jc w:val="both"/>
      </w:pPr>
      <w:r w:rsidRPr="007B575D">
        <w:t xml:space="preserve">The key changes in WM </w:t>
      </w:r>
      <w:r w:rsidR="00C84CD8" w:rsidRPr="00C84CD8">
        <w:t>epidemiological assumptions</w:t>
      </w:r>
      <w:r w:rsidR="00C84CD8">
        <w:t xml:space="preserve"> </w:t>
      </w:r>
      <w:r w:rsidRPr="007B575D">
        <w:t xml:space="preserve">are summarised in </w:t>
      </w:r>
      <w:r w:rsidR="007B575D" w:rsidRPr="007B575D">
        <w:fldChar w:fldCharType="begin" w:fldLock="1"/>
      </w:r>
      <w:r w:rsidR="007B575D" w:rsidRPr="007B575D">
        <w:instrText xml:space="preserve"> REF _Ref149656854 \h </w:instrText>
      </w:r>
      <w:r w:rsidR="007B575D">
        <w:instrText xml:space="preserve"> \* MERGEFORMAT </w:instrText>
      </w:r>
      <w:r w:rsidR="007B575D" w:rsidRPr="007B575D">
        <w:fldChar w:fldCharType="separate"/>
      </w:r>
      <w:r w:rsidR="00B31544" w:rsidRPr="00B31544">
        <w:t xml:space="preserve">Table </w:t>
      </w:r>
      <w:r w:rsidR="00B31544" w:rsidRPr="00B31544">
        <w:rPr>
          <w:noProof/>
        </w:rPr>
        <w:t>7</w:t>
      </w:r>
      <w:r w:rsidR="007B575D" w:rsidRPr="007B575D">
        <w:fldChar w:fldCharType="end"/>
      </w:r>
      <w:r w:rsidRPr="007B575D">
        <w:t>.</w:t>
      </w:r>
    </w:p>
    <w:p w14:paraId="75E24FBF" w14:textId="29EABD55" w:rsidR="00860703" w:rsidRPr="007B575D" w:rsidRDefault="00E27672" w:rsidP="00AD6E26">
      <w:pPr>
        <w:pStyle w:val="Caption"/>
        <w:keepNext/>
        <w:keepLines/>
        <w:spacing w:after="0"/>
        <w:rPr>
          <w:rFonts w:ascii="Arial Narrow" w:hAnsi="Arial Narrow"/>
          <w:b/>
          <w:bCs/>
          <w:i w:val="0"/>
          <w:iCs w:val="0"/>
          <w:sz w:val="20"/>
          <w:szCs w:val="20"/>
        </w:rPr>
      </w:pPr>
      <w:bookmarkStart w:id="27" w:name="_Ref149656854"/>
      <w:bookmarkStart w:id="28" w:name="_Toc160780477"/>
      <w:r w:rsidRPr="00E27672">
        <w:rPr>
          <w:rFonts w:ascii="Arial Narrow" w:hAnsi="Arial Narrow"/>
          <w:b/>
          <w:bCs/>
          <w:i w:val="0"/>
          <w:iCs w:val="0"/>
          <w:sz w:val="20"/>
          <w:szCs w:val="20"/>
        </w:rPr>
        <w:t xml:space="preserve">Table </w:t>
      </w:r>
      <w:r w:rsidRPr="00E27672">
        <w:rPr>
          <w:rFonts w:ascii="Arial Narrow" w:hAnsi="Arial Narrow"/>
          <w:b/>
          <w:bCs/>
          <w:i w:val="0"/>
          <w:iCs w:val="0"/>
          <w:sz w:val="20"/>
          <w:szCs w:val="20"/>
        </w:rPr>
        <w:fldChar w:fldCharType="begin" w:fldLock="1"/>
      </w:r>
      <w:r w:rsidRPr="00E27672">
        <w:rPr>
          <w:rFonts w:ascii="Arial Narrow" w:hAnsi="Arial Narrow"/>
          <w:b/>
          <w:bCs/>
          <w:i w:val="0"/>
          <w:iCs w:val="0"/>
          <w:sz w:val="20"/>
          <w:szCs w:val="20"/>
        </w:rPr>
        <w:instrText xml:space="preserve"> SEQ Table \* ARABIC </w:instrText>
      </w:r>
      <w:r w:rsidRPr="00E27672">
        <w:rPr>
          <w:rFonts w:ascii="Arial Narrow" w:hAnsi="Arial Narrow"/>
          <w:b/>
          <w:bCs/>
          <w:i w:val="0"/>
          <w:iCs w:val="0"/>
          <w:sz w:val="20"/>
          <w:szCs w:val="20"/>
        </w:rPr>
        <w:fldChar w:fldCharType="separate"/>
      </w:r>
      <w:r w:rsidR="00D05088">
        <w:rPr>
          <w:rFonts w:ascii="Arial Narrow" w:hAnsi="Arial Narrow"/>
          <w:b/>
          <w:bCs/>
          <w:i w:val="0"/>
          <w:iCs w:val="0"/>
          <w:noProof/>
          <w:sz w:val="20"/>
          <w:szCs w:val="20"/>
        </w:rPr>
        <w:t>7</w:t>
      </w:r>
      <w:r w:rsidRPr="00E27672">
        <w:rPr>
          <w:rFonts w:ascii="Arial Narrow" w:hAnsi="Arial Narrow"/>
          <w:b/>
          <w:bCs/>
          <w:i w:val="0"/>
          <w:iCs w:val="0"/>
          <w:sz w:val="20"/>
          <w:szCs w:val="20"/>
        </w:rPr>
        <w:fldChar w:fldCharType="end"/>
      </w:r>
      <w:bookmarkEnd w:id="27"/>
      <w:r w:rsidR="00860703" w:rsidRPr="007B575D">
        <w:rPr>
          <w:rFonts w:ascii="Arial Narrow" w:hAnsi="Arial Narrow"/>
          <w:b/>
          <w:bCs/>
          <w:i w:val="0"/>
          <w:iCs w:val="0"/>
          <w:sz w:val="20"/>
          <w:szCs w:val="20"/>
        </w:rPr>
        <w:t>: Summary of WM incidence and prevalence rates</w:t>
      </w:r>
      <w:bookmarkEnd w:id="28"/>
    </w:p>
    <w:tbl>
      <w:tblPr>
        <w:tblStyle w:val="Submissionstandard1"/>
        <w:tblW w:w="0" w:type="auto"/>
        <w:tblInd w:w="-5" w:type="dxa"/>
        <w:tblLook w:val="04A0" w:firstRow="1" w:lastRow="0" w:firstColumn="1" w:lastColumn="0" w:noHBand="0" w:noVBand="1"/>
        <w:tblCaption w:val="Table 7: Summary of WM incidence and prevalence rates"/>
        <w:tblDescription w:val="Table 7: Summary of WM incidence and prevalence rates"/>
      </w:tblPr>
      <w:tblGrid>
        <w:gridCol w:w="2268"/>
        <w:gridCol w:w="1125"/>
        <w:gridCol w:w="1126"/>
        <w:gridCol w:w="1125"/>
        <w:gridCol w:w="1126"/>
        <w:gridCol w:w="1125"/>
        <w:gridCol w:w="1126"/>
      </w:tblGrid>
      <w:tr w:rsidR="007B575D" w:rsidRPr="007B575D" w14:paraId="21CB4AAA" w14:textId="77777777" w:rsidTr="007B575D">
        <w:trPr>
          <w:cnfStyle w:val="100000000000" w:firstRow="1" w:lastRow="0" w:firstColumn="0" w:lastColumn="0" w:oddVBand="0" w:evenVBand="0" w:oddHBand="0" w:evenHBand="0" w:firstRowFirstColumn="0" w:firstRowLastColumn="0" w:lastRowFirstColumn="0" w:lastRowLastColumn="0"/>
          <w:trHeight w:val="179"/>
        </w:trPr>
        <w:tc>
          <w:tcPr>
            <w:tcW w:w="2268" w:type="dxa"/>
            <w:vMerge w:val="restart"/>
            <w:shd w:val="clear" w:color="auto" w:fill="auto"/>
          </w:tcPr>
          <w:p w14:paraId="061A5896" w14:textId="1372DC6D" w:rsidR="007B575D" w:rsidRPr="007B575D" w:rsidRDefault="007B575D" w:rsidP="00AD6E26">
            <w:pPr>
              <w:keepNext/>
              <w:keepLines/>
              <w:suppressLineNumbers/>
              <w:suppressAutoHyphens/>
              <w:jc w:val="center"/>
              <w:rPr>
                <w:rFonts w:ascii="Arial Narrow" w:eastAsia="Times New Roman" w:hAnsi="Arial Narrow" w:cstheme="minorHAnsi"/>
                <w:color w:val="000000"/>
                <w:sz w:val="20"/>
                <w:szCs w:val="20"/>
                <w:lang w:bidi="ar-SA"/>
              </w:rPr>
            </w:pPr>
          </w:p>
        </w:tc>
        <w:tc>
          <w:tcPr>
            <w:tcW w:w="3376" w:type="dxa"/>
            <w:gridSpan w:val="3"/>
            <w:shd w:val="clear" w:color="auto" w:fill="auto"/>
          </w:tcPr>
          <w:p w14:paraId="3BC53242" w14:textId="622E5ACE" w:rsidR="007B575D" w:rsidRPr="007B575D" w:rsidRDefault="007B575D"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 xml:space="preserve">March 2022 </w:t>
            </w:r>
          </w:p>
        </w:tc>
        <w:tc>
          <w:tcPr>
            <w:tcW w:w="3377" w:type="dxa"/>
            <w:gridSpan w:val="3"/>
            <w:shd w:val="clear" w:color="auto" w:fill="auto"/>
          </w:tcPr>
          <w:p w14:paraId="1725D78F" w14:textId="33438B39" w:rsidR="007B575D" w:rsidRPr="007B575D" w:rsidRDefault="007B575D"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July 2024</w:t>
            </w:r>
          </w:p>
        </w:tc>
      </w:tr>
      <w:tr w:rsidR="007B575D" w:rsidRPr="007B575D" w14:paraId="0A7FBEFA" w14:textId="77777777" w:rsidTr="00CE353C">
        <w:trPr>
          <w:trHeight w:val="178"/>
        </w:trPr>
        <w:tc>
          <w:tcPr>
            <w:tcW w:w="2268" w:type="dxa"/>
            <w:vMerge/>
            <w:shd w:val="clear" w:color="auto" w:fill="auto"/>
          </w:tcPr>
          <w:p w14:paraId="18BE46DD" w14:textId="77777777" w:rsidR="007B575D" w:rsidRPr="007B575D" w:rsidRDefault="007B575D" w:rsidP="00AD6E26">
            <w:pPr>
              <w:keepNext/>
              <w:keepLines/>
              <w:suppressLineNumbers/>
              <w:suppressAutoHyphens/>
              <w:jc w:val="center"/>
              <w:rPr>
                <w:rFonts w:ascii="Arial Narrow" w:hAnsi="Arial Narrow" w:cstheme="minorHAnsi"/>
                <w:color w:val="000000"/>
                <w:sz w:val="20"/>
                <w:szCs w:val="20"/>
              </w:rPr>
            </w:pPr>
          </w:p>
        </w:tc>
        <w:tc>
          <w:tcPr>
            <w:tcW w:w="6753" w:type="dxa"/>
            <w:gridSpan w:val="6"/>
            <w:shd w:val="clear" w:color="auto" w:fill="auto"/>
          </w:tcPr>
          <w:p w14:paraId="6BADED91" w14:textId="45CD7994" w:rsidR="007B575D" w:rsidRPr="007B575D" w:rsidRDefault="007B575D" w:rsidP="00AD6E26">
            <w:pPr>
              <w:keepNext/>
              <w:keepLines/>
              <w:suppressLineNumbers/>
              <w:suppressAutoHyphens/>
              <w:jc w:val="center"/>
              <w:rPr>
                <w:rFonts w:ascii="Arial Narrow" w:hAnsi="Arial Narrow" w:cstheme="minorHAnsi"/>
                <w:color w:val="000000"/>
                <w:sz w:val="20"/>
                <w:szCs w:val="20"/>
              </w:rPr>
            </w:pPr>
            <w:r w:rsidRPr="007B575D">
              <w:rPr>
                <w:rFonts w:ascii="Arial Narrow" w:hAnsi="Arial Narrow" w:cstheme="minorHAnsi"/>
                <w:color w:val="000000"/>
                <w:sz w:val="20"/>
                <w:szCs w:val="20"/>
              </w:rPr>
              <w:t>per 100,000 population</w:t>
            </w:r>
          </w:p>
        </w:tc>
      </w:tr>
      <w:tr w:rsidR="00860703" w:rsidRPr="007B575D" w14:paraId="00F0F94E" w14:textId="77777777" w:rsidTr="007B575D">
        <w:tc>
          <w:tcPr>
            <w:tcW w:w="2268" w:type="dxa"/>
          </w:tcPr>
          <w:p w14:paraId="0EFC1AB3"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p>
        </w:tc>
        <w:tc>
          <w:tcPr>
            <w:tcW w:w="1125" w:type="dxa"/>
            <w:shd w:val="clear" w:color="auto" w:fill="DBE5F1" w:themeFill="accent1" w:themeFillTint="33"/>
          </w:tcPr>
          <w:p w14:paraId="78990EAE" w14:textId="77777777" w:rsidR="00860703" w:rsidRPr="00C84CD8" w:rsidRDefault="00860703" w:rsidP="00AD6E26">
            <w:pPr>
              <w:keepNext/>
              <w:keepLines/>
              <w:suppressLineNumbers/>
              <w:suppressAutoHyphen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Base case</w:t>
            </w:r>
          </w:p>
        </w:tc>
        <w:tc>
          <w:tcPr>
            <w:tcW w:w="1126" w:type="dxa"/>
            <w:shd w:val="clear" w:color="auto" w:fill="DBE5F1" w:themeFill="accent1" w:themeFillTint="33"/>
          </w:tcPr>
          <w:p w14:paraId="22D51842" w14:textId="77777777" w:rsidR="00860703" w:rsidRPr="00C84CD8" w:rsidRDefault="00860703" w:rsidP="00AD6E26">
            <w:pPr>
              <w:keepNext/>
              <w:keepLines/>
              <w:suppressLineNumbers/>
              <w:suppressAutoHyphen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Low</w:t>
            </w:r>
          </w:p>
        </w:tc>
        <w:tc>
          <w:tcPr>
            <w:tcW w:w="1125" w:type="dxa"/>
            <w:shd w:val="clear" w:color="auto" w:fill="DBE5F1" w:themeFill="accent1" w:themeFillTint="33"/>
          </w:tcPr>
          <w:p w14:paraId="641056F1" w14:textId="77777777" w:rsidR="00860703" w:rsidRPr="00C84CD8" w:rsidRDefault="00860703" w:rsidP="00AD6E26">
            <w:pPr>
              <w:keepNext/>
              <w:keepLines/>
              <w:suppressLineNumbers/>
              <w:suppressAutoHyphen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High</w:t>
            </w:r>
          </w:p>
        </w:tc>
        <w:tc>
          <w:tcPr>
            <w:tcW w:w="1126" w:type="dxa"/>
            <w:shd w:val="clear" w:color="auto" w:fill="auto"/>
          </w:tcPr>
          <w:p w14:paraId="61E459E1" w14:textId="77777777" w:rsidR="00860703" w:rsidRPr="00C84CD8" w:rsidRDefault="00860703" w:rsidP="00AD6E26">
            <w:pPr>
              <w:keepNext/>
              <w:keepLines/>
              <w:suppressLineNumbers/>
              <w:suppressAutoHyphen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Base case</w:t>
            </w:r>
          </w:p>
        </w:tc>
        <w:tc>
          <w:tcPr>
            <w:tcW w:w="1125" w:type="dxa"/>
            <w:shd w:val="clear" w:color="auto" w:fill="auto"/>
          </w:tcPr>
          <w:p w14:paraId="1058F006" w14:textId="77777777" w:rsidR="00860703" w:rsidRPr="00C84CD8" w:rsidRDefault="00860703" w:rsidP="00AD6E26">
            <w:pPr>
              <w:keepNext/>
              <w:keepLines/>
              <w:suppressLineNumbers/>
              <w:suppressAutoHyphen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Low</w:t>
            </w:r>
          </w:p>
        </w:tc>
        <w:tc>
          <w:tcPr>
            <w:tcW w:w="1126" w:type="dxa"/>
            <w:shd w:val="clear" w:color="auto" w:fill="auto"/>
          </w:tcPr>
          <w:p w14:paraId="3EFCBD25" w14:textId="77777777" w:rsidR="00860703" w:rsidRPr="00C84CD8" w:rsidRDefault="00860703" w:rsidP="00AD6E26">
            <w:pPr>
              <w:keepNext/>
              <w:keepLines/>
              <w:suppressLineNumbers/>
              <w:suppressAutoHyphens/>
              <w:jc w:val="center"/>
              <w:rPr>
                <w:rFonts w:ascii="Arial Narrow" w:eastAsia="Times New Roman" w:hAnsi="Arial Narrow" w:cstheme="minorHAnsi"/>
                <w:b/>
                <w:bCs/>
                <w:color w:val="000000"/>
                <w:sz w:val="20"/>
                <w:szCs w:val="20"/>
                <w:lang w:bidi="ar-SA"/>
              </w:rPr>
            </w:pPr>
            <w:r w:rsidRPr="00C84CD8">
              <w:rPr>
                <w:rFonts w:ascii="Arial Narrow" w:eastAsia="Times New Roman" w:hAnsi="Arial Narrow" w:cstheme="minorHAnsi"/>
                <w:b/>
                <w:bCs/>
                <w:color w:val="000000"/>
                <w:sz w:val="20"/>
                <w:szCs w:val="20"/>
                <w:lang w:bidi="ar-SA"/>
              </w:rPr>
              <w:t>High</w:t>
            </w:r>
          </w:p>
        </w:tc>
      </w:tr>
      <w:tr w:rsidR="00860703" w:rsidRPr="007B575D" w14:paraId="3EDFDC3D" w14:textId="77777777" w:rsidTr="007B575D">
        <w:tc>
          <w:tcPr>
            <w:tcW w:w="2268" w:type="dxa"/>
          </w:tcPr>
          <w:p w14:paraId="3798D60A" w14:textId="6DBD2DB0" w:rsidR="00860703" w:rsidRPr="007B575D" w:rsidRDefault="007B575D" w:rsidP="00AD6E26">
            <w:pPr>
              <w:keepNext/>
              <w:keepLines/>
              <w:suppressLineNumbers/>
              <w:suppressAutoHyphens/>
              <w:jc w:val="left"/>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I</w:t>
            </w:r>
            <w:r w:rsidR="00860703" w:rsidRPr="007B575D">
              <w:rPr>
                <w:rFonts w:ascii="Arial Narrow" w:eastAsia="Times New Roman" w:hAnsi="Arial Narrow" w:cstheme="minorHAnsi"/>
                <w:color w:val="000000"/>
                <w:sz w:val="20"/>
                <w:szCs w:val="20"/>
                <w:lang w:bidi="ar-SA"/>
              </w:rPr>
              <w:t>ncidence rate</w:t>
            </w:r>
          </w:p>
        </w:tc>
        <w:tc>
          <w:tcPr>
            <w:tcW w:w="1125" w:type="dxa"/>
            <w:shd w:val="clear" w:color="auto" w:fill="DBE5F1" w:themeFill="accent1" w:themeFillTint="33"/>
          </w:tcPr>
          <w:p w14:paraId="7D581A04" w14:textId="31F1EE8D"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0.37</w:t>
            </w:r>
          </w:p>
        </w:tc>
        <w:tc>
          <w:tcPr>
            <w:tcW w:w="1126" w:type="dxa"/>
            <w:shd w:val="clear" w:color="auto" w:fill="DBE5F1" w:themeFill="accent1" w:themeFillTint="33"/>
          </w:tcPr>
          <w:p w14:paraId="37EB15B2"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0.30</w:t>
            </w:r>
          </w:p>
        </w:tc>
        <w:tc>
          <w:tcPr>
            <w:tcW w:w="1125" w:type="dxa"/>
            <w:shd w:val="clear" w:color="auto" w:fill="DBE5F1" w:themeFill="accent1" w:themeFillTint="33"/>
          </w:tcPr>
          <w:p w14:paraId="50AC2C73"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0.40</w:t>
            </w:r>
          </w:p>
        </w:tc>
        <w:tc>
          <w:tcPr>
            <w:tcW w:w="1126" w:type="dxa"/>
            <w:shd w:val="clear" w:color="auto" w:fill="auto"/>
          </w:tcPr>
          <w:p w14:paraId="783208FF" w14:textId="4F7BE49A"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0.60</w:t>
            </w:r>
          </w:p>
        </w:tc>
        <w:tc>
          <w:tcPr>
            <w:tcW w:w="1125" w:type="dxa"/>
            <w:shd w:val="clear" w:color="auto" w:fill="auto"/>
          </w:tcPr>
          <w:p w14:paraId="32901AF2"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0.50</w:t>
            </w:r>
          </w:p>
        </w:tc>
        <w:tc>
          <w:tcPr>
            <w:tcW w:w="1126" w:type="dxa"/>
            <w:shd w:val="clear" w:color="auto" w:fill="auto"/>
          </w:tcPr>
          <w:p w14:paraId="5D667693"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0.70</w:t>
            </w:r>
          </w:p>
        </w:tc>
      </w:tr>
      <w:tr w:rsidR="00860703" w:rsidRPr="007B575D" w14:paraId="1BBC958C" w14:textId="77777777" w:rsidTr="007B575D">
        <w:tc>
          <w:tcPr>
            <w:tcW w:w="2268" w:type="dxa"/>
          </w:tcPr>
          <w:p w14:paraId="2D10ED26" w14:textId="376CEB4F" w:rsidR="00860703" w:rsidRPr="007B575D" w:rsidRDefault="007B575D" w:rsidP="00AD6E26">
            <w:pPr>
              <w:keepNext/>
              <w:keepLines/>
              <w:suppressLineNumbers/>
              <w:suppressAutoHyphens/>
              <w:jc w:val="left"/>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P</w:t>
            </w:r>
            <w:r w:rsidR="00860703" w:rsidRPr="007B575D">
              <w:rPr>
                <w:rFonts w:ascii="Arial Narrow" w:eastAsia="Times New Roman" w:hAnsi="Arial Narrow" w:cstheme="minorHAnsi"/>
                <w:color w:val="000000"/>
                <w:sz w:val="20"/>
                <w:szCs w:val="20"/>
                <w:lang w:bidi="ar-SA"/>
              </w:rPr>
              <w:t>revalence rate</w:t>
            </w:r>
          </w:p>
        </w:tc>
        <w:tc>
          <w:tcPr>
            <w:tcW w:w="1125" w:type="dxa"/>
            <w:shd w:val="clear" w:color="auto" w:fill="DBE5F1" w:themeFill="accent1" w:themeFillTint="33"/>
          </w:tcPr>
          <w:p w14:paraId="7D668E3D" w14:textId="3F64934C"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1.22</w:t>
            </w:r>
          </w:p>
        </w:tc>
        <w:tc>
          <w:tcPr>
            <w:tcW w:w="1126" w:type="dxa"/>
            <w:shd w:val="clear" w:color="auto" w:fill="DBE5F1" w:themeFill="accent1" w:themeFillTint="33"/>
          </w:tcPr>
          <w:p w14:paraId="626BA648"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1.10</w:t>
            </w:r>
          </w:p>
        </w:tc>
        <w:tc>
          <w:tcPr>
            <w:tcW w:w="1125" w:type="dxa"/>
            <w:shd w:val="clear" w:color="auto" w:fill="DBE5F1" w:themeFill="accent1" w:themeFillTint="33"/>
          </w:tcPr>
          <w:p w14:paraId="56D6F631"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1.34</w:t>
            </w:r>
          </w:p>
        </w:tc>
        <w:tc>
          <w:tcPr>
            <w:tcW w:w="1126" w:type="dxa"/>
            <w:shd w:val="clear" w:color="auto" w:fill="auto"/>
          </w:tcPr>
          <w:p w14:paraId="0FAF8E12" w14:textId="5EFDBDA9"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3.21</w:t>
            </w:r>
          </w:p>
        </w:tc>
        <w:tc>
          <w:tcPr>
            <w:tcW w:w="1125" w:type="dxa"/>
            <w:shd w:val="clear" w:color="auto" w:fill="auto"/>
          </w:tcPr>
          <w:p w14:paraId="5CE9FAF7"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2.89</w:t>
            </w:r>
          </w:p>
        </w:tc>
        <w:tc>
          <w:tcPr>
            <w:tcW w:w="1126" w:type="dxa"/>
            <w:shd w:val="clear" w:color="auto" w:fill="auto"/>
          </w:tcPr>
          <w:p w14:paraId="174DB8F0" w14:textId="77777777" w:rsidR="00860703" w:rsidRPr="007B575D" w:rsidRDefault="00860703" w:rsidP="00AD6E26">
            <w:pPr>
              <w:keepNext/>
              <w:keepLines/>
              <w:suppressLineNumbers/>
              <w:suppressAutoHyphens/>
              <w:jc w:val="center"/>
              <w:rPr>
                <w:rFonts w:ascii="Arial Narrow" w:eastAsia="Times New Roman" w:hAnsi="Arial Narrow" w:cstheme="minorHAnsi"/>
                <w:color w:val="000000"/>
                <w:sz w:val="20"/>
                <w:szCs w:val="20"/>
                <w:lang w:bidi="ar-SA"/>
              </w:rPr>
            </w:pPr>
            <w:r w:rsidRPr="007B575D">
              <w:rPr>
                <w:rFonts w:ascii="Arial Narrow" w:eastAsia="Times New Roman" w:hAnsi="Arial Narrow" w:cstheme="minorHAnsi"/>
                <w:color w:val="000000"/>
                <w:sz w:val="20"/>
                <w:szCs w:val="20"/>
                <w:lang w:bidi="ar-SA"/>
              </w:rPr>
              <w:t>3.53</w:t>
            </w:r>
          </w:p>
        </w:tc>
      </w:tr>
    </w:tbl>
    <w:p w14:paraId="2CC1E4D7" w14:textId="2045D713" w:rsidR="00860703" w:rsidRPr="007B575D" w:rsidRDefault="00860703" w:rsidP="00AD6E26">
      <w:pPr>
        <w:pStyle w:val="CaptionFootnote"/>
        <w:keepNext/>
        <w:keepLines/>
        <w:suppressLineNumbers/>
        <w:suppressAutoHyphens/>
        <w:spacing w:after="0"/>
        <w:rPr>
          <w:rFonts w:ascii="Arial Narrow" w:hAnsi="Arial Narrow"/>
          <w:sz w:val="18"/>
          <w:szCs w:val="18"/>
        </w:rPr>
      </w:pPr>
      <w:r w:rsidRPr="007B575D">
        <w:rPr>
          <w:rFonts w:ascii="Arial Narrow" w:hAnsi="Arial Narrow"/>
          <w:sz w:val="18"/>
          <w:szCs w:val="18"/>
        </w:rPr>
        <w:t>Source: Table 2.5</w:t>
      </w:r>
      <w:r w:rsidR="0002171F">
        <w:rPr>
          <w:rFonts w:ascii="Arial Narrow" w:hAnsi="Arial Narrow"/>
          <w:sz w:val="18"/>
          <w:szCs w:val="18"/>
        </w:rPr>
        <w:t>, p11</w:t>
      </w:r>
      <w:r w:rsidRPr="007B575D">
        <w:rPr>
          <w:rFonts w:ascii="Arial Narrow" w:hAnsi="Arial Narrow"/>
          <w:sz w:val="18"/>
          <w:szCs w:val="18"/>
        </w:rPr>
        <w:t xml:space="preserve"> of the submission</w:t>
      </w:r>
      <w:r w:rsidR="007B575D" w:rsidRPr="007B575D">
        <w:rPr>
          <w:rFonts w:ascii="Arial Narrow" w:hAnsi="Arial Narrow"/>
          <w:sz w:val="18"/>
          <w:szCs w:val="18"/>
        </w:rPr>
        <w:t>,</w:t>
      </w:r>
      <w:r w:rsidRPr="007B575D">
        <w:rPr>
          <w:rFonts w:ascii="Arial Narrow" w:hAnsi="Arial Narrow"/>
          <w:sz w:val="18"/>
          <w:szCs w:val="18"/>
        </w:rPr>
        <w:t xml:space="preserve"> </w:t>
      </w:r>
      <w:r w:rsidR="00B0048E" w:rsidRPr="00B0048E">
        <w:rPr>
          <w:rFonts w:ascii="Arial Narrow" w:hAnsi="Arial Narrow"/>
          <w:sz w:val="18"/>
          <w:szCs w:val="18"/>
        </w:rPr>
        <w:t>utilisation and cost model workbook</w:t>
      </w:r>
      <w:r w:rsidR="00B0048E">
        <w:rPr>
          <w:rFonts w:ascii="Arial Narrow" w:hAnsi="Arial Narrow"/>
          <w:sz w:val="18"/>
          <w:szCs w:val="18"/>
        </w:rPr>
        <w:t>s (original and updated submission)</w:t>
      </w:r>
      <w:r w:rsidR="007B575D" w:rsidRPr="007B575D">
        <w:rPr>
          <w:rFonts w:ascii="Arial Narrow" w:hAnsi="Arial Narrow"/>
          <w:sz w:val="18"/>
          <w:szCs w:val="18"/>
        </w:rPr>
        <w:t>, ‘Sheet 8. ABS population’</w:t>
      </w:r>
    </w:p>
    <w:p w14:paraId="4D2EBB89" w14:textId="4FA2C1CE" w:rsidR="00860703" w:rsidRPr="007B575D" w:rsidRDefault="00C84CD8" w:rsidP="00773531">
      <w:pPr>
        <w:pStyle w:val="CaptionFootnote"/>
        <w:keepLines/>
        <w:suppressLineNumbers/>
        <w:suppressAutoHyphens/>
        <w:spacing w:after="120"/>
        <w:contextualSpacing w:val="0"/>
        <w:rPr>
          <w:rFonts w:ascii="Arial Narrow" w:hAnsi="Arial Narrow"/>
          <w:sz w:val="18"/>
          <w:szCs w:val="18"/>
        </w:rPr>
      </w:pPr>
      <w:r w:rsidRPr="00E7105A">
        <w:rPr>
          <w:iCs/>
          <w:shd w:val="clear" w:color="auto" w:fill="C6D9F1" w:themeFill="text2" w:themeFillTint="33"/>
        </w:rPr>
        <w:t>Blue</w:t>
      </w:r>
      <w:r w:rsidR="00860703" w:rsidRPr="007B575D">
        <w:rPr>
          <w:rFonts w:ascii="Arial Narrow" w:hAnsi="Arial Narrow"/>
          <w:sz w:val="18"/>
          <w:szCs w:val="18"/>
        </w:rPr>
        <w:t xml:space="preserve"> shading represents information previously considered by the PBAC</w:t>
      </w:r>
      <w:r w:rsidR="007B575D" w:rsidRPr="007B575D">
        <w:rPr>
          <w:rFonts w:ascii="Arial Narrow" w:hAnsi="Arial Narrow"/>
          <w:sz w:val="18"/>
          <w:szCs w:val="18"/>
        </w:rPr>
        <w:t>.</w:t>
      </w:r>
    </w:p>
    <w:p w14:paraId="7622AB1B" w14:textId="64DCE338" w:rsidR="0095250D" w:rsidRPr="0030451C" w:rsidRDefault="007E3E71" w:rsidP="00773531">
      <w:pPr>
        <w:pStyle w:val="3Bodytext"/>
        <w:jc w:val="both"/>
        <w:rPr>
          <w:rFonts w:cstheme="minorHAnsi"/>
          <w:szCs w:val="24"/>
        </w:rPr>
      </w:pPr>
      <w:r w:rsidRPr="00E91DA4">
        <w:t>The submission stated that t</w:t>
      </w:r>
      <w:r w:rsidR="009B0ADE" w:rsidRPr="00E91DA4">
        <w:t xml:space="preserve">he revised prevalence rate of 3.21 per 100,000 </w:t>
      </w:r>
      <w:r w:rsidR="00BB3F70">
        <w:t>(updated to 3.15 per </w:t>
      </w:r>
      <w:r w:rsidR="00BB3F70" w:rsidRPr="00E91DA4">
        <w:t xml:space="preserve">100,000 </w:t>
      </w:r>
      <w:r w:rsidR="00BB3F70">
        <w:t xml:space="preserve">in the pre-PBAC response) </w:t>
      </w:r>
      <w:r w:rsidR="009B0ADE" w:rsidRPr="00E91DA4">
        <w:t>was higher than the previously estimated rate of 1.22 per 100,000</w:t>
      </w:r>
      <w:r w:rsidR="00ED295B" w:rsidRPr="00E91DA4">
        <w:t>,</w:t>
      </w:r>
      <w:r w:rsidR="006829BB" w:rsidRPr="00E91DA4">
        <w:t xml:space="preserve"> in line with an increase to </w:t>
      </w:r>
      <w:r w:rsidR="00ED295B" w:rsidRPr="00E91DA4">
        <w:t xml:space="preserve">the incidence </w:t>
      </w:r>
      <w:r w:rsidR="006829BB" w:rsidRPr="00E91DA4">
        <w:t xml:space="preserve">by </w:t>
      </w:r>
      <w:r w:rsidR="00ED295B" w:rsidRPr="00E91DA4">
        <w:t>62%</w:t>
      </w:r>
      <w:r w:rsidR="006829BB" w:rsidRPr="00E91DA4">
        <w:t xml:space="preserve"> compared to the </w:t>
      </w:r>
      <w:r w:rsidR="006D43D9">
        <w:t xml:space="preserve">March </w:t>
      </w:r>
      <w:r w:rsidR="001D6A41">
        <w:t xml:space="preserve">2022 </w:t>
      </w:r>
      <w:r w:rsidR="006829BB" w:rsidRPr="00E91DA4">
        <w:t>estimate</w:t>
      </w:r>
      <w:r w:rsidR="00ED295B" w:rsidRPr="00E91DA4">
        <w:t xml:space="preserve">. </w:t>
      </w:r>
      <w:r w:rsidR="006829BB" w:rsidRPr="00E91DA4">
        <w:t xml:space="preserve">The submission claimed that the proposed ten-year time period is clinically plausible due to the indolent nature of the disease, </w:t>
      </w:r>
      <w:r w:rsidR="000F675B">
        <w:t>such that</w:t>
      </w:r>
      <w:r w:rsidR="000F675B" w:rsidRPr="00E91DA4">
        <w:t xml:space="preserve"> </w:t>
      </w:r>
      <w:r w:rsidR="00F432BA" w:rsidRPr="00E91DA4">
        <w:t>patients who</w:t>
      </w:r>
      <w:r w:rsidR="000F675B">
        <w:t xml:space="preserve"> were</w:t>
      </w:r>
      <w:r w:rsidR="00F432BA" w:rsidRPr="00E91DA4">
        <w:t xml:space="preserve"> diagnosed </w:t>
      </w:r>
      <w:r w:rsidR="00F432BA" w:rsidRPr="00E91DA4">
        <w:rPr>
          <w:rFonts w:cstheme="minorHAnsi"/>
          <w:szCs w:val="24"/>
        </w:rPr>
        <w:t>more than five years ago</w:t>
      </w:r>
      <w:r w:rsidR="000F675B">
        <w:rPr>
          <w:rFonts w:cstheme="minorHAnsi"/>
          <w:szCs w:val="24"/>
        </w:rPr>
        <w:t xml:space="preserve"> may</w:t>
      </w:r>
      <w:r w:rsidR="00F432BA" w:rsidRPr="00E91DA4">
        <w:rPr>
          <w:rFonts w:cstheme="minorHAnsi"/>
          <w:szCs w:val="24"/>
        </w:rPr>
        <w:t xml:space="preserve"> be eligible for zanubrutinib treatment under the PBS. </w:t>
      </w:r>
      <w:r w:rsidR="005B3BA4" w:rsidRPr="00E91DA4">
        <w:rPr>
          <w:rFonts w:cstheme="minorHAnsi"/>
          <w:szCs w:val="24"/>
        </w:rPr>
        <w:t xml:space="preserve">The </w:t>
      </w:r>
      <w:r w:rsidR="00613540">
        <w:rPr>
          <w:rFonts w:cstheme="minorHAnsi"/>
          <w:szCs w:val="24"/>
        </w:rPr>
        <w:t xml:space="preserve">submission provided a </w:t>
      </w:r>
      <w:r w:rsidR="00E91DA4" w:rsidRPr="00E91DA4">
        <w:rPr>
          <w:rFonts w:cstheme="minorHAnsi"/>
          <w:szCs w:val="24"/>
        </w:rPr>
        <w:t xml:space="preserve">sensitivity </w:t>
      </w:r>
      <w:r w:rsidR="000F675B">
        <w:rPr>
          <w:rFonts w:cstheme="minorHAnsi"/>
          <w:szCs w:val="24"/>
        </w:rPr>
        <w:t>analysis</w:t>
      </w:r>
      <w:r w:rsidR="005B3BA4" w:rsidRPr="00E91DA4">
        <w:rPr>
          <w:rFonts w:cstheme="minorHAnsi"/>
          <w:szCs w:val="24"/>
        </w:rPr>
        <w:t xml:space="preserve">, varying the base case by plus or minus 10%, </w:t>
      </w:r>
      <w:r w:rsidR="00613540">
        <w:rPr>
          <w:rFonts w:cstheme="minorHAnsi"/>
          <w:szCs w:val="24"/>
        </w:rPr>
        <w:t>consistent with the sensitivity analysis in</w:t>
      </w:r>
      <w:r w:rsidR="005B3BA4" w:rsidRPr="00E91DA4">
        <w:rPr>
          <w:rFonts w:cstheme="minorHAnsi"/>
          <w:szCs w:val="24"/>
        </w:rPr>
        <w:t xml:space="preserve"> the March</w:t>
      </w:r>
      <w:r w:rsidR="001D48F7">
        <w:rPr>
          <w:rFonts w:cstheme="minorHAnsi"/>
          <w:szCs w:val="24"/>
        </w:rPr>
        <w:t> </w:t>
      </w:r>
      <w:r w:rsidR="005B3BA4" w:rsidRPr="00E91DA4">
        <w:rPr>
          <w:rFonts w:cstheme="minorHAnsi"/>
          <w:szCs w:val="24"/>
        </w:rPr>
        <w:t>2022 submission.</w:t>
      </w:r>
      <w:r w:rsidR="00613540">
        <w:rPr>
          <w:rFonts w:cstheme="minorHAnsi"/>
          <w:szCs w:val="24"/>
        </w:rPr>
        <w:t xml:space="preserve"> </w:t>
      </w:r>
      <w:r w:rsidR="00613540" w:rsidRPr="0030451C">
        <w:rPr>
          <w:rFonts w:cstheme="minorHAnsi"/>
          <w:szCs w:val="24"/>
        </w:rPr>
        <w:t xml:space="preserve">There was no basis for the magnitude </w:t>
      </w:r>
      <w:r w:rsidR="0024762F" w:rsidRPr="0030451C">
        <w:rPr>
          <w:rFonts w:cstheme="minorHAnsi"/>
          <w:szCs w:val="24"/>
        </w:rPr>
        <w:t xml:space="preserve">used in the sensitivity analyses. </w:t>
      </w:r>
    </w:p>
    <w:p w14:paraId="6EABEFC0" w14:textId="1EE646ED" w:rsidR="00CF0B72" w:rsidRPr="00DE5FB2" w:rsidRDefault="00524AFF" w:rsidP="00CF0B72">
      <w:pPr>
        <w:pStyle w:val="5-SubsectionSubheading"/>
      </w:pPr>
      <w:bookmarkStart w:id="29" w:name="_Toc160779467"/>
      <w:r w:rsidRPr="00DE5FB2">
        <w:t>Revised</w:t>
      </w:r>
      <w:r w:rsidR="00CF0B72" w:rsidRPr="00DE5FB2">
        <w:t xml:space="preserve"> number of WM </w:t>
      </w:r>
      <w:bookmarkEnd w:id="29"/>
      <w:r w:rsidR="005D6A68" w:rsidRPr="00DE5FB2">
        <w:t>p</w:t>
      </w:r>
      <w:r w:rsidR="00114591" w:rsidRPr="00DE5FB2">
        <w:t>atients</w:t>
      </w:r>
    </w:p>
    <w:p w14:paraId="1870E947" w14:textId="198DB2DB" w:rsidR="00114591" w:rsidRPr="00114591" w:rsidRDefault="00114591" w:rsidP="00E82BCF">
      <w:pPr>
        <w:pStyle w:val="3Bodytext"/>
        <w:spacing w:before="120"/>
        <w:jc w:val="both"/>
        <w:rPr>
          <w:rFonts w:ascii="Arial Narrow" w:hAnsi="Arial Narrow"/>
          <w:b/>
          <w:bCs/>
          <w:sz w:val="20"/>
          <w:szCs w:val="20"/>
        </w:rPr>
      </w:pPr>
      <w:r w:rsidRPr="00114591">
        <w:t xml:space="preserve">The table below presents a comparison of the incident and prevalent </w:t>
      </w:r>
      <w:r>
        <w:t xml:space="preserve">WM population estimated </w:t>
      </w:r>
      <w:r w:rsidRPr="00114591">
        <w:t xml:space="preserve">in the March 2022 and July 2024 submissions. </w:t>
      </w:r>
      <w:r w:rsidR="00895C15" w:rsidRPr="00895C15">
        <w:t>The assumption for the total Australian population remain</w:t>
      </w:r>
      <w:r w:rsidR="00895C15">
        <w:t>ed</w:t>
      </w:r>
      <w:r w:rsidR="00895C15" w:rsidRPr="00895C15">
        <w:t xml:space="preserve"> unchanged from </w:t>
      </w:r>
      <w:r w:rsidRPr="00114591">
        <w:t xml:space="preserve">the </w:t>
      </w:r>
      <w:r>
        <w:t xml:space="preserve">March 2022 </w:t>
      </w:r>
      <w:r w:rsidRPr="00114591">
        <w:t>submission. For</w:t>
      </w:r>
      <w:r w:rsidR="00895C15">
        <w:t xml:space="preserve"> </w:t>
      </w:r>
      <w:r w:rsidR="00895C15" w:rsidRPr="00895C15">
        <w:t>a direct comparison</w:t>
      </w:r>
      <w:r w:rsidRPr="00114591">
        <w:t xml:space="preserve">, Year 1 </w:t>
      </w:r>
      <w:r>
        <w:t>was</w:t>
      </w:r>
      <w:r w:rsidRPr="00114591">
        <w:t xml:space="preserve"> still considered to be 2022.</w:t>
      </w:r>
      <w:bookmarkStart w:id="30" w:name="_Ref58941570"/>
      <w:bookmarkStart w:id="31" w:name="_Toc84597223"/>
      <w:bookmarkStart w:id="32" w:name="_Toc85628288"/>
      <w:bookmarkStart w:id="33" w:name="_Toc160780478"/>
    </w:p>
    <w:p w14:paraId="2C7A47DC" w14:textId="284EA5DD" w:rsidR="007E1638" w:rsidRPr="00E27672" w:rsidRDefault="00E27672" w:rsidP="00AD6E26">
      <w:pPr>
        <w:pStyle w:val="Caption"/>
        <w:keepNext/>
        <w:keepLines/>
        <w:spacing w:after="0"/>
        <w:rPr>
          <w:rFonts w:ascii="Arial Narrow" w:hAnsi="Arial Narrow"/>
          <w:b/>
          <w:bCs/>
          <w:i w:val="0"/>
          <w:iCs w:val="0"/>
          <w:sz w:val="20"/>
          <w:szCs w:val="20"/>
        </w:rPr>
      </w:pPr>
      <w:bookmarkStart w:id="34" w:name="_Ref167883389"/>
      <w:r w:rsidRPr="00E27672">
        <w:rPr>
          <w:rFonts w:ascii="Arial Narrow" w:hAnsi="Arial Narrow"/>
          <w:b/>
          <w:bCs/>
          <w:i w:val="0"/>
          <w:iCs w:val="0"/>
          <w:sz w:val="20"/>
          <w:szCs w:val="20"/>
        </w:rPr>
        <w:lastRenderedPageBreak/>
        <w:t xml:space="preserve">Table </w:t>
      </w:r>
      <w:r w:rsidRPr="00E27672">
        <w:rPr>
          <w:rFonts w:ascii="Arial Narrow" w:hAnsi="Arial Narrow"/>
          <w:b/>
          <w:bCs/>
          <w:i w:val="0"/>
          <w:iCs w:val="0"/>
          <w:sz w:val="20"/>
          <w:szCs w:val="20"/>
        </w:rPr>
        <w:fldChar w:fldCharType="begin" w:fldLock="1"/>
      </w:r>
      <w:r w:rsidRPr="00E27672">
        <w:rPr>
          <w:rFonts w:ascii="Arial Narrow" w:hAnsi="Arial Narrow"/>
          <w:b/>
          <w:bCs/>
          <w:i w:val="0"/>
          <w:iCs w:val="0"/>
          <w:sz w:val="20"/>
          <w:szCs w:val="20"/>
        </w:rPr>
        <w:instrText xml:space="preserve"> SEQ Table \* ARABIC </w:instrText>
      </w:r>
      <w:r w:rsidRPr="00E27672">
        <w:rPr>
          <w:rFonts w:ascii="Arial Narrow" w:hAnsi="Arial Narrow"/>
          <w:b/>
          <w:bCs/>
          <w:i w:val="0"/>
          <w:iCs w:val="0"/>
          <w:sz w:val="20"/>
          <w:szCs w:val="20"/>
        </w:rPr>
        <w:fldChar w:fldCharType="separate"/>
      </w:r>
      <w:r w:rsidR="00D05088">
        <w:rPr>
          <w:rFonts w:ascii="Arial Narrow" w:hAnsi="Arial Narrow"/>
          <w:b/>
          <w:bCs/>
          <w:i w:val="0"/>
          <w:iCs w:val="0"/>
          <w:noProof/>
          <w:sz w:val="20"/>
          <w:szCs w:val="20"/>
        </w:rPr>
        <w:t>8</w:t>
      </w:r>
      <w:r w:rsidRPr="00E27672">
        <w:rPr>
          <w:rFonts w:ascii="Arial Narrow" w:hAnsi="Arial Narrow"/>
          <w:b/>
          <w:bCs/>
          <w:i w:val="0"/>
          <w:iCs w:val="0"/>
          <w:sz w:val="20"/>
          <w:szCs w:val="20"/>
        </w:rPr>
        <w:fldChar w:fldCharType="end"/>
      </w:r>
      <w:bookmarkEnd w:id="30"/>
      <w:bookmarkEnd w:id="31"/>
      <w:bookmarkEnd w:id="32"/>
      <w:bookmarkEnd w:id="34"/>
      <w:r w:rsidR="007E1638" w:rsidRPr="00E27672">
        <w:rPr>
          <w:rFonts w:ascii="Arial Narrow" w:hAnsi="Arial Narrow"/>
          <w:b/>
          <w:bCs/>
          <w:i w:val="0"/>
          <w:iCs w:val="0"/>
          <w:sz w:val="20"/>
          <w:szCs w:val="20"/>
        </w:rPr>
        <w:t xml:space="preserve">: Comparison of incident and prevalent WM </w:t>
      </w:r>
      <w:bookmarkEnd w:id="33"/>
      <w:r w:rsidR="00F37A7F" w:rsidRPr="00E27672">
        <w:rPr>
          <w:rFonts w:ascii="Arial Narrow" w:hAnsi="Arial Narrow"/>
          <w:b/>
          <w:bCs/>
          <w:i w:val="0"/>
          <w:iCs w:val="0"/>
          <w:sz w:val="20"/>
          <w:szCs w:val="20"/>
        </w:rPr>
        <w:t>population</w:t>
      </w:r>
    </w:p>
    <w:tbl>
      <w:tblPr>
        <w:tblStyle w:val="Submissionstandard1"/>
        <w:tblW w:w="5000" w:type="pct"/>
        <w:tblInd w:w="0" w:type="dxa"/>
        <w:tblLook w:val="04A0" w:firstRow="1" w:lastRow="0" w:firstColumn="1" w:lastColumn="0" w:noHBand="0" w:noVBand="1"/>
        <w:tblCaption w:val="Table 8: Comparison of incident and prevalent WM population"/>
        <w:tblDescription w:val="Table 8: Comparison of incident and prevalent WM population"/>
      </w:tblPr>
      <w:tblGrid>
        <w:gridCol w:w="1689"/>
        <w:gridCol w:w="1426"/>
        <w:gridCol w:w="1197"/>
        <w:gridCol w:w="790"/>
        <w:gridCol w:w="790"/>
        <w:gridCol w:w="790"/>
        <w:gridCol w:w="790"/>
        <w:gridCol w:w="790"/>
        <w:gridCol w:w="754"/>
      </w:tblGrid>
      <w:tr w:rsidR="007E1638" w:rsidRPr="00F37A7F" w14:paraId="0F7B3820" w14:textId="77777777" w:rsidTr="00773531">
        <w:trPr>
          <w:cnfStyle w:val="100000000000" w:firstRow="1" w:lastRow="0" w:firstColumn="0" w:lastColumn="0" w:oddVBand="0" w:evenVBand="0" w:oddHBand="0" w:evenHBand="0" w:firstRowFirstColumn="0" w:firstRowLastColumn="0" w:lastRowFirstColumn="0" w:lastRowLastColumn="0"/>
        </w:trPr>
        <w:tc>
          <w:tcPr>
            <w:tcW w:w="937" w:type="pct"/>
            <w:shd w:val="clear" w:color="auto" w:fill="auto"/>
            <w:vAlign w:val="center"/>
          </w:tcPr>
          <w:p w14:paraId="6A238572" w14:textId="50E64FC9" w:rsidR="007E1638" w:rsidRPr="00F37A7F" w:rsidRDefault="007E1638" w:rsidP="00773531">
            <w:pPr>
              <w:keepNext/>
              <w:keepLines/>
              <w:jc w:val="center"/>
              <w:rPr>
                <w:rFonts w:ascii="Arial Narrow" w:eastAsia="Times New Roman" w:hAnsi="Arial Narrow" w:cstheme="minorHAnsi"/>
                <w:color w:val="000000"/>
                <w:sz w:val="20"/>
                <w:szCs w:val="20"/>
                <w:lang w:bidi="ar-SA"/>
              </w:rPr>
            </w:pPr>
          </w:p>
        </w:tc>
        <w:tc>
          <w:tcPr>
            <w:tcW w:w="791" w:type="pct"/>
            <w:shd w:val="clear" w:color="auto" w:fill="auto"/>
            <w:vAlign w:val="center"/>
          </w:tcPr>
          <w:p w14:paraId="6FC362C1" w14:textId="77777777" w:rsidR="007E1638" w:rsidRPr="00F37A7F" w:rsidRDefault="007E1638"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Submission</w:t>
            </w:r>
          </w:p>
        </w:tc>
        <w:tc>
          <w:tcPr>
            <w:tcW w:w="664" w:type="pct"/>
            <w:shd w:val="clear" w:color="auto" w:fill="auto"/>
            <w:vAlign w:val="center"/>
          </w:tcPr>
          <w:p w14:paraId="35B083B2" w14:textId="1F8B38BE" w:rsidR="007E1638" w:rsidRPr="00F37A7F" w:rsidRDefault="00F37A7F"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B</w:t>
            </w:r>
            <w:r w:rsidR="007E1638" w:rsidRPr="00F37A7F">
              <w:rPr>
                <w:rFonts w:ascii="Arial Narrow" w:eastAsia="Times New Roman" w:hAnsi="Arial Narrow" w:cstheme="minorHAnsi"/>
                <w:color w:val="000000"/>
                <w:sz w:val="20"/>
                <w:szCs w:val="20"/>
                <w:lang w:bidi="ar-SA"/>
              </w:rPr>
              <w:t>ase case rate per 100,000</w:t>
            </w:r>
          </w:p>
        </w:tc>
        <w:tc>
          <w:tcPr>
            <w:tcW w:w="438" w:type="pct"/>
            <w:shd w:val="clear" w:color="auto" w:fill="auto"/>
            <w:vAlign w:val="center"/>
            <w:hideMark/>
          </w:tcPr>
          <w:p w14:paraId="0866554D" w14:textId="77777777" w:rsidR="007E1638" w:rsidRPr="00F37A7F" w:rsidRDefault="007E1638"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2022</w:t>
            </w:r>
          </w:p>
        </w:tc>
        <w:tc>
          <w:tcPr>
            <w:tcW w:w="438" w:type="pct"/>
            <w:shd w:val="clear" w:color="auto" w:fill="auto"/>
            <w:vAlign w:val="center"/>
            <w:hideMark/>
          </w:tcPr>
          <w:p w14:paraId="1E1F1BEA" w14:textId="77777777" w:rsidR="007E1638" w:rsidRPr="00F37A7F" w:rsidRDefault="007E1638"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2023</w:t>
            </w:r>
          </w:p>
        </w:tc>
        <w:tc>
          <w:tcPr>
            <w:tcW w:w="438" w:type="pct"/>
            <w:shd w:val="clear" w:color="auto" w:fill="auto"/>
            <w:vAlign w:val="center"/>
            <w:hideMark/>
          </w:tcPr>
          <w:p w14:paraId="5770B0C0" w14:textId="77777777" w:rsidR="007E1638" w:rsidRPr="00F37A7F" w:rsidRDefault="007E1638"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2024</w:t>
            </w:r>
          </w:p>
        </w:tc>
        <w:tc>
          <w:tcPr>
            <w:tcW w:w="438" w:type="pct"/>
            <w:shd w:val="clear" w:color="auto" w:fill="auto"/>
            <w:vAlign w:val="center"/>
            <w:hideMark/>
          </w:tcPr>
          <w:p w14:paraId="4FD92A71" w14:textId="77777777" w:rsidR="007E1638" w:rsidRPr="00F37A7F" w:rsidRDefault="007E1638"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2025</w:t>
            </w:r>
          </w:p>
        </w:tc>
        <w:tc>
          <w:tcPr>
            <w:tcW w:w="438" w:type="pct"/>
            <w:shd w:val="clear" w:color="auto" w:fill="auto"/>
            <w:vAlign w:val="center"/>
            <w:hideMark/>
          </w:tcPr>
          <w:p w14:paraId="3C9C19D8" w14:textId="77777777" w:rsidR="007E1638" w:rsidRPr="00F37A7F" w:rsidRDefault="007E1638"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2026</w:t>
            </w:r>
          </w:p>
        </w:tc>
        <w:tc>
          <w:tcPr>
            <w:tcW w:w="418" w:type="pct"/>
            <w:shd w:val="clear" w:color="auto" w:fill="auto"/>
            <w:vAlign w:val="center"/>
            <w:hideMark/>
          </w:tcPr>
          <w:p w14:paraId="2D8CD95B" w14:textId="77777777" w:rsidR="007E1638" w:rsidRPr="00F37A7F" w:rsidRDefault="007E1638" w:rsidP="00773531">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2027</w:t>
            </w:r>
          </w:p>
        </w:tc>
      </w:tr>
      <w:tr w:rsidR="007E1638" w:rsidRPr="00F37A7F" w14:paraId="22859A10" w14:textId="77777777" w:rsidTr="00EC6C20">
        <w:tc>
          <w:tcPr>
            <w:tcW w:w="937" w:type="pct"/>
            <w:shd w:val="clear" w:color="auto" w:fill="auto"/>
          </w:tcPr>
          <w:p w14:paraId="0524E2B8" w14:textId="156CC226" w:rsidR="007E1638" w:rsidRPr="00F37A7F" w:rsidRDefault="007E1638"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Population</w:t>
            </w:r>
            <w:r w:rsidR="00F37A7F" w:rsidRPr="00F37A7F">
              <w:rPr>
                <w:rFonts w:ascii="Arial Narrow" w:eastAsia="Times New Roman" w:hAnsi="Arial Narrow" w:cstheme="minorHAnsi"/>
                <w:color w:val="000000"/>
                <w:sz w:val="20"/>
                <w:szCs w:val="20"/>
                <w:lang w:bidi="ar-SA"/>
              </w:rPr>
              <w:t xml:space="preserve"> (million)</w:t>
            </w:r>
          </w:p>
        </w:tc>
        <w:tc>
          <w:tcPr>
            <w:tcW w:w="791" w:type="pct"/>
            <w:shd w:val="clear" w:color="auto" w:fill="auto"/>
          </w:tcPr>
          <w:p w14:paraId="731A5E12" w14:textId="77777777" w:rsidR="007E1638" w:rsidRPr="00F37A7F" w:rsidRDefault="007E1638"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Both</w:t>
            </w:r>
          </w:p>
        </w:tc>
        <w:tc>
          <w:tcPr>
            <w:tcW w:w="664" w:type="pct"/>
          </w:tcPr>
          <w:p w14:paraId="5597BF57" w14:textId="77777777" w:rsidR="007E1638" w:rsidRPr="00F37A7F" w:rsidRDefault="007E1638" w:rsidP="00AD6E26">
            <w:pPr>
              <w:keepNext/>
              <w:keepLines/>
              <w:jc w:val="center"/>
              <w:rPr>
                <w:rFonts w:ascii="Arial Narrow" w:eastAsia="Times New Roman" w:hAnsi="Arial Narrow" w:cstheme="minorHAnsi"/>
                <w:color w:val="000000"/>
                <w:sz w:val="20"/>
                <w:szCs w:val="20"/>
                <w:lang w:bidi="ar-SA"/>
              </w:rPr>
            </w:pPr>
          </w:p>
        </w:tc>
        <w:tc>
          <w:tcPr>
            <w:tcW w:w="438" w:type="pct"/>
            <w:hideMark/>
          </w:tcPr>
          <w:p w14:paraId="39944E8A" w14:textId="0A341E5F" w:rsidR="007E1638" w:rsidRPr="00F37A7F" w:rsidRDefault="007E1638" w:rsidP="00AD6E26">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 xml:space="preserve">26.73 </w:t>
            </w:r>
          </w:p>
        </w:tc>
        <w:tc>
          <w:tcPr>
            <w:tcW w:w="438" w:type="pct"/>
            <w:hideMark/>
          </w:tcPr>
          <w:p w14:paraId="0995C71F" w14:textId="4073BD0C" w:rsidR="007E1638" w:rsidRPr="00F37A7F" w:rsidRDefault="007E1638" w:rsidP="00AD6E26">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27.15</w:t>
            </w:r>
          </w:p>
        </w:tc>
        <w:tc>
          <w:tcPr>
            <w:tcW w:w="438" w:type="pct"/>
            <w:hideMark/>
          </w:tcPr>
          <w:p w14:paraId="5204B293" w14:textId="33284203" w:rsidR="007E1638" w:rsidRPr="00F37A7F" w:rsidRDefault="007E1638" w:rsidP="00AD6E26">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 xml:space="preserve">27.56 </w:t>
            </w:r>
          </w:p>
        </w:tc>
        <w:tc>
          <w:tcPr>
            <w:tcW w:w="438" w:type="pct"/>
            <w:hideMark/>
          </w:tcPr>
          <w:p w14:paraId="194381BA" w14:textId="2A793FF6" w:rsidR="007E1638" w:rsidRPr="00F37A7F" w:rsidRDefault="007E1638" w:rsidP="00AD6E26">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 xml:space="preserve">27.97 </w:t>
            </w:r>
          </w:p>
        </w:tc>
        <w:tc>
          <w:tcPr>
            <w:tcW w:w="438" w:type="pct"/>
            <w:hideMark/>
          </w:tcPr>
          <w:p w14:paraId="4DD48B9F" w14:textId="0897962A" w:rsidR="007E1638" w:rsidRPr="00F37A7F" w:rsidRDefault="007E1638" w:rsidP="00AD6E26">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 xml:space="preserve">28.37 </w:t>
            </w:r>
          </w:p>
        </w:tc>
        <w:tc>
          <w:tcPr>
            <w:tcW w:w="418" w:type="pct"/>
            <w:hideMark/>
          </w:tcPr>
          <w:p w14:paraId="6DFD1E70" w14:textId="3A687BE9" w:rsidR="007E1638" w:rsidRPr="00F37A7F" w:rsidRDefault="007E1638" w:rsidP="00AD6E26">
            <w:pPr>
              <w:keepNext/>
              <w:keepLines/>
              <w:jc w:val="center"/>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 xml:space="preserve">28.77 </w:t>
            </w:r>
          </w:p>
        </w:tc>
      </w:tr>
      <w:tr w:rsidR="007E1638" w:rsidRPr="00F37A7F" w14:paraId="4FF3971F" w14:textId="77777777" w:rsidTr="00EC6C20">
        <w:tc>
          <w:tcPr>
            <w:tcW w:w="937" w:type="pct"/>
            <w:vMerge w:val="restart"/>
            <w:shd w:val="clear" w:color="auto" w:fill="auto"/>
          </w:tcPr>
          <w:p w14:paraId="7A741686" w14:textId="13149F15" w:rsidR="007E1638" w:rsidRPr="00F37A7F" w:rsidRDefault="007E1638"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 xml:space="preserve">Incident </w:t>
            </w:r>
            <w:r w:rsidR="00F37A7F" w:rsidRPr="00F37A7F">
              <w:rPr>
                <w:rFonts w:ascii="Arial Narrow" w:eastAsia="Times New Roman" w:hAnsi="Arial Narrow" w:cstheme="minorHAnsi"/>
                <w:color w:val="000000"/>
                <w:sz w:val="20"/>
                <w:szCs w:val="20"/>
                <w:lang w:bidi="ar-SA"/>
              </w:rPr>
              <w:t xml:space="preserve">WM </w:t>
            </w:r>
            <w:r w:rsidRPr="00F37A7F">
              <w:rPr>
                <w:rFonts w:ascii="Arial Narrow" w:eastAsia="Times New Roman" w:hAnsi="Arial Narrow" w:cstheme="minorHAnsi"/>
                <w:color w:val="000000"/>
                <w:sz w:val="20"/>
                <w:szCs w:val="20"/>
                <w:lang w:bidi="ar-SA"/>
              </w:rPr>
              <w:t>patients</w:t>
            </w:r>
          </w:p>
        </w:tc>
        <w:tc>
          <w:tcPr>
            <w:tcW w:w="791" w:type="pct"/>
            <w:shd w:val="clear" w:color="auto" w:fill="auto"/>
            <w:hideMark/>
          </w:tcPr>
          <w:p w14:paraId="52911428" w14:textId="5D5263AA" w:rsidR="007E1638" w:rsidRPr="00F37A7F" w:rsidRDefault="00B0048E"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March 2022</w:t>
            </w:r>
          </w:p>
        </w:tc>
        <w:tc>
          <w:tcPr>
            <w:tcW w:w="664" w:type="pct"/>
            <w:shd w:val="clear" w:color="auto" w:fill="DBE5F1" w:themeFill="accent1" w:themeFillTint="33"/>
          </w:tcPr>
          <w:p w14:paraId="22BF1794" w14:textId="13D01886"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hint="eastAsia"/>
                <w:color w:val="000000"/>
                <w:w w:val="15"/>
                <w:sz w:val="20"/>
                <w:szCs w:val="20"/>
                <w:shd w:val="solid" w:color="000000" w:fill="000000"/>
                <w:fitText w:val="60" w:id="-893114611"/>
                <w14:textFill>
                  <w14:solidFill>
                    <w14:srgbClr w14:val="000000">
                      <w14:alpha w14:val="100000"/>
                    </w14:srgbClr>
                  </w14:solidFill>
                </w14:textFill>
              </w:rPr>
              <w:t xml:space="preserve">　</w:t>
            </w:r>
            <w:r w:rsidRPr="00E926B5">
              <w:rPr>
                <w:rFonts w:ascii="Arial Narrow" w:hAnsi="Arial Narrow" w:cstheme="minorHAnsi"/>
                <w:color w:val="000000"/>
                <w:w w:val="15"/>
                <w:sz w:val="20"/>
                <w:szCs w:val="20"/>
                <w:shd w:val="solid" w:color="000000" w:fill="000000"/>
                <w:fitText w:val="60" w:id="-893114611"/>
                <w14:textFill>
                  <w14:solidFill>
                    <w14:srgbClr w14:val="000000">
                      <w14:alpha w14:val="100000"/>
                    </w14:srgbClr>
                  </w14:solidFill>
                </w14:textFill>
              </w:rPr>
              <w:t>|</w:t>
            </w:r>
            <w:r w:rsidRPr="00E926B5">
              <w:rPr>
                <w:rFonts w:ascii="Arial Narrow" w:hAnsi="Arial Narrow" w:cstheme="minorHAnsi" w:hint="eastAsia"/>
                <w:color w:val="000000"/>
                <w:spacing w:val="-5"/>
                <w:w w:val="15"/>
                <w:sz w:val="20"/>
                <w:szCs w:val="20"/>
                <w:shd w:val="solid" w:color="000000" w:fill="000000"/>
                <w:fitText w:val="60" w:id="-893114611"/>
                <w14:textFill>
                  <w14:solidFill>
                    <w14:srgbClr w14:val="000000">
                      <w14:alpha w14:val="100000"/>
                    </w14:srgbClr>
                  </w14:solidFill>
                </w14:textFill>
              </w:rPr>
              <w:t xml:space="preserve">　</w:t>
            </w:r>
            <w:r>
              <w:rPr>
                <w:rFonts w:ascii="Arial Narrow" w:hAnsi="Arial Narrow" w:cstheme="minorHAnsi"/>
                <w:color w:val="000000"/>
                <w:sz w:val="20"/>
                <w:szCs w:val="20"/>
              </w:rPr>
              <w:t xml:space="preserve"> </w:t>
            </w:r>
          </w:p>
        </w:tc>
        <w:tc>
          <w:tcPr>
            <w:tcW w:w="438" w:type="pct"/>
            <w:shd w:val="clear" w:color="auto" w:fill="DBE5F1" w:themeFill="accent1" w:themeFillTint="33"/>
            <w:hideMark/>
          </w:tcPr>
          <w:p w14:paraId="17F84277" w14:textId="7292D48A"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0"/>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0"/>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EB6A85" w:rsidRPr="00EB5775">
              <w:rPr>
                <w:rFonts w:ascii="Arial Narrow" w:hAnsi="Arial Narrow" w:cstheme="minorHAnsi"/>
                <w:color w:val="000000"/>
                <w:sz w:val="20"/>
                <w:szCs w:val="20"/>
                <w:vertAlign w:val="superscript"/>
              </w:rPr>
              <w:t>1</w:t>
            </w:r>
          </w:p>
        </w:tc>
        <w:tc>
          <w:tcPr>
            <w:tcW w:w="438" w:type="pct"/>
            <w:shd w:val="clear" w:color="auto" w:fill="DBE5F1" w:themeFill="accent1" w:themeFillTint="33"/>
            <w:hideMark/>
          </w:tcPr>
          <w:p w14:paraId="2A1A7D77" w14:textId="52C481A0"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09"/>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09"/>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DBE5F1" w:themeFill="accent1" w:themeFillTint="33"/>
            <w:hideMark/>
          </w:tcPr>
          <w:p w14:paraId="554BF47A" w14:textId="730DA134"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08"/>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08"/>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DBE5F1" w:themeFill="accent1" w:themeFillTint="33"/>
            <w:hideMark/>
          </w:tcPr>
          <w:p w14:paraId="5DEED9A4" w14:textId="0C757592"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24"/>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24"/>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DBE5F1" w:themeFill="accent1" w:themeFillTint="33"/>
            <w:hideMark/>
          </w:tcPr>
          <w:p w14:paraId="2F2042F1" w14:textId="0D2B2DAF"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04"/>
                <w:sz w:val="20"/>
                <w:szCs w:val="20"/>
                <w:shd w:val="solid" w:color="000000" w:fill="000000"/>
                <w:fitText w:val="290" w:id="-893114623"/>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290" w:id="-893114623"/>
                <w14:textFill>
                  <w14:solidFill>
                    <w14:srgbClr w14:val="000000">
                      <w14:alpha w14:val="100000"/>
                    </w14:srgbClr>
                  </w14:solidFill>
                </w14:textFill>
              </w:rPr>
              <w:t>|</w:t>
            </w:r>
            <w:r w:rsidR="007945AD" w:rsidRPr="00687558">
              <w:rPr>
                <w:rFonts w:ascii="Arial Narrow" w:eastAsia="Times New Roman" w:hAnsi="Arial Narrow" w:cstheme="minorHAnsi"/>
                <w:color w:val="000000"/>
                <w:sz w:val="20"/>
                <w:szCs w:val="20"/>
                <w:vertAlign w:val="superscript"/>
                <w:lang w:bidi="ar-SA"/>
              </w:rPr>
              <w:t>1</w:t>
            </w:r>
            <w:r w:rsidR="00371031" w:rsidRPr="00371031">
              <w:rPr>
                <w:rFonts w:ascii="Arial Narrow" w:hAnsi="Arial Narrow" w:cstheme="minorHAnsi"/>
                <w:color w:val="000000"/>
                <w:sz w:val="20"/>
                <w:szCs w:val="20"/>
              </w:rPr>
              <w:t xml:space="preserve"> </w:t>
            </w:r>
          </w:p>
        </w:tc>
        <w:tc>
          <w:tcPr>
            <w:tcW w:w="418" w:type="pct"/>
            <w:shd w:val="clear" w:color="auto" w:fill="DBE5F1" w:themeFill="accent1" w:themeFillTint="33"/>
            <w:hideMark/>
          </w:tcPr>
          <w:p w14:paraId="03B4F3A4" w14:textId="610D438E"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194"/>
                <w:sz w:val="20"/>
                <w:szCs w:val="20"/>
                <w:shd w:val="solid" w:color="000000" w:fill="000000"/>
                <w:fitText w:val="280" w:id="-893114622"/>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280" w:id="-893114622"/>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r>
      <w:tr w:rsidR="007E1638" w:rsidRPr="00F37A7F" w14:paraId="3B1CD17E" w14:textId="77777777" w:rsidTr="00EC6C20">
        <w:tc>
          <w:tcPr>
            <w:tcW w:w="937" w:type="pct"/>
            <w:vMerge/>
            <w:shd w:val="clear" w:color="auto" w:fill="auto"/>
          </w:tcPr>
          <w:p w14:paraId="4EF9511C" w14:textId="77777777" w:rsidR="007E1638" w:rsidRPr="00F37A7F" w:rsidRDefault="007E1638" w:rsidP="00AD6E26">
            <w:pPr>
              <w:keepNext/>
              <w:keepLines/>
              <w:jc w:val="left"/>
              <w:rPr>
                <w:rFonts w:ascii="Arial Narrow" w:eastAsia="Times New Roman" w:hAnsi="Arial Narrow" w:cstheme="minorHAnsi"/>
                <w:color w:val="000000"/>
                <w:sz w:val="20"/>
                <w:szCs w:val="20"/>
                <w:lang w:bidi="ar-SA"/>
              </w:rPr>
            </w:pPr>
          </w:p>
        </w:tc>
        <w:tc>
          <w:tcPr>
            <w:tcW w:w="791" w:type="pct"/>
            <w:shd w:val="clear" w:color="auto" w:fill="auto"/>
          </w:tcPr>
          <w:p w14:paraId="4DA978A3" w14:textId="66AEB05C" w:rsidR="007E1638" w:rsidRPr="00F37A7F" w:rsidRDefault="00B0048E"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July 2024</w:t>
            </w:r>
          </w:p>
        </w:tc>
        <w:tc>
          <w:tcPr>
            <w:tcW w:w="664" w:type="pct"/>
            <w:shd w:val="clear" w:color="auto" w:fill="auto"/>
          </w:tcPr>
          <w:p w14:paraId="7985DA68" w14:textId="3DC4D1EE"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hint="eastAsia"/>
                <w:color w:val="000000"/>
                <w:w w:val="15"/>
                <w:sz w:val="20"/>
                <w:szCs w:val="20"/>
                <w:shd w:val="solid" w:color="000000" w:fill="000000"/>
                <w:fitText w:val="60" w:id="-893114621"/>
                <w14:textFill>
                  <w14:solidFill>
                    <w14:srgbClr w14:val="000000">
                      <w14:alpha w14:val="100000"/>
                    </w14:srgbClr>
                  </w14:solidFill>
                </w14:textFill>
              </w:rPr>
              <w:t xml:space="preserve">　</w:t>
            </w:r>
            <w:r w:rsidRPr="00E926B5">
              <w:rPr>
                <w:rFonts w:ascii="Arial Narrow" w:hAnsi="Arial Narrow" w:cstheme="minorHAnsi"/>
                <w:color w:val="000000"/>
                <w:w w:val="15"/>
                <w:sz w:val="20"/>
                <w:szCs w:val="20"/>
                <w:shd w:val="solid" w:color="000000" w:fill="000000"/>
                <w:fitText w:val="60" w:id="-893114621"/>
                <w14:textFill>
                  <w14:solidFill>
                    <w14:srgbClr w14:val="000000">
                      <w14:alpha w14:val="100000"/>
                    </w14:srgbClr>
                  </w14:solidFill>
                </w14:textFill>
              </w:rPr>
              <w:t>|</w:t>
            </w:r>
            <w:r w:rsidRPr="00E926B5">
              <w:rPr>
                <w:rFonts w:ascii="Arial Narrow" w:hAnsi="Arial Narrow" w:cstheme="minorHAnsi" w:hint="eastAsia"/>
                <w:color w:val="000000"/>
                <w:spacing w:val="-5"/>
                <w:w w:val="15"/>
                <w:sz w:val="20"/>
                <w:szCs w:val="20"/>
                <w:shd w:val="solid" w:color="000000" w:fill="000000"/>
                <w:fitText w:val="60" w:id="-893114621"/>
                <w14:textFill>
                  <w14:solidFill>
                    <w14:srgbClr w14:val="000000">
                      <w14:alpha w14:val="100000"/>
                    </w14:srgbClr>
                  </w14:solidFill>
                </w14:textFill>
              </w:rPr>
              <w:t xml:space="preserve">　</w:t>
            </w:r>
            <w:r>
              <w:rPr>
                <w:rFonts w:ascii="Arial Narrow" w:hAnsi="Arial Narrow" w:cstheme="minorHAnsi"/>
                <w:color w:val="000000"/>
                <w:sz w:val="20"/>
                <w:szCs w:val="20"/>
              </w:rPr>
              <w:t xml:space="preserve"> </w:t>
            </w:r>
          </w:p>
        </w:tc>
        <w:tc>
          <w:tcPr>
            <w:tcW w:w="438" w:type="pct"/>
            <w:shd w:val="clear" w:color="auto" w:fill="auto"/>
          </w:tcPr>
          <w:p w14:paraId="1F18B5C7" w14:textId="36A8B200"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20"/>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20"/>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auto"/>
          </w:tcPr>
          <w:p w14:paraId="12025FA6" w14:textId="49B9CB3E"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9"/>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9"/>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auto"/>
          </w:tcPr>
          <w:p w14:paraId="001C1A4E" w14:textId="6554DDEC"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8"/>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8"/>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auto"/>
          </w:tcPr>
          <w:p w14:paraId="5129E240" w14:textId="2C5E418B"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7"/>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7"/>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auto"/>
          </w:tcPr>
          <w:p w14:paraId="4ED988C4" w14:textId="664F5C0B"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6"/>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6"/>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18" w:type="pct"/>
            <w:shd w:val="clear" w:color="auto" w:fill="auto"/>
          </w:tcPr>
          <w:p w14:paraId="0A60B56D" w14:textId="41C28B0E"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194"/>
                <w:sz w:val="20"/>
                <w:szCs w:val="20"/>
                <w:shd w:val="solid" w:color="000000" w:fill="000000"/>
                <w:fitText w:val="280" w:id="-893114615"/>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280" w:id="-893114615"/>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r>
      <w:tr w:rsidR="007E1638" w:rsidRPr="00F37A7F" w14:paraId="2865A13D" w14:textId="77777777" w:rsidTr="00EC6C20">
        <w:tc>
          <w:tcPr>
            <w:tcW w:w="937" w:type="pct"/>
            <w:shd w:val="clear" w:color="auto" w:fill="auto"/>
          </w:tcPr>
          <w:p w14:paraId="5B9D9FC5" w14:textId="685DF6E1" w:rsidR="007E1638" w:rsidRPr="00F37A7F" w:rsidRDefault="007E1638"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 xml:space="preserve">Five-year prevalent </w:t>
            </w:r>
            <w:r w:rsidR="00F37A7F" w:rsidRPr="00F37A7F">
              <w:rPr>
                <w:rFonts w:ascii="Arial Narrow" w:eastAsia="Times New Roman" w:hAnsi="Arial Narrow" w:cstheme="minorHAnsi"/>
                <w:color w:val="000000"/>
                <w:sz w:val="20"/>
                <w:szCs w:val="20"/>
                <w:lang w:bidi="ar-SA"/>
              </w:rPr>
              <w:t xml:space="preserve">WM </w:t>
            </w:r>
            <w:r w:rsidRPr="00F37A7F">
              <w:rPr>
                <w:rFonts w:ascii="Arial Narrow" w:eastAsia="Times New Roman" w:hAnsi="Arial Narrow" w:cstheme="minorHAnsi"/>
                <w:color w:val="000000"/>
                <w:sz w:val="20"/>
                <w:szCs w:val="20"/>
                <w:lang w:bidi="ar-SA"/>
              </w:rPr>
              <w:t>patients</w:t>
            </w:r>
          </w:p>
        </w:tc>
        <w:tc>
          <w:tcPr>
            <w:tcW w:w="791" w:type="pct"/>
            <w:shd w:val="clear" w:color="auto" w:fill="auto"/>
          </w:tcPr>
          <w:p w14:paraId="49072FF8" w14:textId="2A3ABFCD" w:rsidR="007E1638" w:rsidRPr="00F37A7F" w:rsidRDefault="00B0048E"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March 2022</w:t>
            </w:r>
          </w:p>
        </w:tc>
        <w:tc>
          <w:tcPr>
            <w:tcW w:w="664" w:type="pct"/>
            <w:shd w:val="clear" w:color="auto" w:fill="DBE5F1" w:themeFill="accent1" w:themeFillTint="33"/>
          </w:tcPr>
          <w:p w14:paraId="33C80A0C" w14:textId="32F47AB2"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hint="eastAsia"/>
                <w:color w:val="000000"/>
                <w:w w:val="15"/>
                <w:sz w:val="20"/>
                <w:szCs w:val="20"/>
                <w:shd w:val="solid" w:color="000000" w:fill="000000"/>
                <w:fitText w:val="60" w:id="-893114614"/>
                <w14:textFill>
                  <w14:solidFill>
                    <w14:srgbClr w14:val="000000">
                      <w14:alpha w14:val="100000"/>
                    </w14:srgbClr>
                  </w14:solidFill>
                </w14:textFill>
              </w:rPr>
              <w:t xml:space="preserve">　</w:t>
            </w:r>
            <w:r w:rsidRPr="00E926B5">
              <w:rPr>
                <w:rFonts w:ascii="Arial Narrow" w:hAnsi="Arial Narrow" w:cstheme="minorHAnsi"/>
                <w:color w:val="000000"/>
                <w:w w:val="15"/>
                <w:sz w:val="20"/>
                <w:szCs w:val="20"/>
                <w:shd w:val="solid" w:color="000000" w:fill="000000"/>
                <w:fitText w:val="60" w:id="-893114614"/>
                <w14:textFill>
                  <w14:solidFill>
                    <w14:srgbClr w14:val="000000">
                      <w14:alpha w14:val="100000"/>
                    </w14:srgbClr>
                  </w14:solidFill>
                </w14:textFill>
              </w:rPr>
              <w:t>|</w:t>
            </w:r>
            <w:r w:rsidRPr="00E926B5">
              <w:rPr>
                <w:rFonts w:ascii="Arial Narrow" w:hAnsi="Arial Narrow" w:cstheme="minorHAnsi" w:hint="eastAsia"/>
                <w:color w:val="000000"/>
                <w:spacing w:val="-5"/>
                <w:w w:val="15"/>
                <w:sz w:val="20"/>
                <w:szCs w:val="20"/>
                <w:shd w:val="solid" w:color="000000" w:fill="000000"/>
                <w:fitText w:val="60" w:id="-893114614"/>
                <w14:textFill>
                  <w14:solidFill>
                    <w14:srgbClr w14:val="000000">
                      <w14:alpha w14:val="100000"/>
                    </w14:srgbClr>
                  </w14:solidFill>
                </w14:textFill>
              </w:rPr>
              <w:t xml:space="preserve">　</w:t>
            </w:r>
            <w:r>
              <w:rPr>
                <w:rFonts w:ascii="Arial Narrow" w:hAnsi="Arial Narrow" w:cstheme="minorHAnsi"/>
                <w:color w:val="000000"/>
                <w:sz w:val="20"/>
                <w:szCs w:val="20"/>
              </w:rPr>
              <w:t xml:space="preserve"> </w:t>
            </w:r>
          </w:p>
        </w:tc>
        <w:tc>
          <w:tcPr>
            <w:tcW w:w="438" w:type="pct"/>
            <w:shd w:val="clear" w:color="auto" w:fill="DBE5F1" w:themeFill="accent1" w:themeFillTint="33"/>
          </w:tcPr>
          <w:p w14:paraId="1C3636BE" w14:textId="36FB08D9"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3"/>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3"/>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DBE5F1" w:themeFill="accent1" w:themeFillTint="33"/>
          </w:tcPr>
          <w:p w14:paraId="66DEDC54" w14:textId="085C78D0"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2"/>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2"/>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DBE5F1" w:themeFill="accent1" w:themeFillTint="33"/>
          </w:tcPr>
          <w:p w14:paraId="0EB78365" w14:textId="7ACED81A"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11"/>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11"/>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38" w:type="pct"/>
            <w:shd w:val="clear" w:color="auto" w:fill="DBE5F1" w:themeFill="accent1" w:themeFillTint="33"/>
          </w:tcPr>
          <w:p w14:paraId="31387D5A" w14:textId="744742C3"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04"/>
                <w:sz w:val="20"/>
                <w:szCs w:val="20"/>
                <w:shd w:val="solid" w:color="000000" w:fill="000000"/>
                <w:fitText w:val="290" w:id="-893114610"/>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290" w:id="-893114610"/>
                <w14:textFill>
                  <w14:solidFill>
                    <w14:srgbClr w14:val="000000">
                      <w14:alpha w14:val="100000"/>
                    </w14:srgbClr>
                  </w14:solidFill>
                </w14:textFill>
              </w:rPr>
              <w:t>|</w:t>
            </w:r>
            <w:r w:rsidR="007945AD" w:rsidRPr="00687558">
              <w:rPr>
                <w:rFonts w:ascii="Arial Narrow" w:eastAsia="Times New Roman" w:hAnsi="Arial Narrow" w:cstheme="minorHAnsi"/>
                <w:color w:val="000000"/>
                <w:sz w:val="20"/>
                <w:szCs w:val="20"/>
                <w:vertAlign w:val="superscript"/>
                <w:lang w:bidi="ar-SA"/>
              </w:rPr>
              <w:t>1</w:t>
            </w:r>
            <w:r w:rsidR="00371031" w:rsidRPr="00371031">
              <w:rPr>
                <w:rFonts w:ascii="Arial Narrow" w:hAnsi="Arial Narrow" w:cstheme="minorHAnsi"/>
                <w:color w:val="000000"/>
                <w:sz w:val="20"/>
                <w:szCs w:val="20"/>
              </w:rPr>
              <w:t xml:space="preserve"> </w:t>
            </w:r>
          </w:p>
        </w:tc>
        <w:tc>
          <w:tcPr>
            <w:tcW w:w="438" w:type="pct"/>
            <w:shd w:val="clear" w:color="auto" w:fill="DBE5F1" w:themeFill="accent1" w:themeFillTint="33"/>
          </w:tcPr>
          <w:p w14:paraId="5F2DC05B" w14:textId="758DDAB2"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609"/>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609"/>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c>
          <w:tcPr>
            <w:tcW w:w="418" w:type="pct"/>
            <w:shd w:val="clear" w:color="auto" w:fill="DBE5F1" w:themeFill="accent1" w:themeFillTint="33"/>
          </w:tcPr>
          <w:p w14:paraId="79395B04" w14:textId="0F40B615" w:rsidR="007E1638"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194"/>
                <w:sz w:val="20"/>
                <w:szCs w:val="20"/>
                <w:shd w:val="solid" w:color="000000" w:fill="000000"/>
                <w:fitText w:val="280" w:id="-893114608"/>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280" w:id="-893114608"/>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1</w:t>
            </w:r>
          </w:p>
        </w:tc>
      </w:tr>
      <w:tr w:rsidR="00EC6C20" w:rsidRPr="00F37A7F" w14:paraId="00518424" w14:textId="77777777" w:rsidTr="00EC6C20">
        <w:tc>
          <w:tcPr>
            <w:tcW w:w="937" w:type="pct"/>
            <w:shd w:val="clear" w:color="auto" w:fill="auto"/>
          </w:tcPr>
          <w:p w14:paraId="5DE77381" w14:textId="4F3DD02F" w:rsidR="00EC6C20" w:rsidRPr="00F37A7F" w:rsidRDefault="00EC6C20"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Ten-year prevalent WM patients</w:t>
            </w:r>
          </w:p>
        </w:tc>
        <w:tc>
          <w:tcPr>
            <w:tcW w:w="791" w:type="pct"/>
            <w:shd w:val="clear" w:color="auto" w:fill="auto"/>
          </w:tcPr>
          <w:p w14:paraId="13470D9C" w14:textId="4360E687" w:rsidR="00EC6C20" w:rsidRPr="00F37A7F" w:rsidRDefault="00EC6C20" w:rsidP="00AD6E26">
            <w:pPr>
              <w:keepNext/>
              <w:keepLines/>
              <w:jc w:val="left"/>
              <w:rPr>
                <w:rFonts w:ascii="Arial Narrow" w:eastAsia="Times New Roman" w:hAnsi="Arial Narrow" w:cstheme="minorHAnsi"/>
                <w:color w:val="000000"/>
                <w:sz w:val="20"/>
                <w:szCs w:val="20"/>
                <w:lang w:bidi="ar-SA"/>
              </w:rPr>
            </w:pPr>
            <w:r w:rsidRPr="00F37A7F">
              <w:rPr>
                <w:rFonts w:ascii="Arial Narrow" w:eastAsia="Times New Roman" w:hAnsi="Arial Narrow" w:cstheme="minorHAnsi"/>
                <w:color w:val="000000"/>
                <w:sz w:val="20"/>
                <w:szCs w:val="20"/>
                <w:lang w:bidi="ar-SA"/>
              </w:rPr>
              <w:t>July 2024</w:t>
            </w:r>
          </w:p>
        </w:tc>
        <w:tc>
          <w:tcPr>
            <w:tcW w:w="664" w:type="pct"/>
            <w:shd w:val="clear" w:color="auto" w:fill="auto"/>
          </w:tcPr>
          <w:p w14:paraId="27E1C2CF" w14:textId="772875DD" w:rsidR="00EC6C20"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hint="eastAsia"/>
                <w:color w:val="000000"/>
                <w:w w:val="15"/>
                <w:sz w:val="20"/>
                <w:szCs w:val="20"/>
                <w:shd w:val="solid" w:color="000000" w:fill="000000"/>
                <w:fitText w:val="60" w:id="-893114368"/>
                <w14:textFill>
                  <w14:solidFill>
                    <w14:srgbClr w14:val="000000">
                      <w14:alpha w14:val="100000"/>
                    </w14:srgbClr>
                  </w14:solidFill>
                </w14:textFill>
              </w:rPr>
              <w:t xml:space="preserve">　</w:t>
            </w:r>
            <w:r w:rsidRPr="00E926B5">
              <w:rPr>
                <w:rFonts w:ascii="Arial Narrow" w:hAnsi="Arial Narrow" w:cstheme="minorHAnsi"/>
                <w:color w:val="000000"/>
                <w:w w:val="15"/>
                <w:sz w:val="20"/>
                <w:szCs w:val="20"/>
                <w:shd w:val="solid" w:color="000000" w:fill="000000"/>
                <w:fitText w:val="60" w:id="-893114368"/>
                <w14:textFill>
                  <w14:solidFill>
                    <w14:srgbClr w14:val="000000">
                      <w14:alpha w14:val="100000"/>
                    </w14:srgbClr>
                  </w14:solidFill>
                </w14:textFill>
              </w:rPr>
              <w:t>|</w:t>
            </w:r>
            <w:r w:rsidRPr="00E926B5">
              <w:rPr>
                <w:rFonts w:ascii="Arial Narrow" w:hAnsi="Arial Narrow" w:cstheme="minorHAnsi" w:hint="eastAsia"/>
                <w:color w:val="000000"/>
                <w:spacing w:val="-5"/>
                <w:w w:val="15"/>
                <w:sz w:val="20"/>
                <w:szCs w:val="20"/>
                <w:shd w:val="solid" w:color="000000" w:fill="000000"/>
                <w:fitText w:val="60" w:id="-893114368"/>
                <w14:textFill>
                  <w14:solidFill>
                    <w14:srgbClr w14:val="000000">
                      <w14:alpha w14:val="100000"/>
                    </w14:srgbClr>
                  </w14:solidFill>
                </w14:textFill>
              </w:rPr>
              <w:t xml:space="preserve">　</w:t>
            </w:r>
            <w:r>
              <w:rPr>
                <w:rFonts w:ascii="Arial Narrow" w:hAnsi="Arial Narrow" w:cstheme="minorHAnsi"/>
                <w:color w:val="000000"/>
                <w:sz w:val="20"/>
                <w:szCs w:val="20"/>
              </w:rPr>
              <w:t xml:space="preserve"> </w:t>
            </w:r>
          </w:p>
        </w:tc>
        <w:tc>
          <w:tcPr>
            <w:tcW w:w="438" w:type="pct"/>
            <w:shd w:val="clear" w:color="auto" w:fill="auto"/>
          </w:tcPr>
          <w:p w14:paraId="1AFB4E53" w14:textId="60918874" w:rsidR="00EC6C20"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367"/>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367"/>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EB5775">
              <w:rPr>
                <w:rFonts w:ascii="Arial Narrow" w:hAnsi="Arial Narrow" w:cstheme="minorHAnsi"/>
                <w:color w:val="000000"/>
                <w:sz w:val="20"/>
                <w:szCs w:val="20"/>
                <w:vertAlign w:val="superscript"/>
              </w:rPr>
              <w:t>2</w:t>
            </w:r>
          </w:p>
        </w:tc>
        <w:tc>
          <w:tcPr>
            <w:tcW w:w="438" w:type="pct"/>
            <w:shd w:val="clear" w:color="auto" w:fill="auto"/>
          </w:tcPr>
          <w:p w14:paraId="35F898CD" w14:textId="73501D09" w:rsidR="00EC6C20"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366"/>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366"/>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2</w:t>
            </w:r>
          </w:p>
        </w:tc>
        <w:tc>
          <w:tcPr>
            <w:tcW w:w="438" w:type="pct"/>
            <w:shd w:val="clear" w:color="auto" w:fill="auto"/>
          </w:tcPr>
          <w:p w14:paraId="1D0AB15D" w14:textId="7903B52A" w:rsidR="00EC6C20"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365"/>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365"/>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2</w:t>
            </w:r>
          </w:p>
        </w:tc>
        <w:tc>
          <w:tcPr>
            <w:tcW w:w="438" w:type="pct"/>
            <w:shd w:val="clear" w:color="auto" w:fill="auto"/>
          </w:tcPr>
          <w:p w14:paraId="3E42FBCD" w14:textId="1B900F68" w:rsidR="00EC6C20"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364"/>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364"/>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2</w:t>
            </w:r>
          </w:p>
        </w:tc>
        <w:tc>
          <w:tcPr>
            <w:tcW w:w="438" w:type="pct"/>
            <w:shd w:val="clear" w:color="auto" w:fill="auto"/>
          </w:tcPr>
          <w:p w14:paraId="2AC2B819" w14:textId="469B1EB5" w:rsidR="00EC6C20" w:rsidRPr="00EB5775" w:rsidRDefault="00E926B5" w:rsidP="00AD6E26">
            <w:pPr>
              <w:keepNext/>
              <w:keepLines/>
              <w:jc w:val="center"/>
              <w:rPr>
                <w:rFonts w:ascii="Arial Narrow" w:eastAsia="Times New Roman" w:hAnsi="Arial Narrow" w:cstheme="minorHAnsi"/>
                <w:color w:val="000000"/>
                <w:sz w:val="20"/>
                <w:szCs w:val="20"/>
                <w:highlight w:val="lightGray"/>
                <w:lang w:bidi="ar-SA"/>
              </w:rPr>
            </w:pPr>
            <w:r w:rsidRPr="00E926B5">
              <w:rPr>
                <w:rFonts w:ascii="Arial Narrow" w:hAnsi="Arial Narrow" w:cstheme="minorHAnsi"/>
                <w:color w:val="000000"/>
                <w:spacing w:val="214"/>
                <w:sz w:val="20"/>
                <w:szCs w:val="20"/>
                <w:shd w:val="solid" w:color="000000" w:fill="000000"/>
                <w:fitText w:val="300" w:id="-893114363"/>
                <w14:textFill>
                  <w14:solidFill>
                    <w14:srgbClr w14:val="000000">
                      <w14:alpha w14:val="100000"/>
                    </w14:srgbClr>
                  </w14:solidFill>
                </w14:textFill>
              </w:rPr>
              <w:t>|</w:t>
            </w:r>
            <w:r w:rsidRPr="00E926B5">
              <w:rPr>
                <w:rFonts w:ascii="Arial Narrow" w:hAnsi="Arial Narrow" w:cstheme="minorHAnsi"/>
                <w:color w:val="000000"/>
                <w:spacing w:val="1"/>
                <w:sz w:val="20"/>
                <w:szCs w:val="20"/>
                <w:shd w:val="solid" w:color="000000" w:fill="000000"/>
                <w:fitText w:val="300" w:id="-893114363"/>
                <w14:textFill>
                  <w14:solidFill>
                    <w14:srgbClr w14:val="000000">
                      <w14:alpha w14:val="100000"/>
                    </w14:srgbClr>
                  </w14:solidFill>
                </w14:textFill>
              </w:rPr>
              <w:t>|</w:t>
            </w:r>
            <w:r w:rsidR="00371031" w:rsidRPr="00371031">
              <w:rPr>
                <w:rFonts w:ascii="Arial Narrow" w:hAnsi="Arial Narrow" w:cstheme="minorHAnsi"/>
                <w:color w:val="000000"/>
                <w:sz w:val="20"/>
                <w:szCs w:val="20"/>
              </w:rPr>
              <w:t xml:space="preserve"> </w:t>
            </w:r>
            <w:r w:rsidR="007945AD" w:rsidRPr="00687558">
              <w:rPr>
                <w:rFonts w:ascii="Arial Narrow" w:eastAsia="Times New Roman" w:hAnsi="Arial Narrow" w:cstheme="minorHAnsi"/>
                <w:color w:val="000000"/>
                <w:sz w:val="20"/>
                <w:szCs w:val="20"/>
                <w:vertAlign w:val="superscript"/>
                <w:lang w:bidi="ar-SA"/>
              </w:rPr>
              <w:t>2</w:t>
            </w:r>
          </w:p>
        </w:tc>
        <w:tc>
          <w:tcPr>
            <w:tcW w:w="418" w:type="pct"/>
            <w:shd w:val="clear" w:color="auto" w:fill="auto"/>
          </w:tcPr>
          <w:p w14:paraId="0B1D5BA5" w14:textId="23E3C34E" w:rsidR="00EC6C20" w:rsidRPr="00EB5775" w:rsidRDefault="00E926B5" w:rsidP="00AD6E26">
            <w:pPr>
              <w:keepNext/>
              <w:keepLines/>
              <w:jc w:val="center"/>
              <w:rPr>
                <w:rFonts w:ascii="Arial Narrow" w:eastAsia="Times New Roman" w:hAnsi="Arial Narrow" w:cstheme="minorHAnsi"/>
                <w:color w:val="000000"/>
                <w:sz w:val="20"/>
                <w:szCs w:val="20"/>
                <w:lang w:bidi="ar-SA"/>
              </w:rPr>
            </w:pPr>
            <w:r w:rsidRPr="00E926B5">
              <w:rPr>
                <w:rFonts w:ascii="Arial Narrow" w:hAnsi="Arial Narrow" w:cstheme="minorHAnsi"/>
                <w:color w:val="000000"/>
                <w:spacing w:val="46"/>
                <w:sz w:val="20"/>
                <w:szCs w:val="20"/>
                <w:shd w:val="solid" w:color="000000" w:fill="000000"/>
                <w:fitText w:val="310" w:id="-893114362"/>
                <w14:textFill>
                  <w14:solidFill>
                    <w14:srgbClr w14:val="000000">
                      <w14:alpha w14:val="100000"/>
                    </w14:srgbClr>
                  </w14:solidFill>
                </w14:textFill>
              </w:rPr>
              <w:t>|||</w:t>
            </w:r>
            <w:r w:rsidRPr="00E926B5">
              <w:rPr>
                <w:rFonts w:ascii="Arial Narrow" w:hAnsi="Arial Narrow" w:cstheme="minorHAnsi"/>
                <w:color w:val="000000"/>
                <w:spacing w:val="2"/>
                <w:sz w:val="20"/>
                <w:szCs w:val="20"/>
                <w:shd w:val="solid" w:color="000000" w:fill="000000"/>
                <w:fitText w:val="310" w:id="-893114362"/>
                <w14:textFill>
                  <w14:solidFill>
                    <w14:srgbClr w14:val="000000">
                      <w14:alpha w14:val="100000"/>
                    </w14:srgbClr>
                  </w14:solidFill>
                </w14:textFill>
              </w:rPr>
              <w:t>|</w:t>
            </w:r>
            <w:r w:rsidR="007945AD" w:rsidRPr="00687558">
              <w:rPr>
                <w:rFonts w:ascii="Arial Narrow" w:eastAsia="Times New Roman" w:hAnsi="Arial Narrow" w:cstheme="minorHAnsi"/>
                <w:color w:val="000000"/>
                <w:sz w:val="20"/>
                <w:szCs w:val="20"/>
                <w:vertAlign w:val="superscript"/>
                <w:lang w:bidi="ar-SA"/>
              </w:rPr>
              <w:t>2</w:t>
            </w:r>
            <w:r w:rsidR="00EC6C20" w:rsidRPr="00EB5775">
              <w:rPr>
                <w:rFonts w:ascii="Arial Narrow" w:hAnsi="Arial Narrow" w:cstheme="minorHAnsi"/>
                <w:color w:val="000000"/>
                <w:sz w:val="20"/>
                <w:szCs w:val="20"/>
              </w:rPr>
              <w:t xml:space="preserve"> </w:t>
            </w:r>
          </w:p>
        </w:tc>
      </w:tr>
    </w:tbl>
    <w:p w14:paraId="23A87D3B" w14:textId="18B34B17" w:rsidR="007E1638" w:rsidRDefault="00B0048E" w:rsidP="00AD6E26">
      <w:pPr>
        <w:pStyle w:val="CaptionFootnote"/>
        <w:keepNext/>
        <w:keepLines/>
        <w:spacing w:after="0"/>
        <w:jc w:val="both"/>
        <w:rPr>
          <w:rFonts w:ascii="Arial Narrow" w:hAnsi="Arial Narrow"/>
          <w:sz w:val="18"/>
          <w:szCs w:val="18"/>
        </w:rPr>
      </w:pPr>
      <w:r w:rsidRPr="00B0048E">
        <w:rPr>
          <w:rFonts w:ascii="Arial Narrow" w:hAnsi="Arial Narrow"/>
          <w:sz w:val="18"/>
          <w:szCs w:val="18"/>
        </w:rPr>
        <w:t>Source: Table 2.6</w:t>
      </w:r>
      <w:r w:rsidR="0002171F">
        <w:rPr>
          <w:rFonts w:ascii="Arial Narrow" w:hAnsi="Arial Narrow"/>
          <w:sz w:val="18"/>
          <w:szCs w:val="18"/>
        </w:rPr>
        <w:t>, p11</w:t>
      </w:r>
      <w:r w:rsidRPr="00B0048E">
        <w:rPr>
          <w:rFonts w:ascii="Arial Narrow" w:hAnsi="Arial Narrow"/>
          <w:sz w:val="18"/>
          <w:szCs w:val="18"/>
        </w:rPr>
        <w:t xml:space="preserve"> of the submission, utilisation and cost model workbooks (original and updated submission), ‘Sheet 8. ABS population’</w:t>
      </w:r>
    </w:p>
    <w:p w14:paraId="6DADB9F2" w14:textId="1DE113E1" w:rsidR="00F37A7F" w:rsidRPr="00B0048E" w:rsidRDefault="00F37A7F" w:rsidP="00AD6E26">
      <w:pPr>
        <w:pStyle w:val="CaptionFootnote"/>
        <w:keepNext/>
        <w:keepLines/>
        <w:spacing w:after="0"/>
        <w:rPr>
          <w:rFonts w:ascii="Arial Narrow" w:hAnsi="Arial Narrow"/>
          <w:sz w:val="18"/>
          <w:szCs w:val="18"/>
        </w:rPr>
      </w:pPr>
      <w:r w:rsidRPr="00F37A7F">
        <w:rPr>
          <w:rFonts w:ascii="Arial Narrow" w:hAnsi="Arial Narrow"/>
          <w:sz w:val="18"/>
          <w:szCs w:val="18"/>
        </w:rPr>
        <w:t>Abbreviation: WM=Waldenström macroglobulinemia</w:t>
      </w:r>
    </w:p>
    <w:p w14:paraId="5255B72D" w14:textId="77777777" w:rsidR="00B0048E" w:rsidRDefault="00B0048E" w:rsidP="00773531">
      <w:pPr>
        <w:pStyle w:val="CaptionFootnote"/>
        <w:keepNext/>
        <w:keepLines/>
        <w:suppressLineNumbers/>
        <w:suppressAutoHyphens/>
        <w:spacing w:after="0"/>
        <w:rPr>
          <w:rFonts w:ascii="Arial Narrow" w:hAnsi="Arial Narrow"/>
          <w:sz w:val="18"/>
          <w:szCs w:val="18"/>
        </w:rPr>
      </w:pPr>
      <w:r w:rsidRPr="00B0048E">
        <w:rPr>
          <w:rFonts w:ascii="Arial Narrow" w:hAnsi="Arial Narrow"/>
          <w:iCs/>
          <w:sz w:val="18"/>
          <w:szCs w:val="18"/>
          <w:shd w:val="clear" w:color="auto" w:fill="C6D9F1" w:themeFill="text2" w:themeFillTint="33"/>
        </w:rPr>
        <w:t>Blue</w:t>
      </w:r>
      <w:r w:rsidRPr="00B0048E">
        <w:rPr>
          <w:rFonts w:ascii="Arial Narrow" w:hAnsi="Arial Narrow"/>
          <w:sz w:val="18"/>
          <w:szCs w:val="18"/>
        </w:rPr>
        <w:t xml:space="preserve"> shading represents information previously considered by the PBAC.</w:t>
      </w:r>
    </w:p>
    <w:p w14:paraId="5BB350C0" w14:textId="77777777" w:rsidR="002A7D5F" w:rsidRPr="002A7D5F" w:rsidRDefault="002A7D5F" w:rsidP="002A7D5F">
      <w:pPr>
        <w:keepNext/>
        <w:keepLines/>
        <w:rPr>
          <w:rFonts w:ascii="Arial Narrow" w:hAnsi="Arial Narrow" w:cs="Arial"/>
          <w:bCs/>
          <w:i/>
          <w:iCs/>
          <w:sz w:val="18"/>
          <w:szCs w:val="18"/>
        </w:rPr>
      </w:pPr>
      <w:r w:rsidRPr="002A7D5F">
        <w:rPr>
          <w:rFonts w:ascii="Arial Narrow" w:hAnsi="Arial Narrow" w:cs="Arial"/>
          <w:bCs/>
          <w:i/>
          <w:iCs/>
          <w:sz w:val="18"/>
          <w:szCs w:val="18"/>
        </w:rPr>
        <w:t>The redacted values correspond to the following ranges:</w:t>
      </w:r>
    </w:p>
    <w:p w14:paraId="092DCF36" w14:textId="77777777" w:rsidR="002A7D5F" w:rsidRPr="002A7D5F" w:rsidRDefault="002A7D5F" w:rsidP="002A7D5F">
      <w:pPr>
        <w:keepNext/>
        <w:keepLines/>
        <w:rPr>
          <w:rFonts w:ascii="Arial Narrow" w:hAnsi="Arial Narrow" w:cs="Arial"/>
          <w:bCs/>
          <w:i/>
          <w:iCs/>
          <w:sz w:val="18"/>
          <w:szCs w:val="18"/>
        </w:rPr>
      </w:pPr>
      <w:r w:rsidRPr="00773531">
        <w:rPr>
          <w:rFonts w:ascii="Arial Narrow" w:hAnsi="Arial Narrow" w:cs="Arial"/>
          <w:bCs/>
          <w:i/>
          <w:iCs/>
          <w:sz w:val="18"/>
          <w:szCs w:val="18"/>
          <w:vertAlign w:val="superscript"/>
        </w:rPr>
        <w:t>1</w:t>
      </w:r>
      <w:r w:rsidRPr="002A7D5F">
        <w:rPr>
          <w:rFonts w:ascii="Arial Narrow" w:hAnsi="Arial Narrow" w:cs="Arial"/>
          <w:bCs/>
          <w:i/>
          <w:iCs/>
          <w:sz w:val="18"/>
          <w:szCs w:val="18"/>
        </w:rPr>
        <w:t xml:space="preserve"> &lt; 500</w:t>
      </w:r>
    </w:p>
    <w:p w14:paraId="44CD87A1" w14:textId="0DF20506" w:rsidR="002A7D5F" w:rsidRPr="00773531" w:rsidRDefault="002A7D5F" w:rsidP="00773531">
      <w:pPr>
        <w:keepLines/>
        <w:rPr>
          <w:rFonts w:ascii="Arial Narrow" w:hAnsi="Arial Narrow" w:cs="Arial"/>
          <w:bCs/>
          <w:i/>
          <w:iCs/>
          <w:sz w:val="18"/>
          <w:szCs w:val="18"/>
        </w:rPr>
      </w:pPr>
      <w:r w:rsidRPr="00773531">
        <w:rPr>
          <w:rFonts w:ascii="Arial Narrow" w:hAnsi="Arial Narrow" w:cs="Arial"/>
          <w:bCs/>
          <w:i/>
          <w:iCs/>
          <w:sz w:val="18"/>
          <w:szCs w:val="18"/>
          <w:vertAlign w:val="superscript"/>
        </w:rPr>
        <w:t>2</w:t>
      </w:r>
      <w:r w:rsidRPr="002A7D5F">
        <w:rPr>
          <w:rFonts w:ascii="Arial Narrow" w:hAnsi="Arial Narrow" w:cs="Arial"/>
          <w:bCs/>
          <w:i/>
          <w:iCs/>
          <w:sz w:val="18"/>
          <w:szCs w:val="18"/>
        </w:rPr>
        <w:t xml:space="preserve"> 500 to &lt; 5,000</w:t>
      </w:r>
    </w:p>
    <w:p w14:paraId="1B4CDFDD" w14:textId="77777777" w:rsidR="00241D5A" w:rsidRPr="00BC66FB" w:rsidRDefault="00241D5A" w:rsidP="00241D5A">
      <w:pPr>
        <w:pStyle w:val="3Bodytext"/>
        <w:spacing w:before="120"/>
        <w:jc w:val="both"/>
        <w:rPr>
          <w:rFonts w:cstheme="minorHAnsi"/>
          <w:szCs w:val="24"/>
        </w:rPr>
      </w:pPr>
      <w:r w:rsidRPr="00BC66FB">
        <w:rPr>
          <w:rFonts w:cstheme="minorHAnsi"/>
          <w:szCs w:val="24"/>
        </w:rPr>
        <w:t xml:space="preserve">An analysis of the PBS utilisation of zanubrutinib for WM (PBS item code 13041J) was undertaken by the DUSC Secretariat. </w:t>
      </w:r>
    </w:p>
    <w:p w14:paraId="6F34E731" w14:textId="1E056C49" w:rsidR="00241D5A" w:rsidRPr="00BA2E9A" w:rsidRDefault="00E27672" w:rsidP="00AD6E26">
      <w:pPr>
        <w:pStyle w:val="Caption"/>
        <w:keepNext/>
        <w:keepLines/>
        <w:suppressLineNumbers/>
        <w:suppressAutoHyphens/>
        <w:spacing w:after="0"/>
        <w:rPr>
          <w:rFonts w:ascii="Arial Narrow" w:hAnsi="Arial Narrow"/>
          <w:b/>
          <w:bCs/>
          <w:i w:val="0"/>
          <w:iCs w:val="0"/>
          <w:sz w:val="20"/>
          <w:szCs w:val="20"/>
        </w:rPr>
      </w:pPr>
      <w:r w:rsidRPr="00E27672">
        <w:rPr>
          <w:rFonts w:ascii="Arial Narrow" w:hAnsi="Arial Narrow"/>
          <w:b/>
          <w:bCs/>
          <w:i w:val="0"/>
          <w:iCs w:val="0"/>
          <w:sz w:val="20"/>
          <w:szCs w:val="20"/>
        </w:rPr>
        <w:t xml:space="preserve">Table </w:t>
      </w:r>
      <w:r w:rsidRPr="00E27672">
        <w:rPr>
          <w:rFonts w:ascii="Arial Narrow" w:hAnsi="Arial Narrow"/>
          <w:b/>
          <w:bCs/>
          <w:i w:val="0"/>
          <w:iCs w:val="0"/>
          <w:sz w:val="20"/>
          <w:szCs w:val="20"/>
        </w:rPr>
        <w:fldChar w:fldCharType="begin" w:fldLock="1"/>
      </w:r>
      <w:r w:rsidRPr="00E27672">
        <w:rPr>
          <w:rFonts w:ascii="Arial Narrow" w:hAnsi="Arial Narrow"/>
          <w:b/>
          <w:bCs/>
          <w:i w:val="0"/>
          <w:iCs w:val="0"/>
          <w:sz w:val="20"/>
          <w:szCs w:val="20"/>
        </w:rPr>
        <w:instrText xml:space="preserve"> SEQ Table \* ARABIC </w:instrText>
      </w:r>
      <w:r w:rsidRPr="00E27672">
        <w:rPr>
          <w:rFonts w:ascii="Arial Narrow" w:hAnsi="Arial Narrow"/>
          <w:b/>
          <w:bCs/>
          <w:i w:val="0"/>
          <w:iCs w:val="0"/>
          <w:sz w:val="20"/>
          <w:szCs w:val="20"/>
        </w:rPr>
        <w:fldChar w:fldCharType="separate"/>
      </w:r>
      <w:r w:rsidR="00D05088">
        <w:rPr>
          <w:rFonts w:ascii="Arial Narrow" w:hAnsi="Arial Narrow"/>
          <w:b/>
          <w:bCs/>
          <w:i w:val="0"/>
          <w:iCs w:val="0"/>
          <w:noProof/>
          <w:sz w:val="20"/>
          <w:szCs w:val="20"/>
        </w:rPr>
        <w:t>9</w:t>
      </w:r>
      <w:r w:rsidRPr="00E27672">
        <w:rPr>
          <w:rFonts w:ascii="Arial Narrow" w:hAnsi="Arial Narrow"/>
          <w:b/>
          <w:bCs/>
          <w:i w:val="0"/>
          <w:iCs w:val="0"/>
          <w:sz w:val="20"/>
          <w:szCs w:val="20"/>
        </w:rPr>
        <w:fldChar w:fldCharType="end"/>
      </w:r>
      <w:r w:rsidR="00241D5A" w:rsidRPr="00BA2E9A">
        <w:rPr>
          <w:rFonts w:ascii="Arial Narrow" w:hAnsi="Arial Narrow"/>
          <w:b/>
          <w:bCs/>
          <w:i w:val="0"/>
          <w:iCs w:val="0"/>
          <w:sz w:val="20"/>
          <w:szCs w:val="20"/>
        </w:rPr>
        <w:t>: Number of patients and prescriptions dispensed for zanubrutinib for WM</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Number of patients and prescriptions dispensed for zanubrutinib for WM"/>
        <w:tblDescription w:val="Table 9: Number of patients and prescriptions dispensed for zanubrutinib for WM"/>
      </w:tblPr>
      <w:tblGrid>
        <w:gridCol w:w="3320"/>
        <w:gridCol w:w="2025"/>
        <w:gridCol w:w="2026"/>
      </w:tblGrid>
      <w:tr w:rsidR="00241D5A" w:rsidRPr="00915950" w14:paraId="4C7F6BAB" w14:textId="77777777" w:rsidTr="00773531">
        <w:trPr>
          <w:trHeight w:val="227"/>
        </w:trPr>
        <w:tc>
          <w:tcPr>
            <w:tcW w:w="3320" w:type="dxa"/>
            <w:shd w:val="clear" w:color="auto" w:fill="auto"/>
            <w:noWrap/>
            <w:vAlign w:val="bottom"/>
            <w:hideMark/>
          </w:tcPr>
          <w:p w14:paraId="5B962EB2" w14:textId="77777777" w:rsidR="00241D5A" w:rsidRPr="00BC66FB" w:rsidRDefault="00241D5A" w:rsidP="00AD6E26">
            <w:pPr>
              <w:pStyle w:val="TableText0"/>
              <w:keepLines/>
              <w:suppressLineNumbers/>
              <w:suppressAutoHyphens/>
              <w:rPr>
                <w:bCs w:val="0"/>
                <w:szCs w:val="20"/>
              </w:rPr>
            </w:pPr>
          </w:p>
        </w:tc>
        <w:tc>
          <w:tcPr>
            <w:tcW w:w="2025" w:type="dxa"/>
            <w:shd w:val="clear" w:color="auto" w:fill="auto"/>
            <w:noWrap/>
            <w:vAlign w:val="center"/>
            <w:hideMark/>
          </w:tcPr>
          <w:p w14:paraId="2B8A5216" w14:textId="77777777" w:rsidR="00241D5A" w:rsidRPr="00BC66FB" w:rsidRDefault="00241D5A" w:rsidP="00773531">
            <w:pPr>
              <w:pStyle w:val="TableText0"/>
              <w:keepLines/>
              <w:suppressLineNumbers/>
              <w:suppressAutoHyphens/>
              <w:jc w:val="center"/>
              <w:rPr>
                <w:b/>
                <w:szCs w:val="20"/>
              </w:rPr>
            </w:pPr>
            <w:r w:rsidRPr="00BC66FB">
              <w:rPr>
                <w:b/>
                <w:szCs w:val="20"/>
              </w:rPr>
              <w:t>2022-23</w:t>
            </w:r>
          </w:p>
        </w:tc>
        <w:tc>
          <w:tcPr>
            <w:tcW w:w="2026" w:type="dxa"/>
            <w:shd w:val="clear" w:color="auto" w:fill="auto"/>
            <w:noWrap/>
            <w:vAlign w:val="center"/>
            <w:hideMark/>
          </w:tcPr>
          <w:p w14:paraId="747BCD49" w14:textId="77777777" w:rsidR="00241D5A" w:rsidRPr="00BC66FB" w:rsidRDefault="00241D5A" w:rsidP="00773531">
            <w:pPr>
              <w:pStyle w:val="TableText0"/>
              <w:keepLines/>
              <w:suppressLineNumbers/>
              <w:suppressAutoHyphens/>
              <w:jc w:val="center"/>
              <w:rPr>
                <w:b/>
                <w:szCs w:val="20"/>
              </w:rPr>
            </w:pPr>
            <w:r w:rsidRPr="00BC66FB">
              <w:rPr>
                <w:b/>
                <w:szCs w:val="20"/>
              </w:rPr>
              <w:t>2023-24*</w:t>
            </w:r>
          </w:p>
        </w:tc>
      </w:tr>
      <w:tr w:rsidR="00241D5A" w:rsidRPr="00915950" w14:paraId="73253D87" w14:textId="77777777" w:rsidTr="00773531">
        <w:trPr>
          <w:trHeight w:val="227"/>
        </w:trPr>
        <w:tc>
          <w:tcPr>
            <w:tcW w:w="3320" w:type="dxa"/>
            <w:shd w:val="clear" w:color="auto" w:fill="auto"/>
            <w:noWrap/>
            <w:vAlign w:val="center"/>
            <w:hideMark/>
          </w:tcPr>
          <w:p w14:paraId="4F526C97" w14:textId="77777777" w:rsidR="00241D5A" w:rsidRPr="00BC66FB" w:rsidRDefault="00241D5A" w:rsidP="00773531">
            <w:pPr>
              <w:pStyle w:val="TableText0"/>
              <w:keepLines/>
              <w:suppressLineNumbers/>
              <w:suppressAutoHyphens/>
              <w:rPr>
                <w:bCs w:val="0"/>
                <w:szCs w:val="20"/>
              </w:rPr>
            </w:pPr>
            <w:r w:rsidRPr="00BC66FB">
              <w:rPr>
                <w:bCs w:val="0"/>
                <w:szCs w:val="20"/>
              </w:rPr>
              <w:t>Incident (new) patients</w:t>
            </w:r>
          </w:p>
        </w:tc>
        <w:tc>
          <w:tcPr>
            <w:tcW w:w="2025" w:type="dxa"/>
            <w:shd w:val="clear" w:color="auto" w:fill="auto"/>
            <w:noWrap/>
            <w:vAlign w:val="center"/>
            <w:hideMark/>
          </w:tcPr>
          <w:p w14:paraId="281CC528" w14:textId="1B8D11C1" w:rsidR="00241D5A" w:rsidRPr="00EB5775" w:rsidRDefault="00E926B5" w:rsidP="00773531">
            <w:pPr>
              <w:pStyle w:val="TableText0"/>
              <w:keepLines/>
              <w:suppressLineNumbers/>
              <w:suppressAutoHyphens/>
              <w:jc w:val="center"/>
              <w:rPr>
                <w:bCs w:val="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E32FAE" w:rsidRPr="00EB5775">
              <w:rPr>
                <w:bCs w:val="0"/>
                <w:szCs w:val="20"/>
                <w:vertAlign w:val="superscript"/>
              </w:rPr>
              <w:t>1</w:t>
            </w:r>
          </w:p>
        </w:tc>
        <w:tc>
          <w:tcPr>
            <w:tcW w:w="2026" w:type="dxa"/>
            <w:shd w:val="clear" w:color="auto" w:fill="auto"/>
            <w:noWrap/>
            <w:vAlign w:val="center"/>
            <w:hideMark/>
          </w:tcPr>
          <w:p w14:paraId="72C46360" w14:textId="3186E26D" w:rsidR="00241D5A" w:rsidRPr="00EB5775" w:rsidRDefault="00E926B5" w:rsidP="00773531">
            <w:pPr>
              <w:pStyle w:val="TableText0"/>
              <w:keepLines/>
              <w:suppressLineNumbers/>
              <w:suppressAutoHyphens/>
              <w:jc w:val="center"/>
              <w:rPr>
                <w:bCs w:val="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997D70" w:rsidRPr="00687558">
              <w:rPr>
                <w:bCs w:val="0"/>
                <w:szCs w:val="20"/>
                <w:vertAlign w:val="superscript"/>
              </w:rPr>
              <w:t>1</w:t>
            </w:r>
          </w:p>
        </w:tc>
      </w:tr>
      <w:tr w:rsidR="00241D5A" w:rsidRPr="00915950" w14:paraId="6D12479A" w14:textId="77777777" w:rsidTr="00773531">
        <w:trPr>
          <w:trHeight w:val="227"/>
        </w:trPr>
        <w:tc>
          <w:tcPr>
            <w:tcW w:w="3320" w:type="dxa"/>
            <w:shd w:val="clear" w:color="auto" w:fill="auto"/>
            <w:noWrap/>
            <w:vAlign w:val="center"/>
            <w:hideMark/>
          </w:tcPr>
          <w:p w14:paraId="76B6545C" w14:textId="77777777" w:rsidR="00241D5A" w:rsidRPr="00BC66FB" w:rsidRDefault="00241D5A" w:rsidP="00773531">
            <w:pPr>
              <w:pStyle w:val="TableText0"/>
              <w:keepLines/>
              <w:suppressLineNumbers/>
              <w:suppressAutoHyphens/>
              <w:rPr>
                <w:bCs w:val="0"/>
                <w:szCs w:val="20"/>
              </w:rPr>
            </w:pPr>
            <w:r w:rsidRPr="00BC66FB">
              <w:rPr>
                <w:bCs w:val="0"/>
                <w:szCs w:val="20"/>
              </w:rPr>
              <w:t>Prevalent (all treated) patients</w:t>
            </w:r>
          </w:p>
        </w:tc>
        <w:tc>
          <w:tcPr>
            <w:tcW w:w="2025" w:type="dxa"/>
            <w:shd w:val="clear" w:color="auto" w:fill="auto"/>
            <w:noWrap/>
            <w:vAlign w:val="center"/>
            <w:hideMark/>
          </w:tcPr>
          <w:p w14:paraId="4BCF320D" w14:textId="5696A07C" w:rsidR="00241D5A" w:rsidRPr="00EB5775" w:rsidRDefault="00E926B5" w:rsidP="00773531">
            <w:pPr>
              <w:pStyle w:val="TableText0"/>
              <w:keepLines/>
              <w:suppressLineNumbers/>
              <w:suppressAutoHyphens/>
              <w:jc w:val="center"/>
              <w:rPr>
                <w:bCs w:val="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997D70" w:rsidRPr="00687558">
              <w:rPr>
                <w:bCs w:val="0"/>
                <w:szCs w:val="20"/>
                <w:vertAlign w:val="superscript"/>
              </w:rPr>
              <w:t>1</w:t>
            </w:r>
          </w:p>
        </w:tc>
        <w:tc>
          <w:tcPr>
            <w:tcW w:w="2026" w:type="dxa"/>
            <w:shd w:val="clear" w:color="auto" w:fill="auto"/>
            <w:noWrap/>
            <w:vAlign w:val="center"/>
            <w:hideMark/>
          </w:tcPr>
          <w:p w14:paraId="66BFF476" w14:textId="06EC0520" w:rsidR="00241D5A" w:rsidRPr="00EB5775" w:rsidRDefault="00E926B5" w:rsidP="00773531">
            <w:pPr>
              <w:pStyle w:val="TableText0"/>
              <w:keepLines/>
              <w:suppressLineNumbers/>
              <w:suppressAutoHyphens/>
              <w:jc w:val="center"/>
              <w:rPr>
                <w:bCs w:val="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997D70" w:rsidRPr="00687558">
              <w:rPr>
                <w:bCs w:val="0"/>
                <w:szCs w:val="20"/>
                <w:vertAlign w:val="superscript"/>
              </w:rPr>
              <w:t>2</w:t>
            </w:r>
          </w:p>
        </w:tc>
      </w:tr>
      <w:tr w:rsidR="00241D5A" w:rsidRPr="00915950" w14:paraId="1F1EF0C7" w14:textId="77777777" w:rsidTr="00773531">
        <w:trPr>
          <w:trHeight w:val="227"/>
        </w:trPr>
        <w:tc>
          <w:tcPr>
            <w:tcW w:w="3320" w:type="dxa"/>
            <w:shd w:val="clear" w:color="auto" w:fill="auto"/>
            <w:noWrap/>
            <w:vAlign w:val="center"/>
            <w:hideMark/>
          </w:tcPr>
          <w:p w14:paraId="7151DEFF" w14:textId="77777777" w:rsidR="00241D5A" w:rsidRPr="00BC66FB" w:rsidRDefault="00241D5A" w:rsidP="00773531">
            <w:pPr>
              <w:pStyle w:val="TableText0"/>
              <w:keepLines/>
              <w:suppressLineNumbers/>
              <w:suppressAutoHyphens/>
              <w:rPr>
                <w:bCs w:val="0"/>
                <w:szCs w:val="20"/>
              </w:rPr>
            </w:pPr>
            <w:r w:rsidRPr="00BC66FB">
              <w:rPr>
                <w:bCs w:val="0"/>
                <w:szCs w:val="20"/>
              </w:rPr>
              <w:t>Number of prescriptions dispensed</w:t>
            </w:r>
          </w:p>
        </w:tc>
        <w:tc>
          <w:tcPr>
            <w:tcW w:w="2025" w:type="dxa"/>
            <w:shd w:val="clear" w:color="auto" w:fill="auto"/>
            <w:noWrap/>
            <w:vAlign w:val="center"/>
            <w:hideMark/>
          </w:tcPr>
          <w:p w14:paraId="6CE4C6CF" w14:textId="1BFFB674" w:rsidR="00241D5A" w:rsidRPr="00EB5775" w:rsidRDefault="00E926B5" w:rsidP="00773531">
            <w:pPr>
              <w:pStyle w:val="TableText0"/>
              <w:keepLines/>
              <w:suppressLineNumbers/>
              <w:suppressAutoHyphens/>
              <w:jc w:val="center"/>
              <w:rPr>
                <w:bCs w:val="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997D70" w:rsidRPr="00EB5775">
              <w:rPr>
                <w:bCs w:val="0"/>
                <w:szCs w:val="20"/>
                <w:vertAlign w:val="superscript"/>
              </w:rPr>
              <w:t>2</w:t>
            </w:r>
          </w:p>
        </w:tc>
        <w:tc>
          <w:tcPr>
            <w:tcW w:w="2026" w:type="dxa"/>
            <w:shd w:val="clear" w:color="auto" w:fill="auto"/>
            <w:noWrap/>
            <w:vAlign w:val="center"/>
            <w:hideMark/>
          </w:tcPr>
          <w:p w14:paraId="1FABDBE0" w14:textId="000B31AE" w:rsidR="00241D5A" w:rsidRPr="00EB5775" w:rsidRDefault="00E926B5" w:rsidP="00773531">
            <w:pPr>
              <w:pStyle w:val="TableText0"/>
              <w:keepLines/>
              <w:suppressLineNumbers/>
              <w:suppressAutoHyphens/>
              <w:jc w:val="center"/>
              <w:rPr>
                <w:bCs w:val="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997D70" w:rsidRPr="00687558">
              <w:rPr>
                <w:bCs w:val="0"/>
                <w:szCs w:val="20"/>
                <w:vertAlign w:val="superscript"/>
              </w:rPr>
              <w:t>2</w:t>
            </w:r>
          </w:p>
        </w:tc>
      </w:tr>
    </w:tbl>
    <w:p w14:paraId="0107B1F4" w14:textId="77777777" w:rsidR="00241D5A" w:rsidRPr="00BC66FB" w:rsidRDefault="00241D5A" w:rsidP="00AD6E26">
      <w:pPr>
        <w:keepNext/>
        <w:keepLines/>
        <w:suppressLineNumbers/>
        <w:suppressAutoHyphens/>
        <w:rPr>
          <w:rFonts w:ascii="Arial Narrow" w:hAnsi="Arial Narrow" w:cstheme="minorHAnsi"/>
          <w:sz w:val="18"/>
          <w:szCs w:val="18"/>
        </w:rPr>
      </w:pPr>
      <w:r w:rsidRPr="00BC66FB">
        <w:rPr>
          <w:rFonts w:ascii="Arial Narrow" w:hAnsi="Arial Narrow" w:cstheme="minorHAnsi"/>
          <w:sz w:val="18"/>
          <w:szCs w:val="18"/>
        </w:rPr>
        <w:t>Note: The PBS data was extracted based on the date of supply.</w:t>
      </w:r>
    </w:p>
    <w:p w14:paraId="1F427ED6" w14:textId="77777777" w:rsidR="00241D5A" w:rsidRDefault="00241D5A" w:rsidP="00AD6E26">
      <w:pPr>
        <w:keepNext/>
        <w:keepLines/>
        <w:suppressLineNumbers/>
        <w:suppressAutoHyphens/>
        <w:rPr>
          <w:rFonts w:ascii="Arial Narrow" w:hAnsi="Arial Narrow" w:cstheme="minorHAnsi"/>
          <w:sz w:val="18"/>
          <w:szCs w:val="18"/>
        </w:rPr>
      </w:pPr>
      <w:r w:rsidRPr="00BC66FB">
        <w:rPr>
          <w:rFonts w:ascii="Arial Narrow" w:hAnsi="Arial Narrow" w:cstheme="minorHAnsi"/>
          <w:sz w:val="18"/>
          <w:szCs w:val="18"/>
        </w:rPr>
        <w:t xml:space="preserve">* Data is part-year to 13 June 2024. </w:t>
      </w:r>
    </w:p>
    <w:p w14:paraId="0A90D824" w14:textId="77777777" w:rsidR="00997D70" w:rsidRPr="002A7D5F" w:rsidRDefault="00997D70" w:rsidP="00997D70">
      <w:pPr>
        <w:keepNext/>
        <w:keepLines/>
        <w:rPr>
          <w:rFonts w:ascii="Arial Narrow" w:hAnsi="Arial Narrow" w:cs="Arial"/>
          <w:bCs/>
          <w:i/>
          <w:iCs/>
          <w:sz w:val="18"/>
          <w:szCs w:val="18"/>
        </w:rPr>
      </w:pPr>
      <w:r w:rsidRPr="002A7D5F">
        <w:rPr>
          <w:rFonts w:ascii="Arial Narrow" w:hAnsi="Arial Narrow" w:cs="Arial"/>
          <w:bCs/>
          <w:i/>
          <w:iCs/>
          <w:sz w:val="18"/>
          <w:szCs w:val="18"/>
        </w:rPr>
        <w:t>The redacted values correspond to the following ranges:</w:t>
      </w:r>
    </w:p>
    <w:p w14:paraId="71C0974B" w14:textId="77777777" w:rsidR="00997D70" w:rsidRPr="002A7D5F" w:rsidRDefault="00997D70" w:rsidP="00997D70">
      <w:pPr>
        <w:keepNext/>
        <w:keepLines/>
        <w:rPr>
          <w:rFonts w:ascii="Arial Narrow" w:hAnsi="Arial Narrow" w:cs="Arial"/>
          <w:bCs/>
          <w:i/>
          <w:iCs/>
          <w:sz w:val="18"/>
          <w:szCs w:val="18"/>
        </w:rPr>
      </w:pPr>
      <w:r w:rsidRPr="00EB5775">
        <w:rPr>
          <w:rFonts w:ascii="Arial Narrow" w:hAnsi="Arial Narrow" w:cs="Arial"/>
          <w:bCs/>
          <w:i/>
          <w:iCs/>
          <w:sz w:val="18"/>
          <w:szCs w:val="18"/>
          <w:vertAlign w:val="superscript"/>
        </w:rPr>
        <w:t>1</w:t>
      </w:r>
      <w:r w:rsidRPr="002A7D5F">
        <w:rPr>
          <w:rFonts w:ascii="Arial Narrow" w:hAnsi="Arial Narrow" w:cs="Arial"/>
          <w:bCs/>
          <w:i/>
          <w:iCs/>
          <w:sz w:val="18"/>
          <w:szCs w:val="18"/>
        </w:rPr>
        <w:t xml:space="preserve"> &lt; 500</w:t>
      </w:r>
    </w:p>
    <w:p w14:paraId="5E77FD8A" w14:textId="33D3EBA4" w:rsidR="00997D70" w:rsidRPr="00EB5775" w:rsidRDefault="00997D70" w:rsidP="00EB5775">
      <w:pPr>
        <w:rPr>
          <w:rFonts w:ascii="Arial Narrow" w:hAnsi="Arial Narrow" w:cs="Arial"/>
          <w:bCs/>
          <w:i/>
          <w:iCs/>
          <w:sz w:val="18"/>
          <w:szCs w:val="18"/>
        </w:rPr>
      </w:pPr>
      <w:r w:rsidRPr="00EB5775">
        <w:rPr>
          <w:rFonts w:ascii="Arial Narrow" w:hAnsi="Arial Narrow" w:cs="Arial"/>
          <w:bCs/>
          <w:i/>
          <w:iCs/>
          <w:sz w:val="18"/>
          <w:szCs w:val="18"/>
          <w:vertAlign w:val="superscript"/>
        </w:rPr>
        <w:t>2</w:t>
      </w:r>
      <w:r w:rsidRPr="002A7D5F">
        <w:rPr>
          <w:rFonts w:ascii="Arial Narrow" w:hAnsi="Arial Narrow" w:cs="Arial"/>
          <w:bCs/>
          <w:i/>
          <w:iCs/>
          <w:sz w:val="18"/>
          <w:szCs w:val="18"/>
        </w:rPr>
        <w:t xml:space="preserve"> 500 to &lt; 5,000</w:t>
      </w:r>
    </w:p>
    <w:p w14:paraId="219F4EFC" w14:textId="7E6D3C10" w:rsidR="00F03159" w:rsidRPr="00DE5FB2" w:rsidRDefault="00524AFF" w:rsidP="00241D5A">
      <w:pPr>
        <w:pStyle w:val="5-SubsectionSubheading"/>
        <w:spacing w:before="120" w:after="120"/>
      </w:pPr>
      <w:r w:rsidRPr="00DE5FB2">
        <w:t>Revised</w:t>
      </w:r>
      <w:r w:rsidR="00F03159" w:rsidRPr="00DE5FB2">
        <w:t xml:space="preserve"> number of WM patients treat</w:t>
      </w:r>
      <w:r w:rsidR="000975D9" w:rsidRPr="00DE5FB2">
        <w:t>ed</w:t>
      </w:r>
      <w:r w:rsidR="00F03159" w:rsidRPr="00DE5FB2">
        <w:t xml:space="preserve"> with zanubrutinib</w:t>
      </w:r>
    </w:p>
    <w:p w14:paraId="301BE4AC" w14:textId="77777777" w:rsidR="003F79DB" w:rsidRPr="003F79DB" w:rsidRDefault="003D542E" w:rsidP="003F79DB">
      <w:pPr>
        <w:pStyle w:val="3Bodytext"/>
        <w:spacing w:before="120"/>
        <w:jc w:val="both"/>
        <w:rPr>
          <w:rFonts w:ascii="Arial Narrow" w:hAnsi="Arial Narrow"/>
          <w:b/>
          <w:bCs/>
          <w:sz w:val="20"/>
          <w:szCs w:val="20"/>
        </w:rPr>
      </w:pPr>
      <w:r>
        <w:t xml:space="preserve">A </w:t>
      </w:r>
      <w:r w:rsidR="00E468A8">
        <w:t xml:space="preserve">summary </w:t>
      </w:r>
      <w:r>
        <w:t xml:space="preserve">of the estimated number of WM patients treated with zanubrutinib in the March 2022 and July 2024 submissions is provided in </w:t>
      </w:r>
      <w:r>
        <w:fldChar w:fldCharType="begin" w:fldLock="1"/>
      </w:r>
      <w:r>
        <w:instrText xml:space="preserve"> REF _Ref167882723 \h  \* MERGEFORMAT </w:instrText>
      </w:r>
      <w:r>
        <w:fldChar w:fldCharType="separate"/>
      </w:r>
      <w:r w:rsidR="00B31544" w:rsidRPr="00B31544">
        <w:t>Table 10</w:t>
      </w:r>
      <w:r>
        <w:fldChar w:fldCharType="end"/>
      </w:r>
      <w:r w:rsidR="00222DEF">
        <w:t>.</w:t>
      </w:r>
      <w:bookmarkStart w:id="35" w:name="_Ref167882723"/>
    </w:p>
    <w:p w14:paraId="4BD2FBC0" w14:textId="773B1184" w:rsidR="00F03159" w:rsidRPr="003F79DB" w:rsidRDefault="00E27672" w:rsidP="003F79DB">
      <w:pPr>
        <w:pStyle w:val="TableFigureHeading"/>
      </w:pPr>
      <w:r w:rsidRPr="003F79DB">
        <w:t xml:space="preserve">Table </w:t>
      </w:r>
      <w:r w:rsidRPr="003F79DB">
        <w:fldChar w:fldCharType="begin" w:fldLock="1"/>
      </w:r>
      <w:r w:rsidRPr="003F79DB">
        <w:instrText xml:space="preserve"> SEQ Table \* ARABIC </w:instrText>
      </w:r>
      <w:r w:rsidRPr="003F79DB">
        <w:fldChar w:fldCharType="separate"/>
      </w:r>
      <w:r w:rsidR="00D05088" w:rsidRPr="003F79DB">
        <w:rPr>
          <w:noProof/>
        </w:rPr>
        <w:t>10</w:t>
      </w:r>
      <w:r w:rsidRPr="003F79DB">
        <w:fldChar w:fldCharType="end"/>
      </w:r>
      <w:bookmarkEnd w:id="35"/>
      <w:r w:rsidR="002D7E6D" w:rsidRPr="003F79DB">
        <w:t xml:space="preserve">: Estimated WM patients eligible for treatment with zanubrutinib </w:t>
      </w:r>
    </w:p>
    <w:tbl>
      <w:tblPr>
        <w:tblStyle w:val="TableGrid"/>
        <w:tblW w:w="5000" w:type="pct"/>
        <w:tblCellMar>
          <w:left w:w="57" w:type="dxa"/>
          <w:right w:w="57" w:type="dxa"/>
        </w:tblCellMar>
        <w:tblLook w:val="04A0" w:firstRow="1" w:lastRow="0" w:firstColumn="1" w:lastColumn="0" w:noHBand="0" w:noVBand="1"/>
        <w:tblCaption w:val="Table 10: Estimated WM patients eligible for treatment with zanubrutinib"/>
        <w:tblDescription w:val="Table 10: Estimated WM patients eligible for treatment with zanubrutinib"/>
      </w:tblPr>
      <w:tblGrid>
        <w:gridCol w:w="1280"/>
        <w:gridCol w:w="3394"/>
        <w:gridCol w:w="849"/>
        <w:gridCol w:w="2692"/>
        <w:gridCol w:w="801"/>
      </w:tblGrid>
      <w:tr w:rsidR="00B91505" w:rsidRPr="00C71633" w14:paraId="73140978" w14:textId="77777777" w:rsidTr="00BE6298">
        <w:trPr>
          <w:trHeight w:val="20"/>
          <w:tblHeader/>
        </w:trPr>
        <w:tc>
          <w:tcPr>
            <w:tcW w:w="710" w:type="pct"/>
          </w:tcPr>
          <w:p w14:paraId="301F9ADC" w14:textId="77777777" w:rsidR="00B0048E" w:rsidRPr="00333632" w:rsidRDefault="00B0048E" w:rsidP="00333632">
            <w:pPr>
              <w:suppressLineNumbers/>
              <w:suppressAutoHyphens/>
              <w:jc w:val="center"/>
              <w:rPr>
                <w:rFonts w:ascii="Arial Narrow" w:hAnsi="Arial Narrow" w:cstheme="minorHAnsi"/>
                <w:color w:val="000000"/>
                <w:sz w:val="20"/>
                <w:szCs w:val="20"/>
              </w:rPr>
            </w:pPr>
            <w:bookmarkStart w:id="36" w:name="_Hlk167956466"/>
          </w:p>
        </w:tc>
        <w:tc>
          <w:tcPr>
            <w:tcW w:w="2353" w:type="pct"/>
            <w:gridSpan w:val="2"/>
          </w:tcPr>
          <w:p w14:paraId="4784B7C6" w14:textId="77777777" w:rsidR="00B0048E" w:rsidRPr="00333632" w:rsidRDefault="00B0048E"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March 2022 </w:t>
            </w:r>
          </w:p>
        </w:tc>
        <w:tc>
          <w:tcPr>
            <w:tcW w:w="1937" w:type="pct"/>
            <w:gridSpan w:val="2"/>
          </w:tcPr>
          <w:p w14:paraId="498AF634" w14:textId="77777777" w:rsidR="00B0048E" w:rsidRPr="00333632" w:rsidRDefault="00B0048E"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July 2024 </w:t>
            </w:r>
          </w:p>
        </w:tc>
      </w:tr>
      <w:tr w:rsidR="00BE6298" w:rsidRPr="00C71633" w14:paraId="3BFE9E31" w14:textId="77777777" w:rsidTr="00BE6298">
        <w:trPr>
          <w:trHeight w:val="20"/>
          <w:tblHeader/>
        </w:trPr>
        <w:tc>
          <w:tcPr>
            <w:tcW w:w="710" w:type="pct"/>
          </w:tcPr>
          <w:p w14:paraId="62BC45F7" w14:textId="77777777" w:rsidR="00B0048E" w:rsidRPr="00333632" w:rsidRDefault="00B0048E" w:rsidP="00333632">
            <w:pPr>
              <w:suppressLineNumbers/>
              <w:suppressAutoHyphens/>
              <w:jc w:val="center"/>
              <w:rPr>
                <w:rFonts w:ascii="Arial Narrow" w:hAnsi="Arial Narrow" w:cstheme="minorHAnsi"/>
                <w:color w:val="000000"/>
                <w:sz w:val="20"/>
                <w:szCs w:val="20"/>
              </w:rPr>
            </w:pPr>
          </w:p>
        </w:tc>
        <w:tc>
          <w:tcPr>
            <w:tcW w:w="1882" w:type="pct"/>
          </w:tcPr>
          <w:p w14:paraId="6BD4FADB" w14:textId="17C3408D" w:rsidR="00B0048E" w:rsidRPr="00333632" w:rsidRDefault="0062503E"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Method/</w:t>
            </w:r>
            <w:r w:rsidR="003D542E" w:rsidRPr="00333632">
              <w:rPr>
                <w:rFonts w:ascii="Arial Narrow" w:hAnsi="Arial Narrow" w:cstheme="minorHAnsi"/>
                <w:b/>
                <w:bCs/>
                <w:color w:val="000000"/>
                <w:sz w:val="20"/>
                <w:szCs w:val="20"/>
              </w:rPr>
              <w:t>Source</w:t>
            </w:r>
          </w:p>
        </w:tc>
        <w:tc>
          <w:tcPr>
            <w:tcW w:w="471" w:type="pct"/>
          </w:tcPr>
          <w:p w14:paraId="64A89380" w14:textId="50310EF8" w:rsidR="00B0048E" w:rsidRPr="00333632" w:rsidRDefault="008D23BA"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Value </w:t>
            </w:r>
          </w:p>
        </w:tc>
        <w:tc>
          <w:tcPr>
            <w:tcW w:w="1493" w:type="pct"/>
          </w:tcPr>
          <w:p w14:paraId="322F7DBA" w14:textId="6F6F314D" w:rsidR="00B0048E" w:rsidRPr="00333632" w:rsidRDefault="0062503E"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Method/</w:t>
            </w:r>
            <w:r w:rsidR="003D542E" w:rsidRPr="00333632">
              <w:rPr>
                <w:rFonts w:ascii="Arial Narrow" w:hAnsi="Arial Narrow" w:cstheme="minorHAnsi"/>
                <w:b/>
                <w:bCs/>
                <w:color w:val="000000"/>
                <w:sz w:val="20"/>
                <w:szCs w:val="20"/>
              </w:rPr>
              <w:t>Source</w:t>
            </w:r>
          </w:p>
        </w:tc>
        <w:tc>
          <w:tcPr>
            <w:tcW w:w="444" w:type="pct"/>
          </w:tcPr>
          <w:p w14:paraId="62F71572" w14:textId="0778DC81" w:rsidR="00B0048E" w:rsidRPr="00C71633" w:rsidRDefault="008D23BA" w:rsidP="00333632">
            <w:pPr>
              <w:suppressLineNumbers/>
              <w:suppressAutoHyphens/>
              <w:jc w:val="center"/>
              <w:rPr>
                <w:rFonts w:ascii="Arial Narrow" w:hAnsi="Arial Narrow" w:cstheme="minorHAnsi"/>
                <w:b/>
                <w:bCs/>
                <w:color w:val="000000"/>
                <w:sz w:val="20"/>
                <w:szCs w:val="20"/>
              </w:rPr>
            </w:pPr>
            <w:r w:rsidRPr="00C71633">
              <w:rPr>
                <w:rFonts w:ascii="Arial Narrow" w:hAnsi="Arial Narrow" w:cstheme="minorHAnsi"/>
                <w:b/>
                <w:bCs/>
                <w:color w:val="000000"/>
                <w:sz w:val="20"/>
                <w:szCs w:val="20"/>
              </w:rPr>
              <w:t>Value</w:t>
            </w:r>
          </w:p>
        </w:tc>
      </w:tr>
      <w:tr w:rsidR="008D23BA" w:rsidRPr="00C71633" w14:paraId="6D9036D8" w14:textId="77777777" w:rsidTr="00BE6298">
        <w:trPr>
          <w:trHeight w:val="20"/>
        </w:trPr>
        <w:tc>
          <w:tcPr>
            <w:tcW w:w="5000" w:type="pct"/>
            <w:gridSpan w:val="5"/>
          </w:tcPr>
          <w:p w14:paraId="38609DBD" w14:textId="5972DAF4" w:rsidR="008D23BA" w:rsidRPr="00333632" w:rsidRDefault="008D23BA" w:rsidP="00333632">
            <w:pPr>
              <w:suppressLineNumbers/>
              <w:suppressAutoHyphens/>
              <w:jc w:val="left"/>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First line </w:t>
            </w:r>
            <w:r w:rsidR="002D12E0" w:rsidRPr="00333632">
              <w:rPr>
                <w:rFonts w:ascii="Arial Narrow" w:hAnsi="Arial Narrow" w:cstheme="minorHAnsi"/>
                <w:b/>
                <w:bCs/>
                <w:color w:val="000000"/>
                <w:sz w:val="20"/>
                <w:szCs w:val="20"/>
              </w:rPr>
              <w:t xml:space="preserve">(1L) </w:t>
            </w:r>
            <w:r w:rsidRPr="00333632">
              <w:rPr>
                <w:rFonts w:ascii="Arial Narrow" w:hAnsi="Arial Narrow" w:cstheme="minorHAnsi"/>
                <w:b/>
                <w:bCs/>
                <w:color w:val="000000"/>
                <w:sz w:val="20"/>
                <w:szCs w:val="20"/>
              </w:rPr>
              <w:t>– incident patients</w:t>
            </w:r>
          </w:p>
        </w:tc>
      </w:tr>
      <w:tr w:rsidR="00BE6298" w:rsidRPr="00C71633" w14:paraId="07BC8B53" w14:textId="77777777" w:rsidTr="00BE6298">
        <w:trPr>
          <w:trHeight w:val="20"/>
        </w:trPr>
        <w:tc>
          <w:tcPr>
            <w:tcW w:w="710" w:type="pct"/>
          </w:tcPr>
          <w:p w14:paraId="3207873B" w14:textId="7DAD2900" w:rsidR="00B0048E" w:rsidRPr="00333632" w:rsidRDefault="00571802"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Incident WM </w:t>
            </w:r>
            <w:r w:rsidR="000C0E56" w:rsidRPr="00333632">
              <w:rPr>
                <w:rFonts w:ascii="Arial Narrow" w:hAnsi="Arial Narrow" w:cstheme="minorHAnsi"/>
                <w:color w:val="000000"/>
                <w:sz w:val="20"/>
                <w:szCs w:val="20"/>
              </w:rPr>
              <w:t>patients</w:t>
            </w:r>
          </w:p>
        </w:tc>
        <w:tc>
          <w:tcPr>
            <w:tcW w:w="1882" w:type="pct"/>
            <w:shd w:val="clear" w:color="auto" w:fill="DBE5F1" w:themeFill="accent1" w:themeFillTint="33"/>
          </w:tcPr>
          <w:p w14:paraId="65DBBC92" w14:textId="3BC528EB" w:rsidR="00B0048E" w:rsidRPr="00333632" w:rsidRDefault="003D542E"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AIHW 2017, </w:t>
            </w:r>
            <w:r w:rsidR="00DE2008" w:rsidRPr="00333632">
              <w:rPr>
                <w:rFonts w:ascii="Arial Narrow" w:hAnsi="Arial Narrow" w:cstheme="minorHAnsi"/>
                <w:color w:val="000000"/>
                <w:sz w:val="20"/>
                <w:szCs w:val="20"/>
              </w:rPr>
              <w:t>Table 23, zanubrutinib PSD, March 2022</w:t>
            </w:r>
          </w:p>
        </w:tc>
        <w:tc>
          <w:tcPr>
            <w:tcW w:w="471" w:type="pct"/>
            <w:shd w:val="clear" w:color="auto" w:fill="DBE5F1" w:themeFill="accent1" w:themeFillTint="33"/>
          </w:tcPr>
          <w:p w14:paraId="5B0DF1DD" w14:textId="3BA11A0A" w:rsidR="008D23BA" w:rsidRPr="00333632" w:rsidRDefault="008D23BA"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1: </w:t>
            </w:r>
            <w:r w:rsidR="00E926B5" w:rsidRPr="00333632">
              <w:rPr>
                <w:rFonts w:ascii="Arial Narrow" w:hAnsi="Arial Narrow" w:cstheme="minorHAnsi"/>
                <w:color w:val="000000"/>
                <w:spacing w:val="104"/>
                <w:sz w:val="20"/>
                <w:szCs w:val="20"/>
                <w:shd w:val="solid" w:color="000000" w:fill="000000"/>
                <w:fitText w:val="190" w:id="-893114361"/>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1"/>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41049310" w14:textId="1AF69095" w:rsidR="008D23BA" w:rsidRPr="00333632" w:rsidRDefault="008D23BA"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2: </w:t>
            </w:r>
            <w:r w:rsidR="00E926B5" w:rsidRPr="00333632">
              <w:rPr>
                <w:rFonts w:ascii="Arial Narrow" w:hAnsi="Arial Narrow" w:cstheme="minorHAnsi"/>
                <w:color w:val="000000"/>
                <w:spacing w:val="104"/>
                <w:sz w:val="20"/>
                <w:szCs w:val="20"/>
                <w:shd w:val="solid" w:color="000000" w:fill="000000"/>
                <w:fitText w:val="190" w:id="-893114360"/>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0"/>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678A963D" w14:textId="4D784BA1" w:rsidR="008D23BA" w:rsidRPr="00333632" w:rsidRDefault="008D23BA"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3: </w:t>
            </w:r>
            <w:r w:rsidR="00E926B5" w:rsidRPr="00333632">
              <w:rPr>
                <w:rFonts w:ascii="Arial Narrow" w:hAnsi="Arial Narrow" w:cstheme="minorHAnsi"/>
                <w:color w:val="000000"/>
                <w:spacing w:val="104"/>
                <w:sz w:val="20"/>
                <w:szCs w:val="20"/>
                <w:shd w:val="solid" w:color="000000" w:fill="000000"/>
                <w:fitText w:val="190" w:id="-893114359"/>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9"/>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4AB2A2A9" w14:textId="42E36E78" w:rsidR="008D23BA" w:rsidRPr="00333632" w:rsidRDefault="008D23BA"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Yr 4:</w:t>
            </w:r>
            <w:r w:rsidR="00D747FA" w:rsidRPr="00333632">
              <w:rPr>
                <w:rFonts w:ascii="Arial Narrow" w:hAnsi="Arial Narrow" w:cstheme="minorHAnsi"/>
                <w:color w:val="000000"/>
                <w:sz w:val="20"/>
                <w:szCs w:val="20"/>
              </w:rPr>
              <w:t xml:space="preserve"> </w:t>
            </w:r>
            <w:r w:rsidR="00E926B5" w:rsidRPr="00333632">
              <w:rPr>
                <w:rFonts w:ascii="Arial Narrow" w:hAnsi="Arial Narrow" w:cstheme="minorHAnsi"/>
                <w:color w:val="000000"/>
                <w:spacing w:val="104"/>
                <w:sz w:val="20"/>
                <w:szCs w:val="20"/>
                <w:shd w:val="solid" w:color="000000" w:fill="000000"/>
                <w:fitText w:val="190" w:id="-893114358"/>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8"/>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42171AF1" w14:textId="6089467D" w:rsidR="008D23BA" w:rsidRPr="00333632" w:rsidRDefault="008D23BA"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5: </w:t>
            </w:r>
            <w:r w:rsidR="00E926B5" w:rsidRPr="00333632">
              <w:rPr>
                <w:rFonts w:ascii="Arial Narrow" w:hAnsi="Arial Narrow" w:cstheme="minorHAnsi"/>
                <w:color w:val="000000"/>
                <w:spacing w:val="104"/>
                <w:sz w:val="20"/>
                <w:szCs w:val="20"/>
                <w:shd w:val="solid" w:color="000000" w:fill="000000"/>
                <w:fitText w:val="190" w:id="-893114357"/>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7"/>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39DE1A96" w14:textId="6EF9E2D9" w:rsidR="00B0048E" w:rsidRPr="00333632" w:rsidRDefault="008D23BA"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6: </w:t>
            </w:r>
            <w:r w:rsidR="00E926B5" w:rsidRPr="00333632">
              <w:rPr>
                <w:rFonts w:ascii="Arial Narrow" w:hAnsi="Arial Narrow" w:cstheme="minorHAnsi"/>
                <w:color w:val="000000"/>
                <w:spacing w:val="104"/>
                <w:sz w:val="20"/>
                <w:szCs w:val="20"/>
                <w:shd w:val="solid" w:color="000000" w:fill="000000"/>
                <w:fitText w:val="190" w:id="-893114356"/>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6"/>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18AEB566" w14:textId="0B4D4B46" w:rsidR="00B0048E" w:rsidRPr="00333632" w:rsidRDefault="003D542E"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AIHW 2023a</w:t>
            </w:r>
            <w:r w:rsidR="00DE2008" w:rsidRPr="00333632">
              <w:rPr>
                <w:rFonts w:ascii="Arial Narrow" w:hAnsi="Arial Narrow" w:cstheme="minorHAnsi"/>
                <w:color w:val="000000"/>
                <w:sz w:val="20"/>
                <w:szCs w:val="20"/>
              </w:rPr>
              <w:t xml:space="preserve">, </w:t>
            </w:r>
            <w:r w:rsidR="00DE2008" w:rsidRPr="00333632">
              <w:rPr>
                <w:rFonts w:ascii="Arial Narrow" w:hAnsi="Arial Narrow" w:cstheme="minorHAnsi"/>
                <w:color w:val="000000"/>
                <w:sz w:val="20"/>
                <w:szCs w:val="20"/>
              </w:rPr>
              <w:fldChar w:fldCharType="begin" w:fldLock="1"/>
            </w:r>
            <w:r w:rsidR="00DE2008" w:rsidRPr="00333632">
              <w:rPr>
                <w:rFonts w:ascii="Arial Narrow" w:hAnsi="Arial Narrow" w:cstheme="minorHAnsi"/>
                <w:color w:val="000000"/>
                <w:sz w:val="20"/>
                <w:szCs w:val="20"/>
              </w:rPr>
              <w:instrText xml:space="preserve"> REF _Ref167883389 \h  \* MERGEFORMAT </w:instrText>
            </w:r>
            <w:r w:rsidR="00DE2008" w:rsidRPr="00333632">
              <w:rPr>
                <w:rFonts w:ascii="Arial Narrow" w:hAnsi="Arial Narrow" w:cstheme="minorHAnsi"/>
                <w:color w:val="000000"/>
                <w:sz w:val="20"/>
                <w:szCs w:val="20"/>
              </w:rPr>
            </w:r>
            <w:r w:rsidR="00DE2008" w:rsidRPr="00333632">
              <w:rPr>
                <w:rFonts w:ascii="Arial Narrow" w:hAnsi="Arial Narrow" w:cstheme="minorHAnsi"/>
                <w:color w:val="000000"/>
                <w:sz w:val="20"/>
                <w:szCs w:val="20"/>
              </w:rPr>
              <w:fldChar w:fldCharType="separate"/>
            </w:r>
            <w:r w:rsidR="00B31544" w:rsidRPr="00333632">
              <w:rPr>
                <w:rFonts w:ascii="Arial Narrow" w:hAnsi="Arial Narrow"/>
                <w:sz w:val="20"/>
                <w:szCs w:val="20"/>
              </w:rPr>
              <w:t xml:space="preserve">Table </w:t>
            </w:r>
            <w:r w:rsidR="00B31544" w:rsidRPr="00333632">
              <w:rPr>
                <w:rFonts w:ascii="Arial Narrow" w:hAnsi="Arial Narrow"/>
                <w:noProof/>
                <w:sz w:val="20"/>
                <w:szCs w:val="20"/>
              </w:rPr>
              <w:t>8</w:t>
            </w:r>
            <w:r w:rsidR="00DE2008" w:rsidRPr="00333632">
              <w:rPr>
                <w:rFonts w:ascii="Arial Narrow" w:hAnsi="Arial Narrow" w:cstheme="minorHAnsi"/>
                <w:color w:val="000000"/>
                <w:sz w:val="20"/>
                <w:szCs w:val="20"/>
              </w:rPr>
              <w:fldChar w:fldCharType="end"/>
            </w:r>
          </w:p>
        </w:tc>
        <w:tc>
          <w:tcPr>
            <w:tcW w:w="444" w:type="pct"/>
          </w:tcPr>
          <w:p w14:paraId="1CF0E1FC" w14:textId="3BB0A330" w:rsidR="008D23BA" w:rsidRPr="00C71633" w:rsidRDefault="008D23BA"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1: </w:t>
            </w:r>
            <w:r w:rsidR="00E926B5" w:rsidRPr="00333632">
              <w:rPr>
                <w:rFonts w:ascii="Arial Narrow" w:hAnsi="Arial Narrow" w:cstheme="minorHAnsi" w:hint="eastAsia"/>
                <w:color w:val="000000"/>
                <w:w w:val="31"/>
                <w:sz w:val="20"/>
                <w:szCs w:val="20"/>
                <w:shd w:val="solid" w:color="000000" w:fill="000000"/>
                <w:fitText w:val="140" w:id="-893114355"/>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5"/>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5"/>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601A3525" w14:textId="3C4FCBE7" w:rsidR="008D23BA" w:rsidRPr="00C71633" w:rsidRDefault="008D23BA"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Yr 2:</w:t>
            </w:r>
            <w:r w:rsidR="00D747FA" w:rsidRPr="00C71633">
              <w:rPr>
                <w:rFonts w:ascii="Arial Narrow" w:hAnsi="Arial Narrow" w:cstheme="minorHAnsi"/>
                <w:color w:val="000000"/>
                <w:sz w:val="20"/>
                <w:szCs w:val="20"/>
              </w:rPr>
              <w:t xml:space="preserve"> </w:t>
            </w:r>
            <w:r w:rsidR="00E926B5" w:rsidRPr="00333632">
              <w:rPr>
                <w:rFonts w:ascii="Arial Narrow" w:hAnsi="Arial Narrow" w:cstheme="minorHAnsi" w:hint="eastAsia"/>
                <w:color w:val="000000"/>
                <w:w w:val="31"/>
                <w:sz w:val="20"/>
                <w:szCs w:val="20"/>
                <w:shd w:val="solid" w:color="000000" w:fill="000000"/>
                <w:fitText w:val="140" w:id="-893114354"/>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4"/>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4"/>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6875B9E9" w14:textId="1A1635A0" w:rsidR="008D23BA" w:rsidRPr="00C71633" w:rsidRDefault="008D23BA"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3: </w:t>
            </w:r>
            <w:r w:rsidR="00E926B5" w:rsidRPr="00333632">
              <w:rPr>
                <w:rFonts w:ascii="Arial Narrow" w:hAnsi="Arial Narrow" w:cstheme="minorHAnsi" w:hint="eastAsia"/>
                <w:color w:val="000000"/>
                <w:w w:val="31"/>
                <w:sz w:val="20"/>
                <w:szCs w:val="20"/>
                <w:shd w:val="solid" w:color="000000" w:fill="000000"/>
                <w:fitText w:val="140" w:id="-893114353"/>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3"/>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3"/>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076A07F3" w14:textId="2A490AF6" w:rsidR="008D23BA" w:rsidRPr="00C71633" w:rsidRDefault="008D23BA"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4: </w:t>
            </w:r>
            <w:r w:rsidR="00E926B5" w:rsidRPr="00333632">
              <w:rPr>
                <w:rFonts w:ascii="Arial Narrow" w:hAnsi="Arial Narrow" w:cstheme="minorHAnsi" w:hint="eastAsia"/>
                <w:color w:val="000000"/>
                <w:w w:val="31"/>
                <w:sz w:val="20"/>
                <w:szCs w:val="20"/>
                <w:shd w:val="solid" w:color="000000" w:fill="000000"/>
                <w:fitText w:val="140" w:id="-893114352"/>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2"/>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2"/>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09BFA2C3" w14:textId="0DB4A25A" w:rsidR="008D23BA" w:rsidRPr="00C71633" w:rsidRDefault="008D23BA"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5: </w:t>
            </w:r>
            <w:r w:rsidR="00E926B5" w:rsidRPr="00333632">
              <w:rPr>
                <w:rFonts w:ascii="Arial Narrow" w:hAnsi="Arial Narrow" w:cstheme="minorHAnsi" w:hint="eastAsia"/>
                <w:color w:val="000000"/>
                <w:w w:val="31"/>
                <w:sz w:val="20"/>
                <w:szCs w:val="20"/>
                <w:shd w:val="solid" w:color="000000" w:fill="000000"/>
                <w:fitText w:val="140" w:id="-893114368"/>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8"/>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8"/>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0171D9C8" w14:textId="60B6648F" w:rsidR="00B0048E" w:rsidRPr="00C71633" w:rsidRDefault="008D23BA"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6: </w:t>
            </w:r>
            <w:r w:rsidR="00E926B5" w:rsidRPr="00333632">
              <w:rPr>
                <w:rFonts w:ascii="Arial Narrow" w:hAnsi="Arial Narrow" w:cstheme="minorHAnsi" w:hint="eastAsia"/>
                <w:color w:val="000000"/>
                <w:w w:val="31"/>
                <w:sz w:val="20"/>
                <w:szCs w:val="20"/>
                <w:shd w:val="solid" w:color="000000" w:fill="000000"/>
                <w:fitText w:val="140" w:id="-893114367"/>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7"/>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7"/>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69B2FE5D" w14:textId="77777777" w:rsidTr="00BE6298">
        <w:trPr>
          <w:trHeight w:val="20"/>
        </w:trPr>
        <w:tc>
          <w:tcPr>
            <w:tcW w:w="710" w:type="pct"/>
          </w:tcPr>
          <w:p w14:paraId="5C666E0B" w14:textId="07F6E8DF" w:rsidR="00E0300E" w:rsidRPr="00333632" w:rsidRDefault="00E0300E"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Eligible patients for 1L </w:t>
            </w:r>
            <w:r w:rsidR="002D3236" w:rsidRPr="00333632">
              <w:rPr>
                <w:rFonts w:ascii="Arial Narrow" w:hAnsi="Arial Narrow" w:cstheme="minorHAnsi"/>
                <w:color w:val="000000"/>
                <w:sz w:val="20"/>
                <w:szCs w:val="20"/>
              </w:rPr>
              <w:t>zanubrutinib</w:t>
            </w:r>
          </w:p>
        </w:tc>
        <w:tc>
          <w:tcPr>
            <w:tcW w:w="1882" w:type="pct"/>
            <w:shd w:val="clear" w:color="auto" w:fill="DBE5F1" w:themeFill="accent1" w:themeFillTint="33"/>
          </w:tcPr>
          <w:p w14:paraId="2ED1B909" w14:textId="7D94CAE2" w:rsidR="00B91505" w:rsidRPr="00333632" w:rsidRDefault="00B91505"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Estimated by applying the following PBS eligibility</w:t>
            </w:r>
            <w:r w:rsidR="00F12C1E" w:rsidRPr="00333632">
              <w:rPr>
                <w:rFonts w:ascii="Arial Narrow" w:hAnsi="Arial Narrow" w:cstheme="minorHAnsi"/>
                <w:color w:val="000000"/>
                <w:sz w:val="20"/>
                <w:szCs w:val="20"/>
              </w:rPr>
              <w:t xml:space="preserve"> to the incident WM</w:t>
            </w:r>
            <w:r w:rsidR="000C0E56" w:rsidRPr="00333632">
              <w:rPr>
                <w:rFonts w:ascii="Arial Narrow" w:hAnsi="Arial Narrow" w:cstheme="minorHAnsi"/>
                <w:color w:val="000000"/>
                <w:sz w:val="20"/>
                <w:szCs w:val="20"/>
              </w:rPr>
              <w:t xml:space="preserve"> patient numbers</w:t>
            </w:r>
            <w:r w:rsidRPr="00333632">
              <w:rPr>
                <w:rFonts w:ascii="Arial Narrow" w:hAnsi="Arial Narrow" w:cstheme="minorHAnsi"/>
                <w:color w:val="000000"/>
                <w:sz w:val="20"/>
                <w:szCs w:val="20"/>
              </w:rPr>
              <w:t>:</w:t>
            </w:r>
          </w:p>
          <w:p w14:paraId="3EB46BEE" w14:textId="68B50F53" w:rsidR="00B91505" w:rsidRPr="00333632" w:rsidRDefault="00B91505" w:rsidP="00333632">
            <w:pPr>
              <w:pStyle w:val="ListParagraph"/>
              <w:numPr>
                <w:ilvl w:val="0"/>
                <w:numId w:val="13"/>
              </w:numPr>
              <w:suppressLineNumbers/>
              <w:suppressAutoHyphens/>
              <w:spacing w:after="0"/>
              <w:ind w:left="113" w:hanging="113"/>
              <w:contextualSpacing/>
              <w:rPr>
                <w:rFonts w:ascii="Arial Narrow" w:hAnsi="Arial Narrow" w:cstheme="minorHAnsi"/>
                <w:color w:val="000000"/>
                <w:sz w:val="20"/>
                <w:szCs w:val="20"/>
              </w:rPr>
            </w:pPr>
            <w:r w:rsidRPr="00333632">
              <w:rPr>
                <w:rFonts w:ascii="Arial Narrow" w:hAnsi="Arial Narrow" w:cstheme="minorHAnsi"/>
                <w:color w:val="000000"/>
                <w:sz w:val="20"/>
                <w:szCs w:val="20"/>
              </w:rPr>
              <w:t>% treated (70-80%) - sponsor’s market research (increased over time)</w:t>
            </w:r>
          </w:p>
          <w:p w14:paraId="60987E27" w14:textId="76D60C7F" w:rsidR="00E0300E" w:rsidRPr="00333632" w:rsidRDefault="00B91505" w:rsidP="00333632">
            <w:pPr>
              <w:pStyle w:val="ListParagraph"/>
              <w:numPr>
                <w:ilvl w:val="0"/>
                <w:numId w:val="13"/>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xml:space="preserve">% </w:t>
            </w:r>
            <w:r w:rsidR="00F12C1E" w:rsidRPr="00333632">
              <w:rPr>
                <w:rFonts w:ascii="Arial Narrow" w:hAnsi="Arial Narrow" w:cstheme="minorHAnsi"/>
                <w:color w:val="000000"/>
                <w:sz w:val="20"/>
                <w:szCs w:val="20"/>
              </w:rPr>
              <w:t>chemo</w:t>
            </w:r>
            <w:r w:rsidR="00C11784" w:rsidRPr="00333632">
              <w:rPr>
                <w:rFonts w:ascii="Arial Narrow" w:hAnsi="Arial Narrow" w:cstheme="minorHAnsi"/>
                <w:color w:val="000000"/>
                <w:sz w:val="20"/>
                <w:szCs w:val="20"/>
              </w:rPr>
              <w:t>-</w:t>
            </w:r>
            <w:r w:rsidR="00F12C1E" w:rsidRPr="00333632">
              <w:rPr>
                <w:rFonts w:ascii="Arial Narrow" w:hAnsi="Arial Narrow" w:cstheme="minorHAnsi"/>
                <w:color w:val="000000"/>
                <w:sz w:val="20"/>
                <w:szCs w:val="20"/>
              </w:rPr>
              <w:t xml:space="preserve">immunotherapy ineligible </w:t>
            </w:r>
            <w:r w:rsidRPr="00333632">
              <w:rPr>
                <w:rFonts w:ascii="Arial Narrow" w:hAnsi="Arial Narrow" w:cstheme="minorHAnsi"/>
                <w:color w:val="000000"/>
                <w:sz w:val="20"/>
                <w:szCs w:val="20"/>
              </w:rPr>
              <w:t>(30%) - sponsor’s market research</w:t>
            </w:r>
          </w:p>
        </w:tc>
        <w:tc>
          <w:tcPr>
            <w:tcW w:w="471" w:type="pct"/>
            <w:shd w:val="clear" w:color="auto" w:fill="DBE5F1" w:themeFill="accent1" w:themeFillTint="33"/>
          </w:tcPr>
          <w:p w14:paraId="3AF14CD4" w14:textId="4B53B45A"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1: </w:t>
            </w:r>
            <w:r w:rsidR="00E926B5" w:rsidRPr="00333632">
              <w:rPr>
                <w:rFonts w:ascii="Arial Narrow" w:hAnsi="Arial Narrow" w:cstheme="minorHAnsi"/>
                <w:color w:val="000000"/>
                <w:spacing w:val="104"/>
                <w:sz w:val="20"/>
                <w:szCs w:val="20"/>
                <w:shd w:val="solid" w:color="000000" w:fill="000000"/>
                <w:fitText w:val="190" w:id="-893114366"/>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6"/>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561D2367" w14:textId="73D1180A"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2: </w:t>
            </w:r>
            <w:r w:rsidR="00E926B5" w:rsidRPr="00333632">
              <w:rPr>
                <w:rFonts w:ascii="Arial Narrow" w:hAnsi="Arial Narrow" w:cstheme="minorHAnsi"/>
                <w:color w:val="000000"/>
                <w:spacing w:val="104"/>
                <w:sz w:val="20"/>
                <w:szCs w:val="20"/>
                <w:shd w:val="solid" w:color="000000" w:fill="000000"/>
                <w:fitText w:val="190" w:id="-893114365"/>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5"/>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36E3FDB6" w14:textId="576C76C1"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3: </w:t>
            </w:r>
            <w:r w:rsidR="00E926B5" w:rsidRPr="00333632">
              <w:rPr>
                <w:rFonts w:ascii="Arial Narrow" w:hAnsi="Arial Narrow" w:cstheme="minorHAnsi"/>
                <w:color w:val="000000"/>
                <w:spacing w:val="104"/>
                <w:sz w:val="20"/>
                <w:szCs w:val="20"/>
                <w:shd w:val="solid" w:color="000000" w:fill="000000"/>
                <w:fitText w:val="190" w:id="-893114364"/>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4"/>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6388FA0B" w14:textId="5E23EC7B"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4: </w:t>
            </w:r>
            <w:r w:rsidR="00E926B5" w:rsidRPr="00333632">
              <w:rPr>
                <w:rFonts w:ascii="Arial Narrow" w:hAnsi="Arial Narrow" w:cstheme="minorHAnsi"/>
                <w:color w:val="000000"/>
                <w:spacing w:val="104"/>
                <w:sz w:val="20"/>
                <w:szCs w:val="20"/>
                <w:shd w:val="solid" w:color="000000" w:fill="000000"/>
                <w:fitText w:val="190" w:id="-893114363"/>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3"/>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18ED6A6A" w14:textId="79FC0F52"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5: </w:t>
            </w:r>
            <w:r w:rsidR="00E926B5" w:rsidRPr="00333632">
              <w:rPr>
                <w:rFonts w:ascii="Arial Narrow" w:hAnsi="Arial Narrow" w:cstheme="minorHAnsi"/>
                <w:color w:val="000000"/>
                <w:spacing w:val="104"/>
                <w:sz w:val="20"/>
                <w:szCs w:val="20"/>
                <w:shd w:val="solid" w:color="000000" w:fill="000000"/>
                <w:fitText w:val="190" w:id="-893114362"/>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2"/>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552C760F" w14:textId="30911717"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6: </w:t>
            </w:r>
            <w:r w:rsidR="00E926B5" w:rsidRPr="00333632">
              <w:rPr>
                <w:rFonts w:ascii="Arial Narrow" w:hAnsi="Arial Narrow" w:cstheme="minorHAnsi"/>
                <w:color w:val="000000"/>
                <w:spacing w:val="104"/>
                <w:sz w:val="20"/>
                <w:szCs w:val="20"/>
                <w:shd w:val="solid" w:color="000000" w:fill="000000"/>
                <w:fitText w:val="190" w:id="-893114361"/>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1"/>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25B9F9C3" w14:textId="7627B6E2" w:rsidR="00E0300E" w:rsidRPr="00333632" w:rsidRDefault="00C11784"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No change </w:t>
            </w:r>
          </w:p>
        </w:tc>
        <w:tc>
          <w:tcPr>
            <w:tcW w:w="444" w:type="pct"/>
          </w:tcPr>
          <w:p w14:paraId="083B6C55" w14:textId="0ECF46D1"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1: </w:t>
            </w:r>
            <w:r w:rsidR="00E926B5"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0"/>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6AB79EA4" w14:textId="50B7F831"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2: </w:t>
            </w:r>
            <w:r w:rsidR="00E926B5" w:rsidRPr="00333632">
              <w:rPr>
                <w:rFonts w:ascii="Arial Narrow" w:hAnsi="Arial Narrow" w:cstheme="minorHAnsi" w:hint="eastAsia"/>
                <w:color w:val="000000"/>
                <w:w w:val="31"/>
                <w:sz w:val="20"/>
                <w:szCs w:val="20"/>
                <w:shd w:val="solid" w:color="000000" w:fill="000000"/>
                <w:fitText w:val="140" w:id="-893114359"/>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9"/>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9"/>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214DE866" w14:textId="59992179"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3: </w:t>
            </w:r>
            <w:r w:rsidR="00E926B5" w:rsidRPr="00333632">
              <w:rPr>
                <w:rFonts w:ascii="Arial Narrow" w:hAnsi="Arial Narrow" w:cstheme="minorHAnsi" w:hint="eastAsia"/>
                <w:color w:val="000000"/>
                <w:w w:val="31"/>
                <w:sz w:val="20"/>
                <w:szCs w:val="20"/>
                <w:shd w:val="solid" w:color="000000" w:fill="000000"/>
                <w:fitText w:val="140" w:id="-893114358"/>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8"/>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8"/>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44D95D55" w14:textId="5A6C9DE2"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4: </w:t>
            </w:r>
            <w:r w:rsidR="00E926B5" w:rsidRPr="00333632">
              <w:rPr>
                <w:rFonts w:ascii="Arial Narrow" w:hAnsi="Arial Narrow" w:cstheme="minorHAnsi" w:hint="eastAsia"/>
                <w:color w:val="000000"/>
                <w:w w:val="31"/>
                <w:sz w:val="20"/>
                <w:szCs w:val="20"/>
                <w:shd w:val="solid" w:color="000000" w:fill="000000"/>
                <w:fitText w:val="140" w:id="-893114357"/>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7"/>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7"/>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61DE5C45" w14:textId="3867BA09"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5: </w:t>
            </w:r>
            <w:r w:rsidR="00E926B5" w:rsidRPr="00333632">
              <w:rPr>
                <w:rFonts w:ascii="Arial Narrow" w:hAnsi="Arial Narrow" w:cstheme="minorHAnsi" w:hint="eastAsia"/>
                <w:color w:val="000000"/>
                <w:w w:val="31"/>
                <w:sz w:val="20"/>
                <w:szCs w:val="20"/>
                <w:shd w:val="solid" w:color="000000" w:fill="000000"/>
                <w:fitText w:val="140" w:id="-893114356"/>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6"/>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6"/>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6AAF7F49" w14:textId="5F1AF900"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6: </w:t>
            </w:r>
            <w:r w:rsidR="00E926B5" w:rsidRPr="00333632">
              <w:rPr>
                <w:rFonts w:ascii="Arial Narrow" w:hAnsi="Arial Narrow" w:cstheme="minorHAnsi" w:hint="eastAsia"/>
                <w:color w:val="000000"/>
                <w:w w:val="31"/>
                <w:sz w:val="20"/>
                <w:szCs w:val="20"/>
                <w:shd w:val="solid" w:color="000000" w:fill="000000"/>
                <w:fitText w:val="140" w:id="-893114355"/>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5"/>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5"/>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38723B9C" w14:textId="77777777" w:rsidTr="00BE6298">
        <w:trPr>
          <w:cantSplit/>
          <w:trHeight w:val="20"/>
        </w:trPr>
        <w:tc>
          <w:tcPr>
            <w:tcW w:w="710" w:type="pct"/>
          </w:tcPr>
          <w:p w14:paraId="3B364719" w14:textId="03F8876F" w:rsidR="00571802" w:rsidRPr="00333632" w:rsidRDefault="00571802"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lastRenderedPageBreak/>
              <w:t>Total 1L patients</w:t>
            </w:r>
            <w:r w:rsidR="001A42DC" w:rsidRPr="00333632">
              <w:rPr>
                <w:rFonts w:ascii="Arial Narrow" w:hAnsi="Arial Narrow" w:cstheme="minorHAnsi"/>
                <w:color w:val="000000"/>
                <w:sz w:val="20"/>
                <w:szCs w:val="20"/>
              </w:rPr>
              <w:t xml:space="preserve"> initiating zanubrutinib</w:t>
            </w:r>
          </w:p>
        </w:tc>
        <w:tc>
          <w:tcPr>
            <w:tcW w:w="1882" w:type="pct"/>
            <w:shd w:val="clear" w:color="auto" w:fill="DBE5F1" w:themeFill="accent1" w:themeFillTint="33"/>
          </w:tcPr>
          <w:p w14:paraId="5B09E90E" w14:textId="1E0785C7" w:rsidR="00C11784" w:rsidRPr="00333632" w:rsidRDefault="00C11784"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Uptake to Year 3 (75-87%) - sponsor’s market research (increase over time)</w:t>
            </w:r>
          </w:p>
          <w:p w14:paraId="2C5255FC" w14:textId="35B43D02" w:rsidR="00571802" w:rsidRPr="00333632" w:rsidRDefault="00C11784"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Uptake for Years 4-6 (</w:t>
            </w:r>
            <w:r w:rsidRPr="00333632">
              <w:rPr>
                <w:rFonts w:ascii="Arial Narrow" w:hAnsi="Arial Narrow"/>
                <w:sz w:val="20"/>
                <w:szCs w:val="20"/>
              </w:rPr>
              <w:t>95%) -</w:t>
            </w:r>
            <w:r w:rsidRPr="00333632">
              <w:rPr>
                <w:rFonts w:ascii="Arial Narrow" w:hAnsi="Arial Narrow" w:cstheme="minorHAnsi"/>
                <w:color w:val="000000"/>
                <w:sz w:val="20"/>
                <w:szCs w:val="20"/>
              </w:rPr>
              <w:t>assumed patient preference for oral therapy</w:t>
            </w:r>
          </w:p>
        </w:tc>
        <w:tc>
          <w:tcPr>
            <w:tcW w:w="471" w:type="pct"/>
            <w:shd w:val="clear" w:color="auto" w:fill="DBE5F1" w:themeFill="accent1" w:themeFillTint="33"/>
          </w:tcPr>
          <w:p w14:paraId="3D19A4FF" w14:textId="7836E147" w:rsidR="00B91505" w:rsidRPr="00333632" w:rsidRDefault="00B9150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1: </w:t>
            </w:r>
            <w:r w:rsidR="00E926B5" w:rsidRPr="00333632">
              <w:rPr>
                <w:rFonts w:ascii="Arial Narrow" w:hAnsi="Arial Narrow" w:cstheme="minorHAnsi"/>
                <w:color w:val="000000"/>
                <w:spacing w:val="104"/>
                <w:sz w:val="20"/>
                <w:szCs w:val="20"/>
                <w:shd w:val="solid" w:color="000000" w:fill="000000"/>
                <w:fitText w:val="190" w:id="-893114354"/>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4"/>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1BDB98DD" w14:textId="680E152A" w:rsidR="00B91505" w:rsidRPr="00333632" w:rsidRDefault="00B9150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2: </w:t>
            </w:r>
            <w:r w:rsidR="00E926B5" w:rsidRPr="00333632">
              <w:rPr>
                <w:rFonts w:ascii="Arial Narrow" w:hAnsi="Arial Narrow" w:cstheme="minorHAnsi"/>
                <w:color w:val="000000"/>
                <w:spacing w:val="104"/>
                <w:sz w:val="20"/>
                <w:szCs w:val="20"/>
                <w:shd w:val="solid" w:color="000000" w:fill="000000"/>
                <w:fitText w:val="190" w:id="-893114353"/>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3"/>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52842209" w14:textId="55A00479" w:rsidR="00B91505" w:rsidRPr="00333632" w:rsidRDefault="00B9150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3: </w:t>
            </w:r>
            <w:r w:rsidR="00E926B5" w:rsidRPr="00333632">
              <w:rPr>
                <w:rFonts w:ascii="Arial Narrow" w:hAnsi="Arial Narrow" w:cstheme="minorHAnsi"/>
                <w:color w:val="000000"/>
                <w:spacing w:val="104"/>
                <w:sz w:val="20"/>
                <w:szCs w:val="20"/>
                <w:shd w:val="solid" w:color="000000" w:fill="000000"/>
                <w:fitText w:val="190" w:id="-893114352"/>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2"/>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321AA59C" w14:textId="5E6A5A16" w:rsidR="00B91505" w:rsidRPr="00333632" w:rsidRDefault="00B9150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4: </w:t>
            </w:r>
            <w:r w:rsidR="00E926B5" w:rsidRPr="00333632">
              <w:rPr>
                <w:rFonts w:ascii="Arial Narrow" w:hAnsi="Arial Narrow" w:cstheme="minorHAnsi"/>
                <w:color w:val="000000"/>
                <w:spacing w:val="104"/>
                <w:sz w:val="20"/>
                <w:szCs w:val="20"/>
                <w:shd w:val="solid" w:color="000000" w:fill="000000"/>
                <w:fitText w:val="190" w:id="-893114368"/>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8"/>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4350328E" w14:textId="51F2FF9C" w:rsidR="00B91505" w:rsidRPr="00333632" w:rsidRDefault="00B9150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5: </w:t>
            </w:r>
            <w:r w:rsidR="00E926B5" w:rsidRPr="00333632">
              <w:rPr>
                <w:rFonts w:ascii="Arial Narrow" w:hAnsi="Arial Narrow" w:cstheme="minorHAnsi"/>
                <w:color w:val="000000"/>
                <w:spacing w:val="104"/>
                <w:sz w:val="20"/>
                <w:szCs w:val="20"/>
                <w:shd w:val="solid" w:color="000000" w:fill="000000"/>
                <w:fitText w:val="190" w:id="-893114367"/>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7"/>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6DB97E75" w14:textId="7CF6A4E2" w:rsidR="00571802" w:rsidRPr="00333632" w:rsidRDefault="00B9150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6: </w:t>
            </w:r>
            <w:r w:rsidR="00E926B5" w:rsidRPr="00333632">
              <w:rPr>
                <w:rFonts w:ascii="Arial Narrow" w:hAnsi="Arial Narrow" w:cstheme="minorHAnsi"/>
                <w:color w:val="000000"/>
                <w:spacing w:val="104"/>
                <w:sz w:val="20"/>
                <w:szCs w:val="20"/>
                <w:shd w:val="solid" w:color="000000" w:fill="000000"/>
                <w:fitText w:val="190" w:id="-893114366"/>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6"/>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00354D83" w14:textId="2425F4F1" w:rsidR="00571802" w:rsidRPr="00333632" w:rsidRDefault="00EC55A9"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No change</w:t>
            </w:r>
          </w:p>
        </w:tc>
        <w:tc>
          <w:tcPr>
            <w:tcW w:w="444" w:type="pct"/>
          </w:tcPr>
          <w:p w14:paraId="0A839B19" w14:textId="5E892261" w:rsidR="00B91505" w:rsidRPr="00C71633" w:rsidRDefault="00B91505"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1: </w:t>
            </w:r>
            <w:r w:rsidR="00E926B5" w:rsidRPr="00333632">
              <w:rPr>
                <w:rFonts w:ascii="Arial Narrow" w:hAnsi="Arial Narrow" w:cstheme="minorHAnsi" w:hint="eastAsia"/>
                <w:color w:val="000000"/>
                <w:w w:val="31"/>
                <w:sz w:val="20"/>
                <w:szCs w:val="20"/>
                <w:shd w:val="solid" w:color="000000" w:fill="000000"/>
                <w:fitText w:val="140" w:id="-893114365"/>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5"/>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5"/>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75E1D38A" w14:textId="77926549" w:rsidR="00B91505" w:rsidRPr="00C71633" w:rsidRDefault="00B91505"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2: </w:t>
            </w:r>
            <w:r w:rsidR="00E926B5" w:rsidRPr="00333632">
              <w:rPr>
                <w:rFonts w:ascii="Arial Narrow" w:hAnsi="Arial Narrow" w:cstheme="minorHAnsi" w:hint="eastAsia"/>
                <w:color w:val="000000"/>
                <w:w w:val="31"/>
                <w:sz w:val="20"/>
                <w:szCs w:val="20"/>
                <w:shd w:val="solid" w:color="000000" w:fill="000000"/>
                <w:fitText w:val="140" w:id="-893114364"/>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4"/>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4"/>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737D3D94" w14:textId="121DBE95" w:rsidR="00B91505" w:rsidRPr="00C71633" w:rsidRDefault="00B91505"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3: </w:t>
            </w:r>
            <w:r w:rsidR="00E926B5" w:rsidRPr="00333632">
              <w:rPr>
                <w:rFonts w:ascii="Arial Narrow" w:hAnsi="Arial Narrow" w:cstheme="minorHAnsi" w:hint="eastAsia"/>
                <w:color w:val="000000"/>
                <w:w w:val="31"/>
                <w:sz w:val="20"/>
                <w:szCs w:val="20"/>
                <w:shd w:val="solid" w:color="000000" w:fill="000000"/>
                <w:fitText w:val="140" w:id="-893114363"/>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3"/>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3"/>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26B05F10" w14:textId="31739DA9" w:rsidR="00B91505" w:rsidRPr="00C71633" w:rsidRDefault="00B91505"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4: </w:t>
            </w:r>
            <w:r w:rsidR="00E926B5" w:rsidRPr="00333632">
              <w:rPr>
                <w:rFonts w:ascii="Arial Narrow" w:hAnsi="Arial Narrow" w:cstheme="minorHAnsi" w:hint="eastAsia"/>
                <w:color w:val="000000"/>
                <w:w w:val="31"/>
                <w:sz w:val="20"/>
                <w:szCs w:val="20"/>
                <w:shd w:val="solid" w:color="000000" w:fill="000000"/>
                <w:fitText w:val="140" w:id="-893114362"/>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2"/>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2"/>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573BABDF" w14:textId="07582F63" w:rsidR="00B91505" w:rsidRPr="00C71633" w:rsidRDefault="00B91505"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5: </w:t>
            </w:r>
            <w:r w:rsidR="00E926B5" w:rsidRPr="00333632">
              <w:rPr>
                <w:rFonts w:ascii="Arial Narrow" w:hAnsi="Arial Narrow" w:cstheme="minorHAnsi" w:hint="eastAsia"/>
                <w:color w:val="000000"/>
                <w:w w:val="31"/>
                <w:sz w:val="20"/>
                <w:szCs w:val="20"/>
                <w:shd w:val="solid" w:color="000000" w:fill="000000"/>
                <w:fitText w:val="140" w:id="-893114361"/>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1"/>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1"/>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17EB4993" w14:textId="17E97D58" w:rsidR="00571802" w:rsidRPr="00C71633" w:rsidRDefault="00B91505"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6: </w:t>
            </w:r>
            <w:r w:rsidR="00E926B5"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0"/>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E0300E" w:rsidRPr="00C71633" w14:paraId="2359594B" w14:textId="77777777" w:rsidTr="00BE6298">
        <w:trPr>
          <w:trHeight w:val="20"/>
        </w:trPr>
        <w:tc>
          <w:tcPr>
            <w:tcW w:w="5000" w:type="pct"/>
            <w:gridSpan w:val="5"/>
          </w:tcPr>
          <w:p w14:paraId="018696F1" w14:textId="3F2FC03E" w:rsidR="00E0300E" w:rsidRPr="00333632" w:rsidRDefault="003C065E" w:rsidP="00333632">
            <w:pPr>
              <w:suppressLineNumbers/>
              <w:suppressAutoHyphens/>
              <w:jc w:val="left"/>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Relapsed/refractory (2L+) </w:t>
            </w:r>
            <w:r w:rsidR="00E0300E" w:rsidRPr="00333632">
              <w:rPr>
                <w:rFonts w:ascii="Arial Narrow" w:hAnsi="Arial Narrow" w:cstheme="minorHAnsi"/>
                <w:b/>
                <w:bCs/>
                <w:color w:val="000000"/>
                <w:sz w:val="20"/>
                <w:szCs w:val="20"/>
              </w:rPr>
              <w:t>– incident patients</w:t>
            </w:r>
            <w:r w:rsidR="0062503E" w:rsidRPr="00333632">
              <w:rPr>
                <w:rFonts w:ascii="Arial Narrow" w:hAnsi="Arial Narrow" w:cstheme="minorHAnsi"/>
                <w:b/>
                <w:bCs/>
                <w:color w:val="000000"/>
                <w:sz w:val="20"/>
                <w:szCs w:val="20"/>
              </w:rPr>
              <w:t xml:space="preserve"> (Years 2-6)</w:t>
            </w:r>
          </w:p>
        </w:tc>
      </w:tr>
      <w:tr w:rsidR="00BE6298" w:rsidRPr="00C71633" w14:paraId="684A4021" w14:textId="77777777" w:rsidTr="00BE6298">
        <w:trPr>
          <w:trHeight w:val="20"/>
        </w:trPr>
        <w:tc>
          <w:tcPr>
            <w:tcW w:w="710" w:type="pct"/>
          </w:tcPr>
          <w:p w14:paraId="35C35F80" w14:textId="4CA05D7C" w:rsidR="00E0300E" w:rsidRPr="00333632" w:rsidRDefault="00E0300E"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Incident WM patients </w:t>
            </w:r>
            <w:r w:rsidR="000C0E56" w:rsidRPr="00333632">
              <w:rPr>
                <w:rFonts w:ascii="Arial Narrow" w:hAnsi="Arial Narrow" w:cstheme="minorHAnsi"/>
                <w:color w:val="000000"/>
                <w:sz w:val="20"/>
                <w:szCs w:val="20"/>
              </w:rPr>
              <w:t>diagnosed 2</w:t>
            </w:r>
            <w:r w:rsidR="00403EC7" w:rsidRPr="00333632">
              <w:rPr>
                <w:rFonts w:ascii="Arial Narrow" w:hAnsi="Arial Narrow" w:cstheme="minorHAnsi"/>
                <w:color w:val="000000"/>
                <w:sz w:val="20"/>
                <w:szCs w:val="20"/>
              </w:rPr>
              <w:t xml:space="preserve"> years</w:t>
            </w:r>
            <w:r w:rsidR="000C0E56" w:rsidRPr="00333632">
              <w:rPr>
                <w:rFonts w:ascii="Arial Narrow" w:hAnsi="Arial Narrow" w:cstheme="minorHAnsi"/>
                <w:color w:val="000000"/>
                <w:sz w:val="20"/>
                <w:szCs w:val="20"/>
              </w:rPr>
              <w:t xml:space="preserve"> prior</w:t>
            </w:r>
          </w:p>
        </w:tc>
        <w:tc>
          <w:tcPr>
            <w:tcW w:w="1882" w:type="pct"/>
            <w:shd w:val="clear" w:color="auto" w:fill="DBE5F1" w:themeFill="accent1" w:themeFillTint="33"/>
          </w:tcPr>
          <w:p w14:paraId="23337AE5" w14:textId="7BC1BDB5" w:rsidR="00E0300E" w:rsidRPr="00333632" w:rsidRDefault="004C6770"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Estimated using incident WM patients from two years prior to the year of interest from Year 2 onwards.</w:t>
            </w:r>
          </w:p>
        </w:tc>
        <w:tc>
          <w:tcPr>
            <w:tcW w:w="471" w:type="pct"/>
            <w:shd w:val="clear" w:color="auto" w:fill="DBE5F1" w:themeFill="accent1" w:themeFillTint="33"/>
          </w:tcPr>
          <w:p w14:paraId="30882CFC" w14:textId="423F1ECF"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2: </w:t>
            </w:r>
            <w:r w:rsidR="00E926B5" w:rsidRPr="00333632">
              <w:rPr>
                <w:rFonts w:ascii="Arial Narrow" w:hAnsi="Arial Narrow" w:cstheme="minorHAnsi"/>
                <w:color w:val="000000"/>
                <w:spacing w:val="104"/>
                <w:sz w:val="20"/>
                <w:szCs w:val="20"/>
                <w:shd w:val="solid" w:color="000000" w:fill="000000"/>
                <w:fitText w:val="190" w:id="-893114359"/>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9"/>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73329C01" w14:textId="6F9B8A04"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3: </w:t>
            </w:r>
            <w:r w:rsidR="00E926B5" w:rsidRPr="00333632">
              <w:rPr>
                <w:rFonts w:ascii="Arial Narrow" w:hAnsi="Arial Narrow" w:cstheme="minorHAnsi"/>
                <w:color w:val="000000"/>
                <w:spacing w:val="104"/>
                <w:sz w:val="20"/>
                <w:szCs w:val="20"/>
                <w:shd w:val="solid" w:color="000000" w:fill="000000"/>
                <w:fitText w:val="190" w:id="-893114358"/>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8"/>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7797D81B" w14:textId="6E73CA5A"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4: </w:t>
            </w:r>
            <w:r w:rsidR="00E926B5" w:rsidRPr="00333632">
              <w:rPr>
                <w:rFonts w:ascii="Arial Narrow" w:hAnsi="Arial Narrow" w:cstheme="minorHAnsi"/>
                <w:color w:val="000000"/>
                <w:spacing w:val="104"/>
                <w:sz w:val="20"/>
                <w:szCs w:val="20"/>
                <w:shd w:val="solid" w:color="000000" w:fill="000000"/>
                <w:fitText w:val="190" w:id="-893114357"/>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7"/>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174A8CDB" w14:textId="35B4455A"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5: </w:t>
            </w:r>
            <w:r w:rsidR="00E926B5" w:rsidRPr="00333632">
              <w:rPr>
                <w:rFonts w:ascii="Arial Narrow" w:hAnsi="Arial Narrow" w:cstheme="minorHAnsi"/>
                <w:color w:val="000000"/>
                <w:spacing w:val="104"/>
                <w:sz w:val="20"/>
                <w:szCs w:val="20"/>
                <w:shd w:val="solid" w:color="000000" w:fill="000000"/>
                <w:fitText w:val="190" w:id="-893114356"/>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6"/>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08FE66A1" w14:textId="136096CD"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6: </w:t>
            </w:r>
            <w:r w:rsidR="00E926B5" w:rsidRPr="00333632">
              <w:rPr>
                <w:rFonts w:ascii="Arial Narrow" w:hAnsi="Arial Narrow" w:cstheme="minorHAnsi"/>
                <w:color w:val="000000"/>
                <w:spacing w:val="104"/>
                <w:sz w:val="20"/>
                <w:szCs w:val="20"/>
                <w:shd w:val="solid" w:color="000000" w:fill="000000"/>
                <w:fitText w:val="190" w:id="-893114355"/>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5"/>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22B3F440" w14:textId="22DC4D23" w:rsidR="00E0300E" w:rsidRPr="00333632" w:rsidRDefault="00395C55"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No change </w:t>
            </w:r>
          </w:p>
        </w:tc>
        <w:tc>
          <w:tcPr>
            <w:tcW w:w="444" w:type="pct"/>
          </w:tcPr>
          <w:p w14:paraId="4D5796A3" w14:textId="4F84D74E"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2: </w:t>
            </w:r>
            <w:r w:rsidR="00E926B5" w:rsidRPr="00333632">
              <w:rPr>
                <w:rFonts w:ascii="Arial Narrow" w:hAnsi="Arial Narrow" w:cstheme="minorHAnsi" w:hint="eastAsia"/>
                <w:color w:val="000000"/>
                <w:w w:val="31"/>
                <w:sz w:val="20"/>
                <w:szCs w:val="20"/>
                <w:shd w:val="solid" w:color="000000" w:fill="000000"/>
                <w:fitText w:val="140" w:id="-893114354"/>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4"/>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4"/>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343AC175" w14:textId="4B072CE6"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3: </w:t>
            </w:r>
            <w:r w:rsidR="00E926B5" w:rsidRPr="00333632">
              <w:rPr>
                <w:rFonts w:ascii="Arial Narrow" w:hAnsi="Arial Narrow" w:cstheme="minorHAnsi" w:hint="eastAsia"/>
                <w:color w:val="000000"/>
                <w:w w:val="31"/>
                <w:sz w:val="20"/>
                <w:szCs w:val="20"/>
                <w:shd w:val="solid" w:color="000000" w:fill="000000"/>
                <w:fitText w:val="140" w:id="-893114353"/>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3"/>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3"/>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4D1C81F7" w14:textId="7E355B5E"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4: </w:t>
            </w:r>
            <w:r w:rsidR="00E926B5" w:rsidRPr="00333632">
              <w:rPr>
                <w:rFonts w:ascii="Arial Narrow" w:hAnsi="Arial Narrow" w:cstheme="minorHAnsi" w:hint="eastAsia"/>
                <w:color w:val="000000"/>
                <w:w w:val="31"/>
                <w:sz w:val="20"/>
                <w:szCs w:val="20"/>
                <w:shd w:val="solid" w:color="000000" w:fill="000000"/>
                <w:fitText w:val="140" w:id="-893114352"/>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2"/>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2"/>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59B2C01D" w14:textId="29D0769C"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5: </w:t>
            </w:r>
            <w:r w:rsidR="00E926B5" w:rsidRPr="00333632">
              <w:rPr>
                <w:rFonts w:ascii="Arial Narrow" w:hAnsi="Arial Narrow" w:cstheme="minorHAnsi" w:hint="eastAsia"/>
                <w:color w:val="000000"/>
                <w:w w:val="31"/>
                <w:sz w:val="20"/>
                <w:szCs w:val="20"/>
                <w:shd w:val="solid" w:color="000000" w:fill="000000"/>
                <w:fitText w:val="140" w:id="-893114368"/>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8"/>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8"/>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6CADF2D8" w14:textId="3779AF9B"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6: </w:t>
            </w:r>
            <w:r w:rsidR="00E926B5" w:rsidRPr="00333632">
              <w:rPr>
                <w:rFonts w:ascii="Arial Narrow" w:hAnsi="Arial Narrow" w:cstheme="minorHAnsi" w:hint="eastAsia"/>
                <w:color w:val="000000"/>
                <w:w w:val="31"/>
                <w:sz w:val="20"/>
                <w:szCs w:val="20"/>
                <w:shd w:val="solid" w:color="000000" w:fill="000000"/>
                <w:fitText w:val="140" w:id="-893114367"/>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7"/>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7"/>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3D50196E" w14:textId="77777777" w:rsidTr="00BE6298">
        <w:trPr>
          <w:trHeight w:val="20"/>
        </w:trPr>
        <w:tc>
          <w:tcPr>
            <w:tcW w:w="710" w:type="pct"/>
          </w:tcPr>
          <w:p w14:paraId="4EE0EA8E" w14:textId="37123EAA" w:rsidR="00E0300E" w:rsidRPr="00333632" w:rsidRDefault="00E0300E" w:rsidP="00333632">
            <w:pPr>
              <w:suppressLineNumbers/>
              <w:suppressAutoHyphens/>
              <w:jc w:val="left"/>
              <w:rPr>
                <w:rFonts w:ascii="Arial Narrow" w:hAnsi="Arial Narrow"/>
                <w:color w:val="000000" w:themeColor="text1"/>
                <w:sz w:val="20"/>
                <w:szCs w:val="20"/>
              </w:rPr>
            </w:pPr>
            <w:r w:rsidRPr="00333632">
              <w:rPr>
                <w:rFonts w:ascii="Arial Narrow" w:hAnsi="Arial Narrow"/>
                <w:color w:val="000000" w:themeColor="text1"/>
                <w:sz w:val="20"/>
                <w:szCs w:val="20"/>
              </w:rPr>
              <w:t xml:space="preserve">Eligible patients for 2L </w:t>
            </w:r>
            <w:r w:rsidR="002D3236" w:rsidRPr="00333632">
              <w:rPr>
                <w:rFonts w:ascii="Arial Narrow" w:hAnsi="Arial Narrow"/>
                <w:color w:val="000000" w:themeColor="text1"/>
                <w:sz w:val="20"/>
                <w:szCs w:val="20"/>
              </w:rPr>
              <w:t>zanubrutinib</w:t>
            </w:r>
          </w:p>
        </w:tc>
        <w:tc>
          <w:tcPr>
            <w:tcW w:w="1882" w:type="pct"/>
            <w:shd w:val="clear" w:color="auto" w:fill="DBE5F1" w:themeFill="accent1" w:themeFillTint="33"/>
          </w:tcPr>
          <w:p w14:paraId="1D181974" w14:textId="22D8AEE8" w:rsidR="004C6770" w:rsidRPr="00333632" w:rsidRDefault="004C6770"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Estimated by applying the following PBS eligibility to the incident WM patients diagnosed 2 years prior:</w:t>
            </w:r>
          </w:p>
          <w:p w14:paraId="72687361" w14:textId="3B158DC8" w:rsidR="004C6770" w:rsidRPr="00333632" w:rsidRDefault="004C6770" w:rsidP="00333632">
            <w:pPr>
              <w:pStyle w:val="ListParagraph"/>
              <w:numPr>
                <w:ilvl w:val="0"/>
                <w:numId w:val="14"/>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treated (70-80%) - sponsor’s market research</w:t>
            </w:r>
          </w:p>
          <w:p w14:paraId="2C1F3BFD" w14:textId="68E61A39" w:rsidR="004C6770" w:rsidRPr="00333632" w:rsidRDefault="004C6770" w:rsidP="00333632">
            <w:pPr>
              <w:pStyle w:val="ListParagraph"/>
              <w:numPr>
                <w:ilvl w:val="0"/>
                <w:numId w:val="15"/>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xml:space="preserve">% progress </w:t>
            </w:r>
            <w:r w:rsidR="005E2239" w:rsidRPr="00333632">
              <w:rPr>
                <w:rFonts w:ascii="Arial Narrow" w:hAnsi="Arial Narrow" w:cstheme="minorHAnsi"/>
                <w:color w:val="000000"/>
                <w:sz w:val="20"/>
                <w:szCs w:val="20"/>
              </w:rPr>
              <w:t xml:space="preserve">to </w:t>
            </w:r>
            <w:r w:rsidRPr="00333632">
              <w:rPr>
                <w:rFonts w:ascii="Arial Narrow" w:hAnsi="Arial Narrow" w:cstheme="minorHAnsi"/>
                <w:color w:val="000000"/>
                <w:sz w:val="20"/>
                <w:szCs w:val="20"/>
              </w:rPr>
              <w:t xml:space="preserve">2L (62%) - sponsor’s market research </w:t>
            </w:r>
          </w:p>
          <w:p w14:paraId="454D142E" w14:textId="49F54541" w:rsidR="004C6770" w:rsidRPr="00333632" w:rsidRDefault="004C6770" w:rsidP="00333632">
            <w:pPr>
              <w:pStyle w:val="ListParagraph"/>
              <w:numPr>
                <w:ilvl w:val="0"/>
                <w:numId w:val="15"/>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xml:space="preserve">% survive to 2L (90%) - Castillo et al., 2015 </w:t>
            </w:r>
          </w:p>
          <w:p w14:paraId="25931D48" w14:textId="30AD5D26" w:rsidR="00E0300E" w:rsidRPr="00333632" w:rsidRDefault="004C6770" w:rsidP="00333632">
            <w:pPr>
              <w:pStyle w:val="ListParagraph"/>
              <w:numPr>
                <w:ilvl w:val="0"/>
                <w:numId w:val="15"/>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xml:space="preserve">% BTKi naïve (80%) - </w:t>
            </w:r>
            <w:r w:rsidRPr="00333632">
              <w:rPr>
                <w:rFonts w:ascii="Arial Narrow" w:hAnsi="Arial Narrow"/>
                <w:sz w:val="20"/>
                <w:szCs w:val="20"/>
              </w:rPr>
              <w:t>sponsor’s market research</w:t>
            </w:r>
          </w:p>
        </w:tc>
        <w:tc>
          <w:tcPr>
            <w:tcW w:w="471" w:type="pct"/>
            <w:shd w:val="clear" w:color="auto" w:fill="DBE5F1" w:themeFill="accent1" w:themeFillTint="33"/>
          </w:tcPr>
          <w:p w14:paraId="30D80EE6" w14:textId="5AFB7313"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2: </w:t>
            </w:r>
            <w:r w:rsidR="00E926B5" w:rsidRPr="00333632">
              <w:rPr>
                <w:rFonts w:ascii="Arial Narrow" w:hAnsi="Arial Narrow" w:cstheme="minorHAnsi"/>
                <w:color w:val="000000"/>
                <w:spacing w:val="104"/>
                <w:sz w:val="20"/>
                <w:szCs w:val="20"/>
                <w:shd w:val="solid" w:color="000000" w:fill="000000"/>
                <w:fitText w:val="190" w:id="-893114366"/>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6"/>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6BC04AEB" w14:textId="5DE03A02"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3: </w:t>
            </w:r>
            <w:r w:rsidR="00E926B5" w:rsidRPr="00333632">
              <w:rPr>
                <w:rFonts w:ascii="Arial Narrow" w:hAnsi="Arial Narrow" w:cstheme="minorHAnsi"/>
                <w:color w:val="000000"/>
                <w:spacing w:val="104"/>
                <w:sz w:val="20"/>
                <w:szCs w:val="20"/>
                <w:shd w:val="solid" w:color="000000" w:fill="000000"/>
                <w:fitText w:val="190" w:id="-893114365"/>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5"/>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4B071082" w14:textId="2FD81E58"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4: </w:t>
            </w:r>
            <w:r w:rsidR="00E926B5" w:rsidRPr="00333632">
              <w:rPr>
                <w:rFonts w:ascii="Arial Narrow" w:hAnsi="Arial Narrow" w:cstheme="minorHAnsi"/>
                <w:color w:val="000000"/>
                <w:spacing w:val="104"/>
                <w:sz w:val="20"/>
                <w:szCs w:val="20"/>
                <w:shd w:val="solid" w:color="000000" w:fill="000000"/>
                <w:fitText w:val="190" w:id="-893114364"/>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4"/>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69111DDF" w14:textId="49E52787"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5: </w:t>
            </w:r>
            <w:r w:rsidR="00E926B5" w:rsidRPr="00333632">
              <w:rPr>
                <w:rFonts w:ascii="Arial Narrow" w:hAnsi="Arial Narrow" w:cstheme="minorHAnsi"/>
                <w:color w:val="000000"/>
                <w:spacing w:val="104"/>
                <w:sz w:val="20"/>
                <w:szCs w:val="20"/>
                <w:shd w:val="solid" w:color="000000" w:fill="000000"/>
                <w:fitText w:val="190" w:id="-893114363"/>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3"/>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17D728E1" w14:textId="6EBE4C54"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6: </w:t>
            </w:r>
            <w:r w:rsidR="00E926B5" w:rsidRPr="00333632">
              <w:rPr>
                <w:rFonts w:ascii="Arial Narrow" w:hAnsi="Arial Narrow" w:cstheme="minorHAnsi"/>
                <w:color w:val="000000"/>
                <w:spacing w:val="104"/>
                <w:sz w:val="20"/>
                <w:szCs w:val="20"/>
                <w:shd w:val="solid" w:color="000000" w:fill="000000"/>
                <w:fitText w:val="190" w:id="-893114362"/>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2"/>
                <w14:textFill>
                  <w14:solidFill>
                    <w14:srgbClr w14:val="000000">
                      <w14:alpha w14:val="100000"/>
                    </w14:srgbClr>
                  </w14:solidFill>
                </w14:textFill>
              </w:rPr>
              <w:t>|</w:t>
            </w:r>
            <w:r w:rsidR="005B4A90" w:rsidRPr="00333632">
              <w:rPr>
                <w:rFonts w:ascii="Arial Narrow" w:hAnsi="Arial Narrow" w:cstheme="minorHAnsi"/>
                <w:color w:val="000000"/>
                <w:sz w:val="20"/>
                <w:szCs w:val="20"/>
                <w:vertAlign w:val="superscript"/>
              </w:rPr>
              <w:t>1</w:t>
            </w:r>
          </w:p>
        </w:tc>
        <w:tc>
          <w:tcPr>
            <w:tcW w:w="1493" w:type="pct"/>
          </w:tcPr>
          <w:p w14:paraId="3447EB6C" w14:textId="37992743" w:rsidR="00E0300E" w:rsidRPr="00333632" w:rsidRDefault="00395C55"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Updated % survive to 2L (100%) - </w:t>
            </w:r>
            <w:r w:rsidR="009F1CDA" w:rsidRPr="00333632">
              <w:rPr>
                <w:rFonts w:ascii="Arial Narrow" w:hAnsi="Arial Narrow" w:cstheme="minorHAnsi"/>
                <w:color w:val="000000"/>
                <w:sz w:val="20"/>
                <w:szCs w:val="20"/>
              </w:rPr>
              <w:t xml:space="preserve">AIHW 2023a and </w:t>
            </w:r>
            <w:r w:rsidRPr="00333632">
              <w:rPr>
                <w:rFonts w:ascii="Arial Narrow" w:hAnsi="Arial Narrow" w:cstheme="minorHAnsi"/>
                <w:color w:val="000000"/>
                <w:sz w:val="20"/>
                <w:szCs w:val="20"/>
              </w:rPr>
              <w:t>Castillo et al., 2015</w:t>
            </w:r>
          </w:p>
        </w:tc>
        <w:tc>
          <w:tcPr>
            <w:tcW w:w="444" w:type="pct"/>
          </w:tcPr>
          <w:p w14:paraId="22598853" w14:textId="1A7E3FE2"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2: </w:t>
            </w:r>
            <w:r w:rsidR="00E926B5" w:rsidRPr="00333632">
              <w:rPr>
                <w:rFonts w:ascii="Arial Narrow" w:hAnsi="Arial Narrow" w:cstheme="minorHAnsi" w:hint="eastAsia"/>
                <w:color w:val="000000"/>
                <w:w w:val="31"/>
                <w:sz w:val="20"/>
                <w:szCs w:val="20"/>
                <w:shd w:val="solid" w:color="000000" w:fill="000000"/>
                <w:fitText w:val="140" w:id="-893114361"/>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1"/>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1"/>
                <w14:textFill>
                  <w14:solidFill>
                    <w14:srgbClr w14:val="000000">
                      <w14:alpha w14:val="100000"/>
                    </w14:srgbClr>
                  </w14:solidFill>
                </w14:textFill>
              </w:rPr>
              <w:t xml:space="preserve">　</w:t>
            </w:r>
            <w:r w:rsidR="00EB5775" w:rsidRPr="00687558">
              <w:rPr>
                <w:rFonts w:ascii="Arial Narrow" w:hAnsi="Arial Narrow" w:cstheme="minorHAnsi"/>
                <w:color w:val="000000"/>
                <w:sz w:val="20"/>
                <w:szCs w:val="20"/>
                <w:vertAlign w:val="superscript"/>
              </w:rPr>
              <w:t>1</w:t>
            </w:r>
          </w:p>
          <w:p w14:paraId="5FCFAE2B" w14:textId="1AB860A5"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3: </w:t>
            </w:r>
            <w:r w:rsidR="00E926B5"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0"/>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3D59958B" w14:textId="79BD707E"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4: </w:t>
            </w:r>
            <w:r w:rsidR="00E926B5" w:rsidRPr="00333632">
              <w:rPr>
                <w:rFonts w:ascii="Arial Narrow" w:hAnsi="Arial Narrow" w:cstheme="minorHAnsi" w:hint="eastAsia"/>
                <w:color w:val="000000"/>
                <w:w w:val="31"/>
                <w:sz w:val="20"/>
                <w:szCs w:val="20"/>
                <w:shd w:val="solid" w:color="000000" w:fill="000000"/>
                <w:fitText w:val="140" w:id="-893114359"/>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9"/>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9"/>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30CABAE2" w14:textId="6AEF96E4"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5: </w:t>
            </w:r>
            <w:r w:rsidR="00E926B5" w:rsidRPr="00333632">
              <w:rPr>
                <w:rFonts w:ascii="Arial Narrow" w:hAnsi="Arial Narrow" w:cstheme="minorHAnsi" w:hint="eastAsia"/>
                <w:color w:val="000000"/>
                <w:w w:val="31"/>
                <w:sz w:val="20"/>
                <w:szCs w:val="20"/>
                <w:shd w:val="solid" w:color="000000" w:fill="000000"/>
                <w:fitText w:val="140" w:id="-893114358"/>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8"/>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8"/>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461F641A" w14:textId="3391A619" w:rsidR="00E0300E" w:rsidRPr="00C71633" w:rsidRDefault="00E0300E"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6: </w:t>
            </w:r>
            <w:r w:rsidR="00E926B5" w:rsidRPr="00333632">
              <w:rPr>
                <w:rFonts w:ascii="Arial Narrow" w:hAnsi="Arial Narrow" w:cstheme="minorHAnsi" w:hint="eastAsia"/>
                <w:color w:val="000000"/>
                <w:w w:val="31"/>
                <w:sz w:val="20"/>
                <w:szCs w:val="20"/>
                <w:shd w:val="solid" w:color="000000" w:fill="000000"/>
                <w:fitText w:val="140" w:id="-893114357"/>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57"/>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57"/>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6A431261" w14:textId="77777777" w:rsidTr="00BE6298">
        <w:trPr>
          <w:trHeight w:val="20"/>
        </w:trPr>
        <w:tc>
          <w:tcPr>
            <w:tcW w:w="710" w:type="pct"/>
          </w:tcPr>
          <w:p w14:paraId="05A85995" w14:textId="3ED54486" w:rsidR="004C6770" w:rsidRPr="00333632" w:rsidRDefault="002D24A1" w:rsidP="00333632">
            <w:pPr>
              <w:suppressLineNumbers/>
              <w:suppressAutoHyphens/>
              <w:jc w:val="left"/>
              <w:rPr>
                <w:rFonts w:ascii="Arial Narrow" w:hAnsi="Arial Narrow"/>
                <w:color w:val="000000" w:themeColor="text1"/>
                <w:sz w:val="20"/>
                <w:szCs w:val="20"/>
              </w:rPr>
            </w:pPr>
            <w:r w:rsidRPr="00333632">
              <w:rPr>
                <w:rFonts w:ascii="Arial Narrow" w:hAnsi="Arial Narrow"/>
                <w:color w:val="000000" w:themeColor="text1"/>
                <w:sz w:val="20"/>
                <w:szCs w:val="20"/>
              </w:rPr>
              <w:t xml:space="preserve">Total 2L+ patients </w:t>
            </w:r>
            <w:r w:rsidR="001A42DC" w:rsidRPr="00333632">
              <w:rPr>
                <w:rFonts w:ascii="Arial Narrow" w:hAnsi="Arial Narrow"/>
                <w:color w:val="000000" w:themeColor="text1"/>
                <w:sz w:val="20"/>
                <w:szCs w:val="20"/>
              </w:rPr>
              <w:t>initiating zanubrutinib</w:t>
            </w:r>
            <w:r w:rsidR="004F2340" w:rsidRPr="00333632">
              <w:rPr>
                <w:rFonts w:ascii="Arial Narrow" w:hAnsi="Arial Narrow"/>
                <w:color w:val="000000" w:themeColor="text1"/>
                <w:sz w:val="20"/>
                <w:szCs w:val="20"/>
              </w:rPr>
              <w:t xml:space="preserve"> from Year 2 onwards</w:t>
            </w:r>
          </w:p>
        </w:tc>
        <w:tc>
          <w:tcPr>
            <w:tcW w:w="1882" w:type="pct"/>
            <w:shd w:val="clear" w:color="auto" w:fill="DBE5F1" w:themeFill="accent1" w:themeFillTint="33"/>
          </w:tcPr>
          <w:p w14:paraId="667801FC" w14:textId="68CFD753" w:rsidR="002D24A1" w:rsidRPr="00333632" w:rsidRDefault="002D24A1"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Uptake to Year 2-3 (85%-87%) - sponsor’s market research (increase over time)</w:t>
            </w:r>
          </w:p>
          <w:p w14:paraId="26816F1D" w14:textId="24F0FCC9" w:rsidR="004C6770" w:rsidRPr="00333632" w:rsidRDefault="002D24A1"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Uptake for Years 4-6 (95%) -assumed patient preference for oral therapy</w:t>
            </w:r>
          </w:p>
        </w:tc>
        <w:tc>
          <w:tcPr>
            <w:tcW w:w="471" w:type="pct"/>
            <w:shd w:val="clear" w:color="auto" w:fill="DBE5F1" w:themeFill="accent1" w:themeFillTint="33"/>
          </w:tcPr>
          <w:p w14:paraId="5FC04489" w14:textId="1E4CA6C3" w:rsidR="002D24A1" w:rsidRPr="00333632" w:rsidRDefault="002D24A1"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2: </w:t>
            </w:r>
            <w:r w:rsidR="00E926B5" w:rsidRPr="00333632">
              <w:rPr>
                <w:rFonts w:ascii="Arial Narrow" w:hAnsi="Arial Narrow" w:cstheme="minorHAnsi"/>
                <w:color w:val="000000"/>
                <w:spacing w:val="104"/>
                <w:sz w:val="20"/>
                <w:szCs w:val="20"/>
                <w:shd w:val="solid" w:color="000000" w:fill="000000"/>
                <w:fitText w:val="190" w:id="-893114356"/>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6"/>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6E121EF9" w14:textId="3795F3E6" w:rsidR="002D24A1" w:rsidRPr="00333632" w:rsidRDefault="002D24A1"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3: </w:t>
            </w:r>
            <w:r w:rsidR="00E926B5" w:rsidRPr="00333632">
              <w:rPr>
                <w:rFonts w:ascii="Arial Narrow" w:hAnsi="Arial Narrow" w:cstheme="minorHAnsi"/>
                <w:color w:val="000000"/>
                <w:spacing w:val="104"/>
                <w:sz w:val="20"/>
                <w:szCs w:val="20"/>
                <w:shd w:val="solid" w:color="000000" w:fill="000000"/>
                <w:fitText w:val="190" w:id="-893114355"/>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5"/>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483B232E" w14:textId="4D4390AB" w:rsidR="002D24A1" w:rsidRPr="00333632" w:rsidRDefault="002D24A1"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4: </w:t>
            </w:r>
            <w:r w:rsidR="00E926B5" w:rsidRPr="00333632">
              <w:rPr>
                <w:rFonts w:ascii="Arial Narrow" w:hAnsi="Arial Narrow" w:cstheme="minorHAnsi"/>
                <w:color w:val="000000"/>
                <w:spacing w:val="104"/>
                <w:sz w:val="20"/>
                <w:szCs w:val="20"/>
                <w:shd w:val="solid" w:color="000000" w:fill="000000"/>
                <w:fitText w:val="190" w:id="-893114354"/>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4"/>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1FC164C5" w14:textId="484024CE" w:rsidR="002D24A1" w:rsidRPr="00333632" w:rsidRDefault="002D24A1"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5: </w:t>
            </w:r>
            <w:r w:rsidR="00E926B5" w:rsidRPr="00333632">
              <w:rPr>
                <w:rFonts w:ascii="Arial Narrow" w:hAnsi="Arial Narrow" w:cstheme="minorHAnsi"/>
                <w:color w:val="000000"/>
                <w:spacing w:val="104"/>
                <w:sz w:val="20"/>
                <w:szCs w:val="20"/>
                <w:shd w:val="solid" w:color="000000" w:fill="000000"/>
                <w:fitText w:val="190" w:id="-893114353"/>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3"/>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p w14:paraId="4E907809" w14:textId="296C57AD" w:rsidR="004C6770" w:rsidRPr="00333632" w:rsidRDefault="002D24A1"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6: </w:t>
            </w:r>
            <w:r w:rsidR="00E926B5" w:rsidRPr="00333632">
              <w:rPr>
                <w:rFonts w:ascii="Arial Narrow" w:hAnsi="Arial Narrow" w:cstheme="minorHAnsi"/>
                <w:color w:val="000000"/>
                <w:spacing w:val="104"/>
                <w:sz w:val="20"/>
                <w:szCs w:val="20"/>
                <w:shd w:val="solid" w:color="000000" w:fill="000000"/>
                <w:fitText w:val="190" w:id="-893114352"/>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2"/>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1759DC92" w14:textId="5A2355C2" w:rsidR="004C6770" w:rsidRPr="00333632" w:rsidRDefault="00F95537"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No change </w:t>
            </w:r>
          </w:p>
        </w:tc>
        <w:tc>
          <w:tcPr>
            <w:tcW w:w="444" w:type="pct"/>
          </w:tcPr>
          <w:p w14:paraId="41A09763" w14:textId="58322037" w:rsidR="002D24A1" w:rsidRPr="00C71633" w:rsidRDefault="002D24A1"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2: </w:t>
            </w:r>
            <w:r w:rsidR="00E926B5" w:rsidRPr="00333632">
              <w:rPr>
                <w:rFonts w:ascii="Arial Narrow" w:hAnsi="Arial Narrow" w:cstheme="minorHAnsi" w:hint="eastAsia"/>
                <w:color w:val="000000"/>
                <w:w w:val="31"/>
                <w:sz w:val="20"/>
                <w:szCs w:val="20"/>
                <w:shd w:val="solid" w:color="000000" w:fill="000000"/>
                <w:fitText w:val="140" w:id="-893114368"/>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8"/>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8"/>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48DC8808" w14:textId="736702B7" w:rsidR="002D24A1" w:rsidRPr="00C71633" w:rsidRDefault="002D24A1"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3: </w:t>
            </w:r>
            <w:r w:rsidR="00E926B5" w:rsidRPr="00333632">
              <w:rPr>
                <w:rFonts w:ascii="Arial Narrow" w:hAnsi="Arial Narrow" w:cstheme="minorHAnsi" w:hint="eastAsia"/>
                <w:color w:val="000000"/>
                <w:w w:val="31"/>
                <w:sz w:val="20"/>
                <w:szCs w:val="20"/>
                <w:shd w:val="solid" w:color="000000" w:fill="000000"/>
                <w:fitText w:val="140" w:id="-893114367"/>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7"/>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7"/>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4F5B774B" w14:textId="1957D47F" w:rsidR="002D24A1" w:rsidRPr="00C71633" w:rsidRDefault="002D24A1"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4: </w:t>
            </w:r>
            <w:r w:rsidR="00E926B5" w:rsidRPr="00333632">
              <w:rPr>
                <w:rFonts w:ascii="Arial Narrow" w:hAnsi="Arial Narrow" w:cstheme="minorHAnsi" w:hint="eastAsia"/>
                <w:color w:val="000000"/>
                <w:w w:val="31"/>
                <w:sz w:val="20"/>
                <w:szCs w:val="20"/>
                <w:shd w:val="solid" w:color="000000" w:fill="000000"/>
                <w:fitText w:val="140" w:id="-893114366"/>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6"/>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6"/>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02FC50AA" w14:textId="6DC65E7D" w:rsidR="002D24A1" w:rsidRPr="00C71633" w:rsidRDefault="002D24A1"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5: </w:t>
            </w:r>
            <w:r w:rsidR="00E926B5" w:rsidRPr="00333632">
              <w:rPr>
                <w:rFonts w:ascii="Arial Narrow" w:hAnsi="Arial Narrow" w:cstheme="minorHAnsi" w:hint="eastAsia"/>
                <w:color w:val="000000"/>
                <w:w w:val="31"/>
                <w:sz w:val="20"/>
                <w:szCs w:val="20"/>
                <w:shd w:val="solid" w:color="000000" w:fill="000000"/>
                <w:fitText w:val="140" w:id="-893114365"/>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5"/>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5"/>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6D6F84B5" w14:textId="24E8AB7C" w:rsidR="004C6770" w:rsidRPr="00C71633" w:rsidRDefault="002D24A1" w:rsidP="00333632">
            <w:pPr>
              <w:suppressLineNumbers/>
              <w:suppressAutoHyphens/>
              <w:jc w:val="center"/>
              <w:rPr>
                <w:rFonts w:ascii="Arial Narrow" w:hAnsi="Arial Narrow" w:cstheme="minorHAnsi"/>
                <w:color w:val="000000"/>
                <w:sz w:val="20"/>
                <w:szCs w:val="20"/>
              </w:rPr>
            </w:pPr>
            <w:r w:rsidRPr="00C71633">
              <w:rPr>
                <w:rFonts w:ascii="Arial Narrow" w:hAnsi="Arial Narrow" w:cstheme="minorHAnsi"/>
                <w:color w:val="000000"/>
                <w:sz w:val="20"/>
                <w:szCs w:val="20"/>
              </w:rPr>
              <w:t xml:space="preserve">Yr 6: </w:t>
            </w:r>
            <w:r w:rsidR="00E926B5" w:rsidRPr="00333632">
              <w:rPr>
                <w:rFonts w:ascii="Arial Narrow" w:hAnsi="Arial Narrow" w:cstheme="minorHAnsi" w:hint="eastAsia"/>
                <w:color w:val="000000"/>
                <w:w w:val="31"/>
                <w:sz w:val="20"/>
                <w:szCs w:val="20"/>
                <w:shd w:val="solid" w:color="000000" w:fill="000000"/>
                <w:fitText w:val="140" w:id="-893114364"/>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4"/>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4"/>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E0300E" w:rsidRPr="00C71633" w14:paraId="50819057" w14:textId="77777777" w:rsidTr="00BE6298">
        <w:trPr>
          <w:trHeight w:val="20"/>
        </w:trPr>
        <w:tc>
          <w:tcPr>
            <w:tcW w:w="5000" w:type="pct"/>
            <w:gridSpan w:val="5"/>
          </w:tcPr>
          <w:p w14:paraId="4D7D06FA" w14:textId="27B9D926" w:rsidR="00E0300E" w:rsidRPr="00333632" w:rsidRDefault="003C065E" w:rsidP="00333632">
            <w:pPr>
              <w:suppressLineNumbers/>
              <w:suppressAutoHyphens/>
              <w:jc w:val="left"/>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Relapsed/refractory (2L+) </w:t>
            </w:r>
            <w:r w:rsidR="00E0300E" w:rsidRPr="00333632">
              <w:rPr>
                <w:rFonts w:ascii="Arial Narrow" w:hAnsi="Arial Narrow" w:cstheme="minorHAnsi"/>
                <w:b/>
                <w:bCs/>
                <w:color w:val="000000"/>
                <w:sz w:val="20"/>
                <w:szCs w:val="20"/>
              </w:rPr>
              <w:t>– prevalent patients (Year 1 only)</w:t>
            </w:r>
          </w:p>
        </w:tc>
      </w:tr>
      <w:tr w:rsidR="00BE6298" w:rsidRPr="00C71633" w14:paraId="19B60C58" w14:textId="77777777" w:rsidTr="00BE6298">
        <w:trPr>
          <w:trHeight w:val="20"/>
        </w:trPr>
        <w:tc>
          <w:tcPr>
            <w:tcW w:w="710" w:type="pct"/>
            <w:tcBorders>
              <w:top w:val="single" w:sz="4" w:space="0" w:color="000000" w:themeColor="text1"/>
              <w:left w:val="single" w:sz="4" w:space="0" w:color="000000" w:themeColor="text1"/>
              <w:right w:val="single" w:sz="4" w:space="0" w:color="000000" w:themeColor="text1"/>
            </w:tcBorders>
          </w:tcPr>
          <w:p w14:paraId="55DDB366" w14:textId="35FB5613" w:rsidR="00E0300E" w:rsidRPr="00333632" w:rsidRDefault="00E0300E" w:rsidP="00333632">
            <w:pPr>
              <w:suppressLineNumbers/>
              <w:suppressAutoHyphens/>
              <w:jc w:val="left"/>
              <w:rPr>
                <w:rFonts w:ascii="Arial Narrow" w:hAnsi="Arial Narrow"/>
                <w:color w:val="000000" w:themeColor="text1"/>
                <w:sz w:val="20"/>
                <w:szCs w:val="20"/>
              </w:rPr>
            </w:pPr>
            <w:r w:rsidRPr="00333632">
              <w:rPr>
                <w:rFonts w:ascii="Arial Narrow" w:hAnsi="Arial Narrow"/>
                <w:color w:val="000000" w:themeColor="text1"/>
                <w:sz w:val="20"/>
                <w:szCs w:val="20"/>
              </w:rPr>
              <w:t xml:space="preserve">Prevalent </w:t>
            </w:r>
            <w:r w:rsidR="00403EC7" w:rsidRPr="00333632">
              <w:rPr>
                <w:rFonts w:ascii="Arial Narrow" w:hAnsi="Arial Narrow" w:cstheme="minorHAnsi"/>
                <w:color w:val="000000"/>
                <w:sz w:val="20"/>
                <w:szCs w:val="20"/>
              </w:rPr>
              <w:t>WM</w:t>
            </w:r>
            <w:r w:rsidR="00403EC7" w:rsidRPr="00333632">
              <w:rPr>
                <w:rFonts w:ascii="Arial Narrow" w:hAnsi="Arial Narrow"/>
                <w:color w:val="000000" w:themeColor="text1"/>
                <w:sz w:val="20"/>
                <w:szCs w:val="20"/>
              </w:rPr>
              <w:t xml:space="preserve"> </w:t>
            </w:r>
            <w:r w:rsidRPr="00333632">
              <w:rPr>
                <w:rFonts w:ascii="Arial Narrow" w:hAnsi="Arial Narrow"/>
                <w:color w:val="000000" w:themeColor="text1"/>
                <w:sz w:val="20"/>
                <w:szCs w:val="20"/>
              </w:rPr>
              <w:t xml:space="preserve">patients </w:t>
            </w:r>
          </w:p>
        </w:tc>
        <w:tc>
          <w:tcPr>
            <w:tcW w:w="1882" w:type="pct"/>
            <w:shd w:val="clear" w:color="auto" w:fill="DBE5F1" w:themeFill="accent1" w:themeFillTint="33"/>
          </w:tcPr>
          <w:p w14:paraId="35383EF3" w14:textId="2292033F" w:rsidR="00E0300E" w:rsidRPr="00333632" w:rsidRDefault="001A42DC"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Calculated by </w:t>
            </w:r>
            <w:r w:rsidRPr="00333632">
              <w:rPr>
                <w:rFonts w:ascii="Arial Narrow" w:hAnsi="Arial Narrow"/>
                <w:sz w:val="20"/>
                <w:szCs w:val="20"/>
              </w:rPr>
              <w:t xml:space="preserve">Australian population in 2020 x </w:t>
            </w:r>
            <w:r w:rsidR="003E3D05" w:rsidRPr="00333632">
              <w:rPr>
                <w:rFonts w:ascii="Arial Narrow" w:hAnsi="Arial Narrow"/>
                <w:sz w:val="20"/>
                <w:szCs w:val="20"/>
              </w:rPr>
              <w:t xml:space="preserve">five-year prevalent rate of </w:t>
            </w:r>
            <w:r w:rsidRPr="00333632">
              <w:rPr>
                <w:rFonts w:ascii="Arial Narrow" w:hAnsi="Arial Narrow"/>
                <w:sz w:val="20"/>
                <w:szCs w:val="20"/>
              </w:rPr>
              <w:t>1.22</w:t>
            </w:r>
            <w:r w:rsidR="003E3D05" w:rsidRPr="00333632">
              <w:rPr>
                <w:rFonts w:ascii="Arial Narrow" w:hAnsi="Arial Narrow"/>
                <w:sz w:val="20"/>
                <w:szCs w:val="20"/>
              </w:rPr>
              <w:t xml:space="preserve"> per </w:t>
            </w:r>
            <w:r w:rsidRPr="00333632">
              <w:rPr>
                <w:rFonts w:ascii="Arial Narrow" w:hAnsi="Arial Narrow"/>
                <w:sz w:val="20"/>
                <w:szCs w:val="20"/>
              </w:rPr>
              <w:t>100</w:t>
            </w:r>
            <w:r w:rsidR="00C975A8" w:rsidRPr="00333632">
              <w:rPr>
                <w:rFonts w:ascii="Arial Narrow" w:hAnsi="Arial Narrow"/>
                <w:sz w:val="20"/>
                <w:szCs w:val="20"/>
              </w:rPr>
              <w:t>,</w:t>
            </w:r>
            <w:r w:rsidRPr="00333632">
              <w:rPr>
                <w:rFonts w:ascii="Arial Narrow" w:hAnsi="Arial Narrow"/>
                <w:sz w:val="20"/>
                <w:szCs w:val="20"/>
              </w:rPr>
              <w:t>000</w:t>
            </w:r>
          </w:p>
        </w:tc>
        <w:tc>
          <w:tcPr>
            <w:tcW w:w="471" w:type="pct"/>
            <w:shd w:val="clear" w:color="auto" w:fill="DBE5F1" w:themeFill="accent1" w:themeFillTint="33"/>
          </w:tcPr>
          <w:p w14:paraId="49D3C386" w14:textId="77BE9336" w:rsidR="00E0300E" w:rsidRPr="00333632"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pacing w:val="104"/>
                <w:sz w:val="20"/>
                <w:szCs w:val="20"/>
                <w:shd w:val="solid" w:color="000000" w:fill="000000"/>
                <w:fitText w:val="190" w:id="-893114363"/>
                <w14:textFill>
                  <w14:solidFill>
                    <w14:srgbClr w14:val="000000">
                      <w14:alpha w14:val="100000"/>
                    </w14:srgbClr>
                  </w14:solidFill>
                </w14:textFill>
              </w:rPr>
              <w:t>|</w:t>
            </w:r>
            <w:r w:rsidRPr="00333632">
              <w:rPr>
                <w:rFonts w:ascii="Arial Narrow" w:hAnsi="Arial Narrow" w:cstheme="minorHAnsi"/>
                <w:color w:val="000000"/>
                <w:sz w:val="20"/>
                <w:szCs w:val="20"/>
                <w:shd w:val="solid" w:color="000000" w:fill="000000"/>
                <w:fitText w:val="190" w:id="-893114363"/>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5C00BDF3" w14:textId="20459CD1" w:rsidR="00E0300E" w:rsidRPr="00333632" w:rsidRDefault="00C975A8"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Calculated by Australian population x ten-year prevalent rate of 3.21 per 100,000</w:t>
            </w:r>
            <w:r w:rsidR="00E4199E" w:rsidRPr="00333632">
              <w:rPr>
                <w:rFonts w:ascii="Arial Narrow" w:hAnsi="Arial Narrow" w:cstheme="minorHAnsi"/>
                <w:color w:val="000000"/>
                <w:sz w:val="20"/>
                <w:szCs w:val="20"/>
              </w:rPr>
              <w:t xml:space="preserve">, </w:t>
            </w:r>
            <w:r w:rsidR="00E4199E" w:rsidRPr="00333632">
              <w:rPr>
                <w:rFonts w:ascii="Arial Narrow" w:hAnsi="Arial Narrow" w:cstheme="minorHAnsi"/>
                <w:color w:val="000000"/>
                <w:sz w:val="20"/>
                <w:szCs w:val="20"/>
              </w:rPr>
              <w:fldChar w:fldCharType="begin" w:fldLock="1"/>
            </w:r>
            <w:r w:rsidR="00E4199E" w:rsidRPr="00333632">
              <w:rPr>
                <w:rFonts w:ascii="Arial Narrow" w:hAnsi="Arial Narrow" w:cstheme="minorHAnsi"/>
                <w:color w:val="000000"/>
                <w:sz w:val="20"/>
                <w:szCs w:val="20"/>
              </w:rPr>
              <w:instrText xml:space="preserve"> REF _Ref167883389 \h  \* MERGEFORMAT </w:instrText>
            </w:r>
            <w:r w:rsidR="00E4199E" w:rsidRPr="00333632">
              <w:rPr>
                <w:rFonts w:ascii="Arial Narrow" w:hAnsi="Arial Narrow" w:cstheme="minorHAnsi"/>
                <w:color w:val="000000"/>
                <w:sz w:val="20"/>
                <w:szCs w:val="20"/>
              </w:rPr>
            </w:r>
            <w:r w:rsidR="00E4199E" w:rsidRPr="00333632">
              <w:rPr>
                <w:rFonts w:ascii="Arial Narrow" w:hAnsi="Arial Narrow" w:cstheme="minorHAnsi"/>
                <w:color w:val="000000"/>
                <w:sz w:val="20"/>
                <w:szCs w:val="20"/>
              </w:rPr>
              <w:fldChar w:fldCharType="separate"/>
            </w:r>
            <w:r w:rsidR="00B31544" w:rsidRPr="00333632">
              <w:rPr>
                <w:rFonts w:ascii="Arial Narrow" w:hAnsi="Arial Narrow"/>
                <w:sz w:val="20"/>
                <w:szCs w:val="20"/>
              </w:rPr>
              <w:t xml:space="preserve">Table </w:t>
            </w:r>
            <w:r w:rsidR="00B31544" w:rsidRPr="00333632">
              <w:rPr>
                <w:rFonts w:ascii="Arial Narrow" w:hAnsi="Arial Narrow"/>
                <w:noProof/>
                <w:sz w:val="20"/>
                <w:szCs w:val="20"/>
              </w:rPr>
              <w:t>8</w:t>
            </w:r>
            <w:r w:rsidR="00E4199E" w:rsidRPr="00333632">
              <w:rPr>
                <w:rFonts w:ascii="Arial Narrow" w:hAnsi="Arial Narrow" w:cstheme="minorHAnsi"/>
                <w:color w:val="000000"/>
                <w:sz w:val="20"/>
                <w:szCs w:val="20"/>
              </w:rPr>
              <w:fldChar w:fldCharType="end"/>
            </w:r>
          </w:p>
        </w:tc>
        <w:tc>
          <w:tcPr>
            <w:tcW w:w="444" w:type="pct"/>
          </w:tcPr>
          <w:p w14:paraId="2383FE0D" w14:textId="55ED4C1B" w:rsidR="00E0300E" w:rsidRPr="00C71633"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hint="eastAsia"/>
                <w:color w:val="000000"/>
                <w:w w:val="31"/>
                <w:sz w:val="20"/>
                <w:szCs w:val="20"/>
                <w:shd w:val="solid" w:color="000000" w:fill="000000"/>
                <w:fitText w:val="140" w:id="-893114362"/>
                <w14:textFill>
                  <w14:solidFill>
                    <w14:srgbClr w14:val="000000">
                      <w14:alpha w14:val="100000"/>
                    </w14:srgbClr>
                  </w14:solidFill>
                </w14:textFill>
              </w:rPr>
              <w:t xml:space="preserve">　</w:t>
            </w:r>
            <w:r w:rsidRPr="00333632">
              <w:rPr>
                <w:rFonts w:ascii="Arial Narrow" w:hAnsi="Arial Narrow" w:cstheme="minorHAnsi"/>
                <w:color w:val="000000"/>
                <w:w w:val="31"/>
                <w:sz w:val="20"/>
                <w:szCs w:val="20"/>
                <w:shd w:val="solid" w:color="000000" w:fill="000000"/>
                <w:fitText w:val="140" w:id="-893114362"/>
                <w14:textFill>
                  <w14:solidFill>
                    <w14:srgbClr w14:val="000000">
                      <w14:alpha w14:val="100000"/>
                    </w14:srgbClr>
                  </w14:solidFill>
                </w14:textFill>
              </w:rPr>
              <w:t>|</w:t>
            </w:r>
            <w:r w:rsidRPr="00333632">
              <w:rPr>
                <w:rFonts w:ascii="Arial Narrow" w:hAnsi="Arial Narrow" w:cstheme="minorHAnsi" w:hint="eastAsia"/>
                <w:color w:val="000000"/>
                <w:w w:val="31"/>
                <w:sz w:val="20"/>
                <w:szCs w:val="20"/>
                <w:shd w:val="solid" w:color="000000" w:fill="000000"/>
                <w:fitText w:val="140" w:id="-893114362"/>
                <w14:textFill>
                  <w14:solidFill>
                    <w14:srgbClr w14:val="000000">
                      <w14:alpha w14:val="100000"/>
                    </w14:srgbClr>
                  </w14:solidFill>
                </w14:textFill>
              </w:rPr>
              <w:t xml:space="preserve">　</w:t>
            </w:r>
            <w:r w:rsidR="00EB5775">
              <w:rPr>
                <w:rFonts w:ascii="Arial Narrow" w:hAnsi="Arial Narrow" w:cstheme="minorHAnsi"/>
                <w:color w:val="000000"/>
                <w:sz w:val="20"/>
                <w:szCs w:val="20"/>
                <w:vertAlign w:val="superscript"/>
              </w:rPr>
              <w:t>2</w:t>
            </w:r>
          </w:p>
        </w:tc>
      </w:tr>
      <w:tr w:rsidR="00BE6298" w:rsidRPr="00C71633" w14:paraId="62571A74" w14:textId="77777777" w:rsidTr="00BE6298">
        <w:trPr>
          <w:trHeight w:val="20"/>
        </w:trPr>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34848" w14:textId="60288DB8" w:rsidR="00E0300E" w:rsidRPr="00333632" w:rsidRDefault="00583736" w:rsidP="00333632">
            <w:pPr>
              <w:suppressLineNumbers/>
              <w:suppressAutoHyphens/>
              <w:jc w:val="left"/>
              <w:rPr>
                <w:rFonts w:ascii="Arial Narrow" w:hAnsi="Arial Narrow"/>
                <w:color w:val="000000" w:themeColor="text1"/>
                <w:sz w:val="20"/>
                <w:szCs w:val="20"/>
              </w:rPr>
            </w:pPr>
            <w:r w:rsidRPr="00333632">
              <w:rPr>
                <w:rFonts w:ascii="Arial Narrow" w:hAnsi="Arial Narrow"/>
                <w:color w:val="000000" w:themeColor="text1"/>
                <w:sz w:val="20"/>
                <w:szCs w:val="20"/>
              </w:rPr>
              <w:t>Eligible prevalent patients</w:t>
            </w:r>
          </w:p>
        </w:tc>
        <w:tc>
          <w:tcPr>
            <w:tcW w:w="1882" w:type="pct"/>
            <w:shd w:val="clear" w:color="auto" w:fill="DBE5F1" w:themeFill="accent1" w:themeFillTint="33"/>
          </w:tcPr>
          <w:p w14:paraId="38C5C02D" w14:textId="0755EA43" w:rsidR="001A42DC" w:rsidRPr="00333632" w:rsidRDefault="001A42DC"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Estimated by applying the following PBS eligibility to the </w:t>
            </w:r>
            <w:r w:rsidRPr="00333632">
              <w:rPr>
                <w:rFonts w:ascii="Arial Narrow" w:hAnsi="Arial Narrow"/>
                <w:sz w:val="20"/>
                <w:szCs w:val="20"/>
              </w:rPr>
              <w:t>p</w:t>
            </w:r>
            <w:r w:rsidRPr="00333632">
              <w:rPr>
                <w:rFonts w:ascii="Arial Narrow" w:hAnsi="Arial Narrow" w:cstheme="minorHAnsi"/>
                <w:color w:val="000000"/>
                <w:sz w:val="20"/>
                <w:szCs w:val="20"/>
              </w:rPr>
              <w:t>revalent WM patients in Year 1:</w:t>
            </w:r>
          </w:p>
          <w:p w14:paraId="156A4622" w14:textId="525C9E72" w:rsidR="001A42DC" w:rsidRPr="00333632" w:rsidRDefault="001A42DC" w:rsidP="00333632">
            <w:pPr>
              <w:pStyle w:val="ListParagraph"/>
              <w:numPr>
                <w:ilvl w:val="0"/>
                <w:numId w:val="14"/>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treated (70%) - sponsor’s market research</w:t>
            </w:r>
          </w:p>
          <w:p w14:paraId="29113A47" w14:textId="77777777" w:rsidR="001A42DC" w:rsidRPr="00333632" w:rsidRDefault="001A42DC" w:rsidP="00333632">
            <w:pPr>
              <w:pStyle w:val="ListParagraph"/>
              <w:numPr>
                <w:ilvl w:val="0"/>
                <w:numId w:val="15"/>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xml:space="preserve">% progress to 2L (62%) - sponsor’s market research </w:t>
            </w:r>
          </w:p>
          <w:p w14:paraId="14F58AEA" w14:textId="77777777" w:rsidR="001A42DC" w:rsidRPr="00333632" w:rsidRDefault="001A42DC" w:rsidP="00333632">
            <w:pPr>
              <w:pStyle w:val="ListParagraph"/>
              <w:numPr>
                <w:ilvl w:val="0"/>
                <w:numId w:val="15"/>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xml:space="preserve">% survive to 2L (90%) - Castillo et al., 2015 </w:t>
            </w:r>
          </w:p>
          <w:p w14:paraId="0388DD28" w14:textId="2ADEF3AC" w:rsidR="00E0300E" w:rsidRPr="00333632" w:rsidRDefault="001A42DC" w:rsidP="00333632">
            <w:pPr>
              <w:pStyle w:val="ListParagraph"/>
              <w:numPr>
                <w:ilvl w:val="0"/>
                <w:numId w:val="16"/>
              </w:numPr>
              <w:suppressLineNumbers/>
              <w:suppressAutoHyphens/>
              <w:spacing w:after="0"/>
              <w:ind w:left="113" w:hanging="113"/>
              <w:rPr>
                <w:rFonts w:ascii="Arial Narrow" w:hAnsi="Arial Narrow" w:cstheme="minorHAnsi"/>
                <w:color w:val="000000"/>
                <w:sz w:val="20"/>
                <w:szCs w:val="20"/>
              </w:rPr>
            </w:pPr>
            <w:r w:rsidRPr="00333632">
              <w:rPr>
                <w:rFonts w:ascii="Arial Narrow" w:hAnsi="Arial Narrow" w:cstheme="minorHAnsi"/>
                <w:color w:val="000000"/>
                <w:sz w:val="20"/>
                <w:szCs w:val="20"/>
              </w:rPr>
              <w:t xml:space="preserve">% BTKi naïve (80%) - </w:t>
            </w:r>
            <w:r w:rsidRPr="00333632">
              <w:rPr>
                <w:rFonts w:ascii="Arial Narrow" w:hAnsi="Arial Narrow"/>
                <w:sz w:val="20"/>
                <w:szCs w:val="20"/>
              </w:rPr>
              <w:t>sponsor’s market research</w:t>
            </w:r>
          </w:p>
        </w:tc>
        <w:tc>
          <w:tcPr>
            <w:tcW w:w="471" w:type="pct"/>
            <w:shd w:val="clear" w:color="auto" w:fill="DBE5F1" w:themeFill="accent1" w:themeFillTint="33"/>
          </w:tcPr>
          <w:p w14:paraId="349909B2" w14:textId="562377BD" w:rsidR="00E0300E" w:rsidRPr="00333632"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pacing w:val="104"/>
                <w:sz w:val="20"/>
                <w:szCs w:val="20"/>
                <w:shd w:val="solid" w:color="000000" w:fill="000000"/>
                <w:fitText w:val="190" w:id="-893114361"/>
                <w14:textFill>
                  <w14:solidFill>
                    <w14:srgbClr w14:val="000000">
                      <w14:alpha w14:val="100000"/>
                    </w14:srgbClr>
                  </w14:solidFill>
                </w14:textFill>
              </w:rPr>
              <w:t>|</w:t>
            </w:r>
            <w:r w:rsidRPr="00333632">
              <w:rPr>
                <w:rFonts w:ascii="Arial Narrow" w:hAnsi="Arial Narrow" w:cstheme="minorHAnsi"/>
                <w:color w:val="000000"/>
                <w:sz w:val="20"/>
                <w:szCs w:val="20"/>
                <w:shd w:val="solid" w:color="000000" w:fill="000000"/>
                <w:fitText w:val="190" w:id="-893114361"/>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6E15B40C" w14:textId="15C151B5" w:rsidR="00E0300E" w:rsidRPr="00333632" w:rsidRDefault="001A42DC"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Updated % survive to 2L (100%) - Castillo et al., 2015</w:t>
            </w:r>
          </w:p>
        </w:tc>
        <w:tc>
          <w:tcPr>
            <w:tcW w:w="444" w:type="pct"/>
            <w:shd w:val="clear" w:color="auto" w:fill="auto"/>
          </w:tcPr>
          <w:p w14:paraId="51A92E03" w14:textId="531311A2" w:rsidR="00E0300E" w:rsidRPr="00C71633"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Pr="00333632">
              <w:rPr>
                <w:rFonts w:ascii="Arial Narrow" w:hAnsi="Arial Narrow" w:cstheme="minorHAnsi"/>
                <w:color w:val="000000"/>
                <w:w w:val="31"/>
                <w:sz w:val="20"/>
                <w:szCs w:val="20"/>
                <w:shd w:val="solid" w:color="000000" w:fill="000000"/>
                <w:fitText w:val="140" w:id="-893114360"/>
                <w14:textFill>
                  <w14:solidFill>
                    <w14:srgbClr w14:val="000000">
                      <w14:alpha w14:val="100000"/>
                    </w14:srgbClr>
                  </w14:solidFill>
                </w14:textFill>
              </w:rPr>
              <w:t>|</w:t>
            </w:r>
            <w:r w:rsidRPr="00333632">
              <w:rPr>
                <w:rFonts w:ascii="Arial Narrow" w:hAnsi="Arial Narrow" w:cstheme="minorHAnsi" w:hint="eastAsia"/>
                <w:color w:val="000000"/>
                <w:w w:val="31"/>
                <w:sz w:val="20"/>
                <w:szCs w:val="20"/>
                <w:shd w:val="solid" w:color="000000" w:fill="000000"/>
                <w:fitText w:val="140" w:id="-893114360"/>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4477FE00" w14:textId="77777777" w:rsidTr="00BE6298">
        <w:trPr>
          <w:trHeight w:val="20"/>
        </w:trPr>
        <w:tc>
          <w:tcPr>
            <w:tcW w:w="710" w:type="pct"/>
          </w:tcPr>
          <w:p w14:paraId="10D8510C" w14:textId="311F12D4" w:rsidR="00E0300E" w:rsidRPr="00333632" w:rsidRDefault="00E0300E" w:rsidP="00333632">
            <w:pPr>
              <w:suppressLineNumbers/>
              <w:suppressAutoHyphens/>
              <w:jc w:val="left"/>
              <w:rPr>
                <w:rFonts w:ascii="Arial Narrow" w:hAnsi="Arial Narrow"/>
                <w:color w:val="000000" w:themeColor="text1"/>
                <w:sz w:val="20"/>
                <w:szCs w:val="20"/>
              </w:rPr>
            </w:pPr>
            <w:r w:rsidRPr="00333632">
              <w:rPr>
                <w:rFonts w:ascii="Arial Narrow" w:hAnsi="Arial Narrow"/>
                <w:color w:val="000000" w:themeColor="text1"/>
                <w:sz w:val="20"/>
                <w:szCs w:val="20"/>
              </w:rPr>
              <w:t>GF patients</w:t>
            </w:r>
          </w:p>
        </w:tc>
        <w:tc>
          <w:tcPr>
            <w:tcW w:w="1882" w:type="pct"/>
            <w:shd w:val="clear" w:color="auto" w:fill="DBE5F1" w:themeFill="accent1" w:themeFillTint="33"/>
          </w:tcPr>
          <w:p w14:paraId="55AA0629" w14:textId="32CA240D" w:rsidR="00E0300E" w:rsidRPr="00333632" w:rsidRDefault="00583736"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Estimated 100 patients to be enrolled in the early access program by 1 September 2022</w:t>
            </w:r>
            <w:r w:rsidR="00B54AB7" w:rsidRPr="00333632">
              <w:rPr>
                <w:rFonts w:ascii="Arial Narrow" w:hAnsi="Arial Narrow" w:cstheme="minorHAnsi"/>
                <w:color w:val="000000"/>
                <w:sz w:val="20"/>
                <w:szCs w:val="20"/>
              </w:rPr>
              <w:t xml:space="preserve">, assuming 100% uptake </w:t>
            </w:r>
          </w:p>
        </w:tc>
        <w:tc>
          <w:tcPr>
            <w:tcW w:w="471" w:type="pct"/>
            <w:shd w:val="clear" w:color="auto" w:fill="DBE5F1" w:themeFill="accent1" w:themeFillTint="33"/>
          </w:tcPr>
          <w:p w14:paraId="76BB33B3" w14:textId="26C3F8E5" w:rsidR="00E0300E" w:rsidRPr="00333632"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pacing w:val="104"/>
                <w:sz w:val="20"/>
                <w:szCs w:val="20"/>
                <w:shd w:val="solid" w:color="000000" w:fill="000000"/>
                <w:fitText w:val="190" w:id="-893114359"/>
                <w14:textFill>
                  <w14:solidFill>
                    <w14:srgbClr w14:val="000000">
                      <w14:alpha w14:val="100000"/>
                    </w14:srgbClr>
                  </w14:solidFill>
                </w14:textFill>
              </w:rPr>
              <w:t>|</w:t>
            </w:r>
            <w:r w:rsidRPr="00333632">
              <w:rPr>
                <w:rFonts w:ascii="Arial Narrow" w:hAnsi="Arial Narrow" w:cstheme="minorHAnsi"/>
                <w:color w:val="000000"/>
                <w:sz w:val="20"/>
                <w:szCs w:val="20"/>
                <w:shd w:val="solid" w:color="000000" w:fill="000000"/>
                <w:fitText w:val="190" w:id="-893114359"/>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06BB4DF2" w14:textId="7D185FB3" w:rsidR="00E0300E" w:rsidRPr="00333632" w:rsidRDefault="005C1AAB"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 xml:space="preserve">No change </w:t>
            </w:r>
          </w:p>
        </w:tc>
        <w:tc>
          <w:tcPr>
            <w:tcW w:w="444" w:type="pct"/>
            <w:shd w:val="clear" w:color="auto" w:fill="auto"/>
          </w:tcPr>
          <w:p w14:paraId="5AA9F063" w14:textId="7F5DC2A3" w:rsidR="00E0300E" w:rsidRPr="00C71633"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hint="eastAsia"/>
                <w:color w:val="000000"/>
                <w:w w:val="31"/>
                <w:sz w:val="20"/>
                <w:szCs w:val="20"/>
                <w:shd w:val="solid" w:color="000000" w:fill="000000"/>
                <w:fitText w:val="140" w:id="-893114358"/>
                <w14:textFill>
                  <w14:solidFill>
                    <w14:srgbClr w14:val="000000">
                      <w14:alpha w14:val="100000"/>
                    </w14:srgbClr>
                  </w14:solidFill>
                </w14:textFill>
              </w:rPr>
              <w:t xml:space="preserve">　</w:t>
            </w:r>
            <w:r w:rsidRPr="00333632">
              <w:rPr>
                <w:rFonts w:ascii="Arial Narrow" w:hAnsi="Arial Narrow" w:cstheme="minorHAnsi"/>
                <w:color w:val="000000"/>
                <w:w w:val="31"/>
                <w:sz w:val="20"/>
                <w:szCs w:val="20"/>
                <w:shd w:val="solid" w:color="000000" w:fill="000000"/>
                <w:fitText w:val="140" w:id="-893114358"/>
                <w14:textFill>
                  <w14:solidFill>
                    <w14:srgbClr w14:val="000000">
                      <w14:alpha w14:val="100000"/>
                    </w14:srgbClr>
                  </w14:solidFill>
                </w14:textFill>
              </w:rPr>
              <w:t>|</w:t>
            </w:r>
            <w:r w:rsidRPr="00333632">
              <w:rPr>
                <w:rFonts w:ascii="Arial Narrow" w:hAnsi="Arial Narrow" w:cstheme="minorHAnsi" w:hint="eastAsia"/>
                <w:color w:val="000000"/>
                <w:w w:val="31"/>
                <w:sz w:val="20"/>
                <w:szCs w:val="20"/>
                <w:shd w:val="solid" w:color="000000" w:fill="000000"/>
                <w:fitText w:val="140" w:id="-893114358"/>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31C1A930" w14:textId="77777777" w:rsidTr="00BE6298">
        <w:trPr>
          <w:trHeight w:val="20"/>
        </w:trPr>
        <w:tc>
          <w:tcPr>
            <w:tcW w:w="710" w:type="pct"/>
          </w:tcPr>
          <w:p w14:paraId="710FC19B" w14:textId="0F782490" w:rsidR="00E0300E" w:rsidRPr="00333632" w:rsidRDefault="00E0300E" w:rsidP="00333632">
            <w:pPr>
              <w:suppressLineNumbers/>
              <w:suppressAutoHyphens/>
              <w:jc w:val="left"/>
              <w:rPr>
                <w:rFonts w:ascii="Arial Narrow" w:hAnsi="Arial Narrow"/>
                <w:color w:val="000000" w:themeColor="text1"/>
                <w:sz w:val="20"/>
                <w:szCs w:val="20"/>
              </w:rPr>
            </w:pPr>
            <w:r w:rsidRPr="00333632">
              <w:rPr>
                <w:rFonts w:ascii="Arial Narrow" w:hAnsi="Arial Narrow"/>
                <w:color w:val="000000" w:themeColor="text1"/>
                <w:sz w:val="20"/>
                <w:szCs w:val="20"/>
              </w:rPr>
              <w:t>Eligible prevalent patients excl. GF</w:t>
            </w:r>
          </w:p>
        </w:tc>
        <w:tc>
          <w:tcPr>
            <w:tcW w:w="1882" w:type="pct"/>
            <w:shd w:val="clear" w:color="auto" w:fill="DBE5F1" w:themeFill="accent1" w:themeFillTint="33"/>
          </w:tcPr>
          <w:p w14:paraId="04835352" w14:textId="56D06DD8" w:rsidR="00E0300E" w:rsidRPr="00333632" w:rsidRDefault="005C1AAB" w:rsidP="00333632">
            <w:pPr>
              <w:suppressLineNumbers/>
              <w:suppressAutoHyphens/>
              <w:jc w:val="left"/>
              <w:rPr>
                <w:rFonts w:ascii="Arial Narrow" w:hAnsi="Arial Narrow" w:cstheme="minorHAnsi"/>
                <w:color w:val="000000"/>
                <w:sz w:val="20"/>
                <w:szCs w:val="20"/>
              </w:rPr>
            </w:pPr>
            <w:r w:rsidRPr="00333632">
              <w:rPr>
                <w:rFonts w:ascii="Arial Narrow" w:hAnsi="Arial Narrow"/>
                <w:color w:val="000000" w:themeColor="text1"/>
                <w:sz w:val="20"/>
                <w:szCs w:val="20"/>
              </w:rPr>
              <w:t>Calculated by eligible prevalent patient numbers less GF patients</w:t>
            </w:r>
          </w:p>
        </w:tc>
        <w:tc>
          <w:tcPr>
            <w:tcW w:w="471" w:type="pct"/>
            <w:shd w:val="clear" w:color="auto" w:fill="DBE5F1" w:themeFill="accent1" w:themeFillTint="33"/>
          </w:tcPr>
          <w:p w14:paraId="3D201594" w14:textId="512AB038" w:rsidR="00E0300E" w:rsidRPr="00333632"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pacing w:val="104"/>
                <w:sz w:val="20"/>
                <w:szCs w:val="20"/>
                <w:shd w:val="solid" w:color="000000" w:fill="000000"/>
                <w:fitText w:val="190" w:id="-893114357"/>
                <w14:textFill>
                  <w14:solidFill>
                    <w14:srgbClr w14:val="000000">
                      <w14:alpha w14:val="100000"/>
                    </w14:srgbClr>
                  </w14:solidFill>
                </w14:textFill>
              </w:rPr>
              <w:t>|</w:t>
            </w:r>
            <w:r w:rsidRPr="00333632">
              <w:rPr>
                <w:rFonts w:ascii="Arial Narrow" w:hAnsi="Arial Narrow" w:cstheme="minorHAnsi"/>
                <w:color w:val="000000"/>
                <w:sz w:val="20"/>
                <w:szCs w:val="20"/>
                <w:shd w:val="solid" w:color="000000" w:fill="000000"/>
                <w:fitText w:val="190" w:id="-893114357"/>
                <w14:textFill>
                  <w14:solidFill>
                    <w14:srgbClr w14:val="000000">
                      <w14:alpha w14:val="100000"/>
                    </w14:srgbClr>
                  </w14:solidFill>
                </w14:textFill>
              </w:rPr>
              <w:t>|</w:t>
            </w:r>
            <w:r w:rsidR="009D1121" w:rsidRPr="00333632">
              <w:rPr>
                <w:rFonts w:ascii="Arial Narrow" w:hAnsi="Arial Narrow" w:cstheme="minorHAnsi"/>
                <w:color w:val="000000"/>
                <w:sz w:val="20"/>
                <w:szCs w:val="20"/>
                <w:vertAlign w:val="superscript"/>
              </w:rPr>
              <w:t>1</w:t>
            </w:r>
          </w:p>
        </w:tc>
        <w:tc>
          <w:tcPr>
            <w:tcW w:w="1493" w:type="pct"/>
          </w:tcPr>
          <w:p w14:paraId="12E8AFBA" w14:textId="3C2AC1E0" w:rsidR="00E0300E" w:rsidRPr="00333632" w:rsidRDefault="005C1AAB" w:rsidP="00333632">
            <w:pPr>
              <w:suppressLineNumbers/>
              <w:suppressAutoHyphens/>
              <w:jc w:val="left"/>
              <w:rPr>
                <w:rFonts w:ascii="Arial Narrow" w:hAnsi="Arial Narrow" w:cstheme="minorHAnsi"/>
                <w:color w:val="000000"/>
                <w:sz w:val="20"/>
                <w:szCs w:val="20"/>
              </w:rPr>
            </w:pPr>
            <w:r w:rsidRPr="00333632">
              <w:rPr>
                <w:rFonts w:ascii="Arial Narrow" w:hAnsi="Arial Narrow"/>
                <w:color w:val="000000" w:themeColor="text1"/>
                <w:sz w:val="20"/>
                <w:szCs w:val="20"/>
              </w:rPr>
              <w:t>Calculated by eligible prevalent patient numbers less GF patients</w:t>
            </w:r>
            <w:r w:rsidR="00B54AB7" w:rsidRPr="00333632">
              <w:rPr>
                <w:rFonts w:ascii="Arial Narrow" w:hAnsi="Arial Narrow"/>
                <w:color w:val="000000" w:themeColor="text1"/>
                <w:sz w:val="20"/>
                <w:szCs w:val="20"/>
              </w:rPr>
              <w:t>, and then applied a 75% up</w:t>
            </w:r>
            <w:r w:rsidR="002F582F" w:rsidRPr="00333632">
              <w:rPr>
                <w:rFonts w:ascii="Arial Narrow" w:hAnsi="Arial Narrow"/>
                <w:color w:val="000000" w:themeColor="text1"/>
                <w:sz w:val="20"/>
                <w:szCs w:val="20"/>
              </w:rPr>
              <w:t>t</w:t>
            </w:r>
            <w:r w:rsidR="00B54AB7" w:rsidRPr="00333632">
              <w:rPr>
                <w:rFonts w:ascii="Arial Narrow" w:hAnsi="Arial Narrow"/>
                <w:color w:val="000000" w:themeColor="text1"/>
                <w:sz w:val="20"/>
                <w:szCs w:val="20"/>
              </w:rPr>
              <w:t>a</w:t>
            </w:r>
            <w:r w:rsidR="002F582F" w:rsidRPr="00333632">
              <w:rPr>
                <w:rFonts w:ascii="Arial Narrow" w:hAnsi="Arial Narrow"/>
                <w:color w:val="000000" w:themeColor="text1"/>
                <w:sz w:val="20"/>
                <w:szCs w:val="20"/>
              </w:rPr>
              <w:t>k</w:t>
            </w:r>
            <w:r w:rsidR="00B54AB7" w:rsidRPr="00333632">
              <w:rPr>
                <w:rFonts w:ascii="Arial Narrow" w:hAnsi="Arial Narrow"/>
                <w:color w:val="000000" w:themeColor="text1"/>
                <w:sz w:val="20"/>
                <w:szCs w:val="20"/>
              </w:rPr>
              <w:t xml:space="preserve">e rate </w:t>
            </w:r>
          </w:p>
        </w:tc>
        <w:tc>
          <w:tcPr>
            <w:tcW w:w="444" w:type="pct"/>
            <w:shd w:val="clear" w:color="auto" w:fill="auto"/>
          </w:tcPr>
          <w:p w14:paraId="03AA27B3" w14:textId="769BA0B6" w:rsidR="00E0300E" w:rsidRPr="00C71633" w:rsidRDefault="00E926B5"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hint="eastAsia"/>
                <w:color w:val="000000"/>
                <w:w w:val="31"/>
                <w:sz w:val="20"/>
                <w:szCs w:val="20"/>
                <w:shd w:val="solid" w:color="000000" w:fill="000000"/>
                <w:fitText w:val="140" w:id="-893114356"/>
                <w14:textFill>
                  <w14:solidFill>
                    <w14:srgbClr w14:val="000000">
                      <w14:alpha w14:val="100000"/>
                    </w14:srgbClr>
                  </w14:solidFill>
                </w14:textFill>
              </w:rPr>
              <w:t xml:space="preserve">　</w:t>
            </w:r>
            <w:r w:rsidRPr="00333632">
              <w:rPr>
                <w:rFonts w:ascii="Arial Narrow" w:hAnsi="Arial Narrow" w:cstheme="minorHAnsi"/>
                <w:color w:val="000000"/>
                <w:w w:val="31"/>
                <w:sz w:val="20"/>
                <w:szCs w:val="20"/>
                <w:shd w:val="solid" w:color="000000" w:fill="000000"/>
                <w:fitText w:val="140" w:id="-893114356"/>
                <w14:textFill>
                  <w14:solidFill>
                    <w14:srgbClr w14:val="000000">
                      <w14:alpha w14:val="100000"/>
                    </w14:srgbClr>
                  </w14:solidFill>
                </w14:textFill>
              </w:rPr>
              <w:t>|</w:t>
            </w:r>
            <w:r w:rsidRPr="00333632">
              <w:rPr>
                <w:rFonts w:ascii="Arial Narrow" w:hAnsi="Arial Narrow" w:cstheme="minorHAnsi" w:hint="eastAsia"/>
                <w:color w:val="000000"/>
                <w:w w:val="31"/>
                <w:sz w:val="20"/>
                <w:szCs w:val="20"/>
                <w:shd w:val="solid" w:color="000000" w:fill="000000"/>
                <w:fitText w:val="140" w:id="-893114356"/>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33EAA73F" w14:textId="77777777" w:rsidTr="00BE6298">
        <w:trPr>
          <w:cantSplit/>
          <w:trHeight w:val="20"/>
        </w:trPr>
        <w:tc>
          <w:tcPr>
            <w:tcW w:w="710" w:type="pct"/>
          </w:tcPr>
          <w:p w14:paraId="14947D1B" w14:textId="554DEF1F" w:rsidR="00E0300E" w:rsidRPr="00333632" w:rsidRDefault="00E0300E" w:rsidP="00333632">
            <w:pPr>
              <w:suppressLineNumbers/>
              <w:suppressAutoHyphens/>
              <w:jc w:val="left"/>
              <w:rPr>
                <w:rFonts w:ascii="Arial Narrow" w:hAnsi="Arial Narrow"/>
                <w:color w:val="000000" w:themeColor="text1"/>
                <w:sz w:val="20"/>
                <w:szCs w:val="20"/>
              </w:rPr>
            </w:pPr>
            <w:r w:rsidRPr="00333632">
              <w:rPr>
                <w:rFonts w:ascii="Arial Narrow" w:hAnsi="Arial Narrow"/>
                <w:color w:val="000000" w:themeColor="text1"/>
                <w:sz w:val="20"/>
                <w:szCs w:val="20"/>
              </w:rPr>
              <w:lastRenderedPageBreak/>
              <w:t xml:space="preserve">Total </w:t>
            </w:r>
            <w:r w:rsidR="004F5A34" w:rsidRPr="00333632">
              <w:rPr>
                <w:rFonts w:ascii="Arial Narrow" w:hAnsi="Arial Narrow"/>
                <w:color w:val="000000" w:themeColor="text1"/>
                <w:sz w:val="20"/>
                <w:szCs w:val="20"/>
              </w:rPr>
              <w:t>WM patients initiating zanubrutinib</w:t>
            </w:r>
          </w:p>
        </w:tc>
        <w:tc>
          <w:tcPr>
            <w:tcW w:w="1882" w:type="pct"/>
            <w:shd w:val="clear" w:color="auto" w:fill="DBE5F1" w:themeFill="accent1" w:themeFillTint="33"/>
          </w:tcPr>
          <w:p w14:paraId="1F904044" w14:textId="6973EEF0" w:rsidR="00E0300E" w:rsidRPr="00333632" w:rsidRDefault="00B97470"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The sum of 1L and 2L+ patients, including GF patients.</w:t>
            </w:r>
            <w:r w:rsidR="001F096A" w:rsidRPr="00333632">
              <w:rPr>
                <w:rFonts w:ascii="Arial Narrow" w:hAnsi="Arial Narrow" w:cstheme="minorHAnsi"/>
                <w:color w:val="000000"/>
                <w:sz w:val="20"/>
                <w:szCs w:val="20"/>
              </w:rPr>
              <w:t>-</w:t>
            </w:r>
            <w:r w:rsidR="001F096A" w:rsidRPr="00333632">
              <w:rPr>
                <w:rFonts w:ascii="Arial Narrow" w:hAnsi="Arial Narrow"/>
                <w:sz w:val="20"/>
                <w:szCs w:val="20"/>
              </w:rPr>
              <w:t xml:space="preserve"> e</w:t>
            </w:r>
            <w:r w:rsidR="001F096A" w:rsidRPr="00333632">
              <w:rPr>
                <w:rFonts w:ascii="Arial Narrow" w:hAnsi="Arial Narrow" w:cstheme="minorHAnsi"/>
                <w:color w:val="000000"/>
                <w:sz w:val="20"/>
                <w:szCs w:val="20"/>
              </w:rPr>
              <w:t xml:space="preserve">stimated number of patients </w:t>
            </w:r>
            <w:r w:rsidR="005C3CFC" w:rsidRPr="00333632">
              <w:rPr>
                <w:rFonts w:ascii="Arial Narrow" w:hAnsi="Arial Narrow" w:cstheme="minorHAnsi"/>
                <w:color w:val="000000"/>
                <w:sz w:val="20"/>
                <w:szCs w:val="20"/>
              </w:rPr>
              <w:t xml:space="preserve">initiating zanubrutinib </w:t>
            </w:r>
            <w:r w:rsidR="001F096A" w:rsidRPr="00333632">
              <w:rPr>
                <w:rFonts w:ascii="Arial Narrow" w:hAnsi="Arial Narrow" w:cstheme="minorHAnsi"/>
                <w:color w:val="000000"/>
                <w:sz w:val="20"/>
                <w:szCs w:val="20"/>
              </w:rPr>
              <w:t>was revised in the March 2022 pre-PBAC response, accounting for 100 GF patients.</w:t>
            </w:r>
          </w:p>
        </w:tc>
        <w:tc>
          <w:tcPr>
            <w:tcW w:w="471" w:type="pct"/>
            <w:shd w:val="clear" w:color="auto" w:fill="DBE5F1" w:themeFill="accent1" w:themeFillTint="33"/>
          </w:tcPr>
          <w:p w14:paraId="4D2916FE" w14:textId="69C9506C"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1: </w:t>
            </w:r>
            <w:r w:rsidR="00E926B5" w:rsidRPr="00333632">
              <w:rPr>
                <w:rFonts w:ascii="Arial Narrow" w:hAnsi="Arial Narrow" w:cstheme="minorHAnsi"/>
                <w:color w:val="000000"/>
                <w:spacing w:val="104"/>
                <w:sz w:val="20"/>
                <w:szCs w:val="20"/>
                <w:shd w:val="solid" w:color="000000" w:fill="000000"/>
                <w:fitText w:val="190" w:id="-893114355"/>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5"/>
                <w14:textFill>
                  <w14:solidFill>
                    <w14:srgbClr w14:val="000000">
                      <w14:alpha w14:val="100000"/>
                    </w14:srgbClr>
                  </w14:solidFill>
                </w14:textFill>
              </w:rPr>
              <w:t>|</w:t>
            </w:r>
            <w:r w:rsidR="005B4A90" w:rsidRPr="00333632">
              <w:rPr>
                <w:rFonts w:ascii="Arial Narrow" w:hAnsi="Arial Narrow" w:cstheme="minorHAnsi"/>
                <w:color w:val="000000"/>
                <w:sz w:val="20"/>
                <w:szCs w:val="20"/>
                <w:vertAlign w:val="superscript"/>
              </w:rPr>
              <w:t>1</w:t>
            </w:r>
          </w:p>
          <w:p w14:paraId="3C63EFC1" w14:textId="1F48C88F"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2: </w:t>
            </w:r>
            <w:r w:rsidR="00E926B5" w:rsidRPr="00333632">
              <w:rPr>
                <w:rFonts w:ascii="Arial Narrow" w:hAnsi="Arial Narrow" w:cstheme="minorHAnsi"/>
                <w:color w:val="000000"/>
                <w:spacing w:val="104"/>
                <w:sz w:val="20"/>
                <w:szCs w:val="20"/>
                <w:shd w:val="solid" w:color="000000" w:fill="000000"/>
                <w:fitText w:val="190" w:id="-893114354"/>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4"/>
                <w14:textFill>
                  <w14:solidFill>
                    <w14:srgbClr w14:val="000000">
                      <w14:alpha w14:val="100000"/>
                    </w14:srgbClr>
                  </w14:solidFill>
                </w14:textFill>
              </w:rPr>
              <w:t>|</w:t>
            </w:r>
            <w:r w:rsidR="005B4A90" w:rsidRPr="00333632">
              <w:rPr>
                <w:rFonts w:ascii="Arial Narrow" w:hAnsi="Arial Narrow" w:cstheme="minorHAnsi"/>
                <w:color w:val="000000"/>
                <w:sz w:val="20"/>
                <w:szCs w:val="20"/>
                <w:vertAlign w:val="superscript"/>
              </w:rPr>
              <w:t>1</w:t>
            </w:r>
          </w:p>
          <w:p w14:paraId="60F1A504" w14:textId="4A1C4BF2"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3: </w:t>
            </w:r>
            <w:r w:rsidR="00E926B5" w:rsidRPr="00333632">
              <w:rPr>
                <w:rFonts w:ascii="Arial Narrow" w:hAnsi="Arial Narrow" w:cstheme="minorHAnsi"/>
                <w:color w:val="000000"/>
                <w:spacing w:val="104"/>
                <w:sz w:val="20"/>
                <w:szCs w:val="20"/>
                <w:shd w:val="solid" w:color="000000" w:fill="000000"/>
                <w:fitText w:val="190" w:id="-893114353"/>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3"/>
                <w14:textFill>
                  <w14:solidFill>
                    <w14:srgbClr w14:val="000000">
                      <w14:alpha w14:val="100000"/>
                    </w14:srgbClr>
                  </w14:solidFill>
                </w14:textFill>
              </w:rPr>
              <w:t>|</w:t>
            </w:r>
            <w:r w:rsidR="005B4A90" w:rsidRPr="00333632">
              <w:rPr>
                <w:rFonts w:ascii="Arial Narrow" w:hAnsi="Arial Narrow" w:cstheme="minorHAnsi"/>
                <w:color w:val="000000"/>
                <w:sz w:val="20"/>
                <w:szCs w:val="20"/>
                <w:vertAlign w:val="superscript"/>
              </w:rPr>
              <w:t>1</w:t>
            </w:r>
          </w:p>
          <w:p w14:paraId="3154657E" w14:textId="75C8C99B"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4: </w:t>
            </w:r>
            <w:r w:rsidR="00E926B5" w:rsidRPr="00333632">
              <w:rPr>
                <w:rFonts w:ascii="Arial Narrow" w:hAnsi="Arial Narrow" w:cstheme="minorHAnsi"/>
                <w:color w:val="000000"/>
                <w:spacing w:val="104"/>
                <w:sz w:val="20"/>
                <w:szCs w:val="20"/>
                <w:shd w:val="solid" w:color="000000" w:fill="000000"/>
                <w:fitText w:val="190" w:id="-893114352"/>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52"/>
                <w14:textFill>
                  <w14:solidFill>
                    <w14:srgbClr w14:val="000000">
                      <w14:alpha w14:val="100000"/>
                    </w14:srgbClr>
                  </w14:solidFill>
                </w14:textFill>
              </w:rPr>
              <w:t>|</w:t>
            </w:r>
            <w:r w:rsidR="005B4A90" w:rsidRPr="00333632">
              <w:rPr>
                <w:rFonts w:ascii="Arial Narrow" w:hAnsi="Arial Narrow" w:cstheme="minorHAnsi"/>
                <w:color w:val="000000"/>
                <w:sz w:val="20"/>
                <w:szCs w:val="20"/>
                <w:vertAlign w:val="superscript"/>
              </w:rPr>
              <w:t>1</w:t>
            </w:r>
          </w:p>
          <w:p w14:paraId="0DC660DA" w14:textId="0E17A3D5"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5: </w:t>
            </w:r>
            <w:r w:rsidR="00E926B5" w:rsidRPr="00333632">
              <w:rPr>
                <w:rFonts w:ascii="Arial Narrow" w:hAnsi="Arial Narrow" w:cstheme="minorHAnsi"/>
                <w:color w:val="000000"/>
                <w:spacing w:val="104"/>
                <w:sz w:val="20"/>
                <w:szCs w:val="20"/>
                <w:shd w:val="solid" w:color="000000" w:fill="000000"/>
                <w:fitText w:val="190" w:id="-893114368"/>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8"/>
                <w14:textFill>
                  <w14:solidFill>
                    <w14:srgbClr w14:val="000000">
                      <w14:alpha w14:val="100000"/>
                    </w14:srgbClr>
                  </w14:solidFill>
                </w14:textFill>
              </w:rPr>
              <w:t>|</w:t>
            </w:r>
            <w:r w:rsidR="005B4A90" w:rsidRPr="00333632">
              <w:rPr>
                <w:rFonts w:ascii="Arial Narrow" w:hAnsi="Arial Narrow" w:cstheme="minorHAnsi"/>
                <w:color w:val="000000"/>
                <w:sz w:val="20"/>
                <w:szCs w:val="20"/>
                <w:vertAlign w:val="superscript"/>
              </w:rPr>
              <w:t>1</w:t>
            </w:r>
          </w:p>
          <w:p w14:paraId="7BFE20CE" w14:textId="4845DBC5" w:rsidR="00E0300E" w:rsidRPr="00333632" w:rsidRDefault="00E0300E" w:rsidP="00333632">
            <w:pPr>
              <w:suppressLineNumbers/>
              <w:suppressAutoHyphens/>
              <w:jc w:val="center"/>
              <w:rPr>
                <w:rFonts w:ascii="Arial Narrow" w:hAnsi="Arial Narrow" w:cstheme="minorHAnsi"/>
                <w:color w:val="000000"/>
                <w:sz w:val="20"/>
                <w:szCs w:val="20"/>
              </w:rPr>
            </w:pPr>
            <w:r w:rsidRPr="00333632">
              <w:rPr>
                <w:rFonts w:ascii="Arial Narrow" w:hAnsi="Arial Narrow" w:cstheme="minorHAnsi"/>
                <w:color w:val="000000"/>
                <w:sz w:val="20"/>
                <w:szCs w:val="20"/>
              </w:rPr>
              <w:t xml:space="preserve">Yr 6: </w:t>
            </w:r>
            <w:r w:rsidR="00E926B5" w:rsidRPr="00333632">
              <w:rPr>
                <w:rFonts w:ascii="Arial Narrow" w:hAnsi="Arial Narrow" w:cstheme="minorHAnsi"/>
                <w:color w:val="000000"/>
                <w:spacing w:val="104"/>
                <w:sz w:val="20"/>
                <w:szCs w:val="20"/>
                <w:shd w:val="solid" w:color="000000" w:fill="000000"/>
                <w:fitText w:val="190" w:id="-893114367"/>
                <w14:textFill>
                  <w14:solidFill>
                    <w14:srgbClr w14:val="000000">
                      <w14:alpha w14:val="100000"/>
                    </w14:srgbClr>
                  </w14:solidFill>
                </w14:textFill>
              </w:rPr>
              <w:t>|</w:t>
            </w:r>
            <w:r w:rsidR="00E926B5" w:rsidRPr="00333632">
              <w:rPr>
                <w:rFonts w:ascii="Arial Narrow" w:hAnsi="Arial Narrow" w:cstheme="minorHAnsi"/>
                <w:color w:val="000000"/>
                <w:sz w:val="20"/>
                <w:szCs w:val="20"/>
                <w:shd w:val="solid" w:color="000000" w:fill="000000"/>
                <w:fitText w:val="190" w:id="-893114367"/>
                <w14:textFill>
                  <w14:solidFill>
                    <w14:srgbClr w14:val="000000">
                      <w14:alpha w14:val="100000"/>
                    </w14:srgbClr>
                  </w14:solidFill>
                </w14:textFill>
              </w:rPr>
              <w:t>|</w:t>
            </w:r>
            <w:r w:rsidR="005B4A90" w:rsidRPr="00333632">
              <w:rPr>
                <w:rFonts w:ascii="Arial Narrow" w:hAnsi="Arial Narrow" w:cstheme="minorHAnsi"/>
                <w:color w:val="000000"/>
                <w:sz w:val="20"/>
                <w:szCs w:val="20"/>
                <w:vertAlign w:val="superscript"/>
              </w:rPr>
              <w:t>1</w:t>
            </w:r>
          </w:p>
        </w:tc>
        <w:tc>
          <w:tcPr>
            <w:tcW w:w="1493" w:type="pct"/>
          </w:tcPr>
          <w:p w14:paraId="5F3D7033" w14:textId="4AE441E5" w:rsidR="00E0300E" w:rsidRPr="00333632" w:rsidRDefault="000454BA"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The sum of 1L and 2L+ patients, including GF patients.</w:t>
            </w:r>
          </w:p>
        </w:tc>
        <w:tc>
          <w:tcPr>
            <w:tcW w:w="444" w:type="pct"/>
          </w:tcPr>
          <w:p w14:paraId="65DFBE8A" w14:textId="38281662" w:rsidR="00E0300E" w:rsidRPr="005C3CFC" w:rsidRDefault="00E0300E" w:rsidP="00333632">
            <w:pPr>
              <w:suppressLineNumbers/>
              <w:suppressAutoHyphens/>
              <w:jc w:val="center"/>
              <w:rPr>
                <w:rFonts w:ascii="Arial Narrow" w:hAnsi="Arial Narrow" w:cstheme="minorHAnsi"/>
                <w:color w:val="000000"/>
                <w:sz w:val="20"/>
                <w:szCs w:val="20"/>
              </w:rPr>
            </w:pPr>
            <w:r w:rsidRPr="005C3CFC">
              <w:rPr>
                <w:rFonts w:ascii="Arial Narrow" w:hAnsi="Arial Narrow" w:cstheme="minorHAnsi"/>
                <w:color w:val="000000"/>
                <w:sz w:val="20"/>
                <w:szCs w:val="20"/>
              </w:rPr>
              <w:t xml:space="preserve">Yr 1: </w:t>
            </w:r>
            <w:r w:rsidR="00E926B5" w:rsidRPr="00333632">
              <w:rPr>
                <w:rFonts w:ascii="Arial Narrow" w:hAnsi="Arial Narrow" w:cstheme="minorHAnsi" w:hint="eastAsia"/>
                <w:color w:val="000000"/>
                <w:w w:val="31"/>
                <w:sz w:val="20"/>
                <w:szCs w:val="20"/>
                <w:shd w:val="solid" w:color="000000" w:fill="000000"/>
                <w:fitText w:val="140" w:id="-893114366"/>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6"/>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6"/>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539D95D7" w14:textId="6E30E22C" w:rsidR="00E0300E" w:rsidRPr="005C3CFC" w:rsidRDefault="00E0300E" w:rsidP="00333632">
            <w:pPr>
              <w:suppressLineNumbers/>
              <w:suppressAutoHyphens/>
              <w:jc w:val="center"/>
              <w:rPr>
                <w:rFonts w:ascii="Arial Narrow" w:hAnsi="Arial Narrow" w:cstheme="minorHAnsi"/>
                <w:color w:val="000000"/>
                <w:sz w:val="20"/>
                <w:szCs w:val="20"/>
              </w:rPr>
            </w:pPr>
            <w:r w:rsidRPr="005C3CFC">
              <w:rPr>
                <w:rFonts w:ascii="Arial Narrow" w:hAnsi="Arial Narrow" w:cstheme="minorHAnsi"/>
                <w:color w:val="000000"/>
                <w:sz w:val="20"/>
                <w:szCs w:val="20"/>
              </w:rPr>
              <w:t xml:space="preserve">Yr 2: </w:t>
            </w:r>
            <w:r w:rsidR="00E926B5" w:rsidRPr="00333632">
              <w:rPr>
                <w:rFonts w:ascii="Arial Narrow" w:hAnsi="Arial Narrow" w:cstheme="minorHAnsi" w:hint="eastAsia"/>
                <w:color w:val="000000"/>
                <w:w w:val="31"/>
                <w:sz w:val="20"/>
                <w:szCs w:val="20"/>
                <w:shd w:val="solid" w:color="000000" w:fill="000000"/>
                <w:fitText w:val="140" w:id="-893114365"/>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5"/>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5"/>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5F8A2D8C" w14:textId="73FFF7CD" w:rsidR="00E0300E" w:rsidRPr="005C3CFC" w:rsidRDefault="00E0300E" w:rsidP="00333632">
            <w:pPr>
              <w:suppressLineNumbers/>
              <w:suppressAutoHyphens/>
              <w:jc w:val="center"/>
              <w:rPr>
                <w:rFonts w:ascii="Arial Narrow" w:hAnsi="Arial Narrow" w:cstheme="minorHAnsi"/>
                <w:color w:val="000000"/>
                <w:sz w:val="20"/>
                <w:szCs w:val="20"/>
              </w:rPr>
            </w:pPr>
            <w:r w:rsidRPr="005C3CFC">
              <w:rPr>
                <w:rFonts w:ascii="Arial Narrow" w:hAnsi="Arial Narrow" w:cstheme="minorHAnsi"/>
                <w:color w:val="000000"/>
                <w:sz w:val="20"/>
                <w:szCs w:val="20"/>
              </w:rPr>
              <w:t xml:space="preserve">Yr 3: </w:t>
            </w:r>
            <w:r w:rsidR="00E926B5" w:rsidRPr="00333632">
              <w:rPr>
                <w:rFonts w:ascii="Arial Narrow" w:hAnsi="Arial Narrow" w:cstheme="minorHAnsi" w:hint="eastAsia"/>
                <w:color w:val="000000"/>
                <w:w w:val="31"/>
                <w:sz w:val="20"/>
                <w:szCs w:val="20"/>
                <w:shd w:val="solid" w:color="000000" w:fill="000000"/>
                <w:fitText w:val="140" w:id="-893114364"/>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4"/>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4"/>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530248E6" w14:textId="3F0D04EB" w:rsidR="00E0300E" w:rsidRPr="005C3CFC" w:rsidRDefault="00E0300E" w:rsidP="00333632">
            <w:pPr>
              <w:suppressLineNumbers/>
              <w:suppressAutoHyphens/>
              <w:jc w:val="center"/>
              <w:rPr>
                <w:rFonts w:ascii="Arial Narrow" w:hAnsi="Arial Narrow" w:cstheme="minorHAnsi"/>
                <w:color w:val="000000"/>
                <w:sz w:val="20"/>
                <w:szCs w:val="20"/>
              </w:rPr>
            </w:pPr>
            <w:r w:rsidRPr="005C3CFC">
              <w:rPr>
                <w:rFonts w:ascii="Arial Narrow" w:hAnsi="Arial Narrow" w:cstheme="minorHAnsi"/>
                <w:color w:val="000000"/>
                <w:sz w:val="20"/>
                <w:szCs w:val="20"/>
              </w:rPr>
              <w:t xml:space="preserve">Yr 4: </w:t>
            </w:r>
            <w:r w:rsidR="00E926B5" w:rsidRPr="00333632">
              <w:rPr>
                <w:rFonts w:ascii="Arial Narrow" w:hAnsi="Arial Narrow" w:cstheme="minorHAnsi" w:hint="eastAsia"/>
                <w:color w:val="000000"/>
                <w:w w:val="31"/>
                <w:sz w:val="20"/>
                <w:szCs w:val="20"/>
                <w:shd w:val="solid" w:color="000000" w:fill="000000"/>
                <w:fitText w:val="140" w:id="-893114363"/>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3"/>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3"/>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19B36EC2" w14:textId="2A5B3FBE" w:rsidR="00E0300E" w:rsidRPr="005C3CFC" w:rsidRDefault="00E0300E" w:rsidP="00333632">
            <w:pPr>
              <w:suppressLineNumbers/>
              <w:suppressAutoHyphens/>
              <w:jc w:val="center"/>
              <w:rPr>
                <w:rFonts w:ascii="Arial Narrow" w:hAnsi="Arial Narrow" w:cstheme="minorHAnsi"/>
                <w:color w:val="000000"/>
                <w:sz w:val="20"/>
                <w:szCs w:val="20"/>
              </w:rPr>
            </w:pPr>
            <w:r w:rsidRPr="005C3CFC">
              <w:rPr>
                <w:rFonts w:ascii="Arial Narrow" w:hAnsi="Arial Narrow" w:cstheme="minorHAnsi"/>
                <w:color w:val="000000"/>
                <w:sz w:val="20"/>
                <w:szCs w:val="20"/>
              </w:rPr>
              <w:t xml:space="preserve">Yr 5: </w:t>
            </w:r>
            <w:r w:rsidR="00E926B5" w:rsidRPr="00333632">
              <w:rPr>
                <w:rFonts w:ascii="Arial Narrow" w:hAnsi="Arial Narrow" w:cstheme="minorHAnsi" w:hint="eastAsia"/>
                <w:color w:val="000000"/>
                <w:w w:val="31"/>
                <w:sz w:val="20"/>
                <w:szCs w:val="20"/>
                <w:shd w:val="solid" w:color="000000" w:fill="000000"/>
                <w:fitText w:val="140" w:id="-893114362"/>
                <w14:textFill>
                  <w14:solidFill>
                    <w14:srgbClr w14:val="000000">
                      <w14:alpha w14:val="100000"/>
                    </w14:srgbClr>
                  </w14:solidFill>
                </w14:textFill>
              </w:rPr>
              <w:t xml:space="preserve">　</w:t>
            </w:r>
            <w:r w:rsidR="00E926B5" w:rsidRPr="00333632">
              <w:rPr>
                <w:rFonts w:ascii="Arial Narrow" w:hAnsi="Arial Narrow" w:cstheme="minorHAnsi"/>
                <w:color w:val="000000"/>
                <w:w w:val="31"/>
                <w:sz w:val="20"/>
                <w:szCs w:val="20"/>
                <w:shd w:val="solid" w:color="000000" w:fill="000000"/>
                <w:fitText w:val="140" w:id="-893114362"/>
                <w14:textFill>
                  <w14:solidFill>
                    <w14:srgbClr w14:val="000000">
                      <w14:alpha w14:val="100000"/>
                    </w14:srgbClr>
                  </w14:solidFill>
                </w14:textFill>
              </w:rPr>
              <w:t>|</w:t>
            </w:r>
            <w:r w:rsidR="00E926B5" w:rsidRPr="00333632">
              <w:rPr>
                <w:rFonts w:ascii="Arial Narrow" w:hAnsi="Arial Narrow" w:cstheme="minorHAnsi" w:hint="eastAsia"/>
                <w:color w:val="000000"/>
                <w:w w:val="31"/>
                <w:sz w:val="20"/>
                <w:szCs w:val="20"/>
                <w:shd w:val="solid" w:color="000000" w:fill="000000"/>
                <w:fitText w:val="140" w:id="-893114362"/>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p w14:paraId="53064DFC" w14:textId="558FF646" w:rsidR="00E0300E" w:rsidRPr="005C3CFC" w:rsidRDefault="00E0300E" w:rsidP="00333632">
            <w:pPr>
              <w:suppressLineNumbers/>
              <w:suppressAutoHyphens/>
              <w:jc w:val="center"/>
              <w:rPr>
                <w:rFonts w:ascii="Arial Narrow" w:hAnsi="Arial Narrow" w:cstheme="minorHAnsi"/>
                <w:color w:val="000000"/>
                <w:sz w:val="20"/>
                <w:szCs w:val="20"/>
              </w:rPr>
            </w:pPr>
            <w:r w:rsidRPr="005C3CFC">
              <w:rPr>
                <w:rFonts w:ascii="Arial Narrow" w:hAnsi="Arial Narrow" w:cstheme="minorHAnsi"/>
                <w:color w:val="000000"/>
                <w:sz w:val="20"/>
                <w:szCs w:val="20"/>
              </w:rPr>
              <w:t xml:space="preserve">Yr 6: </w:t>
            </w:r>
            <w:r w:rsidR="00E926B5" w:rsidRPr="00BE6298">
              <w:rPr>
                <w:rFonts w:ascii="Arial Narrow" w:hAnsi="Arial Narrow" w:cstheme="minorHAnsi" w:hint="eastAsia"/>
                <w:color w:val="000000"/>
                <w:w w:val="31"/>
                <w:sz w:val="20"/>
                <w:szCs w:val="20"/>
                <w:shd w:val="solid" w:color="000000" w:fill="000000"/>
                <w:fitText w:val="140" w:id="-893114361"/>
                <w14:textFill>
                  <w14:solidFill>
                    <w14:srgbClr w14:val="000000">
                      <w14:alpha w14:val="100000"/>
                    </w14:srgbClr>
                  </w14:solidFill>
                </w14:textFill>
              </w:rPr>
              <w:t xml:space="preserve">　</w:t>
            </w:r>
            <w:r w:rsidR="00E926B5" w:rsidRPr="00BE6298">
              <w:rPr>
                <w:rFonts w:ascii="Arial Narrow" w:hAnsi="Arial Narrow" w:cstheme="minorHAnsi"/>
                <w:color w:val="000000"/>
                <w:w w:val="31"/>
                <w:sz w:val="20"/>
                <w:szCs w:val="20"/>
                <w:shd w:val="solid" w:color="000000" w:fill="000000"/>
                <w:fitText w:val="140" w:id="-893114361"/>
                <w14:textFill>
                  <w14:solidFill>
                    <w14:srgbClr w14:val="000000">
                      <w14:alpha w14:val="100000"/>
                    </w14:srgbClr>
                  </w14:solidFill>
                </w14:textFill>
              </w:rPr>
              <w:t>|</w:t>
            </w:r>
            <w:r w:rsidR="00E926B5" w:rsidRPr="00BE6298">
              <w:rPr>
                <w:rFonts w:ascii="Arial Narrow" w:hAnsi="Arial Narrow" w:cstheme="minorHAnsi" w:hint="eastAsia"/>
                <w:color w:val="000000"/>
                <w:w w:val="31"/>
                <w:sz w:val="20"/>
                <w:szCs w:val="20"/>
                <w:shd w:val="solid" w:color="000000" w:fill="000000"/>
                <w:fitText w:val="140" w:id="-893114361"/>
                <w14:textFill>
                  <w14:solidFill>
                    <w14:srgbClr w14:val="000000">
                      <w14:alpha w14:val="100000"/>
                    </w14:srgbClr>
                  </w14:solidFill>
                </w14:textFill>
              </w:rPr>
              <w:t xml:space="preserve">　</w:t>
            </w:r>
            <w:r w:rsidR="005B4A90" w:rsidRPr="00687558">
              <w:rPr>
                <w:rFonts w:ascii="Arial Narrow" w:hAnsi="Arial Narrow" w:cstheme="minorHAnsi"/>
                <w:color w:val="000000"/>
                <w:sz w:val="20"/>
                <w:szCs w:val="20"/>
                <w:vertAlign w:val="superscript"/>
              </w:rPr>
              <w:t>1</w:t>
            </w:r>
          </w:p>
        </w:tc>
      </w:tr>
      <w:tr w:rsidR="00BE6298" w:rsidRPr="00C71633" w14:paraId="4B1E5036" w14:textId="77777777" w:rsidTr="00BE6298">
        <w:trPr>
          <w:trHeight w:val="20"/>
        </w:trPr>
        <w:tc>
          <w:tcPr>
            <w:tcW w:w="710" w:type="pct"/>
          </w:tcPr>
          <w:p w14:paraId="305C9D15" w14:textId="00B46ACE" w:rsidR="00114B31" w:rsidRPr="00333632" w:rsidRDefault="00114B31" w:rsidP="00333632">
            <w:pPr>
              <w:suppressLineNumbers/>
              <w:suppressAutoHyphens/>
              <w:jc w:val="left"/>
              <w:rPr>
                <w:rFonts w:ascii="Arial Narrow" w:hAnsi="Arial Narrow"/>
                <w:b/>
                <w:bCs/>
                <w:color w:val="000000" w:themeColor="text1"/>
                <w:sz w:val="20"/>
                <w:szCs w:val="20"/>
              </w:rPr>
            </w:pPr>
            <w:r w:rsidRPr="00333632">
              <w:rPr>
                <w:rFonts w:ascii="Arial Narrow" w:hAnsi="Arial Narrow"/>
                <w:b/>
                <w:bCs/>
                <w:color w:val="000000" w:themeColor="text1"/>
                <w:sz w:val="20"/>
                <w:szCs w:val="20"/>
              </w:rPr>
              <w:t xml:space="preserve">Total WM patients receiving zanubrutinib </w:t>
            </w:r>
          </w:p>
        </w:tc>
        <w:tc>
          <w:tcPr>
            <w:tcW w:w="1882" w:type="pct"/>
            <w:shd w:val="clear" w:color="auto" w:fill="DBE5F1" w:themeFill="accent1" w:themeFillTint="33"/>
          </w:tcPr>
          <w:p w14:paraId="6C03052B" w14:textId="6CA8A092" w:rsidR="00114B31" w:rsidRPr="00333632" w:rsidRDefault="005C3CFC"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Estimated number of patients receiving zanubrutinib was revised in the pre-PBAC response, accounting for 100 GF patients and revised treatment durations (TN = 37.45 months, RR = 37.05 months).</w:t>
            </w:r>
          </w:p>
        </w:tc>
        <w:tc>
          <w:tcPr>
            <w:tcW w:w="471" w:type="pct"/>
            <w:shd w:val="clear" w:color="auto" w:fill="DBE5F1" w:themeFill="accent1" w:themeFillTint="33"/>
          </w:tcPr>
          <w:p w14:paraId="525B0C8C" w14:textId="1CF42094" w:rsidR="00114B31" w:rsidRPr="00333632" w:rsidRDefault="00114B31" w:rsidP="00333632">
            <w:pPr>
              <w:suppressLineNumbers/>
              <w:suppressAutoHyphens/>
              <w:jc w:val="center"/>
              <w:rPr>
                <w:rFonts w:ascii="Arial Narrow" w:hAnsi="Arial Narrow" w:cstheme="minorHAnsi"/>
                <w:b/>
                <w:bCs/>
                <w:color w:val="000000"/>
                <w:sz w:val="20"/>
                <w:szCs w:val="20"/>
                <w:vertAlign w:val="superscript"/>
              </w:rPr>
            </w:pPr>
            <w:r w:rsidRPr="00333632">
              <w:rPr>
                <w:rFonts w:ascii="Arial Narrow" w:hAnsi="Arial Narrow" w:cstheme="minorHAnsi"/>
                <w:b/>
                <w:bCs/>
                <w:color w:val="000000"/>
                <w:sz w:val="20"/>
                <w:szCs w:val="20"/>
              </w:rPr>
              <w:t xml:space="preserve">Yr 1: </w:t>
            </w:r>
            <w:r w:rsidR="00E926B5" w:rsidRPr="00333632">
              <w:rPr>
                <w:rFonts w:ascii="Arial Narrow" w:hAnsi="Arial Narrow" w:cstheme="minorHAnsi"/>
                <w:b/>
                <w:bCs/>
                <w:color w:val="000000"/>
                <w:spacing w:val="148"/>
                <w:sz w:val="20"/>
                <w:szCs w:val="20"/>
                <w:shd w:val="solid" w:color="000000" w:fill="000000"/>
                <w:fitText w:val="240" w:id="-893114360"/>
                <w14:textFill>
                  <w14:solidFill>
                    <w14:srgbClr w14:val="000000">
                      <w14:alpha w14:val="100000"/>
                    </w14:srgbClr>
                  </w14:solidFill>
                </w14:textFill>
              </w:rPr>
              <w:t>|</w:t>
            </w:r>
            <w:r w:rsidR="00E926B5" w:rsidRPr="00333632">
              <w:rPr>
                <w:rFonts w:ascii="Arial Narrow" w:hAnsi="Arial Narrow" w:cstheme="minorHAnsi"/>
                <w:b/>
                <w:bCs/>
                <w:color w:val="000000"/>
                <w:sz w:val="20"/>
                <w:szCs w:val="20"/>
                <w:shd w:val="solid" w:color="000000" w:fill="000000"/>
                <w:fitText w:val="240" w:id="-893114360"/>
                <w14:textFill>
                  <w14:solidFill>
                    <w14:srgbClr w14:val="000000">
                      <w14:alpha w14:val="100000"/>
                    </w14:srgbClr>
                  </w14:solidFill>
                </w14:textFill>
              </w:rPr>
              <w:t>|</w:t>
            </w:r>
            <w:r w:rsidR="00EB5775" w:rsidRPr="00333632">
              <w:rPr>
                <w:rFonts w:ascii="Arial Narrow" w:hAnsi="Arial Narrow" w:cstheme="minorHAnsi"/>
                <w:b/>
                <w:bCs/>
                <w:color w:val="000000"/>
                <w:sz w:val="20"/>
                <w:szCs w:val="20"/>
                <w:vertAlign w:val="superscript"/>
              </w:rPr>
              <w:t>1</w:t>
            </w:r>
          </w:p>
          <w:p w14:paraId="09FD26E3" w14:textId="6D9C8EE1" w:rsidR="00114B31" w:rsidRPr="00333632" w:rsidRDefault="00114B31"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Yr 2: </w:t>
            </w:r>
            <w:r w:rsidR="00E926B5" w:rsidRPr="00333632">
              <w:rPr>
                <w:rFonts w:ascii="Arial Narrow" w:hAnsi="Arial Narrow" w:cstheme="minorHAnsi"/>
                <w:b/>
                <w:bCs/>
                <w:color w:val="000000"/>
                <w:spacing w:val="148"/>
                <w:sz w:val="20"/>
                <w:szCs w:val="20"/>
                <w:shd w:val="solid" w:color="000000" w:fill="000000"/>
                <w:fitText w:val="240" w:id="-893114359"/>
                <w14:textFill>
                  <w14:solidFill>
                    <w14:srgbClr w14:val="000000">
                      <w14:alpha w14:val="100000"/>
                    </w14:srgbClr>
                  </w14:solidFill>
                </w14:textFill>
              </w:rPr>
              <w:t>|</w:t>
            </w:r>
            <w:r w:rsidR="00E926B5" w:rsidRPr="00333632">
              <w:rPr>
                <w:rFonts w:ascii="Arial Narrow" w:hAnsi="Arial Narrow" w:cstheme="minorHAnsi"/>
                <w:b/>
                <w:bCs/>
                <w:color w:val="000000"/>
                <w:sz w:val="20"/>
                <w:szCs w:val="20"/>
                <w:shd w:val="solid" w:color="000000" w:fill="000000"/>
                <w:fitText w:val="240" w:id="-893114359"/>
                <w14:textFill>
                  <w14:solidFill>
                    <w14:srgbClr w14:val="000000">
                      <w14:alpha w14:val="100000"/>
                    </w14:srgbClr>
                  </w14:solidFill>
                </w14:textFill>
              </w:rPr>
              <w:t>|</w:t>
            </w:r>
            <w:r w:rsidR="00EB5775" w:rsidRPr="00333632">
              <w:rPr>
                <w:rFonts w:ascii="Arial Narrow" w:hAnsi="Arial Narrow" w:cstheme="minorHAnsi"/>
                <w:b/>
                <w:bCs/>
                <w:color w:val="000000"/>
                <w:sz w:val="20"/>
                <w:szCs w:val="20"/>
                <w:vertAlign w:val="superscript"/>
              </w:rPr>
              <w:t>1</w:t>
            </w:r>
          </w:p>
          <w:p w14:paraId="4FC985A4" w14:textId="120F8552" w:rsidR="00114B31" w:rsidRPr="00333632" w:rsidRDefault="00114B31"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Yr 3: </w:t>
            </w:r>
            <w:r w:rsidR="00E926B5" w:rsidRPr="00BE6298">
              <w:rPr>
                <w:rFonts w:ascii="Arial Narrow" w:hAnsi="Arial Narrow" w:cstheme="minorHAnsi"/>
                <w:b/>
                <w:bCs/>
                <w:color w:val="000000"/>
                <w:spacing w:val="148"/>
                <w:sz w:val="20"/>
                <w:szCs w:val="20"/>
                <w:shd w:val="solid" w:color="000000" w:fill="000000"/>
                <w:fitText w:val="240" w:id="-893114358"/>
                <w14:textFill>
                  <w14:solidFill>
                    <w14:srgbClr w14:val="000000">
                      <w14:alpha w14:val="100000"/>
                    </w14:srgbClr>
                  </w14:solidFill>
                </w14:textFill>
              </w:rPr>
              <w:t>|</w:t>
            </w:r>
            <w:r w:rsidR="00E926B5" w:rsidRPr="00BE6298">
              <w:rPr>
                <w:rFonts w:ascii="Arial Narrow" w:hAnsi="Arial Narrow" w:cstheme="minorHAnsi"/>
                <w:b/>
                <w:bCs/>
                <w:color w:val="000000"/>
                <w:sz w:val="20"/>
                <w:szCs w:val="20"/>
                <w:shd w:val="solid" w:color="000000" w:fill="000000"/>
                <w:fitText w:val="240" w:id="-893114358"/>
                <w14:textFill>
                  <w14:solidFill>
                    <w14:srgbClr w14:val="000000">
                      <w14:alpha w14:val="100000"/>
                    </w14:srgbClr>
                  </w14:solidFill>
                </w14:textFill>
              </w:rPr>
              <w:t>|</w:t>
            </w:r>
            <w:r w:rsidR="00EB5775" w:rsidRPr="00333632">
              <w:rPr>
                <w:rFonts w:ascii="Arial Narrow" w:hAnsi="Arial Narrow" w:cstheme="minorHAnsi"/>
                <w:b/>
                <w:bCs/>
                <w:color w:val="000000"/>
                <w:sz w:val="20"/>
                <w:szCs w:val="20"/>
                <w:vertAlign w:val="superscript"/>
              </w:rPr>
              <w:t>1</w:t>
            </w:r>
          </w:p>
          <w:p w14:paraId="0118C0BE" w14:textId="4D5501F3" w:rsidR="00114B31" w:rsidRPr="00333632" w:rsidRDefault="00114B31"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Yr 4: </w:t>
            </w:r>
            <w:r w:rsidR="00E926B5" w:rsidRPr="00BE6298">
              <w:rPr>
                <w:rFonts w:ascii="Arial Narrow" w:hAnsi="Arial Narrow" w:cstheme="minorHAnsi"/>
                <w:b/>
                <w:bCs/>
                <w:color w:val="000000"/>
                <w:spacing w:val="148"/>
                <w:sz w:val="20"/>
                <w:szCs w:val="20"/>
                <w:shd w:val="solid" w:color="000000" w:fill="000000"/>
                <w:fitText w:val="240" w:id="-893114357"/>
                <w14:textFill>
                  <w14:solidFill>
                    <w14:srgbClr w14:val="000000">
                      <w14:alpha w14:val="100000"/>
                    </w14:srgbClr>
                  </w14:solidFill>
                </w14:textFill>
              </w:rPr>
              <w:t>|</w:t>
            </w:r>
            <w:r w:rsidR="00E926B5" w:rsidRPr="00BE6298">
              <w:rPr>
                <w:rFonts w:ascii="Arial Narrow" w:hAnsi="Arial Narrow" w:cstheme="minorHAnsi"/>
                <w:b/>
                <w:bCs/>
                <w:color w:val="000000"/>
                <w:sz w:val="20"/>
                <w:szCs w:val="20"/>
                <w:shd w:val="solid" w:color="000000" w:fill="000000"/>
                <w:fitText w:val="240" w:id="-893114357"/>
                <w14:textFill>
                  <w14:solidFill>
                    <w14:srgbClr w14:val="000000">
                      <w14:alpha w14:val="100000"/>
                    </w14:srgbClr>
                  </w14:solidFill>
                </w14:textFill>
              </w:rPr>
              <w:t>|</w:t>
            </w:r>
            <w:r w:rsidR="00EB5775" w:rsidRPr="00333632">
              <w:rPr>
                <w:rFonts w:ascii="Arial Narrow" w:hAnsi="Arial Narrow" w:cstheme="minorHAnsi"/>
                <w:b/>
                <w:bCs/>
                <w:color w:val="000000"/>
                <w:sz w:val="20"/>
                <w:szCs w:val="20"/>
                <w:vertAlign w:val="superscript"/>
              </w:rPr>
              <w:t>1</w:t>
            </w:r>
          </w:p>
          <w:p w14:paraId="2DA6FC89" w14:textId="376935AD" w:rsidR="00114B31" w:rsidRPr="00333632" w:rsidRDefault="00114B31"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Yr 5: </w:t>
            </w:r>
            <w:r w:rsidR="00E926B5" w:rsidRPr="00BE6298">
              <w:rPr>
                <w:rFonts w:ascii="Arial Narrow" w:hAnsi="Arial Narrow" w:cstheme="minorHAnsi"/>
                <w:b/>
                <w:bCs/>
                <w:color w:val="000000"/>
                <w:spacing w:val="148"/>
                <w:sz w:val="20"/>
                <w:szCs w:val="20"/>
                <w:shd w:val="solid" w:color="000000" w:fill="000000"/>
                <w:fitText w:val="240" w:id="-893114356"/>
                <w14:textFill>
                  <w14:solidFill>
                    <w14:srgbClr w14:val="000000">
                      <w14:alpha w14:val="100000"/>
                    </w14:srgbClr>
                  </w14:solidFill>
                </w14:textFill>
              </w:rPr>
              <w:t>|</w:t>
            </w:r>
            <w:r w:rsidR="00E926B5" w:rsidRPr="00BE6298">
              <w:rPr>
                <w:rFonts w:ascii="Arial Narrow" w:hAnsi="Arial Narrow" w:cstheme="minorHAnsi"/>
                <w:b/>
                <w:bCs/>
                <w:color w:val="000000"/>
                <w:sz w:val="20"/>
                <w:szCs w:val="20"/>
                <w:shd w:val="solid" w:color="000000" w:fill="000000"/>
                <w:fitText w:val="240" w:id="-893114356"/>
                <w14:textFill>
                  <w14:solidFill>
                    <w14:srgbClr w14:val="000000">
                      <w14:alpha w14:val="100000"/>
                    </w14:srgbClr>
                  </w14:solidFill>
                </w14:textFill>
              </w:rPr>
              <w:t>|</w:t>
            </w:r>
            <w:r w:rsidR="00EB5775" w:rsidRPr="00333632">
              <w:rPr>
                <w:rFonts w:ascii="Arial Narrow" w:hAnsi="Arial Narrow" w:cstheme="minorHAnsi"/>
                <w:b/>
                <w:bCs/>
                <w:color w:val="000000"/>
                <w:sz w:val="20"/>
                <w:szCs w:val="20"/>
                <w:vertAlign w:val="superscript"/>
              </w:rPr>
              <w:t>1</w:t>
            </w:r>
          </w:p>
          <w:p w14:paraId="4AEA3AF5" w14:textId="46704685" w:rsidR="00114B31" w:rsidRPr="00333632" w:rsidRDefault="00114B31" w:rsidP="00333632">
            <w:pPr>
              <w:suppressLineNumbers/>
              <w:suppressAutoHyphens/>
              <w:jc w:val="center"/>
              <w:rPr>
                <w:rFonts w:ascii="Arial Narrow" w:hAnsi="Arial Narrow" w:cstheme="minorHAnsi"/>
                <w:b/>
                <w:bCs/>
                <w:color w:val="000000"/>
                <w:sz w:val="20"/>
                <w:szCs w:val="20"/>
              </w:rPr>
            </w:pPr>
            <w:r w:rsidRPr="00333632">
              <w:rPr>
                <w:rFonts w:ascii="Arial Narrow" w:hAnsi="Arial Narrow" w:cstheme="minorHAnsi"/>
                <w:b/>
                <w:bCs/>
                <w:color w:val="000000"/>
                <w:sz w:val="20"/>
                <w:szCs w:val="20"/>
              </w:rPr>
              <w:t xml:space="preserve">Yr 6: </w:t>
            </w:r>
            <w:r w:rsidR="00E926B5" w:rsidRPr="00333632">
              <w:rPr>
                <w:rFonts w:ascii="Arial Narrow" w:hAnsi="Arial Narrow" w:cstheme="minorHAnsi"/>
                <w:b/>
                <w:bCs/>
                <w:color w:val="000000"/>
                <w:spacing w:val="148"/>
                <w:sz w:val="20"/>
                <w:szCs w:val="20"/>
                <w:shd w:val="solid" w:color="000000" w:fill="000000"/>
                <w:fitText w:val="240" w:id="-893114355"/>
                <w14:textFill>
                  <w14:solidFill>
                    <w14:srgbClr w14:val="000000">
                      <w14:alpha w14:val="100000"/>
                    </w14:srgbClr>
                  </w14:solidFill>
                </w14:textFill>
              </w:rPr>
              <w:t>|</w:t>
            </w:r>
            <w:r w:rsidR="00E926B5" w:rsidRPr="00333632">
              <w:rPr>
                <w:rFonts w:ascii="Arial Narrow" w:hAnsi="Arial Narrow" w:cstheme="minorHAnsi"/>
                <w:b/>
                <w:bCs/>
                <w:color w:val="000000"/>
                <w:sz w:val="20"/>
                <w:szCs w:val="20"/>
                <w:shd w:val="solid" w:color="000000" w:fill="000000"/>
                <w:fitText w:val="240" w:id="-893114355"/>
                <w14:textFill>
                  <w14:solidFill>
                    <w14:srgbClr w14:val="000000">
                      <w14:alpha w14:val="100000"/>
                    </w14:srgbClr>
                  </w14:solidFill>
                </w14:textFill>
              </w:rPr>
              <w:t>|</w:t>
            </w:r>
            <w:r w:rsidR="00EB5775" w:rsidRPr="00333632">
              <w:rPr>
                <w:rFonts w:ascii="Arial Narrow" w:hAnsi="Arial Narrow" w:cstheme="minorHAnsi"/>
                <w:b/>
                <w:bCs/>
                <w:color w:val="000000"/>
                <w:sz w:val="20"/>
                <w:szCs w:val="20"/>
                <w:vertAlign w:val="superscript"/>
              </w:rPr>
              <w:t>1</w:t>
            </w:r>
          </w:p>
        </w:tc>
        <w:tc>
          <w:tcPr>
            <w:tcW w:w="1493" w:type="pct"/>
          </w:tcPr>
          <w:p w14:paraId="16E4980E" w14:textId="0113569A" w:rsidR="00114B31" w:rsidRPr="00333632" w:rsidRDefault="0062503E" w:rsidP="00333632">
            <w:pPr>
              <w:suppressLineNumbers/>
              <w:suppressAutoHyphens/>
              <w:jc w:val="left"/>
              <w:rPr>
                <w:rFonts w:ascii="Arial Narrow" w:hAnsi="Arial Narrow" w:cstheme="minorHAnsi"/>
                <w:color w:val="000000"/>
                <w:sz w:val="20"/>
                <w:szCs w:val="20"/>
              </w:rPr>
            </w:pPr>
            <w:r w:rsidRPr="00333632">
              <w:rPr>
                <w:rFonts w:ascii="Arial Narrow" w:hAnsi="Arial Narrow" w:cstheme="minorHAnsi"/>
                <w:color w:val="000000"/>
                <w:sz w:val="20"/>
                <w:szCs w:val="20"/>
              </w:rPr>
              <w:t>Calculated by incorporating the treatment duration and the number of patients treated per year (</w:t>
            </w:r>
            <w:r w:rsidR="008000F8" w:rsidRPr="00333632">
              <w:rPr>
                <w:rFonts w:ascii="Arial Narrow" w:hAnsi="Arial Narrow" w:cstheme="minorHAnsi"/>
                <w:color w:val="000000"/>
                <w:sz w:val="20"/>
                <w:szCs w:val="20"/>
              </w:rPr>
              <w:t xml:space="preserve">See paragraph </w:t>
            </w:r>
            <w:r w:rsidR="008000F8" w:rsidRPr="00333632">
              <w:rPr>
                <w:rFonts w:ascii="Arial Narrow" w:hAnsi="Arial Narrow" w:cstheme="minorHAnsi"/>
                <w:color w:val="000000"/>
                <w:sz w:val="20"/>
                <w:szCs w:val="20"/>
              </w:rPr>
              <w:fldChar w:fldCharType="begin" w:fldLock="1"/>
            </w:r>
            <w:r w:rsidR="008000F8" w:rsidRPr="00333632">
              <w:rPr>
                <w:rFonts w:ascii="Arial Narrow" w:hAnsi="Arial Narrow" w:cstheme="minorHAnsi"/>
                <w:color w:val="000000"/>
                <w:sz w:val="20"/>
                <w:szCs w:val="20"/>
              </w:rPr>
              <w:instrText xml:space="preserve"> REF _Ref167952822 \r \h  \* MERGEFORMAT </w:instrText>
            </w:r>
            <w:r w:rsidR="008000F8" w:rsidRPr="00333632">
              <w:rPr>
                <w:rFonts w:ascii="Arial Narrow" w:hAnsi="Arial Narrow" w:cstheme="minorHAnsi"/>
                <w:color w:val="000000"/>
                <w:sz w:val="20"/>
                <w:szCs w:val="20"/>
              </w:rPr>
            </w:r>
            <w:r w:rsidR="008000F8" w:rsidRPr="00333632">
              <w:rPr>
                <w:rFonts w:ascii="Arial Narrow" w:hAnsi="Arial Narrow" w:cstheme="minorHAnsi"/>
                <w:color w:val="000000"/>
                <w:sz w:val="20"/>
                <w:szCs w:val="20"/>
              </w:rPr>
              <w:fldChar w:fldCharType="separate"/>
            </w:r>
            <w:r w:rsidR="00B31544" w:rsidRPr="00333632">
              <w:rPr>
                <w:rFonts w:ascii="Arial Narrow" w:hAnsi="Arial Narrow" w:cstheme="minorHAnsi"/>
                <w:color w:val="000000"/>
                <w:sz w:val="20"/>
                <w:szCs w:val="20"/>
              </w:rPr>
              <w:t>4.22</w:t>
            </w:r>
            <w:r w:rsidR="008000F8" w:rsidRPr="00333632">
              <w:rPr>
                <w:rFonts w:ascii="Arial Narrow" w:hAnsi="Arial Narrow" w:cstheme="minorHAnsi"/>
                <w:color w:val="000000"/>
                <w:sz w:val="20"/>
                <w:szCs w:val="20"/>
              </w:rPr>
              <w:fldChar w:fldCharType="end"/>
            </w:r>
            <w:r w:rsidRPr="00333632">
              <w:rPr>
                <w:rFonts w:ascii="Arial Narrow" w:hAnsi="Arial Narrow" w:cstheme="minorHAnsi"/>
                <w:color w:val="000000"/>
                <w:sz w:val="20"/>
                <w:szCs w:val="20"/>
              </w:rPr>
              <w:t>).</w:t>
            </w:r>
          </w:p>
        </w:tc>
        <w:tc>
          <w:tcPr>
            <w:tcW w:w="444" w:type="pct"/>
          </w:tcPr>
          <w:p w14:paraId="12CE0CD8" w14:textId="592280D1" w:rsidR="00114B31" w:rsidRPr="00C71633" w:rsidRDefault="00114B31" w:rsidP="00333632">
            <w:pPr>
              <w:suppressLineNumbers/>
              <w:suppressAutoHyphens/>
              <w:jc w:val="center"/>
              <w:rPr>
                <w:rFonts w:ascii="Arial Narrow" w:hAnsi="Arial Narrow" w:cstheme="minorHAnsi"/>
                <w:b/>
                <w:bCs/>
                <w:color w:val="000000"/>
                <w:sz w:val="20"/>
                <w:szCs w:val="20"/>
              </w:rPr>
            </w:pPr>
            <w:r w:rsidRPr="00C71633">
              <w:rPr>
                <w:rFonts w:ascii="Arial Narrow" w:hAnsi="Arial Narrow" w:cstheme="minorHAnsi"/>
                <w:b/>
                <w:bCs/>
                <w:color w:val="000000"/>
                <w:sz w:val="20"/>
                <w:szCs w:val="20"/>
              </w:rPr>
              <w:t xml:space="preserve">Yr 1: </w:t>
            </w:r>
            <w:r w:rsidR="00E926B5" w:rsidRPr="00333632">
              <w:rPr>
                <w:rFonts w:ascii="Arial Narrow" w:hAnsi="Arial Narrow" w:cstheme="minorHAnsi"/>
                <w:b/>
                <w:bCs/>
                <w:color w:val="000000"/>
                <w:spacing w:val="88"/>
                <w:sz w:val="20"/>
                <w:szCs w:val="20"/>
                <w:shd w:val="solid" w:color="000000" w:fill="000000"/>
                <w:fitText w:val="180" w:id="-893114354"/>
                <w14:textFill>
                  <w14:solidFill>
                    <w14:srgbClr w14:val="000000">
                      <w14:alpha w14:val="100000"/>
                    </w14:srgbClr>
                  </w14:solidFill>
                </w14:textFill>
              </w:rPr>
              <w:t>|</w:t>
            </w:r>
            <w:r w:rsidR="00E926B5" w:rsidRPr="00333632">
              <w:rPr>
                <w:rFonts w:ascii="Arial Narrow" w:hAnsi="Arial Narrow" w:cstheme="minorHAnsi"/>
                <w:b/>
                <w:bCs/>
                <w:color w:val="000000"/>
                <w:sz w:val="20"/>
                <w:szCs w:val="20"/>
                <w:shd w:val="solid" w:color="000000" w:fill="000000"/>
                <w:fitText w:val="180" w:id="-893114354"/>
                <w14:textFill>
                  <w14:solidFill>
                    <w14:srgbClr w14:val="000000">
                      <w14:alpha w14:val="100000"/>
                    </w14:srgbClr>
                  </w14:solidFill>
                </w14:textFill>
              </w:rPr>
              <w:t>|</w:t>
            </w:r>
            <w:r w:rsidR="00EB5775">
              <w:rPr>
                <w:rFonts w:ascii="Arial Narrow" w:hAnsi="Arial Narrow" w:cstheme="minorHAnsi"/>
                <w:b/>
                <w:bCs/>
                <w:color w:val="000000"/>
                <w:sz w:val="20"/>
                <w:szCs w:val="20"/>
                <w:vertAlign w:val="superscript"/>
              </w:rPr>
              <w:t>1</w:t>
            </w:r>
          </w:p>
          <w:p w14:paraId="05CF8002" w14:textId="35B1FC46" w:rsidR="00114B31" w:rsidRPr="00C71633" w:rsidRDefault="00114B31" w:rsidP="00333632">
            <w:pPr>
              <w:suppressLineNumbers/>
              <w:suppressAutoHyphens/>
              <w:jc w:val="center"/>
              <w:rPr>
                <w:rFonts w:ascii="Arial Narrow" w:hAnsi="Arial Narrow" w:cstheme="minorHAnsi"/>
                <w:b/>
                <w:bCs/>
                <w:color w:val="000000"/>
                <w:sz w:val="20"/>
                <w:szCs w:val="20"/>
              </w:rPr>
            </w:pPr>
            <w:r w:rsidRPr="00C71633">
              <w:rPr>
                <w:rFonts w:ascii="Arial Narrow" w:hAnsi="Arial Narrow" w:cstheme="minorHAnsi"/>
                <w:b/>
                <w:bCs/>
                <w:color w:val="000000"/>
                <w:sz w:val="20"/>
                <w:szCs w:val="20"/>
              </w:rPr>
              <w:t xml:space="preserve">Yr 2: </w:t>
            </w:r>
            <w:r w:rsidR="00E926B5" w:rsidRPr="00333632">
              <w:rPr>
                <w:rFonts w:ascii="Arial Narrow" w:hAnsi="Arial Narrow" w:cstheme="minorHAnsi"/>
                <w:b/>
                <w:bCs/>
                <w:color w:val="000000"/>
                <w:spacing w:val="88"/>
                <w:sz w:val="20"/>
                <w:szCs w:val="20"/>
                <w:shd w:val="solid" w:color="000000" w:fill="000000"/>
                <w:fitText w:val="180" w:id="-893114353"/>
                <w14:textFill>
                  <w14:solidFill>
                    <w14:srgbClr w14:val="000000">
                      <w14:alpha w14:val="100000"/>
                    </w14:srgbClr>
                  </w14:solidFill>
                </w14:textFill>
              </w:rPr>
              <w:t>|</w:t>
            </w:r>
            <w:r w:rsidR="00E926B5" w:rsidRPr="00333632">
              <w:rPr>
                <w:rFonts w:ascii="Arial Narrow" w:hAnsi="Arial Narrow" w:cstheme="minorHAnsi"/>
                <w:b/>
                <w:bCs/>
                <w:color w:val="000000"/>
                <w:sz w:val="20"/>
                <w:szCs w:val="20"/>
                <w:shd w:val="solid" w:color="000000" w:fill="000000"/>
                <w:fitText w:val="180" w:id="-893114353"/>
                <w14:textFill>
                  <w14:solidFill>
                    <w14:srgbClr w14:val="000000">
                      <w14:alpha w14:val="100000"/>
                    </w14:srgbClr>
                  </w14:solidFill>
                </w14:textFill>
              </w:rPr>
              <w:t>|</w:t>
            </w:r>
            <w:r w:rsidR="00EB5775">
              <w:rPr>
                <w:rFonts w:ascii="Arial Narrow" w:hAnsi="Arial Narrow" w:cstheme="minorHAnsi"/>
                <w:b/>
                <w:bCs/>
                <w:color w:val="000000"/>
                <w:sz w:val="20"/>
                <w:szCs w:val="20"/>
                <w:vertAlign w:val="superscript"/>
              </w:rPr>
              <w:t>1</w:t>
            </w:r>
          </w:p>
          <w:p w14:paraId="046E6F6C" w14:textId="41C38ABA" w:rsidR="00114B31" w:rsidRPr="00C71633" w:rsidRDefault="00114B31" w:rsidP="00333632">
            <w:pPr>
              <w:suppressLineNumbers/>
              <w:suppressAutoHyphens/>
              <w:jc w:val="center"/>
              <w:rPr>
                <w:rFonts w:ascii="Arial Narrow" w:hAnsi="Arial Narrow" w:cstheme="minorHAnsi"/>
                <w:b/>
                <w:bCs/>
                <w:color w:val="000000"/>
                <w:sz w:val="20"/>
                <w:szCs w:val="20"/>
              </w:rPr>
            </w:pPr>
            <w:r w:rsidRPr="00C71633">
              <w:rPr>
                <w:rFonts w:ascii="Arial Narrow" w:hAnsi="Arial Narrow" w:cstheme="minorHAnsi"/>
                <w:b/>
                <w:bCs/>
                <w:color w:val="000000"/>
                <w:sz w:val="20"/>
                <w:szCs w:val="20"/>
              </w:rPr>
              <w:t xml:space="preserve">Yr 3: </w:t>
            </w:r>
            <w:r w:rsidR="00E926B5" w:rsidRPr="00BE6298">
              <w:rPr>
                <w:rFonts w:ascii="Arial Narrow" w:hAnsi="Arial Narrow" w:cstheme="minorHAnsi"/>
                <w:b/>
                <w:bCs/>
                <w:color w:val="000000"/>
                <w:spacing w:val="88"/>
                <w:sz w:val="20"/>
                <w:szCs w:val="20"/>
                <w:shd w:val="solid" w:color="000000" w:fill="000000"/>
                <w:fitText w:val="180" w:id="-893114352"/>
                <w14:textFill>
                  <w14:solidFill>
                    <w14:srgbClr w14:val="000000">
                      <w14:alpha w14:val="100000"/>
                    </w14:srgbClr>
                  </w14:solidFill>
                </w14:textFill>
              </w:rPr>
              <w:t>|</w:t>
            </w:r>
            <w:r w:rsidR="00E926B5" w:rsidRPr="00BE6298">
              <w:rPr>
                <w:rFonts w:ascii="Arial Narrow" w:hAnsi="Arial Narrow" w:cstheme="minorHAnsi"/>
                <w:b/>
                <w:bCs/>
                <w:color w:val="000000"/>
                <w:sz w:val="20"/>
                <w:szCs w:val="20"/>
                <w:shd w:val="solid" w:color="000000" w:fill="000000"/>
                <w:fitText w:val="180" w:id="-893114352"/>
                <w14:textFill>
                  <w14:solidFill>
                    <w14:srgbClr w14:val="000000">
                      <w14:alpha w14:val="100000"/>
                    </w14:srgbClr>
                  </w14:solidFill>
                </w14:textFill>
              </w:rPr>
              <w:t>|</w:t>
            </w:r>
            <w:r w:rsidR="00EB5775">
              <w:rPr>
                <w:rFonts w:ascii="Arial Narrow" w:hAnsi="Arial Narrow" w:cstheme="minorHAnsi"/>
                <w:b/>
                <w:bCs/>
                <w:color w:val="000000"/>
                <w:sz w:val="20"/>
                <w:szCs w:val="20"/>
                <w:vertAlign w:val="superscript"/>
              </w:rPr>
              <w:t>1</w:t>
            </w:r>
          </w:p>
          <w:p w14:paraId="1BB53989" w14:textId="21ABA8C9" w:rsidR="00114B31" w:rsidRPr="00C71633" w:rsidRDefault="00114B31" w:rsidP="00333632">
            <w:pPr>
              <w:suppressLineNumbers/>
              <w:suppressAutoHyphens/>
              <w:jc w:val="center"/>
              <w:rPr>
                <w:rFonts w:ascii="Arial Narrow" w:hAnsi="Arial Narrow" w:cstheme="minorHAnsi"/>
                <w:b/>
                <w:bCs/>
                <w:color w:val="000000"/>
                <w:sz w:val="20"/>
                <w:szCs w:val="20"/>
              </w:rPr>
            </w:pPr>
            <w:r w:rsidRPr="00C71633">
              <w:rPr>
                <w:rFonts w:ascii="Arial Narrow" w:hAnsi="Arial Narrow" w:cstheme="minorHAnsi"/>
                <w:b/>
                <w:bCs/>
                <w:color w:val="000000"/>
                <w:sz w:val="20"/>
                <w:szCs w:val="20"/>
              </w:rPr>
              <w:t xml:space="preserve">Yr 4: </w:t>
            </w:r>
            <w:r w:rsidR="00E926B5" w:rsidRPr="00BE6298">
              <w:rPr>
                <w:rFonts w:ascii="Arial Narrow" w:hAnsi="Arial Narrow" w:cstheme="minorHAnsi"/>
                <w:b/>
                <w:bCs/>
                <w:color w:val="000000"/>
                <w:spacing w:val="88"/>
                <w:sz w:val="20"/>
                <w:szCs w:val="20"/>
                <w:shd w:val="solid" w:color="000000" w:fill="000000"/>
                <w:fitText w:val="180" w:id="-893114368"/>
                <w14:textFill>
                  <w14:solidFill>
                    <w14:srgbClr w14:val="000000">
                      <w14:alpha w14:val="100000"/>
                    </w14:srgbClr>
                  </w14:solidFill>
                </w14:textFill>
              </w:rPr>
              <w:t>|</w:t>
            </w:r>
            <w:r w:rsidR="00E926B5" w:rsidRPr="00BE6298">
              <w:rPr>
                <w:rFonts w:ascii="Arial Narrow" w:hAnsi="Arial Narrow" w:cstheme="minorHAnsi"/>
                <w:b/>
                <w:bCs/>
                <w:color w:val="000000"/>
                <w:sz w:val="20"/>
                <w:szCs w:val="20"/>
                <w:shd w:val="solid" w:color="000000" w:fill="000000"/>
                <w:fitText w:val="180" w:id="-893114368"/>
                <w14:textFill>
                  <w14:solidFill>
                    <w14:srgbClr w14:val="000000">
                      <w14:alpha w14:val="100000"/>
                    </w14:srgbClr>
                  </w14:solidFill>
                </w14:textFill>
              </w:rPr>
              <w:t>|</w:t>
            </w:r>
            <w:r w:rsidR="00EB5775">
              <w:rPr>
                <w:rFonts w:ascii="Arial Narrow" w:hAnsi="Arial Narrow" w:cstheme="minorHAnsi"/>
                <w:b/>
                <w:bCs/>
                <w:color w:val="000000"/>
                <w:sz w:val="20"/>
                <w:szCs w:val="20"/>
                <w:vertAlign w:val="superscript"/>
              </w:rPr>
              <w:t>1</w:t>
            </w:r>
          </w:p>
          <w:p w14:paraId="126CF232" w14:textId="42657F8C" w:rsidR="00114B31" w:rsidRPr="00C71633" w:rsidRDefault="00114B31" w:rsidP="00333632">
            <w:pPr>
              <w:suppressLineNumbers/>
              <w:suppressAutoHyphens/>
              <w:jc w:val="center"/>
              <w:rPr>
                <w:rFonts w:ascii="Arial Narrow" w:hAnsi="Arial Narrow" w:cstheme="minorHAnsi"/>
                <w:b/>
                <w:bCs/>
                <w:color w:val="000000"/>
                <w:sz w:val="20"/>
                <w:szCs w:val="20"/>
              </w:rPr>
            </w:pPr>
            <w:r w:rsidRPr="00C71633">
              <w:rPr>
                <w:rFonts w:ascii="Arial Narrow" w:hAnsi="Arial Narrow" w:cstheme="minorHAnsi"/>
                <w:b/>
                <w:bCs/>
                <w:color w:val="000000"/>
                <w:sz w:val="20"/>
                <w:szCs w:val="20"/>
              </w:rPr>
              <w:t xml:space="preserve">Yr 5: </w:t>
            </w:r>
            <w:r w:rsidR="00E926B5" w:rsidRPr="00BE6298">
              <w:rPr>
                <w:rFonts w:ascii="Arial Narrow" w:hAnsi="Arial Narrow" w:cstheme="minorHAnsi"/>
                <w:b/>
                <w:bCs/>
                <w:color w:val="000000"/>
                <w:spacing w:val="88"/>
                <w:sz w:val="20"/>
                <w:szCs w:val="20"/>
                <w:shd w:val="solid" w:color="000000" w:fill="000000"/>
                <w:fitText w:val="180" w:id="-893114367"/>
                <w14:textFill>
                  <w14:solidFill>
                    <w14:srgbClr w14:val="000000">
                      <w14:alpha w14:val="100000"/>
                    </w14:srgbClr>
                  </w14:solidFill>
                </w14:textFill>
              </w:rPr>
              <w:t>|</w:t>
            </w:r>
            <w:r w:rsidR="00E926B5" w:rsidRPr="00BE6298">
              <w:rPr>
                <w:rFonts w:ascii="Arial Narrow" w:hAnsi="Arial Narrow" w:cstheme="minorHAnsi"/>
                <w:b/>
                <w:bCs/>
                <w:color w:val="000000"/>
                <w:sz w:val="20"/>
                <w:szCs w:val="20"/>
                <w:shd w:val="solid" w:color="000000" w:fill="000000"/>
                <w:fitText w:val="180" w:id="-893114367"/>
                <w14:textFill>
                  <w14:solidFill>
                    <w14:srgbClr w14:val="000000">
                      <w14:alpha w14:val="100000"/>
                    </w14:srgbClr>
                  </w14:solidFill>
                </w14:textFill>
              </w:rPr>
              <w:t>|</w:t>
            </w:r>
            <w:r w:rsidR="00EB5775">
              <w:rPr>
                <w:rFonts w:ascii="Arial Narrow" w:hAnsi="Arial Narrow" w:cstheme="minorHAnsi"/>
                <w:b/>
                <w:bCs/>
                <w:color w:val="000000"/>
                <w:sz w:val="20"/>
                <w:szCs w:val="20"/>
                <w:vertAlign w:val="superscript"/>
              </w:rPr>
              <w:t>1</w:t>
            </w:r>
          </w:p>
          <w:p w14:paraId="5AAA1CC3" w14:textId="2EB822D2" w:rsidR="00114B31" w:rsidRPr="00C71633" w:rsidRDefault="00114B31" w:rsidP="00333632">
            <w:pPr>
              <w:suppressLineNumbers/>
              <w:suppressAutoHyphens/>
              <w:jc w:val="center"/>
              <w:rPr>
                <w:rFonts w:ascii="Arial Narrow" w:hAnsi="Arial Narrow" w:cstheme="minorHAnsi"/>
                <w:b/>
                <w:bCs/>
                <w:color w:val="000000"/>
                <w:sz w:val="20"/>
                <w:szCs w:val="20"/>
              </w:rPr>
            </w:pPr>
            <w:r w:rsidRPr="00C71633">
              <w:rPr>
                <w:rFonts w:ascii="Arial Narrow" w:hAnsi="Arial Narrow" w:cstheme="minorHAnsi"/>
                <w:b/>
                <w:bCs/>
                <w:color w:val="000000"/>
                <w:sz w:val="20"/>
                <w:szCs w:val="20"/>
              </w:rPr>
              <w:t xml:space="preserve">Yr 6: </w:t>
            </w:r>
            <w:r w:rsidR="00E926B5" w:rsidRPr="00BE6298">
              <w:rPr>
                <w:rFonts w:ascii="Arial Narrow" w:hAnsi="Arial Narrow" w:cstheme="minorHAnsi"/>
                <w:b/>
                <w:bCs/>
                <w:color w:val="000000"/>
                <w:spacing w:val="88"/>
                <w:sz w:val="20"/>
                <w:szCs w:val="20"/>
                <w:shd w:val="solid" w:color="000000" w:fill="000000"/>
                <w:fitText w:val="180" w:id="-893114366"/>
                <w14:textFill>
                  <w14:solidFill>
                    <w14:srgbClr w14:val="000000">
                      <w14:alpha w14:val="100000"/>
                    </w14:srgbClr>
                  </w14:solidFill>
                </w14:textFill>
              </w:rPr>
              <w:t>|</w:t>
            </w:r>
            <w:r w:rsidR="00E926B5" w:rsidRPr="00BE6298">
              <w:rPr>
                <w:rFonts w:ascii="Arial Narrow" w:hAnsi="Arial Narrow" w:cstheme="minorHAnsi"/>
                <w:b/>
                <w:bCs/>
                <w:color w:val="000000"/>
                <w:sz w:val="20"/>
                <w:szCs w:val="20"/>
                <w:shd w:val="solid" w:color="000000" w:fill="000000"/>
                <w:fitText w:val="180" w:id="-893114366"/>
                <w14:textFill>
                  <w14:solidFill>
                    <w14:srgbClr w14:val="000000">
                      <w14:alpha w14:val="100000"/>
                    </w14:srgbClr>
                  </w14:solidFill>
                </w14:textFill>
              </w:rPr>
              <w:t>|</w:t>
            </w:r>
            <w:r w:rsidR="00EB5775">
              <w:rPr>
                <w:rFonts w:ascii="Arial Narrow" w:hAnsi="Arial Narrow" w:cstheme="minorHAnsi"/>
                <w:b/>
                <w:bCs/>
                <w:color w:val="000000"/>
                <w:sz w:val="20"/>
                <w:szCs w:val="20"/>
                <w:vertAlign w:val="superscript"/>
              </w:rPr>
              <w:t>1</w:t>
            </w:r>
          </w:p>
        </w:tc>
      </w:tr>
    </w:tbl>
    <w:bookmarkEnd w:id="36"/>
    <w:p w14:paraId="1C4908F7" w14:textId="3C226FD3" w:rsidR="00B97470" w:rsidRPr="001F096A" w:rsidRDefault="00B97470" w:rsidP="003D542E">
      <w:pPr>
        <w:pStyle w:val="TableFigureFooter"/>
        <w:spacing w:after="0"/>
        <w:rPr>
          <w:szCs w:val="18"/>
        </w:rPr>
      </w:pPr>
      <w:r w:rsidRPr="000454BA">
        <w:rPr>
          <w:szCs w:val="18"/>
        </w:rPr>
        <w:t xml:space="preserve">Source: </w:t>
      </w:r>
      <w:r w:rsidR="00E717B4">
        <w:rPr>
          <w:szCs w:val="18"/>
        </w:rPr>
        <w:t xml:space="preserve">compiled by the Secretariat during the evaluation; </w:t>
      </w:r>
      <w:r w:rsidRPr="001F096A">
        <w:rPr>
          <w:szCs w:val="18"/>
        </w:rPr>
        <w:t>Tables 2.7, 2.8</w:t>
      </w:r>
      <w:r w:rsidR="00114B31" w:rsidRPr="001F096A">
        <w:rPr>
          <w:szCs w:val="18"/>
        </w:rPr>
        <w:t>, 2.9</w:t>
      </w:r>
      <w:r w:rsidRPr="001F096A">
        <w:rPr>
          <w:szCs w:val="18"/>
        </w:rPr>
        <w:t xml:space="preserve"> of the submission, utilisation and cost model workbooks (original and updated submission), ‘Sheet 2a. Patients - incident’, ‘Sheet 2b. Patients</w:t>
      </w:r>
      <w:r w:rsidR="00F756B2" w:rsidRPr="001F096A">
        <w:rPr>
          <w:szCs w:val="18"/>
        </w:rPr>
        <w:t>, ‘Sheet 2. Patients</w:t>
      </w:r>
      <w:r w:rsidR="001F096A" w:rsidRPr="001F096A">
        <w:rPr>
          <w:szCs w:val="18"/>
        </w:rPr>
        <w:t>, and Table 1 of the March 2022 pre-PBAC response</w:t>
      </w:r>
    </w:p>
    <w:p w14:paraId="2F5D49BA" w14:textId="521AFABF" w:rsidR="00C77679" w:rsidRPr="000454BA" w:rsidRDefault="00B97470" w:rsidP="00B97470">
      <w:pPr>
        <w:pStyle w:val="TableFigureFooter"/>
        <w:spacing w:after="0"/>
        <w:jc w:val="left"/>
        <w:rPr>
          <w:szCs w:val="18"/>
        </w:rPr>
      </w:pPr>
      <w:r w:rsidRPr="000454BA">
        <w:rPr>
          <w:szCs w:val="18"/>
        </w:rPr>
        <w:t>Abbreviation:</w:t>
      </w:r>
      <w:r w:rsidR="00C77679" w:rsidRPr="000454BA">
        <w:rPr>
          <w:szCs w:val="18"/>
        </w:rPr>
        <w:t>1L=first</w:t>
      </w:r>
      <w:r w:rsidRPr="000454BA">
        <w:rPr>
          <w:szCs w:val="18"/>
        </w:rPr>
        <w:t> </w:t>
      </w:r>
      <w:r w:rsidR="00C77679" w:rsidRPr="000454BA">
        <w:rPr>
          <w:szCs w:val="18"/>
        </w:rPr>
        <w:t>line</w:t>
      </w:r>
      <w:r w:rsidRPr="000454BA">
        <w:rPr>
          <w:szCs w:val="18"/>
        </w:rPr>
        <w:t xml:space="preserve"> </w:t>
      </w:r>
      <w:r w:rsidR="00C77679" w:rsidRPr="000454BA">
        <w:rPr>
          <w:szCs w:val="18"/>
        </w:rPr>
        <w:t>treatment</w:t>
      </w:r>
      <w:r w:rsidRPr="000454BA">
        <w:rPr>
          <w:szCs w:val="18"/>
        </w:rPr>
        <w:t>;</w:t>
      </w:r>
      <w:r w:rsidR="00C77679" w:rsidRPr="000454BA">
        <w:rPr>
          <w:szCs w:val="18"/>
        </w:rPr>
        <w:t xml:space="preserve"> 2L</w:t>
      </w:r>
      <w:r w:rsidRPr="000454BA">
        <w:rPr>
          <w:szCs w:val="18"/>
        </w:rPr>
        <w:t>+</w:t>
      </w:r>
      <w:r w:rsidR="00C77679" w:rsidRPr="000454BA">
        <w:rPr>
          <w:szCs w:val="18"/>
        </w:rPr>
        <w:t>=</w:t>
      </w:r>
      <w:r w:rsidRPr="000454BA">
        <w:rPr>
          <w:szCs w:val="18"/>
        </w:rPr>
        <w:t>second line or later </w:t>
      </w:r>
      <w:r w:rsidR="00C77679" w:rsidRPr="000454BA">
        <w:rPr>
          <w:szCs w:val="18"/>
        </w:rPr>
        <w:t>line treatment, BTKi=Bruton’s tyrosine Kinase inhibitor,</w:t>
      </w:r>
      <w:r w:rsidRPr="000454BA">
        <w:rPr>
          <w:szCs w:val="18"/>
        </w:rPr>
        <w:t xml:space="preserve"> </w:t>
      </w:r>
      <w:r w:rsidR="005F3AD3" w:rsidRPr="005F3AD3">
        <w:rPr>
          <w:szCs w:val="18"/>
        </w:rPr>
        <w:t>GF=grandfathered</w:t>
      </w:r>
      <w:r w:rsidR="005F3AD3">
        <w:rPr>
          <w:szCs w:val="18"/>
        </w:rPr>
        <w:t>;</w:t>
      </w:r>
      <w:r w:rsidR="005F3AD3" w:rsidRPr="005F3AD3">
        <w:rPr>
          <w:szCs w:val="18"/>
        </w:rPr>
        <w:t xml:space="preserve"> </w:t>
      </w:r>
      <w:r w:rsidR="00C77679" w:rsidRPr="000454BA">
        <w:rPr>
          <w:szCs w:val="18"/>
        </w:rPr>
        <w:t>R/R=relapsed/</w:t>
      </w:r>
      <w:r w:rsidR="000F3CD5" w:rsidRPr="000454BA">
        <w:rPr>
          <w:szCs w:val="18"/>
        </w:rPr>
        <w:t>refractory</w:t>
      </w:r>
      <w:r w:rsidR="000F3CD5">
        <w:rPr>
          <w:szCs w:val="18"/>
        </w:rPr>
        <w:t>;</w:t>
      </w:r>
      <w:r w:rsidR="000F3CD5" w:rsidRPr="005C3CFC">
        <w:rPr>
          <w:szCs w:val="18"/>
        </w:rPr>
        <w:t xml:space="preserve"> TN</w:t>
      </w:r>
      <w:r w:rsidR="005C3CFC" w:rsidRPr="005C3CFC">
        <w:rPr>
          <w:szCs w:val="18"/>
        </w:rPr>
        <w:t>=treatment naïve</w:t>
      </w:r>
    </w:p>
    <w:p w14:paraId="57B0466E" w14:textId="1CE337D7" w:rsidR="00B97470" w:rsidRDefault="00B97470" w:rsidP="00B97470">
      <w:pPr>
        <w:pStyle w:val="TableFigureFooter"/>
        <w:spacing w:after="0"/>
        <w:rPr>
          <w:szCs w:val="18"/>
        </w:rPr>
      </w:pPr>
      <w:r w:rsidRPr="000454BA">
        <w:rPr>
          <w:szCs w:val="18"/>
        </w:rPr>
        <w:t>Note: the eligible second line incident patients in Year 1 were assumed to be included within the prevalent population</w:t>
      </w:r>
      <w:r w:rsidR="000454BA" w:rsidRPr="000454BA">
        <w:rPr>
          <w:szCs w:val="18"/>
        </w:rPr>
        <w:t>.</w:t>
      </w:r>
    </w:p>
    <w:p w14:paraId="7989AF0F" w14:textId="11E2E74F" w:rsidR="00E4199E" w:rsidRPr="000454BA" w:rsidRDefault="00E4199E" w:rsidP="00B97470">
      <w:pPr>
        <w:pStyle w:val="TableFigureFooter"/>
        <w:spacing w:after="0"/>
        <w:rPr>
          <w:szCs w:val="18"/>
        </w:rPr>
      </w:pPr>
      <w:r>
        <w:rPr>
          <w:szCs w:val="18"/>
        </w:rPr>
        <w:t>Note: t</w:t>
      </w:r>
      <w:r w:rsidRPr="00E4199E">
        <w:rPr>
          <w:szCs w:val="18"/>
        </w:rPr>
        <w:t>he sum of sub-totals may result in a different total due to rounding.</w:t>
      </w:r>
    </w:p>
    <w:p w14:paraId="5899854C" w14:textId="511B7933" w:rsidR="00B0048E" w:rsidRDefault="00C77679" w:rsidP="00EB5775">
      <w:pPr>
        <w:pStyle w:val="TableFigureFooter"/>
        <w:spacing w:after="0"/>
        <w:rPr>
          <w:szCs w:val="18"/>
        </w:rPr>
      </w:pPr>
      <w:r w:rsidRPr="000454BA">
        <w:rPr>
          <w:szCs w:val="18"/>
          <w:shd w:val="clear" w:color="auto" w:fill="DBE5F1" w:themeFill="accent1" w:themeFillTint="33"/>
        </w:rPr>
        <w:t>Blue</w:t>
      </w:r>
      <w:r w:rsidRPr="000454BA">
        <w:rPr>
          <w:szCs w:val="18"/>
        </w:rPr>
        <w:t xml:space="preserve"> shading represents information previously considered by the PBAC</w:t>
      </w:r>
    </w:p>
    <w:p w14:paraId="3DC4912A" w14:textId="77777777" w:rsidR="009D1121" w:rsidRPr="002A7D5F" w:rsidRDefault="009D1121" w:rsidP="009D1121">
      <w:pPr>
        <w:keepNext/>
        <w:keepLines/>
        <w:rPr>
          <w:rFonts w:ascii="Arial Narrow" w:hAnsi="Arial Narrow" w:cs="Arial"/>
          <w:bCs/>
          <w:i/>
          <w:iCs/>
          <w:sz w:val="18"/>
          <w:szCs w:val="18"/>
        </w:rPr>
      </w:pPr>
      <w:r w:rsidRPr="002A7D5F">
        <w:rPr>
          <w:rFonts w:ascii="Arial Narrow" w:hAnsi="Arial Narrow" w:cs="Arial"/>
          <w:bCs/>
          <w:i/>
          <w:iCs/>
          <w:sz w:val="18"/>
          <w:szCs w:val="18"/>
        </w:rPr>
        <w:t>The redacted values correspond to the following ranges:</w:t>
      </w:r>
    </w:p>
    <w:p w14:paraId="3901D445" w14:textId="77777777" w:rsidR="009D1121" w:rsidRDefault="009D1121" w:rsidP="009D1121">
      <w:pPr>
        <w:keepNext/>
        <w:keepLines/>
        <w:rPr>
          <w:rFonts w:ascii="Arial Narrow" w:hAnsi="Arial Narrow" w:cs="Arial"/>
          <w:bCs/>
          <w:i/>
          <w:iCs/>
          <w:sz w:val="18"/>
          <w:szCs w:val="18"/>
        </w:rPr>
      </w:pPr>
      <w:r w:rsidRPr="00EB5775">
        <w:rPr>
          <w:rFonts w:ascii="Arial Narrow" w:hAnsi="Arial Narrow" w:cs="Arial"/>
          <w:bCs/>
          <w:i/>
          <w:iCs/>
          <w:sz w:val="18"/>
          <w:szCs w:val="18"/>
          <w:vertAlign w:val="superscript"/>
        </w:rPr>
        <w:t>1</w:t>
      </w:r>
      <w:r w:rsidRPr="002A7D5F">
        <w:rPr>
          <w:rFonts w:ascii="Arial Narrow" w:hAnsi="Arial Narrow" w:cs="Arial"/>
          <w:bCs/>
          <w:i/>
          <w:iCs/>
          <w:sz w:val="18"/>
          <w:szCs w:val="18"/>
        </w:rPr>
        <w:t xml:space="preserve"> &lt; 500</w:t>
      </w:r>
    </w:p>
    <w:p w14:paraId="752DCF27" w14:textId="7E0830C0" w:rsidR="00EB5775" w:rsidRPr="002A7D5F" w:rsidRDefault="00EB5775" w:rsidP="00EB5775">
      <w:pPr>
        <w:keepLines/>
        <w:spacing w:after="120"/>
        <w:rPr>
          <w:rFonts w:ascii="Arial Narrow" w:hAnsi="Arial Narrow" w:cs="Arial"/>
          <w:bCs/>
          <w:i/>
          <w:iCs/>
          <w:sz w:val="18"/>
          <w:szCs w:val="18"/>
        </w:rPr>
      </w:pPr>
      <w:r w:rsidRPr="00EB5775">
        <w:rPr>
          <w:rFonts w:ascii="Arial Narrow" w:hAnsi="Arial Narrow" w:cs="Arial"/>
          <w:bCs/>
          <w:i/>
          <w:iCs/>
          <w:sz w:val="18"/>
          <w:szCs w:val="18"/>
          <w:vertAlign w:val="superscript"/>
        </w:rPr>
        <w:t>2</w:t>
      </w:r>
      <w:r>
        <w:rPr>
          <w:rFonts w:ascii="Arial Narrow" w:hAnsi="Arial Narrow" w:cs="Arial"/>
          <w:bCs/>
          <w:i/>
          <w:iCs/>
          <w:sz w:val="18"/>
          <w:szCs w:val="18"/>
        </w:rPr>
        <w:t xml:space="preserve"> 500 to &lt; 5,000</w:t>
      </w:r>
    </w:p>
    <w:p w14:paraId="1A4DF001" w14:textId="3661BD11" w:rsidR="00DF4F39" w:rsidRPr="00DF4F39" w:rsidRDefault="00DF4F39" w:rsidP="00DF4F39">
      <w:pPr>
        <w:pStyle w:val="3Bodytext"/>
        <w:jc w:val="both"/>
        <w:rPr>
          <w:rFonts w:cstheme="minorHAnsi"/>
          <w:szCs w:val="24"/>
        </w:rPr>
      </w:pPr>
      <w:bookmarkStart w:id="37" w:name="_Ref167909786"/>
      <w:r w:rsidRPr="00DF4F39">
        <w:rPr>
          <w:rFonts w:cstheme="minorHAnsi"/>
          <w:szCs w:val="24"/>
        </w:rPr>
        <w:t>In this submission, the percentage of patients "survive to second line treatment" was revised from 90% to 100%, based on the submission's claim that the rate of progression to second line treatment has already factored in patient survival. That is, if a patient has advanced to second line treatment, it means that the patient has survived up to that point. Therefore, for the R/R population, the proportion of patients survive to second line treatment was proposed to be set at 100%.</w:t>
      </w:r>
      <w:bookmarkEnd w:id="37"/>
    </w:p>
    <w:p w14:paraId="6CE903D9" w14:textId="4DE14579" w:rsidR="00426EF6" w:rsidRPr="00B95FCD" w:rsidRDefault="00426EF6" w:rsidP="00426EF6">
      <w:pPr>
        <w:pStyle w:val="3Bodytext"/>
        <w:jc w:val="both"/>
        <w:rPr>
          <w:rFonts w:cstheme="minorHAnsi"/>
          <w:szCs w:val="24"/>
        </w:rPr>
      </w:pPr>
      <w:r w:rsidRPr="00B95FCD">
        <w:rPr>
          <w:rFonts w:cstheme="minorHAnsi"/>
          <w:szCs w:val="24"/>
        </w:rPr>
        <w:t xml:space="preserve">The submission did not propose any changes to the </w:t>
      </w:r>
      <w:r w:rsidR="00C77179" w:rsidRPr="00B95FCD">
        <w:rPr>
          <w:rFonts w:cstheme="minorHAnsi"/>
          <w:szCs w:val="24"/>
        </w:rPr>
        <w:t>parameters</w:t>
      </w:r>
      <w:r w:rsidR="00B917AC" w:rsidRPr="00B95FCD">
        <w:rPr>
          <w:rFonts w:cstheme="minorHAnsi"/>
          <w:szCs w:val="24"/>
        </w:rPr>
        <w:t>, except the percentage of patients</w:t>
      </w:r>
      <w:r w:rsidR="00187B96">
        <w:rPr>
          <w:rFonts w:cstheme="minorHAnsi"/>
          <w:szCs w:val="24"/>
        </w:rPr>
        <w:t xml:space="preserve"> that</w:t>
      </w:r>
      <w:r w:rsidR="00B917AC" w:rsidRPr="00B95FCD">
        <w:rPr>
          <w:rFonts w:cstheme="minorHAnsi"/>
          <w:szCs w:val="24"/>
        </w:rPr>
        <w:t xml:space="preserve"> survive to second</w:t>
      </w:r>
      <w:r w:rsidR="00F30997" w:rsidRPr="00B95FCD">
        <w:rPr>
          <w:rFonts w:cstheme="minorHAnsi"/>
          <w:szCs w:val="24"/>
        </w:rPr>
        <w:t xml:space="preserve"> </w:t>
      </w:r>
      <w:r w:rsidR="00B917AC" w:rsidRPr="00B95FCD">
        <w:rPr>
          <w:rFonts w:cstheme="minorHAnsi"/>
          <w:szCs w:val="24"/>
        </w:rPr>
        <w:t>line treatment</w:t>
      </w:r>
      <w:r w:rsidR="00DF4F39">
        <w:rPr>
          <w:rFonts w:cstheme="minorHAnsi"/>
          <w:szCs w:val="24"/>
        </w:rPr>
        <w:t xml:space="preserve"> (see paragraph </w:t>
      </w:r>
      <w:r w:rsidR="00DF4F39">
        <w:rPr>
          <w:rFonts w:cstheme="minorHAnsi"/>
          <w:szCs w:val="24"/>
        </w:rPr>
        <w:fldChar w:fldCharType="begin" w:fldLock="1"/>
      </w:r>
      <w:r w:rsidR="00DF4F39">
        <w:rPr>
          <w:rFonts w:cstheme="minorHAnsi"/>
          <w:szCs w:val="24"/>
        </w:rPr>
        <w:instrText xml:space="preserve"> REF _Ref167909786 \r \h </w:instrText>
      </w:r>
      <w:r w:rsidR="00DF4F39">
        <w:rPr>
          <w:rFonts w:cstheme="minorHAnsi"/>
          <w:szCs w:val="24"/>
        </w:rPr>
      </w:r>
      <w:r w:rsidR="00DF4F39">
        <w:rPr>
          <w:rFonts w:cstheme="minorHAnsi"/>
          <w:szCs w:val="24"/>
        </w:rPr>
        <w:fldChar w:fldCharType="separate"/>
      </w:r>
      <w:r w:rsidR="00AD6E26">
        <w:rPr>
          <w:rFonts w:cstheme="minorHAnsi"/>
          <w:szCs w:val="24"/>
        </w:rPr>
        <w:t>4.19</w:t>
      </w:r>
      <w:r w:rsidR="00DF4F39">
        <w:rPr>
          <w:rFonts w:cstheme="minorHAnsi"/>
          <w:szCs w:val="24"/>
        </w:rPr>
        <w:fldChar w:fldCharType="end"/>
      </w:r>
      <w:r w:rsidR="00DF4F39">
        <w:rPr>
          <w:rFonts w:cstheme="minorHAnsi"/>
          <w:szCs w:val="24"/>
        </w:rPr>
        <w:t>)</w:t>
      </w:r>
      <w:r w:rsidR="00B917AC" w:rsidRPr="00B95FCD">
        <w:rPr>
          <w:rFonts w:cstheme="minorHAnsi"/>
          <w:szCs w:val="24"/>
        </w:rPr>
        <w:t>,</w:t>
      </w:r>
      <w:r w:rsidR="00C77179" w:rsidRPr="00B95FCD">
        <w:rPr>
          <w:rFonts w:cstheme="minorHAnsi"/>
          <w:szCs w:val="24"/>
        </w:rPr>
        <w:t xml:space="preserve"> </w:t>
      </w:r>
      <w:r w:rsidRPr="00B95FCD">
        <w:rPr>
          <w:rFonts w:cstheme="minorHAnsi"/>
          <w:szCs w:val="24"/>
        </w:rPr>
        <w:t xml:space="preserve">that would </w:t>
      </w:r>
      <w:r w:rsidR="00B917AC" w:rsidRPr="00B95FCD">
        <w:rPr>
          <w:rFonts w:cstheme="minorHAnsi"/>
          <w:szCs w:val="24"/>
        </w:rPr>
        <w:t>impact</w:t>
      </w:r>
      <w:r w:rsidRPr="00B95FCD">
        <w:rPr>
          <w:rFonts w:cstheme="minorHAnsi"/>
          <w:szCs w:val="24"/>
        </w:rPr>
        <w:t xml:space="preserve"> the </w:t>
      </w:r>
      <w:r w:rsidR="00B917AC" w:rsidRPr="00B95FCD">
        <w:rPr>
          <w:rFonts w:cstheme="minorHAnsi"/>
          <w:szCs w:val="24"/>
        </w:rPr>
        <w:t xml:space="preserve">estimated </w:t>
      </w:r>
      <w:r w:rsidRPr="00B95FCD">
        <w:rPr>
          <w:rFonts w:cstheme="minorHAnsi"/>
          <w:szCs w:val="24"/>
        </w:rPr>
        <w:t>number of patients</w:t>
      </w:r>
      <w:r w:rsidR="00C77179" w:rsidRPr="00B95FCD">
        <w:rPr>
          <w:rFonts w:cstheme="minorHAnsi"/>
          <w:szCs w:val="24"/>
        </w:rPr>
        <w:t xml:space="preserve"> receiving </w:t>
      </w:r>
      <w:bookmarkStart w:id="38" w:name="_Hlk167908623"/>
      <w:r w:rsidRPr="00B95FCD">
        <w:rPr>
          <w:rFonts w:cstheme="minorHAnsi"/>
          <w:szCs w:val="24"/>
        </w:rPr>
        <w:t>zanubrutinib</w:t>
      </w:r>
      <w:bookmarkEnd w:id="38"/>
      <w:r w:rsidR="00F30997" w:rsidRPr="00B95FCD">
        <w:rPr>
          <w:rFonts w:cstheme="minorHAnsi"/>
          <w:szCs w:val="24"/>
        </w:rPr>
        <w:t>.</w:t>
      </w:r>
      <w:r w:rsidRPr="00B95FCD">
        <w:rPr>
          <w:rFonts w:cstheme="minorHAnsi"/>
          <w:szCs w:val="24"/>
        </w:rPr>
        <w:t xml:space="preserve"> </w:t>
      </w:r>
      <w:r w:rsidR="00C77179" w:rsidRPr="00B95FCD">
        <w:rPr>
          <w:rFonts w:cstheme="minorHAnsi"/>
          <w:szCs w:val="24"/>
        </w:rPr>
        <w:t xml:space="preserve">R/R </w:t>
      </w:r>
      <w:r w:rsidRPr="00B95FCD">
        <w:rPr>
          <w:rFonts w:cstheme="minorHAnsi"/>
          <w:szCs w:val="24"/>
        </w:rPr>
        <w:t>patients</w:t>
      </w:r>
      <w:r w:rsidR="00C77179" w:rsidRPr="00B95FCD">
        <w:rPr>
          <w:rFonts w:cstheme="minorHAnsi"/>
          <w:szCs w:val="24"/>
        </w:rPr>
        <w:t xml:space="preserve"> </w:t>
      </w:r>
      <w:r w:rsidR="00B917AC" w:rsidRPr="00B95FCD">
        <w:rPr>
          <w:rFonts w:cstheme="minorHAnsi"/>
          <w:szCs w:val="24"/>
        </w:rPr>
        <w:t>initiating</w:t>
      </w:r>
      <w:r w:rsidR="00C77179" w:rsidRPr="00B95FCD">
        <w:rPr>
          <w:rFonts w:cstheme="minorHAnsi"/>
          <w:szCs w:val="24"/>
        </w:rPr>
        <w:t xml:space="preserve"> zanubrutinib</w:t>
      </w:r>
      <w:r w:rsidRPr="00B95FCD">
        <w:rPr>
          <w:rFonts w:cstheme="minorHAnsi"/>
          <w:szCs w:val="24"/>
        </w:rPr>
        <w:t xml:space="preserve"> </w:t>
      </w:r>
      <w:r w:rsidR="00F30997" w:rsidRPr="00B95FCD">
        <w:rPr>
          <w:rFonts w:cstheme="minorHAnsi"/>
          <w:szCs w:val="24"/>
        </w:rPr>
        <w:t>were excluded from</w:t>
      </w:r>
      <w:r w:rsidRPr="00B95FCD">
        <w:rPr>
          <w:rFonts w:cstheme="minorHAnsi"/>
          <w:szCs w:val="24"/>
        </w:rPr>
        <w:t xml:space="preserve"> Year 1 as </w:t>
      </w:r>
      <w:r w:rsidR="00F30997" w:rsidRPr="00B95FCD">
        <w:rPr>
          <w:rFonts w:cstheme="minorHAnsi"/>
          <w:szCs w:val="24"/>
        </w:rPr>
        <w:t xml:space="preserve">they </w:t>
      </w:r>
      <w:r w:rsidRPr="00B95FCD">
        <w:rPr>
          <w:rFonts w:cstheme="minorHAnsi"/>
          <w:szCs w:val="24"/>
        </w:rPr>
        <w:t xml:space="preserve">were already accounted for in the prevalent or grandfathered population. </w:t>
      </w:r>
      <w:r w:rsidR="00F30997" w:rsidRPr="00B95FCD">
        <w:rPr>
          <w:rFonts w:cstheme="minorHAnsi"/>
          <w:szCs w:val="24"/>
        </w:rPr>
        <w:t xml:space="preserve">While the March 2022 submission estimated that </w:t>
      </w:r>
      <w:r w:rsidR="005B4A91">
        <w:rPr>
          <w:rFonts w:cstheme="minorHAnsi"/>
          <w:szCs w:val="24"/>
        </w:rPr>
        <w:t>&lt; 500</w:t>
      </w:r>
      <w:r w:rsidR="005B4A91" w:rsidRPr="00B95FCD">
        <w:rPr>
          <w:rFonts w:cstheme="minorHAnsi"/>
          <w:szCs w:val="24"/>
        </w:rPr>
        <w:t xml:space="preserve"> </w:t>
      </w:r>
      <w:r w:rsidRPr="00B95FCD">
        <w:rPr>
          <w:rFonts w:cstheme="minorHAnsi"/>
          <w:szCs w:val="24"/>
        </w:rPr>
        <w:t xml:space="preserve">patients would </w:t>
      </w:r>
      <w:r w:rsidR="00C77179" w:rsidRPr="00B95FCD">
        <w:rPr>
          <w:rFonts w:cstheme="minorHAnsi"/>
          <w:szCs w:val="24"/>
        </w:rPr>
        <w:t xml:space="preserve">receive </w:t>
      </w:r>
      <w:r w:rsidR="00F30997" w:rsidRPr="00B95FCD">
        <w:rPr>
          <w:rFonts w:cstheme="minorHAnsi"/>
          <w:szCs w:val="24"/>
        </w:rPr>
        <w:t xml:space="preserve">zanubrutinib </w:t>
      </w:r>
      <w:r w:rsidRPr="00B95FCD">
        <w:rPr>
          <w:rFonts w:cstheme="minorHAnsi"/>
          <w:szCs w:val="24"/>
        </w:rPr>
        <w:t>in Year 1</w:t>
      </w:r>
      <w:r w:rsidR="00F30997" w:rsidRPr="00B95FCD">
        <w:rPr>
          <w:rFonts w:cstheme="minorHAnsi"/>
          <w:szCs w:val="24"/>
        </w:rPr>
        <w:t xml:space="preserve"> (</w:t>
      </w:r>
      <w:r w:rsidR="005B4A91">
        <w:rPr>
          <w:rFonts w:cstheme="minorHAnsi"/>
          <w:szCs w:val="24"/>
        </w:rPr>
        <w:t>&lt; 500</w:t>
      </w:r>
      <w:r w:rsidR="005B4A91" w:rsidRPr="00B95FCD">
        <w:rPr>
          <w:rFonts w:cstheme="minorHAnsi"/>
          <w:szCs w:val="24"/>
        </w:rPr>
        <w:t xml:space="preserve"> </w:t>
      </w:r>
      <w:r w:rsidR="00F93F04" w:rsidRPr="00B95FCD">
        <w:rPr>
          <w:rFonts w:cstheme="minorHAnsi"/>
          <w:szCs w:val="24"/>
        </w:rPr>
        <w:t>first</w:t>
      </w:r>
      <w:r w:rsidR="00F30997" w:rsidRPr="00B95FCD">
        <w:rPr>
          <w:rFonts w:cstheme="minorHAnsi"/>
          <w:szCs w:val="24"/>
        </w:rPr>
        <w:t> </w:t>
      </w:r>
      <w:r w:rsidR="00F93F04" w:rsidRPr="00B95FCD">
        <w:rPr>
          <w:rFonts w:cstheme="minorHAnsi"/>
          <w:szCs w:val="24"/>
        </w:rPr>
        <w:t xml:space="preserve">line and </w:t>
      </w:r>
      <w:r w:rsidR="005B4A91">
        <w:rPr>
          <w:rFonts w:cstheme="minorHAnsi"/>
          <w:szCs w:val="24"/>
        </w:rPr>
        <w:t>&lt; 500</w:t>
      </w:r>
      <w:r w:rsidR="005B4A91" w:rsidRPr="00B95FCD">
        <w:rPr>
          <w:rFonts w:cstheme="minorHAnsi"/>
          <w:szCs w:val="24"/>
        </w:rPr>
        <w:t xml:space="preserve"> </w:t>
      </w:r>
      <w:r w:rsidR="00F93F04" w:rsidRPr="00B95FCD">
        <w:rPr>
          <w:rFonts w:cstheme="minorHAnsi"/>
          <w:szCs w:val="24"/>
        </w:rPr>
        <w:t>grandfathered</w:t>
      </w:r>
      <w:r w:rsidR="00F30997" w:rsidRPr="00B95FCD">
        <w:rPr>
          <w:rFonts w:cstheme="minorHAnsi"/>
          <w:szCs w:val="24"/>
        </w:rPr>
        <w:t xml:space="preserve">), this has been updated to </w:t>
      </w:r>
      <w:r w:rsidR="005B4A91">
        <w:rPr>
          <w:rFonts w:cstheme="minorHAnsi"/>
          <w:szCs w:val="24"/>
        </w:rPr>
        <w:t>&lt; 500</w:t>
      </w:r>
      <w:r w:rsidR="00F93F04" w:rsidRPr="00B95FCD">
        <w:rPr>
          <w:rFonts w:cstheme="minorHAnsi"/>
          <w:szCs w:val="24"/>
        </w:rPr>
        <w:t xml:space="preserve"> </w:t>
      </w:r>
      <w:r w:rsidR="00F30997" w:rsidRPr="00B95FCD">
        <w:rPr>
          <w:rFonts w:cstheme="minorHAnsi"/>
          <w:szCs w:val="24"/>
        </w:rPr>
        <w:t xml:space="preserve">patients </w:t>
      </w:r>
      <w:r w:rsidR="00F93F04" w:rsidRPr="00B95FCD">
        <w:rPr>
          <w:rFonts w:cstheme="minorHAnsi"/>
          <w:szCs w:val="24"/>
        </w:rPr>
        <w:t>(</w:t>
      </w:r>
      <w:r w:rsidR="00F30997" w:rsidRPr="00B95FCD">
        <w:rPr>
          <w:rFonts w:cstheme="minorHAnsi"/>
          <w:szCs w:val="24"/>
        </w:rPr>
        <w:fldChar w:fldCharType="begin" w:fldLock="1"/>
      </w:r>
      <w:r w:rsidR="00F30997" w:rsidRPr="00B95FCD">
        <w:rPr>
          <w:rFonts w:cstheme="minorHAnsi"/>
          <w:szCs w:val="24"/>
        </w:rPr>
        <w:instrText xml:space="preserve"> REF _Ref167882723 \h  \* MERGEFORMAT </w:instrText>
      </w:r>
      <w:r w:rsidR="00F30997" w:rsidRPr="00B95FCD">
        <w:rPr>
          <w:rFonts w:cstheme="minorHAnsi"/>
          <w:szCs w:val="24"/>
        </w:rPr>
      </w:r>
      <w:r w:rsidR="00F30997" w:rsidRPr="00B95FCD">
        <w:rPr>
          <w:rFonts w:cstheme="minorHAnsi"/>
          <w:szCs w:val="24"/>
        </w:rPr>
        <w:fldChar w:fldCharType="separate"/>
      </w:r>
      <w:r w:rsidR="00AD6E26" w:rsidRPr="00AD6E26">
        <w:rPr>
          <w:rFonts w:cstheme="minorHAnsi"/>
          <w:szCs w:val="24"/>
        </w:rPr>
        <w:t xml:space="preserve">Table </w:t>
      </w:r>
      <w:r w:rsidR="00AD6E26" w:rsidRPr="00AD6E26">
        <w:rPr>
          <w:rFonts w:cstheme="minorHAnsi"/>
          <w:noProof/>
          <w:szCs w:val="24"/>
        </w:rPr>
        <w:t>10</w:t>
      </w:r>
      <w:r w:rsidR="00F30997" w:rsidRPr="00B95FCD">
        <w:rPr>
          <w:rFonts w:cstheme="minorHAnsi"/>
          <w:szCs w:val="24"/>
        </w:rPr>
        <w:fldChar w:fldCharType="end"/>
      </w:r>
      <w:r w:rsidR="00F93F04" w:rsidRPr="00B95FCD">
        <w:rPr>
          <w:rFonts w:cstheme="minorHAnsi"/>
          <w:szCs w:val="24"/>
        </w:rPr>
        <w:t xml:space="preserve">). </w:t>
      </w:r>
      <w:r w:rsidR="00B95FCD" w:rsidRPr="00B95FCD">
        <w:rPr>
          <w:rFonts w:cstheme="minorHAnsi"/>
          <w:szCs w:val="24"/>
        </w:rPr>
        <w:t xml:space="preserve">This increase is primarily driven by including </w:t>
      </w:r>
      <w:r w:rsidR="005B4A91">
        <w:rPr>
          <w:rFonts w:cstheme="minorHAnsi"/>
          <w:szCs w:val="24"/>
        </w:rPr>
        <w:t>&lt; 500</w:t>
      </w:r>
      <w:r w:rsidR="005B4A91" w:rsidRPr="00B95FCD">
        <w:rPr>
          <w:rFonts w:cstheme="minorHAnsi"/>
          <w:szCs w:val="24"/>
        </w:rPr>
        <w:t xml:space="preserve"> </w:t>
      </w:r>
      <w:r w:rsidR="00B75B70" w:rsidRPr="00B75B70">
        <w:rPr>
          <w:rFonts w:cstheme="minorHAnsi"/>
          <w:szCs w:val="24"/>
        </w:rPr>
        <w:t>patients from the revised prevalent population estimate</w:t>
      </w:r>
      <w:r w:rsidR="008C350F">
        <w:rPr>
          <w:rFonts w:cstheme="minorHAnsi"/>
          <w:szCs w:val="24"/>
        </w:rPr>
        <w:t>.</w:t>
      </w:r>
    </w:p>
    <w:p w14:paraId="44436ACA" w14:textId="068F8861" w:rsidR="00F93F04" w:rsidRPr="00B5560C" w:rsidRDefault="00B5560C" w:rsidP="00426EF6">
      <w:pPr>
        <w:pStyle w:val="3Bodytext"/>
        <w:jc w:val="both"/>
        <w:rPr>
          <w:rFonts w:cstheme="minorHAnsi"/>
          <w:szCs w:val="24"/>
        </w:rPr>
      </w:pPr>
      <w:r w:rsidRPr="00B5560C">
        <w:rPr>
          <w:rFonts w:cstheme="minorHAnsi"/>
          <w:szCs w:val="24"/>
        </w:rPr>
        <w:t>The submission stated that the increase in the total number of patients initiating zanubrutinib from Year 2 onward (</w:t>
      </w:r>
      <w:r w:rsidRPr="00B5560C">
        <w:rPr>
          <w:rFonts w:cstheme="minorHAnsi"/>
          <w:szCs w:val="24"/>
        </w:rPr>
        <w:fldChar w:fldCharType="begin" w:fldLock="1"/>
      </w:r>
      <w:r w:rsidRPr="00B5560C">
        <w:rPr>
          <w:rFonts w:cstheme="minorHAnsi"/>
          <w:szCs w:val="24"/>
        </w:rPr>
        <w:instrText xml:space="preserve"> REF _Ref167882723 \h  \* MERGEFORMAT </w:instrText>
      </w:r>
      <w:r w:rsidRPr="00B5560C">
        <w:rPr>
          <w:rFonts w:cstheme="minorHAnsi"/>
          <w:szCs w:val="24"/>
        </w:rPr>
      </w:r>
      <w:r w:rsidRPr="00B5560C">
        <w:rPr>
          <w:rFonts w:cstheme="minorHAnsi"/>
          <w:szCs w:val="24"/>
        </w:rPr>
        <w:fldChar w:fldCharType="separate"/>
      </w:r>
      <w:r w:rsidR="00AD6E26" w:rsidRPr="00AD6E26">
        <w:rPr>
          <w:rFonts w:cstheme="minorHAnsi"/>
          <w:szCs w:val="24"/>
        </w:rPr>
        <w:t xml:space="preserve">Table </w:t>
      </w:r>
      <w:r w:rsidR="00AD6E26" w:rsidRPr="00AD6E26">
        <w:rPr>
          <w:rFonts w:cstheme="minorHAnsi"/>
          <w:noProof/>
          <w:szCs w:val="24"/>
        </w:rPr>
        <w:t>10</w:t>
      </w:r>
      <w:r w:rsidRPr="00B5560C">
        <w:rPr>
          <w:rFonts w:cstheme="minorHAnsi"/>
          <w:szCs w:val="24"/>
        </w:rPr>
        <w:fldChar w:fldCharType="end"/>
      </w:r>
      <w:r w:rsidRPr="00B5560C">
        <w:rPr>
          <w:rFonts w:cstheme="minorHAnsi"/>
          <w:szCs w:val="24"/>
        </w:rPr>
        <w:t>) is attributed to higher inciden</w:t>
      </w:r>
      <w:r w:rsidR="005842A0">
        <w:rPr>
          <w:rFonts w:cstheme="minorHAnsi"/>
          <w:szCs w:val="24"/>
        </w:rPr>
        <w:t>ce</w:t>
      </w:r>
      <w:r w:rsidRPr="00B5560C">
        <w:rPr>
          <w:rFonts w:cstheme="minorHAnsi"/>
          <w:szCs w:val="24"/>
        </w:rPr>
        <w:t xml:space="preserve"> rates in both the first line and second line treatment settings.</w:t>
      </w:r>
    </w:p>
    <w:p w14:paraId="36B75BC6" w14:textId="72E1E8AC" w:rsidR="00B27876" w:rsidRPr="00DF4F39" w:rsidRDefault="00DF4F39" w:rsidP="006E2454">
      <w:pPr>
        <w:pStyle w:val="3Bodytext"/>
        <w:jc w:val="both"/>
      </w:pPr>
      <w:bookmarkStart w:id="39" w:name="_Ref167952822"/>
      <w:r>
        <w:t>The</w:t>
      </w:r>
      <w:r w:rsidR="006E2454" w:rsidRPr="00DF4F39">
        <w:t xml:space="preserve"> total number of patients treated with zanubrutinib for WM was calculated by incorporating the following:</w:t>
      </w:r>
      <w:bookmarkEnd w:id="39"/>
      <w:r w:rsidR="006E2454" w:rsidRPr="00DF4F39">
        <w:t xml:space="preserve"> </w:t>
      </w:r>
    </w:p>
    <w:p w14:paraId="7DFEEC1A" w14:textId="0C7E00A8" w:rsidR="006E2454" w:rsidRPr="00B25D4C" w:rsidRDefault="00B25D4C" w:rsidP="00773531">
      <w:pPr>
        <w:pStyle w:val="3Bodytext"/>
        <w:numPr>
          <w:ilvl w:val="0"/>
          <w:numId w:val="7"/>
        </w:numPr>
        <w:ind w:left="1134"/>
        <w:jc w:val="both"/>
      </w:pPr>
      <w:r w:rsidRPr="00B25D4C">
        <w:t xml:space="preserve">Weighted average treatment duration of 37.21 months across all lines of treatment (initially estimated as </w:t>
      </w:r>
      <w:r w:rsidR="00E926B5" w:rsidRPr="00E42CD7">
        <w:rPr>
          <w:color w:val="000000"/>
          <w:w w:val="15"/>
          <w:shd w:val="solid" w:color="000000" w:fill="000000"/>
          <w:fitText w:val="-20" w:id="-893114365"/>
          <w14:textFill>
            <w14:solidFill>
              <w14:srgbClr w14:val="000000">
                <w14:alpha w14:val="100000"/>
              </w14:srgbClr>
            </w14:solidFill>
          </w14:textFill>
        </w:rPr>
        <w:t xml:space="preserve">|  </w:t>
      </w:r>
      <w:r w:rsidR="00E926B5" w:rsidRPr="00E42CD7">
        <w:rPr>
          <w:color w:val="000000"/>
          <w:spacing w:val="-69"/>
          <w:w w:val="15"/>
          <w:shd w:val="solid" w:color="000000" w:fill="000000"/>
          <w:fitText w:val="-20" w:id="-893114365"/>
          <w14:textFill>
            <w14:solidFill>
              <w14:srgbClr w14:val="000000">
                <w14:alpha w14:val="100000"/>
              </w14:srgbClr>
            </w14:solidFill>
          </w14:textFill>
        </w:rPr>
        <w:t>|</w:t>
      </w:r>
      <w:r w:rsidRPr="00B25D4C">
        <w:t xml:space="preserve"> months</w:t>
      </w:r>
      <w:r w:rsidR="003F2AE1">
        <w:t xml:space="preserve"> but revised in the March 2022 pre</w:t>
      </w:r>
      <w:r w:rsidR="00245D62">
        <w:noBreakHyphen/>
      </w:r>
      <w:r w:rsidR="003F2AE1">
        <w:t xml:space="preserve">PBAC </w:t>
      </w:r>
      <w:r w:rsidR="003F2AE1">
        <w:lastRenderedPageBreak/>
        <w:t>response</w:t>
      </w:r>
      <w:r w:rsidRPr="00B25D4C">
        <w:t xml:space="preserve">), based on </w:t>
      </w:r>
      <w:r w:rsidR="00FE45C6" w:rsidRPr="00B25D4C">
        <w:t>37.45</w:t>
      </w:r>
      <w:r w:rsidRPr="00B25D4C">
        <w:t> </w:t>
      </w:r>
      <w:r w:rsidR="00FE45C6" w:rsidRPr="00B25D4C">
        <w:t>months for first line and 37.05</w:t>
      </w:r>
      <w:r w:rsidRPr="00B25D4C">
        <w:t> </w:t>
      </w:r>
      <w:r w:rsidR="00FE45C6" w:rsidRPr="00B25D4C">
        <w:t>months for second line</w:t>
      </w:r>
      <w:r w:rsidR="00351DC9">
        <w:t xml:space="preserve"> </w:t>
      </w:r>
      <w:r w:rsidR="00E1259F" w:rsidRPr="00E1259F">
        <w:t xml:space="preserve">with the </w:t>
      </w:r>
      <w:r w:rsidR="00E926B5" w:rsidRPr="00E42CD7">
        <w:rPr>
          <w:color w:val="000000"/>
          <w:w w:val="15"/>
          <w:shd w:val="solid" w:color="000000" w:fill="000000"/>
          <w:fitText w:val="-20" w:id="-893114364"/>
          <w14:textFill>
            <w14:solidFill>
              <w14:srgbClr w14:val="000000">
                <w14:alpha w14:val="100000"/>
              </w14:srgbClr>
            </w14:solidFill>
          </w14:textFill>
        </w:rPr>
        <w:t xml:space="preserve">|  </w:t>
      </w:r>
      <w:r w:rsidR="00E926B5" w:rsidRPr="00E42CD7">
        <w:rPr>
          <w:color w:val="000000"/>
          <w:spacing w:val="-69"/>
          <w:w w:val="15"/>
          <w:shd w:val="solid" w:color="000000" w:fill="000000"/>
          <w:fitText w:val="-20" w:id="-893114364"/>
          <w14:textFill>
            <w14:solidFill>
              <w14:srgbClr w14:val="000000">
                <w14:alpha w14:val="100000"/>
              </w14:srgbClr>
            </w14:solidFill>
          </w14:textFill>
        </w:rPr>
        <w:t>|</w:t>
      </w:r>
      <w:r w:rsidR="00E37822" w:rsidRPr="00E37822">
        <w:t xml:space="preserve">-month </w:t>
      </w:r>
      <w:r w:rsidR="00E1259F" w:rsidRPr="00E1259F">
        <w:t xml:space="preserve">financial stopping rule in place </w:t>
      </w:r>
      <w:r w:rsidR="00351DC9">
        <w:t xml:space="preserve">(paragraph 7.7, </w:t>
      </w:r>
      <w:r w:rsidR="00351DC9" w:rsidRPr="00351DC9">
        <w:t>zanubrutinib, PSD, March 2022</w:t>
      </w:r>
      <w:r w:rsidR="00351DC9">
        <w:t>).</w:t>
      </w:r>
    </w:p>
    <w:p w14:paraId="4A7EFCE1" w14:textId="610BBC78" w:rsidR="00FE45C6" w:rsidRDefault="00351DC9" w:rsidP="00773531">
      <w:pPr>
        <w:pStyle w:val="3Bodytext"/>
        <w:numPr>
          <w:ilvl w:val="0"/>
          <w:numId w:val="7"/>
        </w:numPr>
        <w:ind w:left="1134"/>
        <w:jc w:val="both"/>
      </w:pPr>
      <w:r w:rsidRPr="00351DC9">
        <w:t xml:space="preserve">Grandfathered patients </w:t>
      </w:r>
      <w:r>
        <w:t xml:space="preserve">were </w:t>
      </w:r>
      <w:r w:rsidRPr="00351DC9">
        <w:t>assumed to start treatment 6 months prior to the PBS listing of zanubrutinib, resulting in a shorter treatment duration of 31.21 months for this patient population.</w:t>
      </w:r>
    </w:p>
    <w:p w14:paraId="14A47BF2" w14:textId="40D85A39" w:rsidR="00910034" w:rsidRDefault="00910034" w:rsidP="00773531">
      <w:pPr>
        <w:pStyle w:val="3Bodytext"/>
        <w:numPr>
          <w:ilvl w:val="0"/>
          <w:numId w:val="7"/>
        </w:numPr>
        <w:ind w:left="1134"/>
        <w:jc w:val="both"/>
      </w:pPr>
      <w:r w:rsidRPr="00910034">
        <w:t>Patient numbers were projected to grow over the years</w:t>
      </w:r>
      <w:r w:rsidR="00DD4E36" w:rsidRPr="00DD4E36">
        <w:t xml:space="preserve"> </w:t>
      </w:r>
      <w:r w:rsidR="00DD4E36" w:rsidRPr="00910034">
        <w:t>to align with population growth trends</w:t>
      </w:r>
      <w:r w:rsidRPr="00910034">
        <w:t xml:space="preserve">, except for a decline in Year 4 </w:t>
      </w:r>
      <w:r w:rsidR="00DD4E36">
        <w:t>as</w:t>
      </w:r>
      <w:r w:rsidRPr="00910034">
        <w:t xml:space="preserve"> grandfathered patients </w:t>
      </w:r>
      <w:r w:rsidR="00DD4E36">
        <w:t xml:space="preserve">are expected to </w:t>
      </w:r>
      <w:r w:rsidRPr="00910034">
        <w:t>discontinu</w:t>
      </w:r>
      <w:r w:rsidR="00DD4E36">
        <w:t>e</w:t>
      </w:r>
      <w:r w:rsidRPr="00910034">
        <w:t xml:space="preserve"> treatment partway through Year 3, where a small number of prevalent patients </w:t>
      </w:r>
      <w:r w:rsidR="00DD4E36">
        <w:t xml:space="preserve">would </w:t>
      </w:r>
      <w:r w:rsidRPr="00910034">
        <w:t>remain on treatment in Year 4 with their treatment duration of 37.05 months, which end in the second month of that year.</w:t>
      </w:r>
    </w:p>
    <w:p w14:paraId="46E21D7F" w14:textId="77777777" w:rsidR="0026674F" w:rsidRDefault="0026674F" w:rsidP="0026674F">
      <w:pPr>
        <w:pStyle w:val="4-SubsectionHeading"/>
        <w:keepNext w:val="0"/>
        <w:spacing w:before="0"/>
        <w:rPr>
          <w:lang w:eastAsia="en-US"/>
        </w:rPr>
      </w:pPr>
      <w:r w:rsidRPr="00A6439B">
        <w:rPr>
          <w:lang w:eastAsia="en-US"/>
        </w:rPr>
        <w:t>Estimated PBS usage and financial implications</w:t>
      </w:r>
    </w:p>
    <w:p w14:paraId="772C5696" w14:textId="4DED6BFB" w:rsidR="006B1841" w:rsidRPr="006B1841" w:rsidRDefault="006B1841" w:rsidP="00B0617E">
      <w:pPr>
        <w:pStyle w:val="3Bodytext"/>
        <w:jc w:val="both"/>
      </w:pPr>
      <w:r w:rsidRPr="00D461BD">
        <w:t xml:space="preserve">The submission provided updated financial </w:t>
      </w:r>
      <w:r w:rsidRPr="00A46A49">
        <w:rPr>
          <w:rFonts w:cstheme="minorHAnsi"/>
          <w:szCs w:val="24"/>
        </w:rPr>
        <w:t xml:space="preserve">estimates </w:t>
      </w:r>
      <w:r>
        <w:rPr>
          <w:rFonts w:cstheme="minorHAnsi"/>
          <w:szCs w:val="24"/>
        </w:rPr>
        <w:t xml:space="preserve">(see </w:t>
      </w:r>
      <w:r w:rsidRPr="00A46A49">
        <w:rPr>
          <w:rFonts w:cstheme="minorHAnsi"/>
          <w:szCs w:val="24"/>
        </w:rPr>
        <w:fldChar w:fldCharType="begin" w:fldLock="1"/>
      </w:r>
      <w:r w:rsidRPr="00A46A49">
        <w:rPr>
          <w:rFonts w:cstheme="minorHAnsi"/>
          <w:szCs w:val="24"/>
        </w:rPr>
        <w:instrText xml:space="preserve"> REF _Ref167973960 \h  \* MERGEFORMAT </w:instrText>
      </w:r>
      <w:r w:rsidRPr="00A46A49">
        <w:rPr>
          <w:rFonts w:cstheme="minorHAnsi"/>
          <w:szCs w:val="24"/>
        </w:rPr>
      </w:r>
      <w:r w:rsidRPr="00A46A49">
        <w:rPr>
          <w:rFonts w:cstheme="minorHAnsi"/>
          <w:szCs w:val="24"/>
        </w:rPr>
        <w:fldChar w:fldCharType="separate"/>
      </w:r>
      <w:r w:rsidR="00B31544" w:rsidRPr="00B31544">
        <w:rPr>
          <w:rFonts w:cstheme="minorHAnsi"/>
          <w:szCs w:val="24"/>
        </w:rPr>
        <w:t>Table 11</w:t>
      </w:r>
      <w:r w:rsidRPr="00A46A49">
        <w:rPr>
          <w:rFonts w:cstheme="minorHAnsi"/>
          <w:szCs w:val="24"/>
        </w:rPr>
        <w:fldChar w:fldCharType="end"/>
      </w:r>
      <w:r w:rsidRPr="00A46A49">
        <w:rPr>
          <w:rFonts w:cstheme="minorHAnsi"/>
          <w:szCs w:val="24"/>
        </w:rPr>
        <w:t>) that</w:t>
      </w:r>
      <w:r w:rsidRPr="00D461BD">
        <w:t xml:space="preserve"> were aligned with the revised estimated use </w:t>
      </w:r>
      <w:r>
        <w:t xml:space="preserve">of zanubrutinib for the treatment of WM. </w:t>
      </w:r>
      <w:r w:rsidRPr="006B1841">
        <w:t>The financial impact to Services Australia will be determined by that agency as part of the post PBAC process.</w:t>
      </w:r>
    </w:p>
    <w:p w14:paraId="4FA78298" w14:textId="6B47BDCC" w:rsidR="00D71FE8" w:rsidRPr="00411880" w:rsidRDefault="00D71FE8" w:rsidP="004F3D20">
      <w:pPr>
        <w:pStyle w:val="3Bodytext"/>
        <w:jc w:val="both"/>
        <w:rPr>
          <w:szCs w:val="24"/>
        </w:rPr>
      </w:pPr>
      <w:r w:rsidRPr="00F537C0">
        <w:rPr>
          <w:szCs w:val="24"/>
        </w:rPr>
        <w:t>The submission noted that there have been changes to pricing inputs to estimate the financial implications, but no changes to the assumptions since last considered by the PBAC in March 2022.</w:t>
      </w:r>
      <w:r w:rsidR="00264220" w:rsidRPr="00F537C0">
        <w:rPr>
          <w:szCs w:val="24"/>
        </w:rPr>
        <w:t xml:space="preserve"> The published approved ex-manufacturer price (AEMP) for zanubrutinib was reduced from $</w:t>
      </w:r>
      <w:r w:rsidR="00E926B5" w:rsidRPr="00E42CD7">
        <w:rPr>
          <w:color w:val="000000"/>
          <w:w w:val="15"/>
          <w:szCs w:val="24"/>
          <w:shd w:val="solid" w:color="000000" w:fill="000000"/>
          <w:fitText w:val="-20" w:id="-893114363"/>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363"/>
          <w14:textFill>
            <w14:solidFill>
              <w14:srgbClr w14:val="000000">
                <w14:alpha w14:val="100000"/>
              </w14:srgbClr>
            </w14:solidFill>
          </w14:textFill>
        </w:rPr>
        <w:t>|</w:t>
      </w:r>
      <w:r w:rsidR="00264220" w:rsidRPr="00F537C0">
        <w:rPr>
          <w:szCs w:val="24"/>
        </w:rPr>
        <w:t xml:space="preserve"> to $</w:t>
      </w:r>
      <w:r w:rsidR="00E926B5" w:rsidRPr="00E42CD7">
        <w:rPr>
          <w:color w:val="000000"/>
          <w:w w:val="15"/>
          <w:szCs w:val="24"/>
          <w:shd w:val="solid" w:color="000000" w:fill="000000"/>
          <w:fitText w:val="-20" w:id="-893114362"/>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362"/>
          <w14:textFill>
            <w14:solidFill>
              <w14:srgbClr w14:val="000000">
                <w14:alpha w14:val="100000"/>
              </w14:srgbClr>
            </w14:solidFill>
          </w14:textFill>
        </w:rPr>
        <w:t>|</w:t>
      </w:r>
      <w:r w:rsidR="00264220" w:rsidRPr="00F537C0">
        <w:rPr>
          <w:szCs w:val="24"/>
        </w:rPr>
        <w:t xml:space="preserve">, but </w:t>
      </w:r>
      <w:r w:rsidR="00264220" w:rsidRPr="00411880">
        <w:rPr>
          <w:szCs w:val="24"/>
        </w:rPr>
        <w:t>the effective AEMP of $</w:t>
      </w:r>
      <w:r w:rsidR="00E926B5" w:rsidRPr="00E42CD7">
        <w:rPr>
          <w:color w:val="000000"/>
          <w:w w:val="15"/>
          <w:szCs w:val="24"/>
          <w:shd w:val="solid" w:color="000000" w:fill="000000"/>
          <w:fitText w:val="-20" w:id="-893114361"/>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361"/>
          <w14:textFill>
            <w14:solidFill>
              <w14:srgbClr w14:val="000000">
                <w14:alpha w14:val="100000"/>
              </w14:srgbClr>
            </w14:solidFill>
          </w14:textFill>
        </w:rPr>
        <w:t>|</w:t>
      </w:r>
      <w:r w:rsidR="00264220" w:rsidRPr="00411880">
        <w:rPr>
          <w:szCs w:val="24"/>
        </w:rPr>
        <w:t xml:space="preserve"> was unchanged since its listing </w:t>
      </w:r>
      <w:r w:rsidR="00F62A8E" w:rsidRPr="00411880">
        <w:rPr>
          <w:szCs w:val="24"/>
        </w:rPr>
        <w:t xml:space="preserve">for WM </w:t>
      </w:r>
      <w:r w:rsidR="00264220" w:rsidRPr="00411880">
        <w:rPr>
          <w:szCs w:val="24"/>
        </w:rPr>
        <w:t>on the PBS.</w:t>
      </w:r>
    </w:p>
    <w:p w14:paraId="6953BC65" w14:textId="58167439" w:rsidR="00F537C0" w:rsidRPr="002755A3" w:rsidRDefault="00F537C0" w:rsidP="004E1B32">
      <w:pPr>
        <w:pStyle w:val="3Bodytext"/>
        <w:jc w:val="both"/>
        <w:rPr>
          <w:szCs w:val="24"/>
        </w:rPr>
      </w:pPr>
      <w:r w:rsidRPr="00F537C0">
        <w:rPr>
          <w:szCs w:val="24"/>
        </w:rPr>
        <w:t xml:space="preserve">The submission presented financial estimates without any pricing changes to enable a direct comparison to the </w:t>
      </w:r>
      <w:r>
        <w:rPr>
          <w:szCs w:val="24"/>
        </w:rPr>
        <w:t xml:space="preserve">March 2022 </w:t>
      </w:r>
      <w:r w:rsidRPr="00F537C0">
        <w:rPr>
          <w:szCs w:val="24"/>
        </w:rPr>
        <w:t>submission. This allowed for isolating the impact of increased utili</w:t>
      </w:r>
      <w:r>
        <w:rPr>
          <w:szCs w:val="24"/>
        </w:rPr>
        <w:t>s</w:t>
      </w:r>
      <w:r w:rsidRPr="00F537C0">
        <w:rPr>
          <w:szCs w:val="24"/>
        </w:rPr>
        <w:t>ation of</w:t>
      </w:r>
      <w:r>
        <w:rPr>
          <w:szCs w:val="24"/>
        </w:rPr>
        <w:t xml:space="preserve"> zanubrutinib</w:t>
      </w:r>
      <w:r w:rsidRPr="00F537C0">
        <w:rPr>
          <w:szCs w:val="24"/>
        </w:rPr>
        <w:t xml:space="preserve">. </w:t>
      </w:r>
      <w:r w:rsidR="00AE0452" w:rsidRPr="002755A3">
        <w:rPr>
          <w:szCs w:val="24"/>
        </w:rPr>
        <w:t>T</w:t>
      </w:r>
      <w:r w:rsidRPr="002755A3">
        <w:rPr>
          <w:szCs w:val="24"/>
        </w:rPr>
        <w:t>he impact of the updated pricing inputs was considered minor compared to the financial estimates incorporating those new prices. Therefore, the financial estimates in the scenario without changes to pricing inputs were not included here, as they offered minimal additional insight.</w:t>
      </w:r>
    </w:p>
    <w:p w14:paraId="12B4803D" w14:textId="3270B6A2" w:rsidR="00084E73" w:rsidRPr="00A4258E" w:rsidRDefault="00E82BCF" w:rsidP="00AD6E26">
      <w:pPr>
        <w:pStyle w:val="Caption"/>
        <w:keepNext/>
        <w:keepLines/>
        <w:spacing w:after="0"/>
        <w:rPr>
          <w:rFonts w:ascii="Arial Narrow" w:hAnsi="Arial Narrow"/>
          <w:b/>
          <w:bCs/>
          <w:i w:val="0"/>
          <w:iCs w:val="0"/>
          <w:sz w:val="20"/>
          <w:szCs w:val="20"/>
        </w:rPr>
      </w:pPr>
      <w:bookmarkStart w:id="40" w:name="_Ref167973960"/>
      <w:bookmarkStart w:id="41" w:name="_Hlk172487051"/>
      <w:r w:rsidRPr="00A4258E">
        <w:rPr>
          <w:rFonts w:ascii="Arial Narrow" w:hAnsi="Arial Narrow"/>
          <w:b/>
          <w:bCs/>
          <w:i w:val="0"/>
          <w:iCs w:val="0"/>
          <w:sz w:val="20"/>
          <w:szCs w:val="20"/>
        </w:rPr>
        <w:lastRenderedPageBreak/>
        <w:t xml:space="preserve">Table </w:t>
      </w:r>
      <w:r w:rsidRPr="00A4258E">
        <w:rPr>
          <w:rFonts w:ascii="Arial Narrow" w:hAnsi="Arial Narrow"/>
          <w:b/>
          <w:bCs/>
          <w:i w:val="0"/>
          <w:iCs w:val="0"/>
          <w:sz w:val="20"/>
          <w:szCs w:val="20"/>
        </w:rPr>
        <w:fldChar w:fldCharType="begin" w:fldLock="1"/>
      </w:r>
      <w:r w:rsidRPr="00A4258E">
        <w:rPr>
          <w:rFonts w:ascii="Arial Narrow" w:hAnsi="Arial Narrow"/>
          <w:b/>
          <w:bCs/>
          <w:i w:val="0"/>
          <w:iCs w:val="0"/>
          <w:sz w:val="20"/>
          <w:szCs w:val="20"/>
        </w:rPr>
        <w:instrText xml:space="preserve"> SEQ Table \* ARABIC </w:instrText>
      </w:r>
      <w:r w:rsidRPr="00A4258E">
        <w:rPr>
          <w:rFonts w:ascii="Arial Narrow" w:hAnsi="Arial Narrow"/>
          <w:b/>
          <w:bCs/>
          <w:i w:val="0"/>
          <w:iCs w:val="0"/>
          <w:sz w:val="20"/>
          <w:szCs w:val="20"/>
        </w:rPr>
        <w:fldChar w:fldCharType="separate"/>
      </w:r>
      <w:r w:rsidR="00D05088">
        <w:rPr>
          <w:rFonts w:ascii="Arial Narrow" w:hAnsi="Arial Narrow"/>
          <w:b/>
          <w:bCs/>
          <w:i w:val="0"/>
          <w:iCs w:val="0"/>
          <w:noProof/>
          <w:sz w:val="20"/>
          <w:szCs w:val="20"/>
        </w:rPr>
        <w:t>11</w:t>
      </w:r>
      <w:r w:rsidRPr="00A4258E">
        <w:rPr>
          <w:rFonts w:ascii="Arial Narrow" w:hAnsi="Arial Narrow"/>
          <w:b/>
          <w:bCs/>
          <w:i w:val="0"/>
          <w:iCs w:val="0"/>
          <w:sz w:val="20"/>
          <w:szCs w:val="20"/>
        </w:rPr>
        <w:fldChar w:fldCharType="end"/>
      </w:r>
      <w:bookmarkEnd w:id="40"/>
      <w:r w:rsidR="00084E73" w:rsidRPr="00A4258E">
        <w:rPr>
          <w:rFonts w:ascii="Arial Narrow" w:hAnsi="Arial Narrow"/>
          <w:b/>
          <w:bCs/>
          <w:i w:val="0"/>
          <w:iCs w:val="0"/>
          <w:sz w:val="20"/>
          <w:szCs w:val="20"/>
        </w:rPr>
        <w:t xml:space="preserve">: Estimated use and financial implications </w:t>
      </w:r>
    </w:p>
    <w:tbl>
      <w:tblPr>
        <w:tblStyle w:val="ASDTable2"/>
        <w:tblW w:w="5000" w:type="pct"/>
        <w:tblCellMar>
          <w:left w:w="28" w:type="dxa"/>
          <w:right w:w="28" w:type="dxa"/>
        </w:tblCellMar>
        <w:tblLook w:val="04A0" w:firstRow="1" w:lastRow="0" w:firstColumn="1" w:lastColumn="0" w:noHBand="0" w:noVBand="1"/>
        <w:tblCaption w:val="Table 11: Estimated use and financial implications "/>
        <w:tblDescription w:val="Table 11: Estimated use and financial implications "/>
      </w:tblPr>
      <w:tblGrid>
        <w:gridCol w:w="1696"/>
        <w:gridCol w:w="1093"/>
        <w:gridCol w:w="1242"/>
        <w:gridCol w:w="1242"/>
        <w:gridCol w:w="1241"/>
        <w:gridCol w:w="1250"/>
        <w:gridCol w:w="1239"/>
        <w:gridCol w:w="13"/>
      </w:tblGrid>
      <w:tr w:rsidR="004641C9" w:rsidRPr="005550A5" w14:paraId="7929C1F0" w14:textId="77777777" w:rsidTr="005550A5">
        <w:trPr>
          <w:trHeight w:val="20"/>
          <w:tblHeader/>
        </w:trPr>
        <w:tc>
          <w:tcPr>
            <w:tcW w:w="941" w:type="pct"/>
            <w:shd w:val="clear" w:color="auto" w:fill="auto"/>
            <w:vAlign w:val="center"/>
          </w:tcPr>
          <w:p w14:paraId="5EB9650C" w14:textId="77777777" w:rsidR="004641C9" w:rsidRPr="005550A5" w:rsidRDefault="004641C9" w:rsidP="005550A5">
            <w:pPr>
              <w:pStyle w:val="TableText0"/>
              <w:keepLines/>
              <w:rPr>
                <w:szCs w:val="20"/>
              </w:rPr>
            </w:pPr>
          </w:p>
        </w:tc>
        <w:tc>
          <w:tcPr>
            <w:tcW w:w="606" w:type="pct"/>
            <w:shd w:val="clear" w:color="auto" w:fill="auto"/>
          </w:tcPr>
          <w:p w14:paraId="096659F9" w14:textId="07A3C21B" w:rsidR="004641C9" w:rsidRPr="005550A5" w:rsidRDefault="004641C9" w:rsidP="005550A5">
            <w:pPr>
              <w:pStyle w:val="TableText0"/>
              <w:keepLines/>
              <w:jc w:val="center"/>
              <w:rPr>
                <w:b/>
                <w:bCs w:val="0"/>
                <w:szCs w:val="20"/>
              </w:rPr>
            </w:pPr>
            <w:r w:rsidRPr="005550A5">
              <w:rPr>
                <w:b/>
                <w:bCs w:val="0"/>
                <w:szCs w:val="20"/>
              </w:rPr>
              <w:t>Year 1</w:t>
            </w:r>
          </w:p>
        </w:tc>
        <w:tc>
          <w:tcPr>
            <w:tcW w:w="689" w:type="pct"/>
            <w:shd w:val="clear" w:color="auto" w:fill="auto"/>
          </w:tcPr>
          <w:p w14:paraId="36966C6A" w14:textId="0E0451D6" w:rsidR="004641C9" w:rsidRPr="005550A5" w:rsidRDefault="004641C9" w:rsidP="005550A5">
            <w:pPr>
              <w:pStyle w:val="TableText0"/>
              <w:keepLines/>
              <w:jc w:val="center"/>
              <w:rPr>
                <w:b/>
                <w:bCs w:val="0"/>
                <w:szCs w:val="20"/>
              </w:rPr>
            </w:pPr>
            <w:r w:rsidRPr="005550A5">
              <w:rPr>
                <w:b/>
                <w:bCs w:val="0"/>
                <w:szCs w:val="20"/>
              </w:rPr>
              <w:t>Year 2</w:t>
            </w:r>
          </w:p>
        </w:tc>
        <w:tc>
          <w:tcPr>
            <w:tcW w:w="689" w:type="pct"/>
            <w:shd w:val="clear" w:color="auto" w:fill="auto"/>
          </w:tcPr>
          <w:p w14:paraId="43C9F8DF" w14:textId="4073D842" w:rsidR="004641C9" w:rsidRPr="005550A5" w:rsidRDefault="004641C9" w:rsidP="005550A5">
            <w:pPr>
              <w:pStyle w:val="TableText0"/>
              <w:keepLines/>
              <w:jc w:val="center"/>
              <w:rPr>
                <w:b/>
                <w:bCs w:val="0"/>
                <w:szCs w:val="20"/>
              </w:rPr>
            </w:pPr>
            <w:r w:rsidRPr="005550A5">
              <w:rPr>
                <w:b/>
                <w:bCs w:val="0"/>
                <w:szCs w:val="20"/>
              </w:rPr>
              <w:t>Year 3</w:t>
            </w:r>
          </w:p>
        </w:tc>
        <w:tc>
          <w:tcPr>
            <w:tcW w:w="688" w:type="pct"/>
            <w:shd w:val="clear" w:color="auto" w:fill="auto"/>
          </w:tcPr>
          <w:p w14:paraId="365D5F19" w14:textId="1948C2DD" w:rsidR="004641C9" w:rsidRPr="005550A5" w:rsidRDefault="004641C9" w:rsidP="005550A5">
            <w:pPr>
              <w:pStyle w:val="TableText0"/>
              <w:keepLines/>
              <w:jc w:val="center"/>
              <w:rPr>
                <w:b/>
                <w:bCs w:val="0"/>
                <w:szCs w:val="20"/>
              </w:rPr>
            </w:pPr>
            <w:r w:rsidRPr="005550A5">
              <w:rPr>
                <w:b/>
                <w:bCs w:val="0"/>
                <w:szCs w:val="20"/>
              </w:rPr>
              <w:t>Year 4</w:t>
            </w:r>
          </w:p>
        </w:tc>
        <w:tc>
          <w:tcPr>
            <w:tcW w:w="693" w:type="pct"/>
            <w:shd w:val="clear" w:color="auto" w:fill="auto"/>
          </w:tcPr>
          <w:p w14:paraId="371624FD" w14:textId="160F2D3A" w:rsidR="004641C9" w:rsidRPr="005550A5" w:rsidRDefault="004641C9" w:rsidP="005550A5">
            <w:pPr>
              <w:pStyle w:val="TableText0"/>
              <w:keepLines/>
              <w:jc w:val="center"/>
              <w:rPr>
                <w:b/>
                <w:bCs w:val="0"/>
                <w:szCs w:val="20"/>
              </w:rPr>
            </w:pPr>
            <w:r w:rsidRPr="005550A5">
              <w:rPr>
                <w:b/>
                <w:bCs w:val="0"/>
                <w:szCs w:val="20"/>
              </w:rPr>
              <w:t>Year 5</w:t>
            </w:r>
          </w:p>
        </w:tc>
        <w:tc>
          <w:tcPr>
            <w:tcW w:w="694" w:type="pct"/>
            <w:gridSpan w:val="2"/>
            <w:shd w:val="clear" w:color="auto" w:fill="auto"/>
          </w:tcPr>
          <w:p w14:paraId="6795CEC1" w14:textId="2F341B63" w:rsidR="004641C9" w:rsidRPr="005550A5" w:rsidRDefault="004641C9" w:rsidP="005550A5">
            <w:pPr>
              <w:pStyle w:val="TableText0"/>
              <w:keepLines/>
              <w:jc w:val="center"/>
              <w:rPr>
                <w:b/>
                <w:bCs w:val="0"/>
                <w:szCs w:val="20"/>
              </w:rPr>
            </w:pPr>
            <w:r w:rsidRPr="005550A5">
              <w:rPr>
                <w:b/>
                <w:bCs w:val="0"/>
                <w:szCs w:val="20"/>
              </w:rPr>
              <w:t>Year 6</w:t>
            </w:r>
          </w:p>
        </w:tc>
      </w:tr>
      <w:tr w:rsidR="004641C9" w:rsidRPr="005550A5" w14:paraId="3422DA18" w14:textId="77777777" w:rsidTr="005550A5">
        <w:trPr>
          <w:cantSplit/>
          <w:trHeight w:val="20"/>
        </w:trPr>
        <w:tc>
          <w:tcPr>
            <w:tcW w:w="5000" w:type="pct"/>
            <w:gridSpan w:val="8"/>
            <w:tcBorders>
              <w:bottom w:val="single" w:sz="4" w:space="0" w:color="auto"/>
            </w:tcBorders>
            <w:shd w:val="clear" w:color="auto" w:fill="auto"/>
            <w:vAlign w:val="center"/>
          </w:tcPr>
          <w:p w14:paraId="52020FBE" w14:textId="3B4C4E37" w:rsidR="004641C9" w:rsidRPr="005550A5" w:rsidRDefault="004641C9" w:rsidP="005550A5">
            <w:pPr>
              <w:pStyle w:val="TableText0"/>
              <w:keepLines/>
              <w:rPr>
                <w:b/>
                <w:color w:val="000000"/>
                <w:szCs w:val="20"/>
              </w:rPr>
            </w:pPr>
            <w:r w:rsidRPr="005550A5">
              <w:rPr>
                <w:b/>
                <w:color w:val="000000"/>
                <w:szCs w:val="20"/>
              </w:rPr>
              <w:t>Estimated extent of use</w:t>
            </w:r>
          </w:p>
        </w:tc>
      </w:tr>
      <w:tr w:rsidR="004641C9" w:rsidRPr="005550A5" w14:paraId="50F75A07" w14:textId="77777777" w:rsidTr="005550A5">
        <w:trPr>
          <w:cantSplit/>
          <w:trHeight w:val="20"/>
        </w:trPr>
        <w:tc>
          <w:tcPr>
            <w:tcW w:w="5000" w:type="pct"/>
            <w:gridSpan w:val="8"/>
            <w:shd w:val="clear" w:color="auto" w:fill="auto"/>
            <w:vAlign w:val="center"/>
          </w:tcPr>
          <w:p w14:paraId="482866AA" w14:textId="2BA78CFA" w:rsidR="004641C9" w:rsidRPr="005550A5" w:rsidRDefault="004641C9" w:rsidP="005550A5">
            <w:pPr>
              <w:pStyle w:val="TableText0"/>
              <w:keepLines/>
              <w:rPr>
                <w:b/>
                <w:color w:val="000000"/>
                <w:szCs w:val="20"/>
              </w:rPr>
            </w:pPr>
            <w:r w:rsidRPr="005550A5">
              <w:rPr>
                <w:b/>
                <w:color w:val="000000"/>
                <w:szCs w:val="20"/>
              </w:rPr>
              <w:t xml:space="preserve">Number of patients treated with zanubrutinib </w:t>
            </w:r>
          </w:p>
        </w:tc>
      </w:tr>
      <w:tr w:rsidR="004641C9" w:rsidRPr="005550A5" w14:paraId="61619E5C" w14:textId="77777777" w:rsidTr="005550A5">
        <w:trPr>
          <w:gridAfter w:val="1"/>
          <w:wAfter w:w="7" w:type="pct"/>
          <w:trHeight w:val="20"/>
        </w:trPr>
        <w:tc>
          <w:tcPr>
            <w:tcW w:w="941" w:type="pct"/>
            <w:shd w:val="clear" w:color="auto" w:fill="DBE5F1" w:themeFill="accent1" w:themeFillTint="33"/>
            <w:vAlign w:val="center"/>
          </w:tcPr>
          <w:p w14:paraId="3C45A951" w14:textId="58DC7D69" w:rsidR="004641C9" w:rsidRPr="005550A5" w:rsidRDefault="004641C9" w:rsidP="005550A5">
            <w:pPr>
              <w:pStyle w:val="TableText0"/>
              <w:keepLines/>
              <w:rPr>
                <w:bCs w:val="0"/>
                <w:color w:val="000000"/>
                <w:szCs w:val="20"/>
              </w:rPr>
            </w:pPr>
            <w:r w:rsidRPr="005550A5">
              <w:rPr>
                <w:bCs w:val="0"/>
                <w:color w:val="000000"/>
                <w:szCs w:val="20"/>
              </w:rPr>
              <w:t>March 2022</w:t>
            </w:r>
          </w:p>
        </w:tc>
        <w:tc>
          <w:tcPr>
            <w:tcW w:w="606" w:type="pct"/>
            <w:shd w:val="clear" w:color="auto" w:fill="DBE5F1" w:themeFill="accent1" w:themeFillTint="33"/>
            <w:vAlign w:val="center"/>
          </w:tcPr>
          <w:p w14:paraId="577D5C0B" w14:textId="767BD19A" w:rsidR="004641C9" w:rsidRPr="005550A5" w:rsidRDefault="00E926B5" w:rsidP="005550A5">
            <w:pPr>
              <w:pStyle w:val="TableText0"/>
              <w:keepLines/>
              <w:jc w:val="center"/>
              <w:rPr>
                <w:bCs w:val="0"/>
                <w:color w:val="000000"/>
                <w:szCs w:val="20"/>
                <w:highlight w:val="lightGray"/>
              </w:rPr>
            </w:pPr>
            <w:r w:rsidRPr="00F567D8">
              <w:rPr>
                <w:rFonts w:hint="eastAsia"/>
                <w:bCs w:val="0"/>
                <w:color w:val="000000"/>
                <w:w w:val="15"/>
                <w:szCs w:val="20"/>
                <w:shd w:val="solid" w:color="000000" w:fill="000000"/>
                <w:fitText w:val="70" w:id="-893114360"/>
                <w14:textFill>
                  <w14:solidFill>
                    <w14:srgbClr w14:val="000000">
                      <w14:alpha w14:val="100000"/>
                    </w14:srgbClr>
                  </w14:solidFill>
                </w14:textFill>
              </w:rPr>
              <w:t xml:space="preserve">　</w:t>
            </w:r>
            <w:r w:rsidRPr="00F567D8">
              <w:rPr>
                <w:bCs w:val="0"/>
                <w:color w:val="000000"/>
                <w:w w:val="15"/>
                <w:szCs w:val="20"/>
                <w:shd w:val="solid" w:color="000000" w:fill="000000"/>
                <w:fitText w:val="70" w:id="-893114360"/>
                <w14:textFill>
                  <w14:solidFill>
                    <w14:srgbClr w14:val="000000">
                      <w14:alpha w14:val="100000"/>
                    </w14:srgbClr>
                  </w14:solidFill>
                </w14:textFill>
              </w:rPr>
              <w:t>|</w:t>
            </w:r>
            <w:r w:rsidRPr="00F567D8">
              <w:rPr>
                <w:rFonts w:hint="eastAsia"/>
                <w:bCs w:val="0"/>
                <w:color w:val="000000"/>
                <w:spacing w:val="4"/>
                <w:w w:val="15"/>
                <w:szCs w:val="20"/>
                <w:shd w:val="solid" w:color="000000" w:fill="000000"/>
                <w:fitText w:val="70" w:id="-893114360"/>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c>
          <w:tcPr>
            <w:tcW w:w="689" w:type="pct"/>
            <w:shd w:val="clear" w:color="auto" w:fill="DBE5F1" w:themeFill="accent1" w:themeFillTint="33"/>
            <w:vAlign w:val="center"/>
          </w:tcPr>
          <w:p w14:paraId="7F41071B" w14:textId="20A20FAD"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59"/>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59"/>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59"/>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c>
          <w:tcPr>
            <w:tcW w:w="689" w:type="pct"/>
            <w:shd w:val="clear" w:color="auto" w:fill="DBE5F1" w:themeFill="accent1" w:themeFillTint="33"/>
            <w:vAlign w:val="center"/>
          </w:tcPr>
          <w:p w14:paraId="7CBA9356" w14:textId="324E6FD1"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58"/>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58"/>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58"/>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c>
          <w:tcPr>
            <w:tcW w:w="688" w:type="pct"/>
            <w:shd w:val="clear" w:color="auto" w:fill="DBE5F1" w:themeFill="accent1" w:themeFillTint="33"/>
            <w:vAlign w:val="center"/>
          </w:tcPr>
          <w:p w14:paraId="1CB34640" w14:textId="4550A8B6"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57"/>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57"/>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57"/>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c>
          <w:tcPr>
            <w:tcW w:w="693" w:type="pct"/>
            <w:shd w:val="clear" w:color="auto" w:fill="DBE5F1" w:themeFill="accent1" w:themeFillTint="33"/>
            <w:vAlign w:val="center"/>
          </w:tcPr>
          <w:p w14:paraId="249AD068" w14:textId="6DE77EF7"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371031" w:rsidRPr="00371031">
              <w:rPr>
                <w:bCs w:val="0"/>
                <w:color w:val="000000"/>
                <w:szCs w:val="20"/>
              </w:rPr>
              <w:t xml:space="preserve"> </w:t>
            </w:r>
            <w:r w:rsidR="00E31627" w:rsidRPr="005550A5">
              <w:rPr>
                <w:bCs w:val="0"/>
                <w:color w:val="000000"/>
                <w:szCs w:val="20"/>
                <w:vertAlign w:val="superscript"/>
              </w:rPr>
              <w:t>1</w:t>
            </w:r>
          </w:p>
        </w:tc>
        <w:tc>
          <w:tcPr>
            <w:tcW w:w="687" w:type="pct"/>
            <w:shd w:val="clear" w:color="auto" w:fill="DBE5F1" w:themeFill="accent1" w:themeFillTint="33"/>
            <w:vAlign w:val="center"/>
          </w:tcPr>
          <w:p w14:paraId="6239E060" w14:textId="1D146616"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56"/>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56"/>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56"/>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r>
      <w:tr w:rsidR="004641C9" w:rsidRPr="005550A5" w14:paraId="0DA9BDFA" w14:textId="77777777" w:rsidTr="005550A5">
        <w:trPr>
          <w:gridAfter w:val="1"/>
          <w:wAfter w:w="7" w:type="pct"/>
          <w:trHeight w:val="20"/>
        </w:trPr>
        <w:tc>
          <w:tcPr>
            <w:tcW w:w="941" w:type="pct"/>
            <w:shd w:val="clear" w:color="auto" w:fill="auto"/>
            <w:vAlign w:val="center"/>
          </w:tcPr>
          <w:p w14:paraId="7905274E" w14:textId="6507D002" w:rsidR="004641C9" w:rsidRPr="005550A5" w:rsidDel="00E722D4" w:rsidRDefault="004641C9" w:rsidP="005550A5">
            <w:pPr>
              <w:pStyle w:val="TableText0"/>
              <w:keepLines/>
              <w:rPr>
                <w:bCs w:val="0"/>
                <w:color w:val="000000"/>
                <w:szCs w:val="20"/>
              </w:rPr>
            </w:pPr>
            <w:r w:rsidRPr="005550A5">
              <w:rPr>
                <w:bCs w:val="0"/>
                <w:color w:val="000000"/>
                <w:szCs w:val="20"/>
              </w:rPr>
              <w:t>July 2024</w:t>
            </w:r>
          </w:p>
        </w:tc>
        <w:tc>
          <w:tcPr>
            <w:tcW w:w="606" w:type="pct"/>
            <w:shd w:val="clear" w:color="auto" w:fill="auto"/>
            <w:vAlign w:val="center"/>
          </w:tcPr>
          <w:p w14:paraId="55C1CD27" w14:textId="76FFB3F1" w:rsidR="004641C9" w:rsidRPr="005550A5" w:rsidRDefault="00E926B5" w:rsidP="005550A5">
            <w:pPr>
              <w:pStyle w:val="TableText0"/>
              <w:keepLines/>
              <w:jc w:val="center"/>
              <w:rPr>
                <w:bCs w:val="0"/>
                <w:color w:val="000000"/>
                <w:szCs w:val="20"/>
                <w:highlight w:val="lightGray"/>
              </w:rPr>
            </w:pPr>
            <w:r w:rsidRPr="00E926B5">
              <w:rPr>
                <w:rFonts w:hint="eastAsia"/>
                <w:bCs w:val="0"/>
                <w:color w:val="000000"/>
                <w:w w:val="15"/>
                <w:szCs w:val="20"/>
                <w:shd w:val="solid" w:color="000000" w:fill="000000"/>
                <w:fitText w:val="70" w:id="-893114355"/>
                <w14:textFill>
                  <w14:solidFill>
                    <w14:srgbClr w14:val="000000">
                      <w14:alpha w14:val="100000"/>
                    </w14:srgbClr>
                  </w14:solidFill>
                </w14:textFill>
              </w:rPr>
              <w:t xml:space="preserve">　</w:t>
            </w:r>
            <w:r w:rsidRPr="00E926B5">
              <w:rPr>
                <w:bCs w:val="0"/>
                <w:color w:val="000000"/>
                <w:w w:val="15"/>
                <w:szCs w:val="20"/>
                <w:shd w:val="solid" w:color="000000" w:fill="000000"/>
                <w:fitText w:val="70" w:id="-893114355"/>
                <w14:textFill>
                  <w14:solidFill>
                    <w14:srgbClr w14:val="000000">
                      <w14:alpha w14:val="100000"/>
                    </w14:srgbClr>
                  </w14:solidFill>
                </w14:textFill>
              </w:rPr>
              <w:t>|</w:t>
            </w:r>
            <w:r w:rsidRPr="00E926B5">
              <w:rPr>
                <w:rFonts w:hint="eastAsia"/>
                <w:bCs w:val="0"/>
                <w:color w:val="000000"/>
                <w:spacing w:val="4"/>
                <w:w w:val="15"/>
                <w:szCs w:val="20"/>
                <w:shd w:val="solid" w:color="000000" w:fill="000000"/>
                <w:fitText w:val="70" w:id="-893114355"/>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c>
          <w:tcPr>
            <w:tcW w:w="689" w:type="pct"/>
            <w:shd w:val="clear" w:color="auto" w:fill="auto"/>
            <w:vAlign w:val="center"/>
          </w:tcPr>
          <w:p w14:paraId="06E827B7" w14:textId="49962C95"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E31627" w:rsidRPr="005550A5">
              <w:rPr>
                <w:bCs w:val="0"/>
                <w:color w:val="000000"/>
                <w:szCs w:val="20"/>
                <w:vertAlign w:val="superscript"/>
              </w:rPr>
              <w:t>1</w:t>
            </w:r>
          </w:p>
        </w:tc>
        <w:tc>
          <w:tcPr>
            <w:tcW w:w="689" w:type="pct"/>
            <w:shd w:val="clear" w:color="auto" w:fill="auto"/>
            <w:vAlign w:val="center"/>
          </w:tcPr>
          <w:p w14:paraId="13484317" w14:textId="756CC0DC"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E31627" w:rsidRPr="005550A5">
              <w:rPr>
                <w:bCs w:val="0"/>
                <w:color w:val="000000"/>
                <w:szCs w:val="20"/>
                <w:vertAlign w:val="superscript"/>
              </w:rPr>
              <w:t>1</w:t>
            </w:r>
          </w:p>
        </w:tc>
        <w:tc>
          <w:tcPr>
            <w:tcW w:w="688" w:type="pct"/>
            <w:shd w:val="clear" w:color="auto" w:fill="auto"/>
            <w:vAlign w:val="center"/>
          </w:tcPr>
          <w:p w14:paraId="56429841" w14:textId="2355C1E6"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54"/>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54"/>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54"/>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c>
          <w:tcPr>
            <w:tcW w:w="693" w:type="pct"/>
            <w:shd w:val="clear" w:color="auto" w:fill="auto"/>
            <w:vAlign w:val="center"/>
          </w:tcPr>
          <w:p w14:paraId="53D7D9B7" w14:textId="7000BD72"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371031" w:rsidRPr="00371031">
              <w:rPr>
                <w:bCs w:val="0"/>
                <w:color w:val="000000"/>
                <w:szCs w:val="20"/>
              </w:rPr>
              <w:t xml:space="preserve"> </w:t>
            </w:r>
            <w:r w:rsidR="00E31627" w:rsidRPr="005550A5">
              <w:rPr>
                <w:bCs w:val="0"/>
                <w:color w:val="000000"/>
                <w:szCs w:val="20"/>
                <w:vertAlign w:val="superscript"/>
              </w:rPr>
              <w:t>1</w:t>
            </w:r>
          </w:p>
        </w:tc>
        <w:tc>
          <w:tcPr>
            <w:tcW w:w="687" w:type="pct"/>
            <w:shd w:val="clear" w:color="auto" w:fill="auto"/>
            <w:vAlign w:val="center"/>
          </w:tcPr>
          <w:p w14:paraId="1AC83519" w14:textId="1BB8F4AC"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53"/>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53"/>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53"/>
                <w14:textFill>
                  <w14:solidFill>
                    <w14:srgbClr w14:val="000000">
                      <w14:alpha w14:val="100000"/>
                    </w14:srgbClr>
                  </w14:solidFill>
                </w14:textFill>
              </w:rPr>
              <w:t xml:space="preserve">　</w:t>
            </w:r>
            <w:r w:rsidR="00371031" w:rsidRPr="00371031">
              <w:rPr>
                <w:bCs w:val="0"/>
                <w:color w:val="000000"/>
                <w:szCs w:val="20"/>
              </w:rPr>
              <w:t xml:space="preserve"> </w:t>
            </w:r>
            <w:r w:rsidR="00E31627" w:rsidRPr="005550A5">
              <w:rPr>
                <w:bCs w:val="0"/>
                <w:color w:val="000000"/>
                <w:szCs w:val="20"/>
                <w:vertAlign w:val="superscript"/>
              </w:rPr>
              <w:t>1</w:t>
            </w:r>
          </w:p>
        </w:tc>
      </w:tr>
      <w:tr w:rsidR="004641C9" w:rsidRPr="005550A5" w14:paraId="327D1041" w14:textId="77777777" w:rsidTr="005550A5">
        <w:trPr>
          <w:trHeight w:val="20"/>
        </w:trPr>
        <w:tc>
          <w:tcPr>
            <w:tcW w:w="5000" w:type="pct"/>
            <w:gridSpan w:val="8"/>
            <w:shd w:val="clear" w:color="auto" w:fill="auto"/>
            <w:vAlign w:val="center"/>
          </w:tcPr>
          <w:p w14:paraId="15211DB3" w14:textId="433AD28F" w:rsidR="004641C9" w:rsidRPr="005550A5" w:rsidRDefault="004641C9" w:rsidP="005550A5">
            <w:pPr>
              <w:pStyle w:val="TableText0"/>
              <w:keepLines/>
              <w:rPr>
                <w:b/>
                <w:color w:val="000000"/>
                <w:szCs w:val="20"/>
              </w:rPr>
            </w:pPr>
            <w:r w:rsidRPr="005550A5">
              <w:rPr>
                <w:b/>
                <w:color w:val="000000"/>
                <w:szCs w:val="20"/>
              </w:rPr>
              <w:t>Number of zanubrutinib scripts dispensed (PBS/RPBS)</w:t>
            </w:r>
            <w:r w:rsidRPr="005550A5">
              <w:rPr>
                <w:bCs w:val="0"/>
                <w:color w:val="000000"/>
                <w:szCs w:val="20"/>
                <w:vertAlign w:val="superscript"/>
              </w:rPr>
              <w:t>a</w:t>
            </w:r>
            <w:r w:rsidRPr="005550A5">
              <w:rPr>
                <w:b/>
                <w:color w:val="000000"/>
                <w:szCs w:val="20"/>
              </w:rPr>
              <w:t xml:space="preserve"> </w:t>
            </w:r>
          </w:p>
        </w:tc>
      </w:tr>
      <w:tr w:rsidR="004641C9" w:rsidRPr="005550A5" w14:paraId="7904FA01" w14:textId="77777777" w:rsidTr="005550A5">
        <w:trPr>
          <w:gridAfter w:val="1"/>
          <w:wAfter w:w="7" w:type="pct"/>
          <w:trHeight w:val="20"/>
        </w:trPr>
        <w:tc>
          <w:tcPr>
            <w:tcW w:w="941" w:type="pct"/>
            <w:shd w:val="clear" w:color="auto" w:fill="DBE5F1" w:themeFill="accent1" w:themeFillTint="33"/>
            <w:vAlign w:val="center"/>
          </w:tcPr>
          <w:p w14:paraId="49321099" w14:textId="5C8B701A" w:rsidR="004641C9" w:rsidRPr="005550A5" w:rsidRDefault="004641C9" w:rsidP="005550A5">
            <w:pPr>
              <w:pStyle w:val="TableText0"/>
              <w:keepLines/>
              <w:rPr>
                <w:bCs w:val="0"/>
                <w:color w:val="000000"/>
                <w:szCs w:val="20"/>
              </w:rPr>
            </w:pPr>
            <w:r w:rsidRPr="005550A5">
              <w:rPr>
                <w:bCs w:val="0"/>
                <w:color w:val="000000"/>
                <w:szCs w:val="20"/>
              </w:rPr>
              <w:t>March 2022</w:t>
            </w:r>
          </w:p>
        </w:tc>
        <w:tc>
          <w:tcPr>
            <w:tcW w:w="606" w:type="pct"/>
            <w:shd w:val="clear" w:color="auto" w:fill="DBE5F1" w:themeFill="accent1" w:themeFillTint="33"/>
            <w:vAlign w:val="center"/>
          </w:tcPr>
          <w:p w14:paraId="20B38BE2" w14:textId="21E275D3" w:rsidR="004641C9" w:rsidRPr="005550A5" w:rsidRDefault="00E926B5" w:rsidP="005550A5">
            <w:pPr>
              <w:pStyle w:val="TableText0"/>
              <w:keepLines/>
              <w:jc w:val="center"/>
              <w:rPr>
                <w:bCs w:val="0"/>
                <w:color w:val="000000"/>
                <w:szCs w:val="20"/>
                <w:highlight w:val="lightGray"/>
              </w:rPr>
            </w:pPr>
            <w:r w:rsidRPr="00E926B5">
              <w:rPr>
                <w:rFonts w:hint="eastAsia"/>
                <w:bCs w:val="0"/>
                <w:color w:val="000000"/>
                <w:w w:val="15"/>
                <w:szCs w:val="20"/>
                <w:shd w:val="solid" w:color="000000" w:fill="000000"/>
                <w:fitText w:val="70" w:id="-893114352"/>
                <w14:textFill>
                  <w14:solidFill>
                    <w14:srgbClr w14:val="000000">
                      <w14:alpha w14:val="100000"/>
                    </w14:srgbClr>
                  </w14:solidFill>
                </w14:textFill>
              </w:rPr>
              <w:t xml:space="preserve">　</w:t>
            </w:r>
            <w:r w:rsidRPr="00E926B5">
              <w:rPr>
                <w:bCs w:val="0"/>
                <w:color w:val="000000"/>
                <w:w w:val="15"/>
                <w:szCs w:val="20"/>
                <w:shd w:val="solid" w:color="000000" w:fill="000000"/>
                <w:fitText w:val="70" w:id="-893114352"/>
                <w14:textFill>
                  <w14:solidFill>
                    <w14:srgbClr w14:val="000000">
                      <w14:alpha w14:val="100000"/>
                    </w14:srgbClr>
                  </w14:solidFill>
                </w14:textFill>
              </w:rPr>
              <w:t>|</w:t>
            </w:r>
            <w:r w:rsidRPr="00E926B5">
              <w:rPr>
                <w:rFonts w:hint="eastAsia"/>
                <w:bCs w:val="0"/>
                <w:color w:val="000000"/>
                <w:spacing w:val="4"/>
                <w:w w:val="15"/>
                <w:szCs w:val="20"/>
                <w:shd w:val="solid" w:color="000000" w:fill="000000"/>
                <w:fitText w:val="70" w:id="-893114352"/>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89" w:type="pct"/>
            <w:shd w:val="clear" w:color="auto" w:fill="DBE5F1" w:themeFill="accent1" w:themeFillTint="33"/>
            <w:vAlign w:val="center"/>
          </w:tcPr>
          <w:p w14:paraId="230A2FD3" w14:textId="5921261D"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8"/>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8"/>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8"/>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89" w:type="pct"/>
            <w:shd w:val="clear" w:color="auto" w:fill="DBE5F1" w:themeFill="accent1" w:themeFillTint="33"/>
            <w:vAlign w:val="center"/>
          </w:tcPr>
          <w:p w14:paraId="58D97982" w14:textId="211BE4A7"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7"/>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7"/>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7"/>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88" w:type="pct"/>
            <w:shd w:val="clear" w:color="auto" w:fill="DBE5F1" w:themeFill="accent1" w:themeFillTint="33"/>
            <w:vAlign w:val="center"/>
          </w:tcPr>
          <w:p w14:paraId="2A17517C" w14:textId="7E524798"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6"/>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6"/>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6"/>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93" w:type="pct"/>
            <w:shd w:val="clear" w:color="auto" w:fill="DBE5F1" w:themeFill="accent1" w:themeFillTint="33"/>
            <w:vAlign w:val="center"/>
          </w:tcPr>
          <w:p w14:paraId="5B9DD30B" w14:textId="25670CAB"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371031" w:rsidRPr="00371031">
              <w:rPr>
                <w:bCs w:val="0"/>
                <w:color w:val="000000"/>
                <w:szCs w:val="20"/>
              </w:rPr>
              <w:t xml:space="preserve"> </w:t>
            </w:r>
            <w:r w:rsidR="00C4087B" w:rsidRPr="005550A5">
              <w:rPr>
                <w:bCs w:val="0"/>
                <w:color w:val="000000"/>
                <w:szCs w:val="20"/>
                <w:vertAlign w:val="superscript"/>
              </w:rPr>
              <w:t>2</w:t>
            </w:r>
          </w:p>
        </w:tc>
        <w:tc>
          <w:tcPr>
            <w:tcW w:w="687" w:type="pct"/>
            <w:shd w:val="clear" w:color="auto" w:fill="DBE5F1" w:themeFill="accent1" w:themeFillTint="33"/>
            <w:vAlign w:val="center"/>
          </w:tcPr>
          <w:p w14:paraId="50B63465" w14:textId="0A360846"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5"/>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5"/>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5"/>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r>
      <w:tr w:rsidR="004641C9" w:rsidRPr="005550A5" w14:paraId="00616DAE" w14:textId="77777777" w:rsidTr="005550A5">
        <w:trPr>
          <w:gridAfter w:val="1"/>
          <w:wAfter w:w="7" w:type="pct"/>
          <w:trHeight w:val="20"/>
        </w:trPr>
        <w:tc>
          <w:tcPr>
            <w:tcW w:w="941" w:type="pct"/>
            <w:shd w:val="clear" w:color="auto" w:fill="auto"/>
            <w:vAlign w:val="center"/>
          </w:tcPr>
          <w:p w14:paraId="4EF7E71B" w14:textId="7D48D568" w:rsidR="004641C9" w:rsidRPr="005550A5" w:rsidRDefault="004641C9" w:rsidP="005550A5">
            <w:pPr>
              <w:pStyle w:val="TableText0"/>
              <w:keepLines/>
              <w:rPr>
                <w:bCs w:val="0"/>
                <w:color w:val="000000"/>
                <w:szCs w:val="20"/>
              </w:rPr>
            </w:pPr>
            <w:r w:rsidRPr="005550A5">
              <w:rPr>
                <w:bCs w:val="0"/>
                <w:color w:val="000000"/>
                <w:szCs w:val="20"/>
              </w:rPr>
              <w:t>July 2024</w:t>
            </w:r>
          </w:p>
        </w:tc>
        <w:tc>
          <w:tcPr>
            <w:tcW w:w="606" w:type="pct"/>
            <w:shd w:val="clear" w:color="auto" w:fill="auto"/>
            <w:vAlign w:val="center"/>
          </w:tcPr>
          <w:p w14:paraId="1769E2A2" w14:textId="1B6087D3" w:rsidR="004641C9" w:rsidRPr="005550A5" w:rsidRDefault="00E926B5" w:rsidP="005550A5">
            <w:pPr>
              <w:pStyle w:val="TableText0"/>
              <w:keepLines/>
              <w:jc w:val="center"/>
              <w:rPr>
                <w:bCs w:val="0"/>
                <w:color w:val="000000"/>
                <w:szCs w:val="20"/>
                <w:highlight w:val="lightGray"/>
              </w:rPr>
            </w:pPr>
            <w:r w:rsidRPr="00E926B5">
              <w:rPr>
                <w:rFonts w:hint="eastAsia"/>
                <w:bCs w:val="0"/>
                <w:color w:val="000000"/>
                <w:w w:val="15"/>
                <w:szCs w:val="20"/>
                <w:shd w:val="solid" w:color="000000" w:fill="000000"/>
                <w:fitText w:val="70" w:id="-893114364"/>
                <w14:textFill>
                  <w14:solidFill>
                    <w14:srgbClr w14:val="000000">
                      <w14:alpha w14:val="100000"/>
                    </w14:srgbClr>
                  </w14:solidFill>
                </w14:textFill>
              </w:rPr>
              <w:t xml:space="preserve">　</w:t>
            </w:r>
            <w:r w:rsidRPr="00E926B5">
              <w:rPr>
                <w:bCs w:val="0"/>
                <w:color w:val="000000"/>
                <w:w w:val="15"/>
                <w:szCs w:val="20"/>
                <w:shd w:val="solid" w:color="000000" w:fill="000000"/>
                <w:fitText w:val="70" w:id="-893114364"/>
                <w14:textFill>
                  <w14:solidFill>
                    <w14:srgbClr w14:val="000000">
                      <w14:alpha w14:val="100000"/>
                    </w14:srgbClr>
                  </w14:solidFill>
                </w14:textFill>
              </w:rPr>
              <w:t>|</w:t>
            </w:r>
            <w:r w:rsidRPr="00E926B5">
              <w:rPr>
                <w:rFonts w:hint="eastAsia"/>
                <w:bCs w:val="0"/>
                <w:color w:val="000000"/>
                <w:spacing w:val="4"/>
                <w:w w:val="15"/>
                <w:szCs w:val="20"/>
                <w:shd w:val="solid" w:color="000000" w:fill="000000"/>
                <w:fitText w:val="70" w:id="-893114364"/>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89" w:type="pct"/>
            <w:shd w:val="clear" w:color="auto" w:fill="auto"/>
            <w:vAlign w:val="center"/>
          </w:tcPr>
          <w:p w14:paraId="542822F0" w14:textId="748568B7"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3"/>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3"/>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3"/>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89" w:type="pct"/>
            <w:shd w:val="clear" w:color="auto" w:fill="auto"/>
            <w:vAlign w:val="center"/>
          </w:tcPr>
          <w:p w14:paraId="22D132F9" w14:textId="2298264B"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2"/>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2"/>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2"/>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88" w:type="pct"/>
            <w:shd w:val="clear" w:color="auto" w:fill="auto"/>
            <w:vAlign w:val="center"/>
          </w:tcPr>
          <w:p w14:paraId="4E9D2F81" w14:textId="72B4CAD2"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1"/>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1"/>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1"/>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c>
          <w:tcPr>
            <w:tcW w:w="693" w:type="pct"/>
            <w:shd w:val="clear" w:color="auto" w:fill="auto"/>
            <w:vAlign w:val="center"/>
          </w:tcPr>
          <w:p w14:paraId="7F3458C7" w14:textId="7ACF437A"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371031" w:rsidRPr="00371031">
              <w:rPr>
                <w:bCs w:val="0"/>
                <w:color w:val="000000"/>
                <w:szCs w:val="20"/>
              </w:rPr>
              <w:t xml:space="preserve"> </w:t>
            </w:r>
            <w:r w:rsidR="00C4087B" w:rsidRPr="005550A5">
              <w:rPr>
                <w:bCs w:val="0"/>
                <w:color w:val="000000"/>
                <w:szCs w:val="20"/>
                <w:vertAlign w:val="superscript"/>
              </w:rPr>
              <w:t>2</w:t>
            </w:r>
          </w:p>
        </w:tc>
        <w:tc>
          <w:tcPr>
            <w:tcW w:w="687" w:type="pct"/>
            <w:shd w:val="clear" w:color="auto" w:fill="auto"/>
            <w:vAlign w:val="center"/>
          </w:tcPr>
          <w:p w14:paraId="163EC03C" w14:textId="11BE45E3" w:rsidR="004641C9" w:rsidRPr="005550A5" w:rsidRDefault="00E926B5" w:rsidP="005550A5">
            <w:pPr>
              <w:pStyle w:val="TableText0"/>
              <w:keepLines/>
              <w:jc w:val="center"/>
              <w:rPr>
                <w:bCs w:val="0"/>
                <w:color w:val="000000"/>
                <w:szCs w:val="20"/>
                <w:highlight w:val="lightGray"/>
              </w:rPr>
            </w:pPr>
            <w:r w:rsidRPr="00E42CD7">
              <w:rPr>
                <w:rFonts w:hint="eastAsia"/>
                <w:bCs w:val="0"/>
                <w:color w:val="000000"/>
                <w:w w:val="15"/>
                <w:szCs w:val="20"/>
                <w:shd w:val="solid" w:color="000000" w:fill="000000"/>
                <w:fitText w:val="10" w:id="-893114360"/>
                <w14:textFill>
                  <w14:solidFill>
                    <w14:srgbClr w14:val="000000">
                      <w14:alpha w14:val="100000"/>
                    </w14:srgbClr>
                  </w14:solidFill>
                </w14:textFill>
              </w:rPr>
              <w:t xml:space="preserve">　</w:t>
            </w:r>
            <w:r w:rsidRPr="00E42CD7">
              <w:rPr>
                <w:bCs w:val="0"/>
                <w:color w:val="000000"/>
                <w:w w:val="15"/>
                <w:szCs w:val="20"/>
                <w:shd w:val="solid" w:color="000000" w:fill="000000"/>
                <w:fitText w:val="10" w:id="-893114360"/>
                <w14:textFill>
                  <w14:solidFill>
                    <w14:srgbClr w14:val="000000">
                      <w14:alpha w14:val="100000"/>
                    </w14:srgbClr>
                  </w14:solidFill>
                </w14:textFill>
              </w:rPr>
              <w:t>|</w:t>
            </w:r>
            <w:r w:rsidRPr="00E42CD7">
              <w:rPr>
                <w:rFonts w:hint="eastAsia"/>
                <w:bCs w:val="0"/>
                <w:color w:val="000000"/>
                <w:spacing w:val="-55"/>
                <w:w w:val="15"/>
                <w:szCs w:val="20"/>
                <w:shd w:val="solid" w:color="000000" w:fill="000000"/>
                <w:fitText w:val="10" w:id="-893114360"/>
                <w14:textFill>
                  <w14:solidFill>
                    <w14:srgbClr w14:val="000000">
                      <w14:alpha w14:val="100000"/>
                    </w14:srgbClr>
                  </w14:solidFill>
                </w14:textFill>
              </w:rPr>
              <w:t xml:space="preserve">　</w:t>
            </w:r>
            <w:r w:rsidR="00371031" w:rsidRPr="00371031">
              <w:rPr>
                <w:bCs w:val="0"/>
                <w:color w:val="000000"/>
                <w:szCs w:val="20"/>
              </w:rPr>
              <w:t xml:space="preserve"> </w:t>
            </w:r>
            <w:r w:rsidR="00C4087B" w:rsidRPr="005550A5">
              <w:rPr>
                <w:bCs w:val="0"/>
                <w:color w:val="000000"/>
                <w:szCs w:val="20"/>
                <w:vertAlign w:val="superscript"/>
              </w:rPr>
              <w:t>2</w:t>
            </w:r>
          </w:p>
        </w:tc>
      </w:tr>
      <w:tr w:rsidR="004641C9" w:rsidRPr="005550A5" w14:paraId="46FD5016" w14:textId="77777777" w:rsidTr="005550A5">
        <w:trPr>
          <w:trHeight w:val="20"/>
        </w:trPr>
        <w:tc>
          <w:tcPr>
            <w:tcW w:w="5000" w:type="pct"/>
            <w:gridSpan w:val="8"/>
            <w:shd w:val="clear" w:color="auto" w:fill="auto"/>
            <w:vAlign w:val="center"/>
          </w:tcPr>
          <w:p w14:paraId="34B9624F" w14:textId="78DF141E" w:rsidR="004641C9" w:rsidRPr="005550A5" w:rsidRDefault="004641C9" w:rsidP="005550A5">
            <w:pPr>
              <w:pStyle w:val="TableText0"/>
              <w:keepLines/>
              <w:rPr>
                <w:b/>
                <w:color w:val="000000"/>
                <w:szCs w:val="20"/>
              </w:rPr>
            </w:pPr>
            <w:r w:rsidRPr="005550A5">
              <w:rPr>
                <w:b/>
                <w:color w:val="000000"/>
                <w:szCs w:val="20"/>
              </w:rPr>
              <w:t>Estimated financial implications of zanubrutinib (cost to PBS/RPBS less co-payment)</w:t>
            </w:r>
          </w:p>
        </w:tc>
      </w:tr>
      <w:tr w:rsidR="004641C9" w:rsidRPr="005550A5" w14:paraId="09377679" w14:textId="77777777" w:rsidTr="005550A5">
        <w:trPr>
          <w:gridAfter w:val="1"/>
          <w:wAfter w:w="7" w:type="pct"/>
          <w:trHeight w:val="20"/>
        </w:trPr>
        <w:tc>
          <w:tcPr>
            <w:tcW w:w="941" w:type="pct"/>
            <w:shd w:val="clear" w:color="auto" w:fill="DBE5F1" w:themeFill="accent1" w:themeFillTint="33"/>
          </w:tcPr>
          <w:p w14:paraId="7EF6269E" w14:textId="11A5A372" w:rsidR="004641C9" w:rsidRPr="005550A5" w:rsidRDefault="004641C9" w:rsidP="005550A5">
            <w:pPr>
              <w:pStyle w:val="TableText0"/>
              <w:keepLines/>
              <w:rPr>
                <w:bCs w:val="0"/>
                <w:color w:val="000000"/>
                <w:szCs w:val="20"/>
              </w:rPr>
            </w:pPr>
            <w:r w:rsidRPr="005550A5">
              <w:rPr>
                <w:bCs w:val="0"/>
                <w:color w:val="000000"/>
                <w:szCs w:val="20"/>
              </w:rPr>
              <w:t>March 2022</w:t>
            </w:r>
          </w:p>
        </w:tc>
        <w:tc>
          <w:tcPr>
            <w:tcW w:w="606" w:type="pct"/>
            <w:shd w:val="clear" w:color="auto" w:fill="DBE5F1" w:themeFill="accent1" w:themeFillTint="33"/>
            <w:vAlign w:val="center"/>
          </w:tcPr>
          <w:p w14:paraId="4434784E" w14:textId="557C347B" w:rsidR="004641C9" w:rsidRPr="005550A5" w:rsidRDefault="00E926B5" w:rsidP="005550A5">
            <w:pPr>
              <w:pStyle w:val="TableText0"/>
              <w:keepLines/>
              <w:jc w:val="center"/>
              <w:rPr>
                <w:bCs w:val="0"/>
                <w:color w:val="000000"/>
                <w:szCs w:val="20"/>
                <w:highlight w:val="lightGray"/>
              </w:rPr>
            </w:pPr>
            <w:r w:rsidRPr="00E926B5">
              <w:rPr>
                <w:rFonts w:hint="eastAsia"/>
                <w:bCs w:val="0"/>
                <w:color w:val="000000"/>
                <w:w w:val="15"/>
                <w:szCs w:val="20"/>
                <w:shd w:val="solid" w:color="000000" w:fill="000000"/>
                <w:fitText w:val="60" w:id="-893114359"/>
                <w14:textFill>
                  <w14:solidFill>
                    <w14:srgbClr w14:val="000000">
                      <w14:alpha w14:val="100000"/>
                    </w14:srgbClr>
                  </w14:solidFill>
                </w14:textFill>
              </w:rPr>
              <w:t xml:space="preserve">　</w:t>
            </w:r>
            <w:r w:rsidRPr="00E926B5">
              <w:rPr>
                <w:bCs w:val="0"/>
                <w:color w:val="000000"/>
                <w:w w:val="15"/>
                <w:szCs w:val="20"/>
                <w:shd w:val="solid" w:color="000000" w:fill="000000"/>
                <w:fitText w:val="60" w:id="-893114359"/>
                <w14:textFill>
                  <w14:solidFill>
                    <w14:srgbClr w14:val="000000">
                      <w14:alpha w14:val="100000"/>
                    </w14:srgbClr>
                  </w14:solidFill>
                </w14:textFill>
              </w:rPr>
              <w:t>|</w:t>
            </w:r>
            <w:r w:rsidRPr="00E926B5">
              <w:rPr>
                <w:rFonts w:hint="eastAsia"/>
                <w:bCs w:val="0"/>
                <w:color w:val="000000"/>
                <w:spacing w:val="-5"/>
                <w:w w:val="15"/>
                <w:szCs w:val="20"/>
                <w:shd w:val="solid" w:color="000000" w:fill="000000"/>
                <w:fitText w:val="60" w:id="-893114359"/>
                <w14:textFill>
                  <w14:solidFill>
                    <w14:srgbClr w14:val="000000">
                      <w14:alpha w14:val="100000"/>
                    </w14:srgbClr>
                  </w14:solidFill>
                </w14:textFill>
              </w:rPr>
              <w:t xml:space="preserve">　</w:t>
            </w:r>
            <w:r w:rsidR="00C4087B" w:rsidRPr="005550A5">
              <w:rPr>
                <w:bCs w:val="0"/>
                <w:color w:val="000000"/>
                <w:szCs w:val="20"/>
                <w:vertAlign w:val="superscript"/>
              </w:rPr>
              <w:t>3</w:t>
            </w:r>
          </w:p>
        </w:tc>
        <w:tc>
          <w:tcPr>
            <w:tcW w:w="689" w:type="pct"/>
            <w:shd w:val="clear" w:color="auto" w:fill="DBE5F1" w:themeFill="accent1" w:themeFillTint="33"/>
            <w:vAlign w:val="center"/>
          </w:tcPr>
          <w:p w14:paraId="2BF81A62" w14:textId="448F37A9"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C4087B" w:rsidRPr="005550A5">
              <w:rPr>
                <w:bCs w:val="0"/>
                <w:color w:val="000000"/>
                <w:szCs w:val="20"/>
                <w:vertAlign w:val="superscript"/>
              </w:rPr>
              <w:t>3</w:t>
            </w:r>
          </w:p>
        </w:tc>
        <w:tc>
          <w:tcPr>
            <w:tcW w:w="689" w:type="pct"/>
            <w:shd w:val="clear" w:color="auto" w:fill="DBE5F1" w:themeFill="accent1" w:themeFillTint="33"/>
            <w:vAlign w:val="center"/>
          </w:tcPr>
          <w:p w14:paraId="6818F778" w14:textId="0E775290"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C4087B" w:rsidRPr="005550A5">
              <w:rPr>
                <w:bCs w:val="0"/>
                <w:color w:val="000000"/>
                <w:szCs w:val="20"/>
                <w:vertAlign w:val="superscript"/>
              </w:rPr>
              <w:t>3</w:t>
            </w:r>
          </w:p>
        </w:tc>
        <w:tc>
          <w:tcPr>
            <w:tcW w:w="688" w:type="pct"/>
            <w:shd w:val="clear" w:color="auto" w:fill="DBE5F1" w:themeFill="accent1" w:themeFillTint="33"/>
            <w:vAlign w:val="center"/>
          </w:tcPr>
          <w:p w14:paraId="20DA9694" w14:textId="0FF6936E"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C4087B" w:rsidRPr="005550A5">
              <w:rPr>
                <w:bCs w:val="0"/>
                <w:color w:val="000000"/>
                <w:szCs w:val="20"/>
                <w:vertAlign w:val="superscript"/>
              </w:rPr>
              <w:t>3</w:t>
            </w:r>
          </w:p>
        </w:tc>
        <w:tc>
          <w:tcPr>
            <w:tcW w:w="693" w:type="pct"/>
            <w:shd w:val="clear" w:color="auto" w:fill="DBE5F1" w:themeFill="accent1" w:themeFillTint="33"/>
            <w:vAlign w:val="center"/>
          </w:tcPr>
          <w:p w14:paraId="7CCF7963" w14:textId="66EF6230"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C4087B" w:rsidRPr="005550A5">
              <w:rPr>
                <w:bCs w:val="0"/>
                <w:color w:val="000000"/>
                <w:szCs w:val="20"/>
                <w:vertAlign w:val="superscript"/>
              </w:rPr>
              <w:t>3</w:t>
            </w:r>
          </w:p>
        </w:tc>
        <w:tc>
          <w:tcPr>
            <w:tcW w:w="687" w:type="pct"/>
            <w:shd w:val="clear" w:color="auto" w:fill="DBE5F1" w:themeFill="accent1" w:themeFillTint="33"/>
            <w:vAlign w:val="center"/>
          </w:tcPr>
          <w:p w14:paraId="3E70D210" w14:textId="43B34382"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C4087B" w:rsidRPr="005550A5">
              <w:rPr>
                <w:bCs w:val="0"/>
                <w:color w:val="000000"/>
                <w:szCs w:val="20"/>
                <w:vertAlign w:val="superscript"/>
              </w:rPr>
              <w:t>3</w:t>
            </w:r>
          </w:p>
        </w:tc>
      </w:tr>
      <w:tr w:rsidR="004641C9" w:rsidRPr="005550A5" w14:paraId="4D467235" w14:textId="77777777" w:rsidTr="005550A5">
        <w:trPr>
          <w:gridAfter w:val="1"/>
          <w:wAfter w:w="7" w:type="pct"/>
          <w:trHeight w:val="20"/>
        </w:trPr>
        <w:tc>
          <w:tcPr>
            <w:tcW w:w="941" w:type="pct"/>
            <w:shd w:val="clear" w:color="auto" w:fill="auto"/>
          </w:tcPr>
          <w:p w14:paraId="2FC8BE73" w14:textId="1A7C0357" w:rsidR="004641C9" w:rsidRPr="005550A5" w:rsidRDefault="004641C9" w:rsidP="005550A5">
            <w:pPr>
              <w:pStyle w:val="TableText0"/>
              <w:keepLines/>
              <w:rPr>
                <w:bCs w:val="0"/>
                <w:color w:val="000000"/>
                <w:szCs w:val="20"/>
              </w:rPr>
            </w:pPr>
            <w:r w:rsidRPr="005550A5">
              <w:rPr>
                <w:bCs w:val="0"/>
                <w:color w:val="000000"/>
                <w:szCs w:val="20"/>
              </w:rPr>
              <w:t>July 2024</w:t>
            </w:r>
          </w:p>
        </w:tc>
        <w:tc>
          <w:tcPr>
            <w:tcW w:w="606" w:type="pct"/>
            <w:shd w:val="clear" w:color="auto" w:fill="auto"/>
            <w:vAlign w:val="center"/>
          </w:tcPr>
          <w:p w14:paraId="433F07FC" w14:textId="38D10D7F" w:rsidR="004641C9" w:rsidRPr="005550A5" w:rsidRDefault="00E926B5" w:rsidP="005550A5">
            <w:pPr>
              <w:pStyle w:val="TableText0"/>
              <w:keepLines/>
              <w:jc w:val="center"/>
              <w:rPr>
                <w:bCs w:val="0"/>
                <w:color w:val="000000"/>
                <w:szCs w:val="20"/>
                <w:highlight w:val="lightGray"/>
              </w:rPr>
            </w:pPr>
            <w:r w:rsidRPr="00E926B5">
              <w:rPr>
                <w:rFonts w:hint="eastAsia"/>
                <w:bCs w:val="0"/>
                <w:color w:val="000000"/>
                <w:w w:val="15"/>
                <w:szCs w:val="20"/>
                <w:shd w:val="solid" w:color="000000" w:fill="000000"/>
                <w:fitText w:val="60" w:id="-893114358"/>
                <w14:textFill>
                  <w14:solidFill>
                    <w14:srgbClr w14:val="000000">
                      <w14:alpha w14:val="100000"/>
                    </w14:srgbClr>
                  </w14:solidFill>
                </w14:textFill>
              </w:rPr>
              <w:t xml:space="preserve">　</w:t>
            </w:r>
            <w:r w:rsidRPr="00E926B5">
              <w:rPr>
                <w:bCs w:val="0"/>
                <w:color w:val="000000"/>
                <w:w w:val="15"/>
                <w:szCs w:val="20"/>
                <w:shd w:val="solid" w:color="000000" w:fill="000000"/>
                <w:fitText w:val="60" w:id="-893114358"/>
                <w14:textFill>
                  <w14:solidFill>
                    <w14:srgbClr w14:val="000000">
                      <w14:alpha w14:val="100000"/>
                    </w14:srgbClr>
                  </w14:solidFill>
                </w14:textFill>
              </w:rPr>
              <w:t>|</w:t>
            </w:r>
            <w:r w:rsidRPr="00E926B5">
              <w:rPr>
                <w:rFonts w:hint="eastAsia"/>
                <w:bCs w:val="0"/>
                <w:color w:val="000000"/>
                <w:spacing w:val="-5"/>
                <w:w w:val="15"/>
                <w:szCs w:val="20"/>
                <w:shd w:val="solid" w:color="000000" w:fill="000000"/>
                <w:fitText w:val="60" w:id="-893114358"/>
                <w14:textFill>
                  <w14:solidFill>
                    <w14:srgbClr w14:val="000000">
                      <w14:alpha w14:val="100000"/>
                    </w14:srgbClr>
                  </w14:solidFill>
                </w14:textFill>
              </w:rPr>
              <w:t xml:space="preserve">　</w:t>
            </w:r>
            <w:r w:rsidR="00AB64B0" w:rsidRPr="005550A5">
              <w:rPr>
                <w:bCs w:val="0"/>
                <w:color w:val="000000"/>
                <w:szCs w:val="20"/>
                <w:vertAlign w:val="superscript"/>
              </w:rPr>
              <w:t>4</w:t>
            </w:r>
          </w:p>
        </w:tc>
        <w:tc>
          <w:tcPr>
            <w:tcW w:w="689" w:type="pct"/>
            <w:shd w:val="clear" w:color="auto" w:fill="auto"/>
            <w:vAlign w:val="center"/>
          </w:tcPr>
          <w:p w14:paraId="64222FF4" w14:textId="1351AF25"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4</w:t>
            </w:r>
          </w:p>
        </w:tc>
        <w:tc>
          <w:tcPr>
            <w:tcW w:w="689" w:type="pct"/>
            <w:shd w:val="clear" w:color="auto" w:fill="auto"/>
            <w:vAlign w:val="center"/>
          </w:tcPr>
          <w:p w14:paraId="0E968294" w14:textId="332F19ED"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4</w:t>
            </w:r>
          </w:p>
        </w:tc>
        <w:tc>
          <w:tcPr>
            <w:tcW w:w="688" w:type="pct"/>
            <w:shd w:val="clear" w:color="auto" w:fill="auto"/>
            <w:vAlign w:val="center"/>
          </w:tcPr>
          <w:p w14:paraId="3F1C2090" w14:textId="5CFED78D"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4</w:t>
            </w:r>
          </w:p>
        </w:tc>
        <w:tc>
          <w:tcPr>
            <w:tcW w:w="693" w:type="pct"/>
            <w:shd w:val="clear" w:color="auto" w:fill="auto"/>
            <w:vAlign w:val="center"/>
          </w:tcPr>
          <w:p w14:paraId="351A0204" w14:textId="7C33A676"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4</w:t>
            </w:r>
          </w:p>
        </w:tc>
        <w:tc>
          <w:tcPr>
            <w:tcW w:w="687" w:type="pct"/>
            <w:shd w:val="clear" w:color="auto" w:fill="auto"/>
            <w:vAlign w:val="center"/>
          </w:tcPr>
          <w:p w14:paraId="41CC14CA" w14:textId="01A06991"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4</w:t>
            </w:r>
          </w:p>
        </w:tc>
      </w:tr>
      <w:tr w:rsidR="004641C9" w:rsidRPr="005550A5" w14:paraId="44E343C3" w14:textId="77777777" w:rsidTr="005550A5">
        <w:trPr>
          <w:trHeight w:val="20"/>
        </w:trPr>
        <w:tc>
          <w:tcPr>
            <w:tcW w:w="5000" w:type="pct"/>
            <w:gridSpan w:val="8"/>
            <w:shd w:val="clear" w:color="auto" w:fill="auto"/>
            <w:vAlign w:val="center"/>
          </w:tcPr>
          <w:p w14:paraId="22983984" w14:textId="7EB1B81B" w:rsidR="004641C9" w:rsidRPr="005550A5" w:rsidRDefault="004641C9" w:rsidP="005550A5">
            <w:pPr>
              <w:pStyle w:val="TableText0"/>
              <w:keepLines/>
              <w:jc w:val="right"/>
              <w:rPr>
                <w:b/>
                <w:color w:val="000000"/>
                <w:szCs w:val="20"/>
              </w:rPr>
            </w:pPr>
            <w:r w:rsidRPr="005550A5">
              <w:rPr>
                <w:b/>
                <w:color w:val="000000"/>
                <w:szCs w:val="20"/>
              </w:rPr>
              <w:t>Estimated financial implications of currently listed treatments (cost to PBS/RPBS less co-payment)</w:t>
            </w:r>
            <w:r w:rsidRPr="005550A5">
              <w:rPr>
                <w:bCs w:val="0"/>
                <w:color w:val="000000"/>
                <w:szCs w:val="20"/>
                <w:vertAlign w:val="superscript"/>
              </w:rPr>
              <w:t>b</w:t>
            </w:r>
          </w:p>
        </w:tc>
      </w:tr>
      <w:tr w:rsidR="004641C9" w:rsidRPr="005550A5" w14:paraId="27A6A172" w14:textId="77777777" w:rsidTr="005550A5">
        <w:trPr>
          <w:gridAfter w:val="1"/>
          <w:wAfter w:w="7" w:type="pct"/>
          <w:trHeight w:val="20"/>
        </w:trPr>
        <w:tc>
          <w:tcPr>
            <w:tcW w:w="941" w:type="pct"/>
            <w:shd w:val="clear" w:color="auto" w:fill="auto"/>
          </w:tcPr>
          <w:p w14:paraId="5DAB5C44" w14:textId="01C3DE8D" w:rsidR="004641C9" w:rsidRPr="005550A5" w:rsidRDefault="004641C9" w:rsidP="005550A5">
            <w:pPr>
              <w:pStyle w:val="TableText0"/>
              <w:keepLines/>
              <w:rPr>
                <w:bCs w:val="0"/>
                <w:color w:val="000000"/>
                <w:szCs w:val="20"/>
              </w:rPr>
            </w:pPr>
            <w:r w:rsidRPr="005550A5">
              <w:rPr>
                <w:bCs w:val="0"/>
                <w:color w:val="000000"/>
                <w:szCs w:val="20"/>
              </w:rPr>
              <w:t>March 2022</w:t>
            </w:r>
          </w:p>
        </w:tc>
        <w:tc>
          <w:tcPr>
            <w:tcW w:w="606" w:type="pct"/>
            <w:shd w:val="clear" w:color="auto" w:fill="auto"/>
            <w:vAlign w:val="center"/>
          </w:tcPr>
          <w:p w14:paraId="11FF8109" w14:textId="202B5DEF" w:rsidR="004641C9" w:rsidRPr="005550A5" w:rsidRDefault="00E926B5" w:rsidP="005550A5">
            <w:pPr>
              <w:pStyle w:val="TableText0"/>
              <w:keepLines/>
              <w:jc w:val="center"/>
              <w:rPr>
                <w:bCs w:val="0"/>
                <w:color w:val="000000"/>
                <w:szCs w:val="20"/>
                <w:highlight w:val="lightGray"/>
              </w:rPr>
            </w:pPr>
            <w:r w:rsidRPr="00E926B5">
              <w:rPr>
                <w:rFonts w:hint="eastAsia"/>
                <w:bCs w:val="0"/>
                <w:color w:val="000000"/>
                <w:w w:val="15"/>
                <w:szCs w:val="20"/>
                <w:shd w:val="solid" w:color="000000" w:fill="000000"/>
                <w:fitText w:val="60" w:id="-893114357"/>
                <w14:textFill>
                  <w14:solidFill>
                    <w14:srgbClr w14:val="000000">
                      <w14:alpha w14:val="100000"/>
                    </w14:srgbClr>
                  </w14:solidFill>
                </w14:textFill>
              </w:rPr>
              <w:t xml:space="preserve">　</w:t>
            </w:r>
            <w:r w:rsidRPr="00E926B5">
              <w:rPr>
                <w:bCs w:val="0"/>
                <w:color w:val="000000"/>
                <w:w w:val="15"/>
                <w:szCs w:val="20"/>
                <w:shd w:val="solid" w:color="000000" w:fill="000000"/>
                <w:fitText w:val="60" w:id="-893114357"/>
                <w14:textFill>
                  <w14:solidFill>
                    <w14:srgbClr w14:val="000000">
                      <w14:alpha w14:val="100000"/>
                    </w14:srgbClr>
                  </w14:solidFill>
                </w14:textFill>
              </w:rPr>
              <w:t>|</w:t>
            </w:r>
            <w:r w:rsidRPr="00E926B5">
              <w:rPr>
                <w:rFonts w:hint="eastAsia"/>
                <w:bCs w:val="0"/>
                <w:color w:val="000000"/>
                <w:spacing w:val="-5"/>
                <w:w w:val="15"/>
                <w:szCs w:val="20"/>
                <w:shd w:val="solid" w:color="000000" w:fill="000000"/>
                <w:fitText w:val="60" w:id="-893114357"/>
                <w14:textFill>
                  <w14:solidFill>
                    <w14:srgbClr w14:val="000000">
                      <w14:alpha w14:val="100000"/>
                    </w14:srgbClr>
                  </w14:solidFill>
                </w14:textFill>
              </w:rPr>
              <w:t xml:space="preserve">　</w:t>
            </w:r>
            <w:r w:rsidR="00AB64B0" w:rsidRPr="005550A5">
              <w:rPr>
                <w:bCs w:val="0"/>
                <w:color w:val="000000"/>
                <w:szCs w:val="20"/>
                <w:vertAlign w:val="superscript"/>
              </w:rPr>
              <w:t>5</w:t>
            </w:r>
          </w:p>
        </w:tc>
        <w:tc>
          <w:tcPr>
            <w:tcW w:w="689" w:type="pct"/>
            <w:shd w:val="clear" w:color="auto" w:fill="auto"/>
            <w:vAlign w:val="center"/>
          </w:tcPr>
          <w:p w14:paraId="1205F211" w14:textId="565098C9"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89" w:type="pct"/>
            <w:shd w:val="clear" w:color="auto" w:fill="auto"/>
            <w:vAlign w:val="center"/>
          </w:tcPr>
          <w:p w14:paraId="092427B5" w14:textId="5A542B36"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88" w:type="pct"/>
            <w:shd w:val="clear" w:color="auto" w:fill="auto"/>
            <w:vAlign w:val="center"/>
          </w:tcPr>
          <w:p w14:paraId="4B1400B4" w14:textId="5EDCE88A"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93" w:type="pct"/>
            <w:shd w:val="clear" w:color="auto" w:fill="auto"/>
            <w:vAlign w:val="center"/>
          </w:tcPr>
          <w:p w14:paraId="596BCAD6" w14:textId="52CCC377"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87" w:type="pct"/>
            <w:shd w:val="clear" w:color="auto" w:fill="auto"/>
            <w:vAlign w:val="center"/>
          </w:tcPr>
          <w:p w14:paraId="17515E98" w14:textId="71D94BE6"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r>
      <w:tr w:rsidR="004641C9" w:rsidRPr="005550A5" w14:paraId="54EEFE59" w14:textId="77777777" w:rsidTr="005550A5">
        <w:trPr>
          <w:gridAfter w:val="1"/>
          <w:wAfter w:w="7" w:type="pct"/>
          <w:trHeight w:val="20"/>
        </w:trPr>
        <w:tc>
          <w:tcPr>
            <w:tcW w:w="941" w:type="pct"/>
            <w:shd w:val="clear" w:color="auto" w:fill="auto"/>
          </w:tcPr>
          <w:p w14:paraId="3E8C5D0B" w14:textId="523D78E6" w:rsidR="004641C9" w:rsidRPr="005550A5" w:rsidRDefault="004641C9" w:rsidP="005550A5">
            <w:pPr>
              <w:pStyle w:val="TableText0"/>
              <w:keepLines/>
              <w:rPr>
                <w:bCs w:val="0"/>
                <w:color w:val="000000"/>
                <w:szCs w:val="20"/>
              </w:rPr>
            </w:pPr>
            <w:r w:rsidRPr="005550A5">
              <w:rPr>
                <w:bCs w:val="0"/>
                <w:color w:val="000000"/>
                <w:szCs w:val="20"/>
              </w:rPr>
              <w:t>July 2024</w:t>
            </w:r>
          </w:p>
        </w:tc>
        <w:tc>
          <w:tcPr>
            <w:tcW w:w="606" w:type="pct"/>
            <w:shd w:val="clear" w:color="auto" w:fill="auto"/>
            <w:vAlign w:val="center"/>
          </w:tcPr>
          <w:p w14:paraId="29DA458A" w14:textId="35BD33B9" w:rsidR="004641C9" w:rsidRPr="005550A5" w:rsidRDefault="00E926B5" w:rsidP="005550A5">
            <w:pPr>
              <w:pStyle w:val="TableText0"/>
              <w:keepLines/>
              <w:jc w:val="center"/>
              <w:rPr>
                <w:bCs w:val="0"/>
                <w:color w:val="000000"/>
                <w:szCs w:val="20"/>
                <w:highlight w:val="lightGray"/>
              </w:rPr>
            </w:pPr>
            <w:r w:rsidRPr="00E926B5">
              <w:rPr>
                <w:rFonts w:hint="eastAsia"/>
                <w:bCs w:val="0"/>
                <w:color w:val="000000"/>
                <w:w w:val="15"/>
                <w:szCs w:val="20"/>
                <w:shd w:val="solid" w:color="000000" w:fill="000000"/>
                <w:fitText w:val="60" w:id="-893114112"/>
                <w14:textFill>
                  <w14:solidFill>
                    <w14:srgbClr w14:val="000000">
                      <w14:alpha w14:val="100000"/>
                    </w14:srgbClr>
                  </w14:solidFill>
                </w14:textFill>
              </w:rPr>
              <w:t xml:space="preserve">　</w:t>
            </w:r>
            <w:r w:rsidRPr="00E926B5">
              <w:rPr>
                <w:bCs w:val="0"/>
                <w:color w:val="000000"/>
                <w:w w:val="15"/>
                <w:szCs w:val="20"/>
                <w:shd w:val="solid" w:color="000000" w:fill="000000"/>
                <w:fitText w:val="60" w:id="-893114112"/>
                <w14:textFill>
                  <w14:solidFill>
                    <w14:srgbClr w14:val="000000">
                      <w14:alpha w14:val="100000"/>
                    </w14:srgbClr>
                  </w14:solidFill>
                </w14:textFill>
              </w:rPr>
              <w:t>|</w:t>
            </w:r>
            <w:r w:rsidRPr="00E926B5">
              <w:rPr>
                <w:rFonts w:hint="eastAsia"/>
                <w:bCs w:val="0"/>
                <w:color w:val="000000"/>
                <w:spacing w:val="-5"/>
                <w:w w:val="15"/>
                <w:szCs w:val="20"/>
                <w:shd w:val="solid" w:color="000000" w:fill="000000"/>
                <w:fitText w:val="60" w:id="-893114112"/>
                <w14:textFill>
                  <w14:solidFill>
                    <w14:srgbClr w14:val="000000">
                      <w14:alpha w14:val="100000"/>
                    </w14:srgbClr>
                  </w14:solidFill>
                </w14:textFill>
              </w:rPr>
              <w:t xml:space="preserve">　</w:t>
            </w:r>
            <w:r w:rsidR="00AB64B0" w:rsidRPr="005550A5">
              <w:rPr>
                <w:bCs w:val="0"/>
                <w:color w:val="000000"/>
                <w:szCs w:val="20"/>
                <w:vertAlign w:val="superscript"/>
              </w:rPr>
              <w:t>5</w:t>
            </w:r>
          </w:p>
        </w:tc>
        <w:tc>
          <w:tcPr>
            <w:tcW w:w="689" w:type="pct"/>
            <w:shd w:val="clear" w:color="auto" w:fill="auto"/>
            <w:vAlign w:val="center"/>
          </w:tcPr>
          <w:p w14:paraId="35AA911B" w14:textId="47B74899"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89" w:type="pct"/>
            <w:shd w:val="clear" w:color="auto" w:fill="auto"/>
            <w:vAlign w:val="center"/>
          </w:tcPr>
          <w:p w14:paraId="6B8D87B5" w14:textId="0ADD467A"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88" w:type="pct"/>
            <w:shd w:val="clear" w:color="auto" w:fill="auto"/>
            <w:vAlign w:val="center"/>
          </w:tcPr>
          <w:p w14:paraId="2F9C0EDC" w14:textId="6838C7F3"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93" w:type="pct"/>
            <w:shd w:val="clear" w:color="auto" w:fill="auto"/>
            <w:vAlign w:val="center"/>
          </w:tcPr>
          <w:p w14:paraId="10F2DB2D" w14:textId="5128D79E"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c>
          <w:tcPr>
            <w:tcW w:w="687" w:type="pct"/>
            <w:shd w:val="clear" w:color="auto" w:fill="auto"/>
            <w:vAlign w:val="center"/>
          </w:tcPr>
          <w:p w14:paraId="4FCF0B3D" w14:textId="67C3CA6F" w:rsidR="004641C9" w:rsidRPr="005550A5" w:rsidRDefault="00E926B5" w:rsidP="005550A5">
            <w:pPr>
              <w:pStyle w:val="TableText0"/>
              <w:keepLines/>
              <w:jc w:val="center"/>
              <w:rPr>
                <w:bCs w:val="0"/>
                <w:color w:val="000000"/>
                <w:szCs w:val="20"/>
                <w:highlight w:val="lightGray"/>
              </w:rPr>
            </w:pPr>
            <w:r w:rsidRPr="00E926B5">
              <w:rPr>
                <w:bCs w:val="0"/>
                <w:color w:val="000000"/>
                <w:szCs w:val="20"/>
                <w:shd w:val="solid" w:color="000000" w:fill="000000"/>
                <w14:textFill>
                  <w14:solidFill>
                    <w14:srgbClr w14:val="000000">
                      <w14:alpha w14:val="100000"/>
                    </w14:srgbClr>
                  </w14:solidFill>
                </w14:textFill>
              </w:rPr>
              <w:t>|</w:t>
            </w:r>
            <w:r w:rsidR="00AB64B0" w:rsidRPr="005550A5">
              <w:rPr>
                <w:bCs w:val="0"/>
                <w:color w:val="000000"/>
                <w:szCs w:val="20"/>
                <w:vertAlign w:val="superscript"/>
              </w:rPr>
              <w:t>5</w:t>
            </w:r>
          </w:p>
        </w:tc>
      </w:tr>
      <w:tr w:rsidR="004641C9" w:rsidRPr="005550A5" w14:paraId="7A35A3E7" w14:textId="77777777" w:rsidTr="005550A5">
        <w:trPr>
          <w:trHeight w:val="20"/>
        </w:trPr>
        <w:tc>
          <w:tcPr>
            <w:tcW w:w="5000" w:type="pct"/>
            <w:gridSpan w:val="8"/>
            <w:shd w:val="clear" w:color="auto" w:fill="auto"/>
            <w:vAlign w:val="center"/>
          </w:tcPr>
          <w:p w14:paraId="6FA07857" w14:textId="7FF35D44" w:rsidR="004641C9" w:rsidRPr="005550A5" w:rsidRDefault="004641C9" w:rsidP="005550A5">
            <w:pPr>
              <w:pStyle w:val="TableText0"/>
              <w:keepLines/>
              <w:rPr>
                <w:b/>
                <w:color w:val="000000"/>
                <w:szCs w:val="20"/>
              </w:rPr>
            </w:pPr>
            <w:r w:rsidRPr="005550A5">
              <w:rPr>
                <w:b/>
                <w:color w:val="000000"/>
                <w:szCs w:val="20"/>
              </w:rPr>
              <w:t>Net financial implications</w:t>
            </w:r>
          </w:p>
        </w:tc>
      </w:tr>
      <w:tr w:rsidR="004641C9" w:rsidRPr="005550A5" w14:paraId="1B8FA26A" w14:textId="77777777" w:rsidTr="005550A5">
        <w:trPr>
          <w:gridAfter w:val="1"/>
          <w:wAfter w:w="7" w:type="pct"/>
          <w:trHeight w:val="20"/>
        </w:trPr>
        <w:tc>
          <w:tcPr>
            <w:tcW w:w="941" w:type="pct"/>
            <w:shd w:val="clear" w:color="auto" w:fill="auto"/>
          </w:tcPr>
          <w:p w14:paraId="76DDD052" w14:textId="1D781010" w:rsidR="004641C9" w:rsidRPr="005550A5" w:rsidRDefault="004641C9" w:rsidP="005550A5">
            <w:pPr>
              <w:pStyle w:val="TableText0"/>
              <w:keepLines/>
              <w:rPr>
                <w:bCs w:val="0"/>
                <w:color w:val="000000"/>
                <w:szCs w:val="20"/>
              </w:rPr>
            </w:pPr>
            <w:r w:rsidRPr="005550A5">
              <w:rPr>
                <w:bCs w:val="0"/>
                <w:color w:val="000000"/>
                <w:szCs w:val="20"/>
              </w:rPr>
              <w:t>March 2022</w:t>
            </w:r>
          </w:p>
        </w:tc>
        <w:tc>
          <w:tcPr>
            <w:tcW w:w="606" w:type="pct"/>
            <w:shd w:val="clear" w:color="auto" w:fill="auto"/>
            <w:vAlign w:val="center"/>
          </w:tcPr>
          <w:p w14:paraId="368DE049" w14:textId="13E14BA3"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hint="eastAsia"/>
                <w:color w:val="000000"/>
                <w:w w:val="15"/>
                <w:shd w:val="solid" w:color="000000" w:fill="000000"/>
                <w:fitText w:val="60" w:id="-893114111"/>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15"/>
                <w:shd w:val="solid" w:color="000000" w:fill="000000"/>
                <w:fitText w:val="60" w:id="-893114111"/>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5"/>
                <w:w w:val="15"/>
                <w:shd w:val="solid" w:color="000000" w:fill="000000"/>
                <w:fitText w:val="60" w:id="-893114111"/>
                <w:lang w:eastAsia="en-AU"/>
                <w14:textFill>
                  <w14:solidFill>
                    <w14:srgbClr w14:val="000000">
                      <w14:alpha w14:val="100000"/>
                    </w14:srgbClr>
                  </w14:solidFill>
                </w14:textFill>
              </w:rPr>
              <w:t xml:space="preserve">　</w:t>
            </w:r>
            <w:r w:rsidR="00AB64B0" w:rsidRPr="005550A5">
              <w:rPr>
                <w:rFonts w:ascii="Arial Narrow" w:hAnsi="Arial Narrow"/>
                <w:bCs/>
                <w:color w:val="000000"/>
                <w:vertAlign w:val="superscript"/>
              </w:rPr>
              <w:t>3</w:t>
            </w:r>
          </w:p>
        </w:tc>
        <w:tc>
          <w:tcPr>
            <w:tcW w:w="689" w:type="pct"/>
            <w:shd w:val="clear" w:color="auto" w:fill="auto"/>
            <w:vAlign w:val="center"/>
          </w:tcPr>
          <w:p w14:paraId="7BE22C27" w14:textId="528F07D3"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89" w:type="pct"/>
            <w:shd w:val="clear" w:color="auto" w:fill="auto"/>
            <w:vAlign w:val="center"/>
          </w:tcPr>
          <w:p w14:paraId="2EC4D9FE" w14:textId="5B5E750C"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88" w:type="pct"/>
            <w:shd w:val="clear" w:color="auto" w:fill="auto"/>
            <w:vAlign w:val="center"/>
          </w:tcPr>
          <w:p w14:paraId="50EBA8A2" w14:textId="371E2481"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93" w:type="pct"/>
            <w:shd w:val="clear" w:color="auto" w:fill="auto"/>
            <w:vAlign w:val="center"/>
          </w:tcPr>
          <w:p w14:paraId="7BB13400" w14:textId="1B9E43F3"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87" w:type="pct"/>
            <w:shd w:val="clear" w:color="auto" w:fill="auto"/>
            <w:vAlign w:val="center"/>
          </w:tcPr>
          <w:p w14:paraId="5824EC71" w14:textId="021D560B"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r>
      <w:tr w:rsidR="004641C9" w:rsidRPr="005550A5" w14:paraId="73C97347" w14:textId="77777777" w:rsidTr="005550A5">
        <w:trPr>
          <w:gridAfter w:val="1"/>
          <w:wAfter w:w="7" w:type="pct"/>
          <w:trHeight w:val="20"/>
        </w:trPr>
        <w:tc>
          <w:tcPr>
            <w:tcW w:w="941" w:type="pct"/>
            <w:shd w:val="clear" w:color="auto" w:fill="auto"/>
          </w:tcPr>
          <w:p w14:paraId="70567D8B" w14:textId="71BEB811" w:rsidR="004641C9" w:rsidRPr="005550A5" w:rsidRDefault="004641C9" w:rsidP="005550A5">
            <w:pPr>
              <w:pStyle w:val="TableText0"/>
              <w:keepLines/>
              <w:rPr>
                <w:bCs w:val="0"/>
                <w:color w:val="000000"/>
                <w:szCs w:val="20"/>
              </w:rPr>
            </w:pPr>
            <w:r w:rsidRPr="005550A5">
              <w:rPr>
                <w:bCs w:val="0"/>
                <w:color w:val="000000"/>
                <w:szCs w:val="20"/>
              </w:rPr>
              <w:t>July 2024</w:t>
            </w:r>
          </w:p>
        </w:tc>
        <w:tc>
          <w:tcPr>
            <w:tcW w:w="606" w:type="pct"/>
            <w:shd w:val="clear" w:color="auto" w:fill="auto"/>
            <w:vAlign w:val="center"/>
          </w:tcPr>
          <w:p w14:paraId="411B30D0" w14:textId="2B8BAB64"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hint="eastAsia"/>
                <w:color w:val="000000"/>
                <w:w w:val="15"/>
                <w:shd w:val="solid" w:color="000000" w:fill="000000"/>
                <w:fitText w:val="60" w:id="-893114110"/>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15"/>
                <w:shd w:val="solid" w:color="000000" w:fill="000000"/>
                <w:fitText w:val="60" w:id="-893114110"/>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5"/>
                <w:w w:val="15"/>
                <w:shd w:val="solid" w:color="000000" w:fill="000000"/>
                <w:fitText w:val="60" w:id="-893114110"/>
                <w:lang w:eastAsia="en-AU"/>
                <w14:textFill>
                  <w14:solidFill>
                    <w14:srgbClr w14:val="000000">
                      <w14:alpha w14:val="100000"/>
                    </w14:srgbClr>
                  </w14:solidFill>
                </w14:textFill>
              </w:rPr>
              <w:t xml:space="preserve">　</w:t>
            </w:r>
            <w:r w:rsidR="00AB64B0" w:rsidRPr="005550A5">
              <w:rPr>
                <w:rFonts w:ascii="Arial Narrow" w:hAnsi="Arial Narrow"/>
                <w:bCs/>
                <w:color w:val="000000"/>
                <w:vertAlign w:val="superscript"/>
              </w:rPr>
              <w:t>4</w:t>
            </w:r>
          </w:p>
        </w:tc>
        <w:tc>
          <w:tcPr>
            <w:tcW w:w="689" w:type="pct"/>
            <w:shd w:val="clear" w:color="auto" w:fill="auto"/>
            <w:vAlign w:val="center"/>
          </w:tcPr>
          <w:p w14:paraId="4B2C6405" w14:textId="4AA93F24"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4</w:t>
            </w:r>
          </w:p>
        </w:tc>
        <w:tc>
          <w:tcPr>
            <w:tcW w:w="689" w:type="pct"/>
            <w:shd w:val="clear" w:color="auto" w:fill="auto"/>
            <w:vAlign w:val="center"/>
          </w:tcPr>
          <w:p w14:paraId="0105E019" w14:textId="51C11E33"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4</w:t>
            </w:r>
          </w:p>
        </w:tc>
        <w:tc>
          <w:tcPr>
            <w:tcW w:w="688" w:type="pct"/>
            <w:shd w:val="clear" w:color="auto" w:fill="auto"/>
            <w:vAlign w:val="center"/>
          </w:tcPr>
          <w:p w14:paraId="5972CF1C" w14:textId="167A1291"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4</w:t>
            </w:r>
          </w:p>
        </w:tc>
        <w:tc>
          <w:tcPr>
            <w:tcW w:w="693" w:type="pct"/>
            <w:shd w:val="clear" w:color="auto" w:fill="auto"/>
            <w:vAlign w:val="center"/>
          </w:tcPr>
          <w:p w14:paraId="24804F93" w14:textId="2B713D29"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4</w:t>
            </w:r>
          </w:p>
        </w:tc>
        <w:tc>
          <w:tcPr>
            <w:tcW w:w="687" w:type="pct"/>
            <w:shd w:val="clear" w:color="auto" w:fill="auto"/>
            <w:vAlign w:val="center"/>
          </w:tcPr>
          <w:p w14:paraId="697976A4" w14:textId="5FC766E9"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4</w:t>
            </w:r>
          </w:p>
        </w:tc>
      </w:tr>
      <w:tr w:rsidR="004641C9" w:rsidRPr="005550A5" w14:paraId="5BAF8778" w14:textId="77777777" w:rsidTr="005550A5">
        <w:trPr>
          <w:trHeight w:val="20"/>
        </w:trPr>
        <w:tc>
          <w:tcPr>
            <w:tcW w:w="5000" w:type="pct"/>
            <w:gridSpan w:val="8"/>
            <w:shd w:val="clear" w:color="auto" w:fill="auto"/>
            <w:vAlign w:val="center"/>
          </w:tcPr>
          <w:p w14:paraId="5D994316" w14:textId="37903F43" w:rsidR="004641C9" w:rsidRPr="005550A5" w:rsidRDefault="004641C9" w:rsidP="005550A5">
            <w:pPr>
              <w:pStyle w:val="TableText0"/>
              <w:keepLines/>
              <w:rPr>
                <w:b/>
                <w:color w:val="000000"/>
                <w:szCs w:val="20"/>
              </w:rPr>
            </w:pPr>
            <w:r w:rsidRPr="005550A5">
              <w:rPr>
                <w:b/>
                <w:color w:val="000000"/>
                <w:szCs w:val="20"/>
              </w:rPr>
              <w:t>Net financial impact from updated submission</w:t>
            </w:r>
          </w:p>
        </w:tc>
      </w:tr>
      <w:tr w:rsidR="004641C9" w:rsidRPr="005550A5" w14:paraId="2C4F58FD" w14:textId="77777777" w:rsidTr="005550A5">
        <w:trPr>
          <w:gridAfter w:val="1"/>
          <w:wAfter w:w="7" w:type="pct"/>
          <w:trHeight w:val="20"/>
        </w:trPr>
        <w:tc>
          <w:tcPr>
            <w:tcW w:w="941" w:type="pct"/>
            <w:shd w:val="clear" w:color="auto" w:fill="auto"/>
          </w:tcPr>
          <w:p w14:paraId="77ECF6AF" w14:textId="254AFE48" w:rsidR="004641C9" w:rsidRPr="005550A5" w:rsidRDefault="004641C9" w:rsidP="005550A5">
            <w:pPr>
              <w:pStyle w:val="TableText0"/>
              <w:keepLines/>
              <w:rPr>
                <w:bCs w:val="0"/>
                <w:color w:val="000000"/>
                <w:szCs w:val="20"/>
              </w:rPr>
            </w:pPr>
            <w:r w:rsidRPr="005550A5">
              <w:rPr>
                <w:bCs w:val="0"/>
                <w:color w:val="000000"/>
                <w:szCs w:val="20"/>
              </w:rPr>
              <w:t>Net increase in value</w:t>
            </w:r>
          </w:p>
        </w:tc>
        <w:tc>
          <w:tcPr>
            <w:tcW w:w="606" w:type="pct"/>
            <w:shd w:val="clear" w:color="auto" w:fill="auto"/>
            <w:vAlign w:val="center"/>
          </w:tcPr>
          <w:p w14:paraId="58C08D96" w14:textId="524BB07D"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hint="eastAsia"/>
                <w:color w:val="000000"/>
                <w:w w:val="15"/>
                <w:shd w:val="solid" w:color="000000" w:fill="000000"/>
                <w:fitText w:val="60" w:id="-893114109"/>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15"/>
                <w:shd w:val="solid" w:color="000000" w:fill="000000"/>
                <w:fitText w:val="60" w:id="-893114109"/>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5"/>
                <w:w w:val="15"/>
                <w:shd w:val="solid" w:color="000000" w:fill="000000"/>
                <w:fitText w:val="60" w:id="-893114109"/>
                <w:lang w:eastAsia="en-AU"/>
                <w14:textFill>
                  <w14:solidFill>
                    <w14:srgbClr w14:val="000000">
                      <w14:alpha w14:val="100000"/>
                    </w14:srgbClr>
                  </w14:solidFill>
                </w14:textFill>
              </w:rPr>
              <w:t xml:space="preserve">　</w:t>
            </w:r>
            <w:r w:rsidR="00AB64B0" w:rsidRPr="005550A5">
              <w:rPr>
                <w:rFonts w:ascii="Arial Narrow" w:hAnsi="Arial Narrow"/>
                <w:bCs/>
                <w:color w:val="000000"/>
                <w:vertAlign w:val="superscript"/>
              </w:rPr>
              <w:t>3</w:t>
            </w:r>
          </w:p>
        </w:tc>
        <w:tc>
          <w:tcPr>
            <w:tcW w:w="689" w:type="pct"/>
            <w:shd w:val="clear" w:color="auto" w:fill="auto"/>
            <w:vAlign w:val="center"/>
          </w:tcPr>
          <w:p w14:paraId="6E0490A0" w14:textId="18193ACC"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89" w:type="pct"/>
            <w:shd w:val="clear" w:color="auto" w:fill="auto"/>
            <w:vAlign w:val="center"/>
          </w:tcPr>
          <w:p w14:paraId="402D41DC" w14:textId="23AFA948"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88" w:type="pct"/>
            <w:shd w:val="clear" w:color="auto" w:fill="auto"/>
            <w:vAlign w:val="center"/>
          </w:tcPr>
          <w:p w14:paraId="234478F4" w14:textId="4A1A1FAF"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93" w:type="pct"/>
            <w:shd w:val="clear" w:color="auto" w:fill="auto"/>
            <w:vAlign w:val="center"/>
          </w:tcPr>
          <w:p w14:paraId="14E0EEED" w14:textId="3DFAC183"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c>
          <w:tcPr>
            <w:tcW w:w="687" w:type="pct"/>
            <w:shd w:val="clear" w:color="auto" w:fill="auto"/>
            <w:vAlign w:val="center"/>
          </w:tcPr>
          <w:p w14:paraId="143ABC1D" w14:textId="04C40926" w:rsidR="004641C9" w:rsidRPr="005550A5" w:rsidRDefault="00E926B5" w:rsidP="005550A5">
            <w:pPr>
              <w:pStyle w:val="Tabletext"/>
              <w:keepNext/>
              <w:keepLines/>
              <w:spacing w:after="0"/>
              <w:jc w:val="center"/>
              <w:rPr>
                <w:rFonts w:ascii="Arial Narrow" w:eastAsiaTheme="majorEastAsia" w:hAnsi="Arial Narrow" w:cstheme="majorBidi"/>
                <w:color w:val="000000"/>
                <w:highlight w:val="lightGray"/>
                <w:lang w:eastAsia="en-AU"/>
              </w:rPr>
            </w:pPr>
            <w:r w:rsidRPr="00E926B5">
              <w:rPr>
                <w:rFonts w:ascii="Arial Narrow" w:eastAsiaTheme="majorEastAsia" w:hAnsi="Arial Narrow" w:cstheme="majorBidi"/>
                <w:color w:val="000000"/>
                <w:shd w:val="solid" w:color="000000" w:fill="000000"/>
                <w:lang w:eastAsia="en-AU"/>
                <w14:textFill>
                  <w14:solidFill>
                    <w14:srgbClr w14:val="000000">
                      <w14:alpha w14:val="100000"/>
                    </w14:srgbClr>
                  </w14:solidFill>
                </w14:textFill>
              </w:rPr>
              <w:t>|</w:t>
            </w:r>
            <w:r w:rsidR="00AB64B0" w:rsidRPr="005550A5">
              <w:rPr>
                <w:rFonts w:ascii="Arial Narrow" w:hAnsi="Arial Narrow"/>
                <w:bCs/>
                <w:color w:val="000000"/>
                <w:vertAlign w:val="superscript"/>
              </w:rPr>
              <w:t>3</w:t>
            </w:r>
          </w:p>
        </w:tc>
      </w:tr>
      <w:tr w:rsidR="004641C9" w:rsidRPr="005550A5" w14:paraId="257B8CA6" w14:textId="77777777" w:rsidTr="005550A5">
        <w:trPr>
          <w:gridAfter w:val="1"/>
          <w:wAfter w:w="7" w:type="pct"/>
          <w:trHeight w:val="20"/>
        </w:trPr>
        <w:tc>
          <w:tcPr>
            <w:tcW w:w="941" w:type="pct"/>
            <w:shd w:val="clear" w:color="auto" w:fill="auto"/>
          </w:tcPr>
          <w:p w14:paraId="2F1F8346" w14:textId="41AEA21F" w:rsidR="004641C9" w:rsidRPr="005550A5" w:rsidRDefault="004641C9" w:rsidP="005550A5">
            <w:pPr>
              <w:pStyle w:val="TableText0"/>
              <w:keepLines/>
              <w:rPr>
                <w:bCs w:val="0"/>
                <w:color w:val="000000"/>
                <w:szCs w:val="20"/>
              </w:rPr>
            </w:pPr>
            <w:r w:rsidRPr="005550A5">
              <w:rPr>
                <w:bCs w:val="0"/>
                <w:color w:val="000000"/>
                <w:szCs w:val="20"/>
              </w:rPr>
              <w:t>% Net increase</w:t>
            </w:r>
          </w:p>
        </w:tc>
        <w:tc>
          <w:tcPr>
            <w:tcW w:w="606" w:type="pct"/>
            <w:shd w:val="clear" w:color="auto" w:fill="auto"/>
            <w:vAlign w:val="center"/>
          </w:tcPr>
          <w:p w14:paraId="66FBF263" w14:textId="476B3C14" w:rsidR="004641C9" w:rsidRPr="005550A5" w:rsidRDefault="00E926B5" w:rsidP="005550A5">
            <w:pPr>
              <w:pStyle w:val="Tabletext"/>
              <w:keepNext/>
              <w:keepLines/>
              <w:spacing w:after="0"/>
              <w:jc w:val="center"/>
              <w:rPr>
                <w:rFonts w:ascii="Arial Narrow" w:eastAsiaTheme="majorEastAsia" w:hAnsi="Arial Narrow" w:cstheme="majorBidi"/>
                <w:color w:val="000000"/>
                <w:lang w:eastAsia="en-AU"/>
              </w:rPr>
            </w:pPr>
            <w:r w:rsidRPr="00E926B5">
              <w:rPr>
                <w:rFonts w:ascii="Arial Narrow" w:eastAsiaTheme="majorEastAsia" w:hAnsi="Arial Narrow" w:cstheme="majorBidi" w:hint="eastAsia"/>
                <w:color w:val="000000"/>
                <w:w w:val="20"/>
                <w:shd w:val="solid" w:color="000000" w:fill="000000"/>
                <w:fitText w:val="90" w:id="-893114108"/>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20"/>
                <w:shd w:val="solid" w:color="000000" w:fill="000000"/>
                <w:fitText w:val="90" w:id="-893114108"/>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3"/>
                <w:w w:val="20"/>
                <w:shd w:val="solid" w:color="000000" w:fill="000000"/>
                <w:fitText w:val="90" w:id="-893114108"/>
                <w:lang w:eastAsia="en-AU"/>
                <w14:textFill>
                  <w14:solidFill>
                    <w14:srgbClr w14:val="000000">
                      <w14:alpha w14:val="100000"/>
                    </w14:srgbClr>
                  </w14:solidFill>
                </w14:textFill>
              </w:rPr>
              <w:t xml:space="preserve">　</w:t>
            </w:r>
            <w:r w:rsidR="004641C9" w:rsidRPr="005550A5">
              <w:rPr>
                <w:rFonts w:ascii="Arial Narrow" w:eastAsiaTheme="majorEastAsia" w:hAnsi="Arial Narrow" w:cstheme="majorBidi"/>
                <w:color w:val="000000"/>
                <w:lang w:eastAsia="en-AU"/>
              </w:rPr>
              <w:t>%</w:t>
            </w:r>
          </w:p>
        </w:tc>
        <w:tc>
          <w:tcPr>
            <w:tcW w:w="689" w:type="pct"/>
            <w:shd w:val="clear" w:color="auto" w:fill="auto"/>
            <w:vAlign w:val="center"/>
          </w:tcPr>
          <w:p w14:paraId="6A8EB7A0" w14:textId="442053C5" w:rsidR="004641C9" w:rsidRPr="005550A5" w:rsidRDefault="00E926B5" w:rsidP="005550A5">
            <w:pPr>
              <w:pStyle w:val="Tabletext"/>
              <w:keepNext/>
              <w:keepLines/>
              <w:spacing w:after="0"/>
              <w:jc w:val="center"/>
              <w:rPr>
                <w:rFonts w:ascii="Arial Narrow" w:eastAsiaTheme="majorEastAsia" w:hAnsi="Arial Narrow" w:cstheme="majorBidi"/>
                <w:color w:val="000000"/>
                <w:lang w:eastAsia="en-AU"/>
              </w:rPr>
            </w:pPr>
            <w:r w:rsidRPr="00E926B5">
              <w:rPr>
                <w:rFonts w:ascii="Arial Narrow" w:eastAsiaTheme="majorEastAsia" w:hAnsi="Arial Narrow" w:cstheme="majorBidi" w:hint="eastAsia"/>
                <w:color w:val="000000"/>
                <w:w w:val="15"/>
                <w:shd w:val="solid" w:color="000000" w:fill="000000"/>
                <w:fitText w:val="30" w:id="-893114107"/>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15"/>
                <w:shd w:val="solid" w:color="000000" w:fill="000000"/>
                <w:fitText w:val="30" w:id="-893114107"/>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35"/>
                <w:w w:val="15"/>
                <w:shd w:val="solid" w:color="000000" w:fill="000000"/>
                <w:fitText w:val="30" w:id="-893114107"/>
                <w:lang w:eastAsia="en-AU"/>
                <w14:textFill>
                  <w14:solidFill>
                    <w14:srgbClr w14:val="000000">
                      <w14:alpha w14:val="100000"/>
                    </w14:srgbClr>
                  </w14:solidFill>
                </w14:textFill>
              </w:rPr>
              <w:t xml:space="preserve">　</w:t>
            </w:r>
            <w:r w:rsidR="004641C9" w:rsidRPr="005550A5">
              <w:rPr>
                <w:rFonts w:ascii="Arial Narrow" w:eastAsiaTheme="majorEastAsia" w:hAnsi="Arial Narrow" w:cstheme="majorBidi"/>
                <w:color w:val="000000"/>
                <w:lang w:eastAsia="en-AU"/>
              </w:rPr>
              <w:t>%</w:t>
            </w:r>
          </w:p>
        </w:tc>
        <w:tc>
          <w:tcPr>
            <w:tcW w:w="689" w:type="pct"/>
            <w:shd w:val="clear" w:color="auto" w:fill="auto"/>
            <w:vAlign w:val="center"/>
          </w:tcPr>
          <w:p w14:paraId="0027520A" w14:textId="27D43FB5" w:rsidR="004641C9" w:rsidRPr="005550A5" w:rsidRDefault="00E926B5" w:rsidP="005550A5">
            <w:pPr>
              <w:pStyle w:val="Tabletext"/>
              <w:keepNext/>
              <w:keepLines/>
              <w:spacing w:after="0"/>
              <w:jc w:val="center"/>
              <w:rPr>
                <w:rFonts w:ascii="Arial Narrow" w:eastAsiaTheme="majorEastAsia" w:hAnsi="Arial Narrow" w:cstheme="majorBidi"/>
                <w:color w:val="000000"/>
                <w:lang w:eastAsia="en-AU"/>
              </w:rPr>
            </w:pPr>
            <w:r w:rsidRPr="00E926B5">
              <w:rPr>
                <w:rFonts w:ascii="Arial Narrow" w:eastAsiaTheme="majorEastAsia" w:hAnsi="Arial Narrow" w:cstheme="majorBidi" w:hint="eastAsia"/>
                <w:color w:val="000000"/>
                <w:w w:val="15"/>
                <w:shd w:val="solid" w:color="000000" w:fill="000000"/>
                <w:fitText w:val="30" w:id="-893114106"/>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15"/>
                <w:shd w:val="solid" w:color="000000" w:fill="000000"/>
                <w:fitText w:val="30" w:id="-893114106"/>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35"/>
                <w:w w:val="15"/>
                <w:shd w:val="solid" w:color="000000" w:fill="000000"/>
                <w:fitText w:val="30" w:id="-893114106"/>
                <w:lang w:eastAsia="en-AU"/>
                <w14:textFill>
                  <w14:solidFill>
                    <w14:srgbClr w14:val="000000">
                      <w14:alpha w14:val="100000"/>
                    </w14:srgbClr>
                  </w14:solidFill>
                </w14:textFill>
              </w:rPr>
              <w:t xml:space="preserve">　</w:t>
            </w:r>
            <w:r w:rsidR="004641C9" w:rsidRPr="005550A5">
              <w:rPr>
                <w:rFonts w:ascii="Arial Narrow" w:eastAsiaTheme="majorEastAsia" w:hAnsi="Arial Narrow" w:cstheme="majorBidi"/>
                <w:color w:val="000000"/>
                <w:lang w:eastAsia="en-AU"/>
              </w:rPr>
              <w:t>%</w:t>
            </w:r>
          </w:p>
        </w:tc>
        <w:tc>
          <w:tcPr>
            <w:tcW w:w="688" w:type="pct"/>
            <w:shd w:val="clear" w:color="auto" w:fill="auto"/>
            <w:vAlign w:val="center"/>
          </w:tcPr>
          <w:p w14:paraId="7F830619" w14:textId="12EBA9B8" w:rsidR="004641C9" w:rsidRPr="005550A5" w:rsidRDefault="00E926B5" w:rsidP="005550A5">
            <w:pPr>
              <w:pStyle w:val="Tabletext"/>
              <w:keepNext/>
              <w:keepLines/>
              <w:spacing w:after="0"/>
              <w:jc w:val="center"/>
              <w:rPr>
                <w:rFonts w:ascii="Arial Narrow" w:eastAsiaTheme="majorEastAsia" w:hAnsi="Arial Narrow" w:cstheme="majorBidi"/>
                <w:color w:val="000000"/>
                <w:lang w:eastAsia="en-AU"/>
              </w:rPr>
            </w:pPr>
            <w:r w:rsidRPr="00E926B5">
              <w:rPr>
                <w:rFonts w:ascii="Arial Narrow" w:eastAsiaTheme="majorEastAsia" w:hAnsi="Arial Narrow" w:cstheme="majorBidi" w:hint="eastAsia"/>
                <w:color w:val="000000"/>
                <w:w w:val="15"/>
                <w:shd w:val="solid" w:color="000000" w:fill="000000"/>
                <w:fitText w:val="30" w:id="-893114105"/>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15"/>
                <w:shd w:val="solid" w:color="000000" w:fill="000000"/>
                <w:fitText w:val="30" w:id="-893114105"/>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35"/>
                <w:w w:val="15"/>
                <w:shd w:val="solid" w:color="000000" w:fill="000000"/>
                <w:fitText w:val="30" w:id="-893114105"/>
                <w:lang w:eastAsia="en-AU"/>
                <w14:textFill>
                  <w14:solidFill>
                    <w14:srgbClr w14:val="000000">
                      <w14:alpha w14:val="100000"/>
                    </w14:srgbClr>
                  </w14:solidFill>
                </w14:textFill>
              </w:rPr>
              <w:t xml:space="preserve">　</w:t>
            </w:r>
            <w:r w:rsidR="004641C9" w:rsidRPr="005550A5">
              <w:rPr>
                <w:rFonts w:ascii="Arial Narrow" w:eastAsiaTheme="majorEastAsia" w:hAnsi="Arial Narrow" w:cstheme="majorBidi"/>
                <w:color w:val="000000"/>
                <w:lang w:eastAsia="en-AU"/>
              </w:rPr>
              <w:t>%</w:t>
            </w:r>
          </w:p>
        </w:tc>
        <w:tc>
          <w:tcPr>
            <w:tcW w:w="693" w:type="pct"/>
            <w:shd w:val="clear" w:color="auto" w:fill="auto"/>
            <w:vAlign w:val="center"/>
          </w:tcPr>
          <w:p w14:paraId="608DDD53" w14:textId="053A7532" w:rsidR="004641C9" w:rsidRPr="005550A5" w:rsidRDefault="00E926B5" w:rsidP="005550A5">
            <w:pPr>
              <w:pStyle w:val="Tabletext"/>
              <w:keepNext/>
              <w:keepLines/>
              <w:spacing w:after="0"/>
              <w:jc w:val="center"/>
              <w:rPr>
                <w:rFonts w:ascii="Arial Narrow" w:eastAsiaTheme="majorEastAsia" w:hAnsi="Arial Narrow" w:cstheme="majorBidi"/>
                <w:color w:val="000000"/>
                <w:lang w:eastAsia="en-AU"/>
              </w:rPr>
            </w:pPr>
            <w:r w:rsidRPr="00E42CD7">
              <w:rPr>
                <w:rFonts w:ascii="Arial Narrow" w:eastAsiaTheme="majorEastAsia" w:hAnsi="Arial Narrow" w:cstheme="majorBidi" w:hint="eastAsia"/>
                <w:color w:val="000000"/>
                <w:w w:val="15"/>
                <w:shd w:val="solid" w:color="000000" w:fill="000000"/>
                <w:fitText w:val="20" w:id="-893114104"/>
                <w:lang w:eastAsia="en-AU"/>
                <w14:textFill>
                  <w14:solidFill>
                    <w14:srgbClr w14:val="000000">
                      <w14:alpha w14:val="100000"/>
                    </w14:srgbClr>
                  </w14:solidFill>
                </w14:textFill>
              </w:rPr>
              <w:t xml:space="preserve">　</w:t>
            </w:r>
            <w:r w:rsidRPr="00E42CD7">
              <w:rPr>
                <w:rFonts w:ascii="Arial Narrow" w:eastAsiaTheme="majorEastAsia" w:hAnsi="Arial Narrow" w:cstheme="majorBidi"/>
                <w:color w:val="000000"/>
                <w:w w:val="15"/>
                <w:shd w:val="solid" w:color="000000" w:fill="000000"/>
                <w:fitText w:val="20" w:id="-893114104"/>
                <w:lang w:eastAsia="en-AU"/>
                <w14:textFill>
                  <w14:solidFill>
                    <w14:srgbClr w14:val="000000">
                      <w14:alpha w14:val="100000"/>
                    </w14:srgbClr>
                  </w14:solidFill>
                </w14:textFill>
              </w:rPr>
              <w:t>|</w:t>
            </w:r>
            <w:r w:rsidRPr="00E42CD7">
              <w:rPr>
                <w:rFonts w:ascii="Arial Narrow" w:eastAsiaTheme="majorEastAsia" w:hAnsi="Arial Narrow" w:cstheme="majorBidi" w:hint="eastAsia"/>
                <w:color w:val="000000"/>
                <w:spacing w:val="-45"/>
                <w:w w:val="15"/>
                <w:shd w:val="solid" w:color="000000" w:fill="000000"/>
                <w:fitText w:val="20" w:id="-893114104"/>
                <w:lang w:eastAsia="en-AU"/>
                <w14:textFill>
                  <w14:solidFill>
                    <w14:srgbClr w14:val="000000">
                      <w14:alpha w14:val="100000"/>
                    </w14:srgbClr>
                  </w14:solidFill>
                </w14:textFill>
              </w:rPr>
              <w:t xml:space="preserve">　</w:t>
            </w:r>
            <w:r w:rsidR="004641C9" w:rsidRPr="005550A5">
              <w:rPr>
                <w:rFonts w:ascii="Arial Narrow" w:eastAsiaTheme="majorEastAsia" w:hAnsi="Arial Narrow" w:cstheme="majorBidi"/>
                <w:color w:val="000000"/>
                <w:lang w:eastAsia="en-AU"/>
              </w:rPr>
              <w:t>%</w:t>
            </w:r>
          </w:p>
        </w:tc>
        <w:tc>
          <w:tcPr>
            <w:tcW w:w="687" w:type="pct"/>
            <w:shd w:val="clear" w:color="auto" w:fill="auto"/>
            <w:vAlign w:val="center"/>
          </w:tcPr>
          <w:p w14:paraId="3D70A520" w14:textId="4CA69A3C" w:rsidR="004641C9" w:rsidRPr="005550A5" w:rsidRDefault="00E926B5" w:rsidP="005550A5">
            <w:pPr>
              <w:pStyle w:val="Tabletext"/>
              <w:keepNext/>
              <w:keepLines/>
              <w:spacing w:after="0"/>
              <w:jc w:val="center"/>
              <w:rPr>
                <w:rFonts w:ascii="Arial Narrow" w:eastAsiaTheme="majorEastAsia" w:hAnsi="Arial Narrow" w:cstheme="majorBidi"/>
                <w:color w:val="000000"/>
                <w:lang w:eastAsia="en-AU"/>
              </w:rPr>
            </w:pPr>
            <w:r w:rsidRPr="00E926B5">
              <w:rPr>
                <w:rFonts w:ascii="Arial Narrow" w:eastAsiaTheme="majorEastAsia" w:hAnsi="Arial Narrow" w:cstheme="majorBidi" w:hint="eastAsia"/>
                <w:color w:val="000000"/>
                <w:w w:val="15"/>
                <w:shd w:val="solid" w:color="000000" w:fill="000000"/>
                <w:fitText w:val="30" w:id="-893114103"/>
                <w:lang w:eastAsia="en-AU"/>
                <w14:textFill>
                  <w14:solidFill>
                    <w14:srgbClr w14:val="000000">
                      <w14:alpha w14:val="100000"/>
                    </w14:srgbClr>
                  </w14:solidFill>
                </w14:textFill>
              </w:rPr>
              <w:t xml:space="preserve">　</w:t>
            </w:r>
            <w:r w:rsidRPr="00E926B5">
              <w:rPr>
                <w:rFonts w:ascii="Arial Narrow" w:eastAsiaTheme="majorEastAsia" w:hAnsi="Arial Narrow" w:cstheme="majorBidi"/>
                <w:color w:val="000000"/>
                <w:w w:val="15"/>
                <w:shd w:val="solid" w:color="000000" w:fill="000000"/>
                <w:fitText w:val="30" w:id="-893114103"/>
                <w:lang w:eastAsia="en-AU"/>
                <w14:textFill>
                  <w14:solidFill>
                    <w14:srgbClr w14:val="000000">
                      <w14:alpha w14:val="100000"/>
                    </w14:srgbClr>
                  </w14:solidFill>
                </w14:textFill>
              </w:rPr>
              <w:t>|</w:t>
            </w:r>
            <w:r w:rsidRPr="00E926B5">
              <w:rPr>
                <w:rFonts w:ascii="Arial Narrow" w:eastAsiaTheme="majorEastAsia" w:hAnsi="Arial Narrow" w:cstheme="majorBidi" w:hint="eastAsia"/>
                <w:color w:val="000000"/>
                <w:spacing w:val="-35"/>
                <w:w w:val="15"/>
                <w:shd w:val="solid" w:color="000000" w:fill="000000"/>
                <w:fitText w:val="30" w:id="-893114103"/>
                <w:lang w:eastAsia="en-AU"/>
                <w14:textFill>
                  <w14:solidFill>
                    <w14:srgbClr w14:val="000000">
                      <w14:alpha w14:val="100000"/>
                    </w14:srgbClr>
                  </w14:solidFill>
                </w14:textFill>
              </w:rPr>
              <w:t xml:space="preserve">　</w:t>
            </w:r>
            <w:r w:rsidR="004641C9" w:rsidRPr="005550A5">
              <w:rPr>
                <w:rFonts w:ascii="Arial Narrow" w:eastAsiaTheme="majorEastAsia" w:hAnsi="Arial Narrow" w:cstheme="majorBidi"/>
                <w:color w:val="000000"/>
                <w:lang w:eastAsia="en-AU"/>
              </w:rPr>
              <w:t>%</w:t>
            </w:r>
          </w:p>
        </w:tc>
      </w:tr>
    </w:tbl>
    <w:p w14:paraId="47532B5F" w14:textId="7B7DFFE4" w:rsidR="000224B4" w:rsidRPr="002128A2" w:rsidRDefault="000224B4" w:rsidP="00AD6E26">
      <w:pPr>
        <w:pStyle w:val="TableFigureFooter"/>
        <w:keepNext/>
        <w:keepLines/>
        <w:spacing w:after="0"/>
        <w:rPr>
          <w:szCs w:val="18"/>
        </w:rPr>
      </w:pPr>
      <w:r w:rsidRPr="002128A2">
        <w:rPr>
          <w:szCs w:val="18"/>
        </w:rPr>
        <w:t>Source: compiled by the Secretariat during the evaluation; Table 2.13</w:t>
      </w:r>
      <w:r w:rsidR="00461B45">
        <w:rPr>
          <w:szCs w:val="18"/>
        </w:rPr>
        <w:t>, p17</w:t>
      </w:r>
      <w:r w:rsidRPr="002128A2">
        <w:rPr>
          <w:szCs w:val="18"/>
        </w:rPr>
        <w:t xml:space="preserve"> of the submission, utilisation and cost model workbooks (original and updated submission), ‘Sheet 3c. Impact – proposed (eff)’, ‘Sheet 4c. Impact - affected (eff)’</w:t>
      </w:r>
    </w:p>
    <w:p w14:paraId="177B7E61" w14:textId="687B612E" w:rsidR="00E717B4" w:rsidRPr="002128A2" w:rsidRDefault="00E717B4" w:rsidP="00AD6E26">
      <w:pPr>
        <w:pStyle w:val="TableFigureFooter"/>
        <w:keepNext/>
        <w:keepLines/>
        <w:spacing w:after="0"/>
        <w:rPr>
          <w:szCs w:val="18"/>
        </w:rPr>
      </w:pPr>
      <w:r w:rsidRPr="002128A2">
        <w:rPr>
          <w:szCs w:val="18"/>
          <w:vertAlign w:val="superscript"/>
        </w:rPr>
        <w:t>a</w:t>
      </w:r>
      <w:r w:rsidRPr="002128A2">
        <w:rPr>
          <w:szCs w:val="18"/>
        </w:rPr>
        <w:t xml:space="preserve"> Assuming number of scripts per year as estimated by the submission</w:t>
      </w:r>
      <w:r w:rsidR="0026674F" w:rsidRPr="002128A2">
        <w:rPr>
          <w:szCs w:val="18"/>
        </w:rPr>
        <w:t xml:space="preserve">, Table 2.10 of the submission </w:t>
      </w:r>
    </w:p>
    <w:p w14:paraId="377FBEAB" w14:textId="018A87FA" w:rsidR="002128A2" w:rsidRDefault="002128A2" w:rsidP="00AD6E26">
      <w:pPr>
        <w:pStyle w:val="TableFigureFooter"/>
        <w:keepNext/>
        <w:keepLines/>
        <w:spacing w:after="0"/>
        <w:rPr>
          <w:szCs w:val="18"/>
        </w:rPr>
      </w:pPr>
      <w:bookmarkStart w:id="42" w:name="_Hlk172488308"/>
      <w:r w:rsidRPr="002128A2">
        <w:rPr>
          <w:szCs w:val="18"/>
          <w:vertAlign w:val="superscript"/>
        </w:rPr>
        <w:t>b</w:t>
      </w:r>
      <w:r w:rsidR="006B1841">
        <w:rPr>
          <w:szCs w:val="18"/>
        </w:rPr>
        <w:t xml:space="preserve"> </w:t>
      </w:r>
      <w:r>
        <w:rPr>
          <w:szCs w:val="18"/>
        </w:rPr>
        <w:t xml:space="preserve">Based on the </w:t>
      </w:r>
      <w:r w:rsidR="00A46A49">
        <w:rPr>
          <w:szCs w:val="18"/>
        </w:rPr>
        <w:t xml:space="preserve">updated </w:t>
      </w:r>
      <w:r>
        <w:rPr>
          <w:szCs w:val="18"/>
        </w:rPr>
        <w:t>published DPMA</w:t>
      </w:r>
      <w:r w:rsidR="00443622">
        <w:rPr>
          <w:szCs w:val="18"/>
        </w:rPr>
        <w:t>s</w:t>
      </w:r>
      <w:r>
        <w:rPr>
          <w:szCs w:val="18"/>
        </w:rPr>
        <w:t xml:space="preserve"> </w:t>
      </w:r>
      <w:bookmarkEnd w:id="42"/>
      <w:r w:rsidRPr="002128A2">
        <w:rPr>
          <w:szCs w:val="18"/>
        </w:rPr>
        <w:t>as of February 2024.for filgrastim (PBS item codes: 5742F</w:t>
      </w:r>
      <w:r w:rsidR="00443622">
        <w:rPr>
          <w:szCs w:val="18"/>
        </w:rPr>
        <w:t xml:space="preserve">, </w:t>
      </w:r>
      <w:r w:rsidRPr="002128A2">
        <w:rPr>
          <w:szCs w:val="18"/>
        </w:rPr>
        <w:t>6291D)</w:t>
      </w:r>
      <w:r>
        <w:rPr>
          <w:szCs w:val="18"/>
        </w:rPr>
        <w:t xml:space="preserve"> </w:t>
      </w:r>
      <w:r w:rsidRPr="002128A2">
        <w:rPr>
          <w:szCs w:val="18"/>
        </w:rPr>
        <w:t>$287.88</w:t>
      </w:r>
      <w:r>
        <w:rPr>
          <w:szCs w:val="18"/>
        </w:rPr>
        <w:t xml:space="preserve">, </w:t>
      </w:r>
      <w:r w:rsidRPr="002128A2">
        <w:rPr>
          <w:szCs w:val="18"/>
        </w:rPr>
        <w:t>$307.77</w:t>
      </w:r>
      <w:r w:rsidRPr="002128A2">
        <w:rPr>
          <w:rFonts w:cstheme="minorHAnsi"/>
          <w:bCs/>
          <w:color w:val="000000"/>
          <w:szCs w:val="18"/>
        </w:rPr>
        <w:t>; cyclophosphamide (</w:t>
      </w:r>
      <w:r w:rsidRPr="002128A2">
        <w:rPr>
          <w:szCs w:val="18"/>
        </w:rPr>
        <w:t>PBS item codes: 4327R, 7226H) $144.39</w:t>
      </w:r>
      <w:r>
        <w:rPr>
          <w:szCs w:val="18"/>
        </w:rPr>
        <w:t xml:space="preserve">, </w:t>
      </w:r>
      <w:r w:rsidR="00443622" w:rsidRPr="00443622">
        <w:rPr>
          <w:szCs w:val="18"/>
        </w:rPr>
        <w:t>$188.46</w:t>
      </w:r>
      <w:r w:rsidR="00811CC3">
        <w:rPr>
          <w:szCs w:val="18"/>
        </w:rPr>
        <w:t xml:space="preserve">, and </w:t>
      </w:r>
      <w:r w:rsidR="00443622">
        <w:rPr>
          <w:szCs w:val="18"/>
        </w:rPr>
        <w:t xml:space="preserve">the </w:t>
      </w:r>
      <w:r w:rsidR="00A46A49">
        <w:rPr>
          <w:szCs w:val="18"/>
        </w:rPr>
        <w:t xml:space="preserve">same </w:t>
      </w:r>
      <w:r w:rsidR="00443622">
        <w:rPr>
          <w:szCs w:val="18"/>
        </w:rPr>
        <w:t>DPMQs</w:t>
      </w:r>
      <w:r w:rsidRPr="002128A2">
        <w:rPr>
          <w:szCs w:val="18"/>
        </w:rPr>
        <w:t xml:space="preserve"> for cyclophosphamide (1266P) </w:t>
      </w:r>
      <w:r w:rsidR="00443622" w:rsidRPr="00443622">
        <w:rPr>
          <w:szCs w:val="18"/>
        </w:rPr>
        <w:t>$156.62</w:t>
      </w:r>
      <w:r w:rsidR="00443622">
        <w:rPr>
          <w:szCs w:val="18"/>
        </w:rPr>
        <w:t xml:space="preserve">; </w:t>
      </w:r>
      <w:r w:rsidRPr="002128A2">
        <w:rPr>
          <w:szCs w:val="18"/>
        </w:rPr>
        <w:t xml:space="preserve">chlorambucil (1163F) </w:t>
      </w:r>
      <w:r w:rsidR="00443622" w:rsidRPr="00443622">
        <w:rPr>
          <w:szCs w:val="18"/>
        </w:rPr>
        <w:t>$136.25</w:t>
      </w:r>
      <w:r w:rsidRPr="002128A2">
        <w:rPr>
          <w:szCs w:val="18"/>
        </w:rPr>
        <w:t xml:space="preserve">, respectively, </w:t>
      </w:r>
      <w:r w:rsidR="00443622">
        <w:rPr>
          <w:szCs w:val="18"/>
        </w:rPr>
        <w:t xml:space="preserve">since last considered by the PBAC in March 2022. </w:t>
      </w:r>
    </w:p>
    <w:p w14:paraId="70E4E6FE" w14:textId="65022F66" w:rsidR="00BA0DC0" w:rsidRPr="002128A2" w:rsidRDefault="00BA0DC0" w:rsidP="00AD6E26">
      <w:pPr>
        <w:pStyle w:val="TableFigureFooter"/>
        <w:keepNext/>
        <w:keepLines/>
        <w:spacing w:after="0"/>
        <w:rPr>
          <w:szCs w:val="18"/>
        </w:rPr>
      </w:pPr>
      <w:r>
        <w:rPr>
          <w:szCs w:val="18"/>
        </w:rPr>
        <w:t>Note: t</w:t>
      </w:r>
      <w:r w:rsidRPr="00BA0DC0">
        <w:rPr>
          <w:szCs w:val="18"/>
        </w:rPr>
        <w:t xml:space="preserve">he patient co-payments </w:t>
      </w:r>
      <w:r>
        <w:rPr>
          <w:szCs w:val="18"/>
        </w:rPr>
        <w:t xml:space="preserve">were </w:t>
      </w:r>
      <w:r w:rsidRPr="00BA0DC0">
        <w:rPr>
          <w:szCs w:val="18"/>
        </w:rPr>
        <w:t>changed, with the General co-payment of $31.60 (reduced from $41.00) and the Concessional co-payment of $7.70 (increased from $6.60)</w:t>
      </w:r>
      <w:r>
        <w:rPr>
          <w:szCs w:val="18"/>
        </w:rPr>
        <w:t xml:space="preserve"> as of February 2024</w:t>
      </w:r>
      <w:r w:rsidRPr="00BA0DC0">
        <w:rPr>
          <w:szCs w:val="18"/>
        </w:rPr>
        <w:t>.</w:t>
      </w:r>
    </w:p>
    <w:p w14:paraId="77AC0DCD" w14:textId="3443E56F" w:rsidR="00E717B4" w:rsidRDefault="00E717B4" w:rsidP="00AD6E26">
      <w:pPr>
        <w:pStyle w:val="TableFigureFooter"/>
        <w:keepNext/>
        <w:keepLines/>
        <w:rPr>
          <w:szCs w:val="18"/>
        </w:rPr>
      </w:pPr>
      <w:r w:rsidRPr="002128A2">
        <w:rPr>
          <w:szCs w:val="18"/>
        </w:rPr>
        <w:t>Abbreviations: PBS = Pharmaceutical Benefits Scheme; RPBS = Repatriation Pharmaceutical Benefits Scheme.</w:t>
      </w:r>
    </w:p>
    <w:p w14:paraId="07347EE7" w14:textId="77777777" w:rsidR="00F44455" w:rsidRDefault="007560A8" w:rsidP="0025005E">
      <w:pPr>
        <w:pStyle w:val="TableFigureFooter"/>
        <w:keepNext/>
        <w:keepLines/>
        <w:spacing w:after="0"/>
        <w:rPr>
          <w:szCs w:val="18"/>
        </w:rPr>
      </w:pPr>
      <w:r w:rsidRPr="00371031">
        <w:rPr>
          <w:shd w:val="clear" w:color="auto" w:fill="D9D9D9" w:themeFill="background1" w:themeFillShade="D9"/>
        </w:rPr>
        <w:t>Blue</w:t>
      </w:r>
      <w:r w:rsidRPr="007560A8">
        <w:rPr>
          <w:szCs w:val="18"/>
        </w:rPr>
        <w:t xml:space="preserve"> shading represents information previously considered by the PBAC</w:t>
      </w:r>
    </w:p>
    <w:p w14:paraId="20A620F5" w14:textId="7137C92B" w:rsidR="00F44455" w:rsidRPr="00F44455" w:rsidRDefault="00F44455" w:rsidP="00F44455">
      <w:pPr>
        <w:keepNext/>
        <w:keepLines/>
        <w:rPr>
          <w:rFonts w:ascii="Arial Narrow" w:hAnsi="Arial Narrow" w:cs="Arial"/>
          <w:bCs/>
          <w:i/>
          <w:iCs/>
          <w:sz w:val="18"/>
          <w:szCs w:val="18"/>
        </w:rPr>
      </w:pPr>
      <w:bookmarkStart w:id="43" w:name="_Hlk176169542"/>
      <w:r w:rsidRPr="00F44455">
        <w:rPr>
          <w:rFonts w:ascii="Arial Narrow" w:hAnsi="Arial Narrow" w:cs="Arial"/>
          <w:bCs/>
          <w:i/>
          <w:iCs/>
          <w:sz w:val="18"/>
          <w:szCs w:val="18"/>
        </w:rPr>
        <w:t>The redacted values correspond to the following ranges:</w:t>
      </w:r>
    </w:p>
    <w:p w14:paraId="204B22C2" w14:textId="77777777" w:rsidR="00F44455" w:rsidRPr="00F44455" w:rsidRDefault="00F44455" w:rsidP="00F44455">
      <w:pPr>
        <w:keepNext/>
        <w:keepLines/>
        <w:rPr>
          <w:rFonts w:ascii="Arial Narrow" w:hAnsi="Arial Narrow" w:cs="Arial"/>
          <w:bCs/>
          <w:i/>
          <w:iCs/>
          <w:sz w:val="18"/>
          <w:szCs w:val="18"/>
        </w:rPr>
      </w:pPr>
      <w:r w:rsidRPr="0025005E">
        <w:rPr>
          <w:rFonts w:ascii="Arial Narrow" w:hAnsi="Arial Narrow" w:cs="Arial"/>
          <w:bCs/>
          <w:i/>
          <w:iCs/>
          <w:sz w:val="18"/>
          <w:szCs w:val="18"/>
          <w:vertAlign w:val="superscript"/>
        </w:rPr>
        <w:t>1</w:t>
      </w:r>
      <w:r w:rsidRPr="00F44455">
        <w:rPr>
          <w:rFonts w:ascii="Arial Narrow" w:hAnsi="Arial Narrow" w:cs="Arial"/>
          <w:bCs/>
          <w:i/>
          <w:iCs/>
          <w:sz w:val="18"/>
          <w:szCs w:val="18"/>
        </w:rPr>
        <w:t xml:space="preserve"> &lt; 500</w:t>
      </w:r>
    </w:p>
    <w:p w14:paraId="7D813873" w14:textId="77777777" w:rsidR="00F44455" w:rsidRDefault="00F44455" w:rsidP="00F44455">
      <w:pPr>
        <w:keepNext/>
        <w:keepLines/>
        <w:rPr>
          <w:rFonts w:ascii="Arial Narrow" w:hAnsi="Arial Narrow" w:cs="Arial"/>
          <w:bCs/>
          <w:i/>
          <w:iCs/>
          <w:sz w:val="18"/>
          <w:szCs w:val="18"/>
        </w:rPr>
      </w:pPr>
      <w:r w:rsidRPr="0025005E">
        <w:rPr>
          <w:rFonts w:ascii="Arial Narrow" w:hAnsi="Arial Narrow" w:cs="Arial"/>
          <w:bCs/>
          <w:i/>
          <w:iCs/>
          <w:sz w:val="18"/>
          <w:szCs w:val="18"/>
          <w:vertAlign w:val="superscript"/>
        </w:rPr>
        <w:t>2</w:t>
      </w:r>
      <w:r w:rsidRPr="00F44455">
        <w:rPr>
          <w:rFonts w:ascii="Arial Narrow" w:hAnsi="Arial Narrow" w:cs="Arial"/>
          <w:bCs/>
          <w:i/>
          <w:iCs/>
          <w:sz w:val="18"/>
          <w:szCs w:val="18"/>
        </w:rPr>
        <w:t xml:space="preserve"> 500 to &lt; 5,000</w:t>
      </w:r>
    </w:p>
    <w:p w14:paraId="4A86E68A" w14:textId="2168C4BC" w:rsidR="003A1E56" w:rsidRPr="003A1E56" w:rsidRDefault="003A1E56" w:rsidP="003A1E56">
      <w:pPr>
        <w:keepNext/>
        <w:keepLines/>
        <w:rPr>
          <w:rFonts w:ascii="Arial Narrow" w:hAnsi="Arial Narrow" w:cs="Arial"/>
          <w:bCs/>
          <w:i/>
          <w:iCs/>
          <w:sz w:val="18"/>
          <w:szCs w:val="18"/>
        </w:rPr>
      </w:pPr>
      <w:bookmarkStart w:id="44" w:name="_Hlk113629090"/>
      <w:r w:rsidRPr="0025005E">
        <w:rPr>
          <w:rFonts w:ascii="Arial Narrow" w:hAnsi="Arial Narrow" w:cs="Arial"/>
          <w:bCs/>
          <w:i/>
          <w:iCs/>
          <w:sz w:val="18"/>
          <w:szCs w:val="18"/>
          <w:vertAlign w:val="superscript"/>
        </w:rPr>
        <w:t>3</w:t>
      </w:r>
      <w:r>
        <w:rPr>
          <w:rFonts w:ascii="Arial Narrow" w:hAnsi="Arial Narrow" w:cs="Arial"/>
          <w:bCs/>
          <w:i/>
          <w:iCs/>
          <w:sz w:val="18"/>
          <w:szCs w:val="18"/>
        </w:rPr>
        <w:t xml:space="preserve"> </w:t>
      </w:r>
      <w:r w:rsidRPr="003A1E56">
        <w:rPr>
          <w:rFonts w:ascii="Arial Narrow" w:hAnsi="Arial Narrow" w:cs="Arial"/>
          <w:bCs/>
          <w:i/>
          <w:iCs/>
          <w:sz w:val="18"/>
          <w:szCs w:val="18"/>
        </w:rPr>
        <w:t>$0 to &lt; $10 million</w:t>
      </w:r>
    </w:p>
    <w:bookmarkEnd w:id="44"/>
    <w:p w14:paraId="2BCB09C6" w14:textId="09BBAE64" w:rsidR="00F44455" w:rsidRPr="00F44455" w:rsidRDefault="00F44455" w:rsidP="00F44455">
      <w:pPr>
        <w:keepNext/>
        <w:keepLines/>
        <w:rPr>
          <w:rFonts w:ascii="Arial Narrow" w:hAnsi="Arial Narrow" w:cs="Arial"/>
          <w:bCs/>
          <w:i/>
          <w:iCs/>
          <w:sz w:val="18"/>
          <w:szCs w:val="18"/>
        </w:rPr>
      </w:pPr>
      <w:r w:rsidRPr="0025005E">
        <w:rPr>
          <w:rFonts w:ascii="Arial Narrow" w:hAnsi="Arial Narrow" w:cs="Arial"/>
          <w:bCs/>
          <w:i/>
          <w:iCs/>
          <w:sz w:val="18"/>
          <w:szCs w:val="18"/>
          <w:vertAlign w:val="superscript"/>
        </w:rPr>
        <w:t>4</w:t>
      </w:r>
      <w:r w:rsidRPr="00F44455">
        <w:rPr>
          <w:rFonts w:ascii="Arial Narrow" w:hAnsi="Arial Narrow" w:cs="Arial"/>
          <w:bCs/>
          <w:i/>
          <w:iCs/>
          <w:sz w:val="18"/>
          <w:szCs w:val="18"/>
        </w:rPr>
        <w:t xml:space="preserve"> $</w:t>
      </w:r>
      <w:r w:rsidR="00BA6220">
        <w:rPr>
          <w:rFonts w:ascii="Arial Narrow" w:hAnsi="Arial Narrow" w:cs="Arial"/>
          <w:bCs/>
          <w:i/>
          <w:iCs/>
          <w:sz w:val="18"/>
          <w:szCs w:val="18"/>
        </w:rPr>
        <w:t>1</w:t>
      </w:r>
      <w:r w:rsidRPr="00F44455">
        <w:rPr>
          <w:rFonts w:ascii="Arial Narrow" w:hAnsi="Arial Narrow" w:cs="Arial"/>
          <w:bCs/>
          <w:i/>
          <w:iCs/>
          <w:sz w:val="18"/>
          <w:szCs w:val="18"/>
        </w:rPr>
        <w:t>0 million to &lt; $</w:t>
      </w:r>
      <w:r w:rsidR="00BA6220">
        <w:rPr>
          <w:rFonts w:ascii="Arial Narrow" w:hAnsi="Arial Narrow" w:cs="Arial"/>
          <w:bCs/>
          <w:i/>
          <w:iCs/>
          <w:sz w:val="18"/>
          <w:szCs w:val="18"/>
        </w:rPr>
        <w:t>2</w:t>
      </w:r>
      <w:r w:rsidRPr="00F44455">
        <w:rPr>
          <w:rFonts w:ascii="Arial Narrow" w:hAnsi="Arial Narrow" w:cs="Arial"/>
          <w:bCs/>
          <w:i/>
          <w:iCs/>
          <w:sz w:val="18"/>
          <w:szCs w:val="18"/>
        </w:rPr>
        <w:t>0 million</w:t>
      </w:r>
    </w:p>
    <w:p w14:paraId="5F65F3A8" w14:textId="3537B3D6" w:rsidR="007560A8" w:rsidRPr="0025005E" w:rsidRDefault="009E1D79" w:rsidP="0025005E">
      <w:pPr>
        <w:keepLines/>
        <w:spacing w:after="120"/>
        <w:rPr>
          <w:rFonts w:ascii="Arial Narrow" w:hAnsi="Arial Narrow" w:cs="Arial"/>
          <w:bCs/>
          <w:i/>
          <w:iCs/>
          <w:sz w:val="18"/>
          <w:szCs w:val="18"/>
        </w:rPr>
      </w:pPr>
      <w:bookmarkStart w:id="45" w:name="_Hlk113629082"/>
      <w:r w:rsidRPr="0025005E">
        <w:rPr>
          <w:rFonts w:ascii="Arial Narrow" w:hAnsi="Arial Narrow" w:cs="Arial"/>
          <w:bCs/>
          <w:i/>
          <w:iCs/>
          <w:sz w:val="18"/>
          <w:szCs w:val="18"/>
          <w:vertAlign w:val="superscript"/>
        </w:rPr>
        <w:t>5</w:t>
      </w:r>
      <w:r>
        <w:rPr>
          <w:rFonts w:ascii="Arial Narrow" w:hAnsi="Arial Narrow" w:cs="Arial"/>
          <w:bCs/>
          <w:i/>
          <w:iCs/>
          <w:sz w:val="18"/>
          <w:szCs w:val="18"/>
        </w:rPr>
        <w:t xml:space="preserve"> </w:t>
      </w:r>
      <w:r w:rsidRPr="009E1D79">
        <w:rPr>
          <w:rFonts w:ascii="Arial Narrow" w:hAnsi="Arial Narrow" w:cs="Arial"/>
          <w:bCs/>
          <w:i/>
          <w:iCs/>
          <w:sz w:val="18"/>
          <w:szCs w:val="18"/>
        </w:rPr>
        <w:t>net cost saving</w:t>
      </w:r>
      <w:bookmarkEnd w:id="43"/>
      <w:bookmarkEnd w:id="45"/>
    </w:p>
    <w:p w14:paraId="4125DCD5" w14:textId="459F2AE7" w:rsidR="00C07902" w:rsidRPr="002D50AB" w:rsidRDefault="000B2ABC" w:rsidP="00C07902">
      <w:pPr>
        <w:pStyle w:val="3Bodytext"/>
        <w:jc w:val="both"/>
      </w:pPr>
      <w:bookmarkStart w:id="46" w:name="_Ref158199385"/>
      <w:bookmarkStart w:id="47" w:name="_Toc160780484"/>
      <w:bookmarkEnd w:id="41"/>
      <w:r w:rsidRPr="00F32DF3">
        <w:t>T</w:t>
      </w:r>
      <w:r w:rsidR="00C07902" w:rsidRPr="00F32DF3">
        <w:t xml:space="preserve">he submission provided </w:t>
      </w:r>
      <w:r w:rsidR="00B11520" w:rsidRPr="00F32DF3">
        <w:t xml:space="preserve">the </w:t>
      </w:r>
      <w:r w:rsidR="00C07902" w:rsidRPr="00F32DF3">
        <w:t>revised financial estimates from 2022 (Year 1) and forward years,</w:t>
      </w:r>
      <w:r w:rsidR="00B11520" w:rsidRPr="00F32DF3">
        <w:t xml:space="preserve"> incorporating </w:t>
      </w:r>
      <w:r w:rsidRPr="00F32DF3">
        <w:t>retrospective estimates for 2022-2023, including</w:t>
      </w:r>
      <w:r w:rsidR="00B11520" w:rsidRPr="00F32DF3">
        <w:t xml:space="preserve"> grandfathered patients</w:t>
      </w:r>
      <w:r w:rsidR="00126DD6" w:rsidRPr="00F32DF3">
        <w:t>.</w:t>
      </w:r>
      <w:r w:rsidRPr="00F32DF3">
        <w:t xml:space="preserve"> </w:t>
      </w:r>
      <w:r w:rsidRPr="002D50AB">
        <w:t>The evaluation noted</w:t>
      </w:r>
      <w:r w:rsidR="006E29B8" w:rsidRPr="002D50AB">
        <w:t xml:space="preserve"> </w:t>
      </w:r>
      <w:r w:rsidR="002D50AB">
        <w:t xml:space="preserve">that </w:t>
      </w:r>
      <w:r w:rsidR="006E29B8" w:rsidRPr="002D50AB">
        <w:t xml:space="preserve">the approach to </w:t>
      </w:r>
      <w:r w:rsidRPr="002D50AB">
        <w:t xml:space="preserve">utilisation and financial estimates </w:t>
      </w:r>
      <w:r w:rsidR="006E29B8" w:rsidRPr="002D50AB">
        <w:t xml:space="preserve">should be </w:t>
      </w:r>
      <w:r w:rsidRPr="002D50AB">
        <w:t>for the next six years.</w:t>
      </w:r>
      <w:r w:rsidRPr="00F32DF3">
        <w:rPr>
          <w:i/>
          <w:iCs/>
        </w:rPr>
        <w:t xml:space="preserve"> </w:t>
      </w:r>
    </w:p>
    <w:p w14:paraId="49A5257F" w14:textId="55F86101" w:rsidR="002C2911" w:rsidRPr="00627236" w:rsidRDefault="002C2911" w:rsidP="00C07902">
      <w:pPr>
        <w:pStyle w:val="3Bodytext"/>
        <w:jc w:val="both"/>
      </w:pPr>
      <w:bookmarkStart w:id="48" w:name="_Ref173164894"/>
      <w:r w:rsidRPr="00627236">
        <w:t xml:space="preserve">It would be appropriate </w:t>
      </w:r>
      <w:r w:rsidR="00FB7CDD">
        <w:t>if</w:t>
      </w:r>
      <w:r w:rsidRPr="00627236">
        <w:t xml:space="preserve"> the financial implications of listing zanubrutinib and its impact on currently listed medicines were estimated using revised parameters derived from the actual prescription volume data for zanubrutinib since its listing for the WM indication. </w:t>
      </w:r>
      <w:r w:rsidR="00BE46B6">
        <w:t>W</w:t>
      </w:r>
      <w:r w:rsidR="00822122">
        <w:t xml:space="preserve">hile using the same </w:t>
      </w:r>
      <w:r w:rsidRPr="00627236">
        <w:t>PBS item statistics for bendamustine for indolent non-Hodgkin’s lymphoma to estimate split prescription volume between public and private hospitals as proxy data</w:t>
      </w:r>
      <w:r w:rsidR="008F6E47">
        <w:t xml:space="preserve"> would be acceptable</w:t>
      </w:r>
      <w:r w:rsidRPr="00627236">
        <w:t xml:space="preserve">, patient co-payments </w:t>
      </w:r>
      <w:r w:rsidR="008F6E47">
        <w:t xml:space="preserve">should have been derived from the distribution of patient categories using actual zanubrutinib PBS service data. The pre-PBAC response provided updated </w:t>
      </w:r>
      <w:r w:rsidR="001B7E9B">
        <w:t xml:space="preserve">financial estimates </w:t>
      </w:r>
      <w:r w:rsidR="003A051F">
        <w:t>(</w:t>
      </w:r>
      <w:r w:rsidR="003A051F" w:rsidRPr="003A051F">
        <w:rPr>
          <w:rFonts w:cstheme="minorHAnsi"/>
          <w:szCs w:val="24"/>
        </w:rPr>
        <w:t xml:space="preserve">see </w:t>
      </w:r>
      <w:r w:rsidR="003A051F" w:rsidRPr="003A051F">
        <w:rPr>
          <w:rFonts w:cstheme="minorHAnsi"/>
          <w:szCs w:val="24"/>
        </w:rPr>
        <w:fldChar w:fldCharType="begin" w:fldLock="1"/>
      </w:r>
      <w:r w:rsidR="003A051F" w:rsidRPr="003A051F">
        <w:rPr>
          <w:rFonts w:cstheme="minorHAnsi"/>
          <w:szCs w:val="24"/>
        </w:rPr>
        <w:instrText xml:space="preserve"> REF _Ref172488485 \h  \* MERGEFORMAT </w:instrText>
      </w:r>
      <w:r w:rsidR="003A051F" w:rsidRPr="003A051F">
        <w:rPr>
          <w:rFonts w:cstheme="minorHAnsi"/>
          <w:szCs w:val="24"/>
        </w:rPr>
      </w:r>
      <w:r w:rsidR="003A051F" w:rsidRPr="003A051F">
        <w:rPr>
          <w:rFonts w:cstheme="minorHAnsi"/>
          <w:szCs w:val="24"/>
        </w:rPr>
        <w:fldChar w:fldCharType="separate"/>
      </w:r>
      <w:r w:rsidR="00B31544" w:rsidRPr="00B31544">
        <w:rPr>
          <w:rFonts w:cstheme="minorHAnsi"/>
          <w:szCs w:val="24"/>
        </w:rPr>
        <w:t>Table 12</w:t>
      </w:r>
      <w:r w:rsidR="003A051F" w:rsidRPr="003A051F">
        <w:rPr>
          <w:rFonts w:cstheme="minorHAnsi"/>
          <w:szCs w:val="24"/>
        </w:rPr>
        <w:fldChar w:fldCharType="end"/>
      </w:r>
      <w:r w:rsidR="003A051F" w:rsidRPr="003A051F">
        <w:rPr>
          <w:rFonts w:cstheme="minorHAnsi"/>
          <w:szCs w:val="24"/>
        </w:rPr>
        <w:t>)</w:t>
      </w:r>
      <w:r w:rsidR="001B7E9B" w:rsidRPr="003A051F">
        <w:rPr>
          <w:rFonts w:cstheme="minorHAnsi"/>
          <w:szCs w:val="24"/>
        </w:rPr>
        <w:t>,</w:t>
      </w:r>
      <w:r w:rsidR="001B7E9B">
        <w:t xml:space="preserve"> </w:t>
      </w:r>
      <w:r w:rsidR="00822122">
        <w:t xml:space="preserve">however, </w:t>
      </w:r>
      <w:r w:rsidR="00D30E48">
        <w:t xml:space="preserve">these updates </w:t>
      </w:r>
      <w:r w:rsidR="00822122">
        <w:t xml:space="preserve">were not based on </w:t>
      </w:r>
      <w:r w:rsidR="00D30E48">
        <w:t>the actual usage data for zanubrutinib</w:t>
      </w:r>
      <w:r w:rsidR="006F20D2">
        <w:t>.</w:t>
      </w:r>
      <w:bookmarkEnd w:id="48"/>
    </w:p>
    <w:p w14:paraId="7606EA23" w14:textId="11F59E85" w:rsidR="00A80EDA" w:rsidRDefault="004E1B32" w:rsidP="000D0E67">
      <w:pPr>
        <w:pStyle w:val="3Bodytext"/>
        <w:jc w:val="both"/>
      </w:pPr>
      <w:r>
        <w:lastRenderedPageBreak/>
        <w:t>The submission estimated that</w:t>
      </w:r>
      <w:r w:rsidR="0013688B">
        <w:rPr>
          <w:rFonts w:cstheme="minorHAnsi"/>
          <w:szCs w:val="24"/>
        </w:rPr>
        <w:t xml:space="preserve"> </w:t>
      </w:r>
      <w:r w:rsidR="003E539F">
        <w:rPr>
          <w:rFonts w:cstheme="minorHAnsi"/>
          <w:szCs w:val="24"/>
        </w:rPr>
        <w:t>500</w:t>
      </w:r>
      <w:r w:rsidR="0013688B">
        <w:rPr>
          <w:rFonts w:cstheme="minorHAnsi"/>
          <w:szCs w:val="24"/>
        </w:rPr>
        <w:t> </w:t>
      </w:r>
      <w:r w:rsidR="004767BC">
        <w:rPr>
          <w:rFonts w:cstheme="minorHAnsi"/>
          <w:szCs w:val="24"/>
        </w:rPr>
        <w:t>to&lt; 5,000</w:t>
      </w:r>
      <w:r w:rsidR="003E539F" w:rsidRPr="00B95FCD">
        <w:rPr>
          <w:rFonts w:cstheme="minorHAnsi"/>
          <w:szCs w:val="24"/>
        </w:rPr>
        <w:t xml:space="preserve"> </w:t>
      </w:r>
      <w:r>
        <w:t xml:space="preserve">patients would be supplied </w:t>
      </w:r>
      <w:r w:rsidR="00E06495">
        <w:t xml:space="preserve">zanubrutinib </w:t>
      </w:r>
      <w:r>
        <w:t>over the first six years of listing (</w:t>
      </w:r>
      <w:r w:rsidR="003E539F">
        <w:rPr>
          <w:rFonts w:cstheme="minorHAnsi"/>
          <w:szCs w:val="24"/>
        </w:rPr>
        <w:t>&lt; 500</w:t>
      </w:r>
      <w:r w:rsidR="003E539F" w:rsidRPr="00B95FCD">
        <w:rPr>
          <w:rFonts w:cstheme="minorHAnsi"/>
          <w:szCs w:val="24"/>
        </w:rPr>
        <w:t xml:space="preserve"> </w:t>
      </w:r>
      <w:r>
        <w:t xml:space="preserve">in Year 1 to </w:t>
      </w:r>
      <w:r w:rsidR="003E539F">
        <w:rPr>
          <w:rFonts w:cstheme="minorHAnsi"/>
          <w:szCs w:val="24"/>
        </w:rPr>
        <w:t>&lt; 500</w:t>
      </w:r>
      <w:r w:rsidR="003E539F" w:rsidRPr="00B95FCD">
        <w:rPr>
          <w:rFonts w:cstheme="minorHAnsi"/>
          <w:szCs w:val="24"/>
        </w:rPr>
        <w:t xml:space="preserve"> </w:t>
      </w:r>
      <w:r>
        <w:t>in Year 6)</w:t>
      </w:r>
      <w:r w:rsidR="00A564E9">
        <w:t xml:space="preserve">, resulting in the </w:t>
      </w:r>
      <w:r>
        <w:t xml:space="preserve">net financial impact to the PBS/RPBS </w:t>
      </w:r>
      <w:r w:rsidR="00A564E9">
        <w:t xml:space="preserve">to be </w:t>
      </w:r>
      <w:r>
        <w:t>$</w:t>
      </w:r>
      <w:r w:rsidR="00131244" w:rsidRPr="00131244">
        <w:t>70 million to &lt; $80 </w:t>
      </w:r>
      <w:r w:rsidR="00E06495">
        <w:t>million</w:t>
      </w:r>
      <w:r>
        <w:t xml:space="preserve"> </w:t>
      </w:r>
      <w:r w:rsidR="00A564E9">
        <w:t xml:space="preserve">over six years </w:t>
      </w:r>
      <w:r>
        <w:t>(Year</w:t>
      </w:r>
      <w:r w:rsidR="0013688B">
        <w:t> </w:t>
      </w:r>
      <w:r>
        <w:t>1 $</w:t>
      </w:r>
      <w:r w:rsidR="0015338C" w:rsidRPr="0015338C">
        <w:t>10 million to &lt; $20 million</w:t>
      </w:r>
      <w:r w:rsidR="0015338C" w:rsidRPr="0015338C" w:rsidDel="0015338C">
        <w:t xml:space="preserve"> </w:t>
      </w:r>
      <w:r>
        <w:t>to Year</w:t>
      </w:r>
      <w:r w:rsidR="001D6864">
        <w:t> </w:t>
      </w:r>
      <w:r w:rsidR="0013688B">
        <w:t>6 $</w:t>
      </w:r>
      <w:r w:rsidR="0015338C" w:rsidRPr="0015338C">
        <w:t>10 million to &lt; $20 million</w:t>
      </w:r>
      <w:r w:rsidR="00E06495">
        <w:t>)</w:t>
      </w:r>
      <w:r>
        <w:t xml:space="preserve">. </w:t>
      </w:r>
    </w:p>
    <w:p w14:paraId="1171B15F" w14:textId="7991393B" w:rsidR="000D616D" w:rsidRDefault="00FF5B3D" w:rsidP="00734FC2">
      <w:pPr>
        <w:pStyle w:val="3Bodytext"/>
        <w:jc w:val="both"/>
        <w:rPr>
          <w:lang w:eastAsia="en-US"/>
        </w:rPr>
      </w:pPr>
      <w:r w:rsidRPr="0091146A">
        <w:t>T</w:t>
      </w:r>
      <w:r w:rsidR="003C3E6B" w:rsidRPr="0091146A">
        <w:t xml:space="preserve">he </w:t>
      </w:r>
      <w:r w:rsidRPr="0091146A">
        <w:t xml:space="preserve">submission’s </w:t>
      </w:r>
      <w:r w:rsidR="003C3E6B" w:rsidRPr="0091146A">
        <w:t xml:space="preserve">revised </w:t>
      </w:r>
      <w:r w:rsidR="002E0505" w:rsidRPr="0091146A">
        <w:t xml:space="preserve">utilisation of zanubrutinib </w:t>
      </w:r>
      <w:r w:rsidRPr="0091146A">
        <w:t xml:space="preserve">proposed </w:t>
      </w:r>
      <w:r w:rsidR="003C3E6B" w:rsidRPr="0091146A">
        <w:t xml:space="preserve">a substantial increase in the </w:t>
      </w:r>
      <w:r w:rsidR="00DA30B1" w:rsidRPr="0091146A">
        <w:t xml:space="preserve">net </w:t>
      </w:r>
      <w:r w:rsidR="003C3E6B" w:rsidRPr="0091146A">
        <w:t>financial impact to the PBS</w:t>
      </w:r>
      <w:r w:rsidR="003426E3" w:rsidRPr="0091146A">
        <w:t>/RPBS</w:t>
      </w:r>
      <w:r w:rsidR="003C3E6B" w:rsidRPr="0091146A">
        <w:t xml:space="preserve"> over</w:t>
      </w:r>
      <w:r w:rsidR="00A564E9" w:rsidRPr="0091146A">
        <w:t xml:space="preserve"> six years</w:t>
      </w:r>
      <w:r w:rsidR="003C3E6B" w:rsidRPr="0091146A">
        <w:t xml:space="preserve">. While the previous estimate was </w:t>
      </w:r>
      <w:r w:rsidR="00DA30B1" w:rsidRPr="0091146A">
        <w:t>$</w:t>
      </w:r>
      <w:r w:rsidR="00071064" w:rsidRPr="00071064">
        <w:t>30 million to &lt; $40 million</w:t>
      </w:r>
      <w:r w:rsidR="003C3E6B" w:rsidRPr="0091146A">
        <w:t xml:space="preserve">, </w:t>
      </w:r>
      <w:r w:rsidR="00CB53F1" w:rsidRPr="0091146A">
        <w:t>the net financial impact</w:t>
      </w:r>
      <w:r w:rsidR="003C3E6B" w:rsidRPr="0091146A">
        <w:t xml:space="preserve"> is expected to</w:t>
      </w:r>
      <w:r w:rsidR="00CB53F1" w:rsidRPr="0091146A">
        <w:t xml:space="preserve"> increase</w:t>
      </w:r>
      <w:r w:rsidR="003C3E6B" w:rsidRPr="0091146A">
        <w:t xml:space="preserve"> to </w:t>
      </w:r>
      <w:r w:rsidR="00DA30B1" w:rsidRPr="0091146A">
        <w:t>$</w:t>
      </w:r>
      <w:r w:rsidR="00A574CA" w:rsidRPr="00A574CA">
        <w:t>70 million to &lt; $80 million</w:t>
      </w:r>
      <w:r w:rsidR="00A574CA" w:rsidRPr="00A574CA" w:rsidDel="00A574CA">
        <w:t xml:space="preserve"> </w:t>
      </w:r>
      <w:bookmarkEnd w:id="46"/>
      <w:bookmarkEnd w:id="47"/>
      <w:r w:rsidR="00DA30B1" w:rsidRPr="0091146A">
        <w:t xml:space="preserve">over the same period in the revised model. </w:t>
      </w:r>
    </w:p>
    <w:p w14:paraId="28530BF6" w14:textId="7927D885" w:rsidR="00D05088" w:rsidRPr="00B16330" w:rsidRDefault="00D05088" w:rsidP="00D05088">
      <w:pPr>
        <w:pStyle w:val="3Bodytext"/>
        <w:jc w:val="both"/>
        <w:rPr>
          <w:rFonts w:cstheme="minorHAnsi"/>
          <w:szCs w:val="24"/>
          <w:lang w:eastAsia="en-US"/>
        </w:rPr>
      </w:pPr>
      <w:r>
        <w:rPr>
          <w:lang w:eastAsia="en-US"/>
        </w:rPr>
        <w:t xml:space="preserve">The pre-PBAC response proposed a decrease in the effective </w:t>
      </w:r>
      <w:r w:rsidR="00E61557" w:rsidRPr="00E61557">
        <w:rPr>
          <w:lang w:eastAsia="en-US"/>
        </w:rPr>
        <w:t xml:space="preserve">AEMP </w:t>
      </w:r>
      <w:r>
        <w:rPr>
          <w:lang w:eastAsia="en-US"/>
        </w:rPr>
        <w:t xml:space="preserve">to </w:t>
      </w:r>
      <w:r w:rsidRPr="00BD1CE8">
        <w:rPr>
          <w:lang w:eastAsia="en-US"/>
        </w:rPr>
        <w:t>$</w:t>
      </w:r>
      <w:r w:rsidR="00E926B5" w:rsidRPr="00F567D8">
        <w:rPr>
          <w:color w:val="000000"/>
          <w:w w:val="60"/>
          <w:shd w:val="solid" w:color="000000" w:fill="000000"/>
          <w:fitText w:val="470" w:id="-893114102"/>
          <w:lang w:eastAsia="en-US"/>
          <w14:textFill>
            <w14:solidFill>
              <w14:srgbClr w14:val="000000">
                <w14:alpha w14:val="100000"/>
              </w14:srgbClr>
            </w14:solidFill>
          </w14:textFill>
        </w:rPr>
        <w:t>|||  |||</w:t>
      </w:r>
      <w:r w:rsidRPr="00BD1CE8">
        <w:rPr>
          <w:lang w:eastAsia="en-US"/>
        </w:rPr>
        <w:t xml:space="preserve"> </w:t>
      </w:r>
      <w:r>
        <w:rPr>
          <w:lang w:eastAsia="en-US"/>
        </w:rPr>
        <w:t xml:space="preserve">to ensure the cost-effectiveness of zanubrutinib for WM in line with the requested reduction in the current subsidisation caps. </w:t>
      </w:r>
      <w:r w:rsidRPr="00D05088">
        <w:rPr>
          <w:lang w:eastAsia="en-US"/>
        </w:rPr>
        <w:t>The financial estimates</w:t>
      </w:r>
      <w:r>
        <w:rPr>
          <w:lang w:eastAsia="en-US"/>
        </w:rPr>
        <w:t xml:space="preserve"> </w:t>
      </w:r>
      <w:r w:rsidRPr="00D05088">
        <w:rPr>
          <w:lang w:eastAsia="en-US"/>
        </w:rPr>
        <w:t xml:space="preserve">were adjusted to account for changes in the prevalent population, effective price, and the timing of prevalent patients starting </w:t>
      </w:r>
      <w:r w:rsidRPr="00B16330">
        <w:rPr>
          <w:rFonts w:cstheme="minorHAnsi"/>
          <w:szCs w:val="24"/>
          <w:lang w:eastAsia="en-US"/>
        </w:rPr>
        <w:t xml:space="preserve">treatment (see </w:t>
      </w:r>
      <w:r w:rsidR="00B16330" w:rsidRPr="00B16330">
        <w:rPr>
          <w:rFonts w:cstheme="minorHAnsi"/>
          <w:szCs w:val="24"/>
          <w:lang w:eastAsia="en-US"/>
        </w:rPr>
        <w:fldChar w:fldCharType="begin" w:fldLock="1"/>
      </w:r>
      <w:r w:rsidR="00B16330" w:rsidRPr="00B16330">
        <w:rPr>
          <w:rFonts w:cstheme="minorHAnsi"/>
          <w:szCs w:val="24"/>
          <w:lang w:eastAsia="en-US"/>
        </w:rPr>
        <w:instrText xml:space="preserve"> REF _Ref172488485 \h  \* MERGEFORMAT </w:instrText>
      </w:r>
      <w:r w:rsidR="00B16330" w:rsidRPr="00B16330">
        <w:rPr>
          <w:rFonts w:cstheme="minorHAnsi"/>
          <w:szCs w:val="24"/>
          <w:lang w:eastAsia="en-US"/>
        </w:rPr>
      </w:r>
      <w:r w:rsidR="00B16330" w:rsidRPr="00B16330">
        <w:rPr>
          <w:rFonts w:cstheme="minorHAnsi"/>
          <w:szCs w:val="24"/>
          <w:lang w:eastAsia="en-US"/>
        </w:rPr>
        <w:fldChar w:fldCharType="separate"/>
      </w:r>
      <w:r w:rsidR="00B31544" w:rsidRPr="00B31544">
        <w:rPr>
          <w:rFonts w:cstheme="minorHAnsi"/>
          <w:szCs w:val="24"/>
        </w:rPr>
        <w:t>Table 12</w:t>
      </w:r>
      <w:r w:rsidR="00B16330" w:rsidRPr="00B16330">
        <w:rPr>
          <w:rFonts w:cstheme="minorHAnsi"/>
          <w:szCs w:val="24"/>
          <w:lang w:eastAsia="en-US"/>
        </w:rPr>
        <w:fldChar w:fldCharType="end"/>
      </w:r>
      <w:r w:rsidRPr="00B16330">
        <w:rPr>
          <w:rFonts w:cstheme="minorHAnsi"/>
          <w:szCs w:val="24"/>
          <w:lang w:eastAsia="en-US"/>
        </w:rPr>
        <w:t xml:space="preserve"> below).</w:t>
      </w:r>
    </w:p>
    <w:p w14:paraId="085F2027" w14:textId="12627440" w:rsidR="00D05088" w:rsidRDefault="00D05088" w:rsidP="00D05088">
      <w:pPr>
        <w:pStyle w:val="Caption"/>
        <w:keepNext/>
        <w:keepLines/>
        <w:spacing w:after="0"/>
        <w:rPr>
          <w:rFonts w:ascii="Arial Narrow" w:hAnsi="Arial Narrow"/>
          <w:b/>
          <w:bCs/>
          <w:i w:val="0"/>
          <w:iCs w:val="0"/>
          <w:sz w:val="20"/>
          <w:szCs w:val="20"/>
        </w:rPr>
      </w:pPr>
      <w:bookmarkStart w:id="49" w:name="_Ref172488485"/>
      <w:bookmarkStart w:id="50" w:name="_Ref172634507"/>
      <w:r w:rsidRPr="00D05088">
        <w:rPr>
          <w:rFonts w:ascii="Arial Narrow" w:hAnsi="Arial Narrow"/>
          <w:b/>
          <w:bCs/>
          <w:i w:val="0"/>
          <w:iCs w:val="0"/>
          <w:sz w:val="20"/>
          <w:szCs w:val="20"/>
        </w:rPr>
        <w:t xml:space="preserve">Table </w:t>
      </w:r>
      <w:r w:rsidRPr="00D05088">
        <w:rPr>
          <w:rFonts w:ascii="Arial Narrow" w:hAnsi="Arial Narrow"/>
          <w:b/>
          <w:bCs/>
          <w:i w:val="0"/>
          <w:iCs w:val="0"/>
          <w:sz w:val="20"/>
          <w:szCs w:val="20"/>
        </w:rPr>
        <w:fldChar w:fldCharType="begin" w:fldLock="1"/>
      </w:r>
      <w:r w:rsidRPr="00D05088">
        <w:rPr>
          <w:rFonts w:ascii="Arial Narrow" w:hAnsi="Arial Narrow"/>
          <w:b/>
          <w:bCs/>
          <w:i w:val="0"/>
          <w:iCs w:val="0"/>
          <w:sz w:val="20"/>
          <w:szCs w:val="20"/>
        </w:rPr>
        <w:instrText xml:space="preserve"> SEQ Table \* ARABIC </w:instrText>
      </w:r>
      <w:r w:rsidRPr="00D05088">
        <w:rPr>
          <w:rFonts w:ascii="Arial Narrow" w:hAnsi="Arial Narrow"/>
          <w:b/>
          <w:bCs/>
          <w:i w:val="0"/>
          <w:iCs w:val="0"/>
          <w:sz w:val="20"/>
          <w:szCs w:val="20"/>
        </w:rPr>
        <w:fldChar w:fldCharType="separate"/>
      </w:r>
      <w:r w:rsidRPr="00D05088">
        <w:rPr>
          <w:rFonts w:ascii="Arial Narrow" w:hAnsi="Arial Narrow"/>
          <w:b/>
          <w:bCs/>
          <w:i w:val="0"/>
          <w:iCs w:val="0"/>
          <w:sz w:val="20"/>
          <w:szCs w:val="20"/>
        </w:rPr>
        <w:t>12</w:t>
      </w:r>
      <w:r w:rsidRPr="00D05088">
        <w:rPr>
          <w:rFonts w:ascii="Arial Narrow" w:hAnsi="Arial Narrow"/>
          <w:b/>
          <w:bCs/>
          <w:i w:val="0"/>
          <w:iCs w:val="0"/>
          <w:sz w:val="20"/>
          <w:szCs w:val="20"/>
        </w:rPr>
        <w:fldChar w:fldCharType="end"/>
      </w:r>
      <w:bookmarkEnd w:id="49"/>
      <w:r>
        <w:rPr>
          <w:rFonts w:ascii="Arial Narrow" w:hAnsi="Arial Narrow"/>
          <w:b/>
          <w:bCs/>
          <w:i w:val="0"/>
          <w:iCs w:val="0"/>
          <w:sz w:val="20"/>
          <w:szCs w:val="20"/>
        </w:rPr>
        <w:t>: Revised e</w:t>
      </w:r>
      <w:r w:rsidRPr="00D05088">
        <w:rPr>
          <w:rFonts w:ascii="Arial Narrow" w:hAnsi="Arial Narrow"/>
          <w:b/>
          <w:bCs/>
          <w:i w:val="0"/>
          <w:iCs w:val="0"/>
          <w:sz w:val="20"/>
          <w:szCs w:val="20"/>
        </w:rPr>
        <w:t xml:space="preserve">stimated use and financial implications </w:t>
      </w:r>
      <w:r>
        <w:rPr>
          <w:rFonts w:ascii="Arial Narrow" w:hAnsi="Arial Narrow"/>
          <w:b/>
          <w:bCs/>
          <w:i w:val="0"/>
          <w:iCs w:val="0"/>
          <w:sz w:val="20"/>
          <w:szCs w:val="20"/>
        </w:rPr>
        <w:t>in the pre-PBAC response</w:t>
      </w:r>
      <w:bookmarkEnd w:id="50"/>
    </w:p>
    <w:tbl>
      <w:tblPr>
        <w:tblStyle w:val="TableGrid"/>
        <w:tblW w:w="9067" w:type="dxa"/>
        <w:tblLook w:val="04A0" w:firstRow="1" w:lastRow="0" w:firstColumn="1" w:lastColumn="0" w:noHBand="0" w:noVBand="1"/>
        <w:tblCaption w:val="Table 12: Revised estimated use and financial implications in the pre-PBAC response"/>
        <w:tblDescription w:val="Table 12: Revised estimated use and financial implications in the pre-PBAC response"/>
      </w:tblPr>
      <w:tblGrid>
        <w:gridCol w:w="1511"/>
        <w:gridCol w:w="1511"/>
        <w:gridCol w:w="1511"/>
        <w:gridCol w:w="1511"/>
        <w:gridCol w:w="1511"/>
        <w:gridCol w:w="1512"/>
      </w:tblGrid>
      <w:tr w:rsidR="006F75DC" w:rsidRPr="00B664EF" w14:paraId="51F28357" w14:textId="77777777" w:rsidTr="00B31544">
        <w:tc>
          <w:tcPr>
            <w:tcW w:w="1511" w:type="dxa"/>
            <w:shd w:val="clear" w:color="auto" w:fill="auto"/>
            <w:vAlign w:val="center"/>
          </w:tcPr>
          <w:p w14:paraId="3FB4DB14" w14:textId="2D885220" w:rsidR="006F75DC" w:rsidRPr="00B664EF" w:rsidRDefault="006F75DC" w:rsidP="00B664EF">
            <w:pPr>
              <w:jc w:val="center"/>
              <w:rPr>
                <w:rFonts w:ascii="Arial Narrow" w:hAnsi="Arial Narrow"/>
                <w:b/>
                <w:sz w:val="20"/>
                <w:szCs w:val="20"/>
              </w:rPr>
            </w:pPr>
            <w:r w:rsidRPr="00B664EF">
              <w:rPr>
                <w:rFonts w:ascii="Arial Narrow" w:hAnsi="Arial Narrow"/>
                <w:b/>
                <w:sz w:val="20"/>
                <w:szCs w:val="20"/>
              </w:rPr>
              <w:t>Year 1</w:t>
            </w:r>
          </w:p>
        </w:tc>
        <w:tc>
          <w:tcPr>
            <w:tcW w:w="1511" w:type="dxa"/>
            <w:shd w:val="clear" w:color="auto" w:fill="auto"/>
            <w:vAlign w:val="center"/>
          </w:tcPr>
          <w:p w14:paraId="184555AD" w14:textId="61C37276" w:rsidR="006F75DC" w:rsidRPr="00B664EF" w:rsidRDefault="006F75DC" w:rsidP="00B664EF">
            <w:pPr>
              <w:jc w:val="center"/>
              <w:rPr>
                <w:rFonts w:ascii="Arial Narrow" w:hAnsi="Arial Narrow"/>
                <w:b/>
                <w:sz w:val="20"/>
                <w:szCs w:val="20"/>
              </w:rPr>
            </w:pPr>
            <w:r w:rsidRPr="00B664EF">
              <w:rPr>
                <w:rFonts w:ascii="Arial Narrow" w:hAnsi="Arial Narrow"/>
                <w:b/>
                <w:sz w:val="20"/>
                <w:szCs w:val="20"/>
              </w:rPr>
              <w:t>Year 2</w:t>
            </w:r>
          </w:p>
        </w:tc>
        <w:tc>
          <w:tcPr>
            <w:tcW w:w="1511" w:type="dxa"/>
            <w:shd w:val="clear" w:color="auto" w:fill="auto"/>
            <w:vAlign w:val="center"/>
          </w:tcPr>
          <w:p w14:paraId="36F4854C" w14:textId="220AF4BB" w:rsidR="006F75DC" w:rsidRPr="00B664EF" w:rsidRDefault="006F75DC" w:rsidP="00B664EF">
            <w:pPr>
              <w:jc w:val="center"/>
              <w:rPr>
                <w:rFonts w:ascii="Arial Narrow" w:hAnsi="Arial Narrow"/>
                <w:b/>
                <w:sz w:val="20"/>
                <w:szCs w:val="20"/>
              </w:rPr>
            </w:pPr>
            <w:r w:rsidRPr="00B664EF">
              <w:rPr>
                <w:rFonts w:ascii="Arial Narrow" w:hAnsi="Arial Narrow"/>
                <w:b/>
                <w:sz w:val="20"/>
                <w:szCs w:val="20"/>
              </w:rPr>
              <w:t>Year 3</w:t>
            </w:r>
          </w:p>
        </w:tc>
        <w:tc>
          <w:tcPr>
            <w:tcW w:w="1511" w:type="dxa"/>
            <w:shd w:val="clear" w:color="auto" w:fill="auto"/>
            <w:vAlign w:val="center"/>
          </w:tcPr>
          <w:p w14:paraId="5DAA77F8" w14:textId="195B77F0" w:rsidR="006F75DC" w:rsidRPr="00B664EF" w:rsidRDefault="006F75DC" w:rsidP="00B664EF">
            <w:pPr>
              <w:jc w:val="center"/>
              <w:rPr>
                <w:rFonts w:ascii="Arial Narrow" w:hAnsi="Arial Narrow"/>
                <w:b/>
                <w:sz w:val="20"/>
                <w:szCs w:val="20"/>
              </w:rPr>
            </w:pPr>
            <w:r w:rsidRPr="00B664EF">
              <w:rPr>
                <w:rFonts w:ascii="Arial Narrow" w:hAnsi="Arial Narrow"/>
                <w:b/>
                <w:sz w:val="20"/>
                <w:szCs w:val="20"/>
              </w:rPr>
              <w:t>Year 4</w:t>
            </w:r>
          </w:p>
        </w:tc>
        <w:tc>
          <w:tcPr>
            <w:tcW w:w="1511" w:type="dxa"/>
            <w:shd w:val="clear" w:color="auto" w:fill="auto"/>
            <w:vAlign w:val="center"/>
          </w:tcPr>
          <w:p w14:paraId="6FC94A3F" w14:textId="6514E908" w:rsidR="006F75DC" w:rsidRPr="00B664EF" w:rsidRDefault="006F75DC" w:rsidP="00B664EF">
            <w:pPr>
              <w:jc w:val="center"/>
              <w:rPr>
                <w:rFonts w:ascii="Arial Narrow" w:hAnsi="Arial Narrow"/>
                <w:b/>
                <w:sz w:val="20"/>
                <w:szCs w:val="20"/>
              </w:rPr>
            </w:pPr>
            <w:r w:rsidRPr="00B664EF">
              <w:rPr>
                <w:rFonts w:ascii="Arial Narrow" w:hAnsi="Arial Narrow"/>
                <w:b/>
                <w:sz w:val="20"/>
                <w:szCs w:val="20"/>
              </w:rPr>
              <w:t>Year 5</w:t>
            </w:r>
          </w:p>
        </w:tc>
        <w:tc>
          <w:tcPr>
            <w:tcW w:w="1512" w:type="dxa"/>
            <w:shd w:val="clear" w:color="auto" w:fill="auto"/>
            <w:vAlign w:val="center"/>
          </w:tcPr>
          <w:p w14:paraId="183234F8" w14:textId="6E3CD69C" w:rsidR="006F75DC" w:rsidRPr="00B664EF" w:rsidRDefault="006F75DC" w:rsidP="00B664EF">
            <w:pPr>
              <w:jc w:val="center"/>
              <w:rPr>
                <w:rFonts w:ascii="Arial Narrow" w:hAnsi="Arial Narrow"/>
                <w:b/>
                <w:sz w:val="20"/>
                <w:szCs w:val="20"/>
              </w:rPr>
            </w:pPr>
            <w:r w:rsidRPr="00B664EF">
              <w:rPr>
                <w:rFonts w:ascii="Arial Narrow" w:hAnsi="Arial Narrow"/>
                <w:b/>
                <w:sz w:val="20"/>
                <w:szCs w:val="20"/>
              </w:rPr>
              <w:t>Year 6</w:t>
            </w:r>
          </w:p>
        </w:tc>
      </w:tr>
      <w:tr w:rsidR="00B664EF" w:rsidRPr="00B664EF" w14:paraId="36294098" w14:textId="77777777" w:rsidTr="00B31544">
        <w:tc>
          <w:tcPr>
            <w:tcW w:w="9067" w:type="dxa"/>
            <w:gridSpan w:val="6"/>
            <w:tcBorders>
              <w:bottom w:val="single" w:sz="4" w:space="0" w:color="auto"/>
            </w:tcBorders>
            <w:shd w:val="clear" w:color="auto" w:fill="auto"/>
            <w:vAlign w:val="center"/>
          </w:tcPr>
          <w:p w14:paraId="239F5BAC" w14:textId="7C67D1C9" w:rsidR="00B664EF" w:rsidRPr="00B664EF" w:rsidRDefault="00B664EF" w:rsidP="00B664EF">
            <w:pPr>
              <w:rPr>
                <w:rFonts w:ascii="Arial Narrow" w:hAnsi="Arial Narrow"/>
                <w:b/>
                <w:sz w:val="20"/>
                <w:szCs w:val="20"/>
              </w:rPr>
            </w:pPr>
            <w:r w:rsidRPr="00B664EF">
              <w:rPr>
                <w:rFonts w:ascii="Arial Narrow" w:hAnsi="Arial Narrow"/>
                <w:b/>
                <w:color w:val="000000"/>
                <w:sz w:val="20"/>
                <w:szCs w:val="20"/>
              </w:rPr>
              <w:t>Estimated extent of use</w:t>
            </w:r>
          </w:p>
        </w:tc>
      </w:tr>
      <w:tr w:rsidR="00B664EF" w:rsidRPr="00B664EF" w14:paraId="131DCBAE" w14:textId="77777777" w:rsidTr="00B31544">
        <w:tc>
          <w:tcPr>
            <w:tcW w:w="9067" w:type="dxa"/>
            <w:gridSpan w:val="6"/>
            <w:shd w:val="clear" w:color="auto" w:fill="auto"/>
            <w:vAlign w:val="center"/>
          </w:tcPr>
          <w:p w14:paraId="249B68D0" w14:textId="35E8101E" w:rsidR="00B664EF" w:rsidRPr="00B664EF" w:rsidRDefault="00B664EF" w:rsidP="00B664EF">
            <w:pPr>
              <w:rPr>
                <w:rFonts w:ascii="Arial Narrow" w:hAnsi="Arial Narrow"/>
                <w:b/>
                <w:sz w:val="20"/>
                <w:szCs w:val="20"/>
              </w:rPr>
            </w:pPr>
            <w:r w:rsidRPr="00B664EF">
              <w:rPr>
                <w:rFonts w:ascii="Arial Narrow" w:hAnsi="Arial Narrow"/>
                <w:b/>
                <w:color w:val="000000"/>
                <w:sz w:val="20"/>
                <w:szCs w:val="20"/>
              </w:rPr>
              <w:t xml:space="preserve">Number of patients treated with zanubrutinib </w:t>
            </w:r>
          </w:p>
        </w:tc>
      </w:tr>
      <w:tr w:rsidR="006F75DC" w:rsidRPr="00B664EF" w14:paraId="151077E4" w14:textId="77777777" w:rsidTr="00836167">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B9CC3" w14:textId="60410197"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i/>
                <w:iCs/>
                <w:color w:val="000000"/>
                <w:sz w:val="20"/>
                <w:szCs w:val="20"/>
                <w:shd w:val="solid" w:color="000000" w:fill="000000"/>
                <w14:textFill>
                  <w14:solidFill>
                    <w14:srgbClr w14:val="000000">
                      <w14:alpha w14:val="100000"/>
                    </w14:srgbClr>
                  </w14:solidFill>
                </w14:textFill>
              </w:rPr>
              <w:t>|</w:t>
            </w:r>
            <w:r w:rsidR="00FB2484" w:rsidRPr="0013688B">
              <w:rPr>
                <w:rFonts w:ascii="Arial Narrow" w:hAnsi="Arial Narrow" w:cs="Arial"/>
                <w:i/>
                <w:iCs/>
                <w:color w:val="000000"/>
                <w:sz w:val="20"/>
                <w:szCs w:val="20"/>
                <w:vertAlign w:val="superscript"/>
              </w:rPr>
              <w:t>1</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59DAC7" w14:textId="6AC89989"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i/>
                <w:iCs/>
                <w:color w:val="000000"/>
                <w:sz w:val="20"/>
                <w:szCs w:val="20"/>
                <w:shd w:val="solid" w:color="000000" w:fill="000000"/>
                <w14:textFill>
                  <w14:solidFill>
                    <w14:srgbClr w14:val="000000">
                      <w14:alpha w14:val="100000"/>
                    </w14:srgbClr>
                  </w14:solidFill>
                </w14:textFill>
              </w:rPr>
              <w:t>|</w:t>
            </w:r>
            <w:r w:rsidR="00FB2484" w:rsidRPr="0013688B">
              <w:rPr>
                <w:rFonts w:ascii="Arial Narrow" w:hAnsi="Arial Narrow" w:cs="Arial"/>
                <w:i/>
                <w:iCs/>
                <w:color w:val="000000"/>
                <w:sz w:val="20"/>
                <w:szCs w:val="20"/>
                <w:vertAlign w:val="superscript"/>
              </w:rPr>
              <w:t>1</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2ADA8A" w14:textId="58875282"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i/>
                <w:iCs/>
                <w:color w:val="000000"/>
                <w:sz w:val="20"/>
                <w:szCs w:val="20"/>
                <w:vertAlign w:val="superscript"/>
              </w:rPr>
              <w:t>1</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0E963C" w14:textId="4365900D"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i/>
                <w:iCs/>
                <w:color w:val="000000"/>
                <w:sz w:val="20"/>
                <w:szCs w:val="20"/>
                <w:vertAlign w:val="superscript"/>
              </w:rPr>
              <w:t>1</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A634D0" w14:textId="200DF39D"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i/>
                <w:iCs/>
                <w:color w:val="000000"/>
                <w:sz w:val="20"/>
                <w:szCs w:val="20"/>
                <w:vertAlign w:val="superscript"/>
              </w:rPr>
              <w:t>1</w:t>
            </w:r>
          </w:p>
        </w:tc>
        <w:tc>
          <w:tcPr>
            <w:tcW w:w="151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451888" w14:textId="757CD4E4"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i/>
                <w:iCs/>
                <w:color w:val="000000"/>
                <w:sz w:val="20"/>
                <w:szCs w:val="20"/>
                <w:vertAlign w:val="superscript"/>
              </w:rPr>
              <w:t>1</w:t>
            </w:r>
          </w:p>
        </w:tc>
      </w:tr>
      <w:tr w:rsidR="00B664EF" w:rsidRPr="00B664EF" w14:paraId="4943EE52" w14:textId="77777777" w:rsidTr="00B31544">
        <w:tc>
          <w:tcPr>
            <w:tcW w:w="9067" w:type="dxa"/>
            <w:gridSpan w:val="6"/>
            <w:shd w:val="clear" w:color="auto" w:fill="auto"/>
            <w:vAlign w:val="center"/>
          </w:tcPr>
          <w:p w14:paraId="34C712CD" w14:textId="4C07AE11" w:rsidR="00B664EF" w:rsidRPr="00B664EF" w:rsidRDefault="00B664EF" w:rsidP="00B664EF">
            <w:pPr>
              <w:rPr>
                <w:rFonts w:ascii="Arial Narrow" w:hAnsi="Arial Narrow"/>
                <w:b/>
                <w:sz w:val="20"/>
                <w:szCs w:val="20"/>
              </w:rPr>
            </w:pPr>
            <w:r w:rsidRPr="00B664EF">
              <w:rPr>
                <w:rFonts w:ascii="Arial Narrow" w:hAnsi="Arial Narrow"/>
                <w:b/>
                <w:color w:val="000000"/>
                <w:sz w:val="20"/>
                <w:szCs w:val="20"/>
              </w:rPr>
              <w:t xml:space="preserve">Number of zanubrutinib scripts dispensed (PBS/RPBS) </w:t>
            </w:r>
          </w:p>
        </w:tc>
      </w:tr>
      <w:tr w:rsidR="006F75DC" w:rsidRPr="00B664EF" w14:paraId="028C19AE" w14:textId="77777777" w:rsidTr="00836167">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A8D31" w14:textId="6CE4DC72"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13688B">
              <w:rPr>
                <w:rFonts w:ascii="Arial Narrow" w:hAnsi="Arial Narrow" w:cs="Arial"/>
                <w:bCs/>
                <w:i/>
                <w:iCs/>
                <w:color w:val="000000"/>
                <w:sz w:val="20"/>
                <w:szCs w:val="20"/>
                <w:vertAlign w:val="superscript"/>
              </w:rPr>
              <w:t>2</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A75CA0" w14:textId="477FCA34"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2</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995F70" w14:textId="44DA1519"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2</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F0229" w14:textId="00C4ED9B"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2</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32BAC1" w14:textId="32894633"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2</w:t>
            </w:r>
          </w:p>
        </w:tc>
        <w:tc>
          <w:tcPr>
            <w:tcW w:w="151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337279" w14:textId="57AC4538" w:rsidR="006F75DC" w:rsidRPr="0013688B" w:rsidRDefault="00E926B5" w:rsidP="00B664EF">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2</w:t>
            </w:r>
          </w:p>
        </w:tc>
      </w:tr>
      <w:tr w:rsidR="00B664EF" w:rsidRPr="00B664EF" w14:paraId="6C555C33" w14:textId="77777777" w:rsidTr="00B31544">
        <w:tc>
          <w:tcPr>
            <w:tcW w:w="9067" w:type="dxa"/>
            <w:gridSpan w:val="6"/>
            <w:shd w:val="clear" w:color="auto" w:fill="auto"/>
          </w:tcPr>
          <w:p w14:paraId="2B0B236E" w14:textId="5A2E6A20" w:rsidR="00B664EF" w:rsidRPr="00B664EF" w:rsidRDefault="00B664EF" w:rsidP="00B664EF">
            <w:pPr>
              <w:rPr>
                <w:rFonts w:ascii="Arial Narrow" w:hAnsi="Arial Narrow"/>
                <w:b/>
                <w:sz w:val="20"/>
                <w:szCs w:val="20"/>
              </w:rPr>
            </w:pPr>
            <w:r w:rsidRPr="00B664EF">
              <w:rPr>
                <w:rFonts w:ascii="Arial Narrow" w:hAnsi="Arial Narrow"/>
                <w:b/>
                <w:sz w:val="20"/>
                <w:szCs w:val="20"/>
              </w:rPr>
              <w:t>Estimated financial implications of zanubrutinib (cost to PBS/RPBS less co-payment)</w:t>
            </w:r>
            <w:r w:rsidR="00C326CC" w:rsidRPr="00B664EF">
              <w:rPr>
                <w:rFonts w:ascii="Arial Narrow" w:hAnsi="Arial Narrow"/>
                <w:b/>
                <w:color w:val="000000"/>
                <w:sz w:val="20"/>
                <w:szCs w:val="20"/>
                <w:vertAlign w:val="superscript"/>
              </w:rPr>
              <w:t>a</w:t>
            </w:r>
          </w:p>
        </w:tc>
      </w:tr>
      <w:tr w:rsidR="006F75DC" w:rsidRPr="00B664EF" w14:paraId="1E768718" w14:textId="77777777" w:rsidTr="00836167">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F0C89" w14:textId="4322FBF3" w:rsidR="006F75DC" w:rsidRPr="0013688B" w:rsidRDefault="00E926B5" w:rsidP="0013688B">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13688B">
              <w:rPr>
                <w:rFonts w:ascii="Arial Narrow" w:hAnsi="Arial Narrow" w:cs="Arial"/>
                <w:bCs/>
                <w:i/>
                <w:iCs/>
                <w:color w:val="000000"/>
                <w:sz w:val="20"/>
                <w:szCs w:val="20"/>
                <w:vertAlign w:val="superscript"/>
              </w:rPr>
              <w:t>3</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50AEEC" w14:textId="12290FE6" w:rsidR="006F75DC" w:rsidRPr="0013688B" w:rsidRDefault="00E926B5" w:rsidP="0013688B">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13688B">
              <w:rPr>
                <w:rFonts w:ascii="Arial Narrow" w:hAnsi="Arial Narrow" w:cs="Arial"/>
                <w:bCs/>
                <w:i/>
                <w:iCs/>
                <w:color w:val="000000"/>
                <w:sz w:val="20"/>
                <w:szCs w:val="20"/>
                <w:vertAlign w:val="superscript"/>
              </w:rPr>
              <w:t>4</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5374B1" w14:textId="7773D6BA" w:rsidR="006F75DC" w:rsidRPr="0013688B" w:rsidRDefault="00E926B5" w:rsidP="0013688B">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4</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B085CB" w14:textId="7D2AB171" w:rsidR="006F75DC" w:rsidRPr="0013688B" w:rsidRDefault="00E926B5" w:rsidP="0013688B">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4</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0967E8" w14:textId="45E6A1B2" w:rsidR="006F75DC" w:rsidRPr="0013688B" w:rsidRDefault="00E926B5" w:rsidP="0013688B">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4</w:t>
            </w:r>
          </w:p>
        </w:tc>
        <w:tc>
          <w:tcPr>
            <w:tcW w:w="151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E3FABB" w14:textId="4FA7C076" w:rsidR="006F75DC" w:rsidRPr="0013688B" w:rsidRDefault="00E926B5" w:rsidP="0013688B">
            <w:pPr>
              <w:jc w:val="center"/>
              <w:rPr>
                <w:rFonts w:ascii="Arial Narrow" w:hAnsi="Arial Narrow"/>
                <w:bCs/>
                <w:i/>
                <w:iCs/>
                <w:sz w:val="20"/>
                <w:szCs w:val="20"/>
                <w:highlight w:val="lightGray"/>
              </w:rPr>
            </w:pPr>
            <w:r w:rsidRPr="00E926B5">
              <w:rPr>
                <w:rFonts w:ascii="Arial Narrow" w:hAnsi="Arial Narrow" w:cs="Arial"/>
                <w:bCs/>
                <w:i/>
                <w:iCs/>
                <w:color w:val="000000"/>
                <w:sz w:val="20"/>
                <w:szCs w:val="20"/>
                <w:shd w:val="solid" w:color="000000" w:fill="000000"/>
                <w14:textFill>
                  <w14:solidFill>
                    <w14:srgbClr w14:val="000000">
                      <w14:alpha w14:val="100000"/>
                    </w14:srgbClr>
                  </w14:solidFill>
                </w14:textFill>
              </w:rPr>
              <w:t>|</w:t>
            </w:r>
            <w:r w:rsidR="00FB2484" w:rsidRPr="00687558">
              <w:rPr>
                <w:rFonts w:ascii="Arial Narrow" w:hAnsi="Arial Narrow" w:cs="Arial"/>
                <w:bCs/>
                <w:i/>
                <w:iCs/>
                <w:color w:val="000000"/>
                <w:sz w:val="20"/>
                <w:szCs w:val="20"/>
                <w:vertAlign w:val="superscript"/>
              </w:rPr>
              <w:t>4</w:t>
            </w:r>
          </w:p>
        </w:tc>
      </w:tr>
    </w:tbl>
    <w:p w14:paraId="70640038" w14:textId="662A9403" w:rsidR="00D05088" w:rsidRDefault="00D05088" w:rsidP="00D05088">
      <w:pPr>
        <w:pStyle w:val="TableFigureFooter"/>
        <w:keepNext/>
        <w:keepLines/>
        <w:spacing w:after="0"/>
        <w:rPr>
          <w:szCs w:val="18"/>
        </w:rPr>
      </w:pPr>
      <w:r w:rsidRPr="00D05088">
        <w:rPr>
          <w:szCs w:val="18"/>
        </w:rPr>
        <w:t>Source: compiled by the Secretariat</w:t>
      </w:r>
      <w:r w:rsidR="00C326CC">
        <w:rPr>
          <w:szCs w:val="18"/>
        </w:rPr>
        <w:t xml:space="preserve"> using </w:t>
      </w:r>
      <w:r w:rsidRPr="00D05088">
        <w:rPr>
          <w:szCs w:val="18"/>
        </w:rPr>
        <w:t xml:space="preserve">Table </w:t>
      </w:r>
      <w:r w:rsidR="00C326CC">
        <w:rPr>
          <w:szCs w:val="18"/>
        </w:rPr>
        <w:t xml:space="preserve">1 </w:t>
      </w:r>
      <w:r w:rsidRPr="00D05088">
        <w:rPr>
          <w:szCs w:val="18"/>
        </w:rPr>
        <w:t>of</w:t>
      </w:r>
      <w:r w:rsidR="00C326CC">
        <w:rPr>
          <w:szCs w:val="18"/>
        </w:rPr>
        <w:t xml:space="preserve"> the pre-PBAC response</w:t>
      </w:r>
      <w:r w:rsidRPr="00D05088">
        <w:rPr>
          <w:szCs w:val="18"/>
        </w:rPr>
        <w:t>, utilisation and cost model workbook ‘Sheet 3c. Impact – proposed (eff)’, ‘Sheet 4c. Impact - affected (eff)’</w:t>
      </w:r>
    </w:p>
    <w:p w14:paraId="1AFBAA39" w14:textId="7DCF413D" w:rsidR="00C326CC" w:rsidRPr="00D05088" w:rsidRDefault="00C326CC" w:rsidP="00D05088">
      <w:pPr>
        <w:pStyle w:val="TableFigureFooter"/>
        <w:keepNext/>
        <w:keepLines/>
        <w:spacing w:after="0"/>
        <w:rPr>
          <w:szCs w:val="18"/>
        </w:rPr>
      </w:pPr>
      <w:r w:rsidRPr="00C326CC">
        <w:rPr>
          <w:szCs w:val="18"/>
          <w:vertAlign w:val="superscript"/>
        </w:rPr>
        <w:t>a</w:t>
      </w:r>
      <w:r w:rsidRPr="00C326CC">
        <w:rPr>
          <w:szCs w:val="18"/>
        </w:rPr>
        <w:t xml:space="preserve"> Based on the </w:t>
      </w:r>
      <w:r>
        <w:rPr>
          <w:szCs w:val="18"/>
        </w:rPr>
        <w:t>proposed effective price for zanubrutinib</w:t>
      </w:r>
      <w:r w:rsidR="00B16330">
        <w:rPr>
          <w:szCs w:val="18"/>
        </w:rPr>
        <w:t xml:space="preserve"> of </w:t>
      </w:r>
      <w:r w:rsidR="00B16330" w:rsidRPr="00183EEB">
        <w:rPr>
          <w:szCs w:val="18"/>
        </w:rPr>
        <w:t>$</w:t>
      </w:r>
      <w:r w:rsidR="00E926B5" w:rsidRPr="00F567D8">
        <w:rPr>
          <w:color w:val="000000"/>
          <w:spacing w:val="37"/>
          <w:szCs w:val="18"/>
          <w:shd w:val="solid" w:color="000000" w:fill="000000"/>
          <w:fitText w:val="270" w:id="-893114101"/>
          <w14:textFill>
            <w14:solidFill>
              <w14:srgbClr w14:val="000000">
                <w14:alpha w14:val="100000"/>
              </w14:srgbClr>
            </w14:solidFill>
          </w14:textFill>
        </w:rPr>
        <w:t xml:space="preserve">|  </w:t>
      </w:r>
      <w:r w:rsidR="00E926B5" w:rsidRPr="00F567D8">
        <w:rPr>
          <w:color w:val="000000"/>
          <w:spacing w:val="1"/>
          <w:szCs w:val="18"/>
          <w:shd w:val="solid" w:color="000000" w:fill="000000"/>
          <w:fitText w:val="270" w:id="-893114101"/>
          <w14:textFill>
            <w14:solidFill>
              <w14:srgbClr w14:val="000000">
                <w14:alpha w14:val="100000"/>
              </w14:srgbClr>
            </w14:solidFill>
          </w14:textFill>
        </w:rPr>
        <w:t>|</w:t>
      </w:r>
    </w:p>
    <w:p w14:paraId="2CD3B39E" w14:textId="77777777" w:rsidR="00D05088" w:rsidRPr="00D05088" w:rsidRDefault="00D05088" w:rsidP="00D05088">
      <w:pPr>
        <w:pStyle w:val="TableFigureFooter"/>
        <w:keepNext/>
        <w:keepLines/>
        <w:spacing w:after="0"/>
        <w:rPr>
          <w:szCs w:val="18"/>
        </w:rPr>
      </w:pPr>
      <w:r w:rsidRPr="00D05088">
        <w:rPr>
          <w:szCs w:val="18"/>
        </w:rPr>
        <w:t>Note: the patient co-payments were changed, with the General co-payment of $31.60 (reduced from $41.00) and the Concessional co-payment of $7.70 (increased from $6.60) as of February 2024.</w:t>
      </w:r>
    </w:p>
    <w:p w14:paraId="6A6DD23D" w14:textId="44DC3722" w:rsidR="00D05088" w:rsidRDefault="00D05088" w:rsidP="00D05088">
      <w:pPr>
        <w:pStyle w:val="TableFigureFooter"/>
        <w:keepNext/>
        <w:keepLines/>
        <w:spacing w:after="0"/>
        <w:rPr>
          <w:szCs w:val="18"/>
        </w:rPr>
      </w:pPr>
      <w:r w:rsidRPr="00D05088">
        <w:rPr>
          <w:szCs w:val="18"/>
        </w:rPr>
        <w:t>Abbreviations: PBS = Pharmaceutical Benefits Scheme; RPBS = Repatriation Pharmaceutical Benefits Scheme</w:t>
      </w:r>
      <w:r w:rsidR="00913690">
        <w:rPr>
          <w:szCs w:val="18"/>
        </w:rPr>
        <w:t xml:space="preserve">; </w:t>
      </w:r>
      <w:r w:rsidR="00E42C87">
        <w:rPr>
          <w:szCs w:val="18"/>
        </w:rPr>
        <w:t>NP</w:t>
      </w:r>
      <w:r w:rsidR="00913690">
        <w:rPr>
          <w:szCs w:val="18"/>
        </w:rPr>
        <w:t xml:space="preserve"> = not provided</w:t>
      </w:r>
      <w:r w:rsidRPr="00D05088">
        <w:rPr>
          <w:szCs w:val="18"/>
        </w:rPr>
        <w:t>.</w:t>
      </w:r>
    </w:p>
    <w:p w14:paraId="5FE65C05" w14:textId="3802C0E2" w:rsidR="00836167" w:rsidRDefault="00836167" w:rsidP="00836167">
      <w:pPr>
        <w:keepNext/>
        <w:keepLines/>
        <w:rPr>
          <w:rFonts w:ascii="Arial Narrow" w:hAnsi="Arial Narrow"/>
          <w:i/>
          <w:iCs/>
          <w:sz w:val="18"/>
          <w:szCs w:val="18"/>
        </w:rPr>
      </w:pPr>
      <w:r w:rsidRPr="001E519C">
        <w:rPr>
          <w:rFonts w:ascii="Arial Narrow" w:hAnsi="Arial Narrow"/>
          <w:i/>
          <w:iCs/>
          <w:sz w:val="18"/>
          <w:szCs w:val="18"/>
        </w:rPr>
        <w:t xml:space="preserve">Italics in </w:t>
      </w:r>
      <w:r w:rsidRPr="00C47246">
        <w:rPr>
          <w:rFonts w:ascii="Arial Narrow" w:hAnsi="Arial Narrow"/>
          <w:i/>
          <w:iCs/>
          <w:sz w:val="18"/>
          <w:szCs w:val="18"/>
          <w:shd w:val="clear" w:color="auto" w:fill="D9D9D9" w:themeFill="background1" w:themeFillShade="D9"/>
        </w:rPr>
        <w:t>grey</w:t>
      </w:r>
      <w:r w:rsidR="00371031" w:rsidRPr="00C47246">
        <w:rPr>
          <w:rFonts w:ascii="Arial Narrow" w:hAnsi="Arial Narrow"/>
          <w:i/>
          <w:iCs/>
          <w:sz w:val="18"/>
          <w:szCs w:val="18"/>
          <w:shd w:val="clear" w:color="auto" w:fill="D9D9D9" w:themeFill="background1" w:themeFillShade="D9"/>
        </w:rPr>
        <w:t xml:space="preserve"> </w:t>
      </w:r>
      <w:r w:rsidRPr="00C47246">
        <w:rPr>
          <w:rFonts w:ascii="Arial Narrow" w:hAnsi="Arial Narrow"/>
          <w:i/>
          <w:iCs/>
          <w:sz w:val="18"/>
          <w:szCs w:val="18"/>
          <w:shd w:val="clear" w:color="auto" w:fill="D9D9D9" w:themeFill="background1" w:themeFillShade="D9"/>
        </w:rPr>
        <w:t>shading</w:t>
      </w:r>
      <w:r w:rsidRPr="001E519C">
        <w:rPr>
          <w:rFonts w:ascii="Arial Narrow" w:hAnsi="Arial Narrow"/>
          <w:i/>
          <w:iCs/>
          <w:sz w:val="18"/>
          <w:szCs w:val="18"/>
        </w:rPr>
        <w:t xml:space="preserve"> represent information provided in the pre-PBAC response</w:t>
      </w:r>
      <w:r>
        <w:rPr>
          <w:rFonts w:ascii="Arial Narrow" w:hAnsi="Arial Narrow"/>
          <w:i/>
          <w:iCs/>
          <w:sz w:val="18"/>
          <w:szCs w:val="18"/>
        </w:rPr>
        <w:t xml:space="preserve"> but not evaluated</w:t>
      </w:r>
      <w:r w:rsidRPr="001E519C">
        <w:rPr>
          <w:rFonts w:ascii="Arial Narrow" w:hAnsi="Arial Narrow"/>
          <w:i/>
          <w:iCs/>
          <w:sz w:val="18"/>
          <w:szCs w:val="18"/>
        </w:rPr>
        <w:t>.</w:t>
      </w:r>
    </w:p>
    <w:p w14:paraId="443B936E" w14:textId="77777777" w:rsidR="00FB2484" w:rsidRPr="00F44455" w:rsidRDefault="00FB2484" w:rsidP="00FB2484">
      <w:pPr>
        <w:keepNext/>
        <w:keepLines/>
        <w:rPr>
          <w:rFonts w:ascii="Arial Narrow" w:hAnsi="Arial Narrow" w:cs="Arial"/>
          <w:bCs/>
          <w:i/>
          <w:iCs/>
          <w:sz w:val="18"/>
          <w:szCs w:val="18"/>
        </w:rPr>
      </w:pPr>
      <w:bookmarkStart w:id="51" w:name="_Hlk176170722"/>
      <w:r w:rsidRPr="00F44455">
        <w:rPr>
          <w:rFonts w:ascii="Arial Narrow" w:hAnsi="Arial Narrow" w:cs="Arial"/>
          <w:bCs/>
          <w:i/>
          <w:iCs/>
          <w:sz w:val="18"/>
          <w:szCs w:val="18"/>
        </w:rPr>
        <w:t>The redacted values correspond to the following ranges:</w:t>
      </w:r>
    </w:p>
    <w:p w14:paraId="3C93CE09" w14:textId="77777777" w:rsidR="00FB2484" w:rsidRPr="00F44455" w:rsidRDefault="00FB2484" w:rsidP="00FB2484">
      <w:pPr>
        <w:keepNext/>
        <w:keepLines/>
        <w:rPr>
          <w:rFonts w:ascii="Arial Narrow" w:hAnsi="Arial Narrow" w:cs="Arial"/>
          <w:bCs/>
          <w:i/>
          <w:iCs/>
          <w:sz w:val="18"/>
          <w:szCs w:val="18"/>
        </w:rPr>
      </w:pPr>
      <w:r w:rsidRPr="00F44455">
        <w:rPr>
          <w:rFonts w:ascii="Arial Narrow" w:hAnsi="Arial Narrow" w:cs="Arial"/>
          <w:bCs/>
          <w:i/>
          <w:iCs/>
          <w:sz w:val="18"/>
          <w:szCs w:val="18"/>
        </w:rPr>
        <w:t>1 &lt; 500</w:t>
      </w:r>
    </w:p>
    <w:p w14:paraId="0D53F867" w14:textId="77777777" w:rsidR="00FB2484" w:rsidRDefault="00FB2484" w:rsidP="00FB2484">
      <w:pPr>
        <w:keepNext/>
        <w:keepLines/>
        <w:rPr>
          <w:rFonts w:ascii="Arial Narrow" w:hAnsi="Arial Narrow" w:cs="Arial"/>
          <w:bCs/>
          <w:i/>
          <w:iCs/>
          <w:sz w:val="18"/>
          <w:szCs w:val="18"/>
        </w:rPr>
      </w:pPr>
      <w:r w:rsidRPr="00F44455">
        <w:rPr>
          <w:rFonts w:ascii="Arial Narrow" w:hAnsi="Arial Narrow" w:cs="Arial"/>
          <w:bCs/>
          <w:i/>
          <w:iCs/>
          <w:sz w:val="18"/>
          <w:szCs w:val="18"/>
        </w:rPr>
        <w:t>2 500 to &lt; 5,000</w:t>
      </w:r>
    </w:p>
    <w:p w14:paraId="696D45AE" w14:textId="77777777" w:rsidR="00FB2484" w:rsidRPr="003A1E56" w:rsidRDefault="00FB2484" w:rsidP="00FB2484">
      <w:pPr>
        <w:keepNext/>
        <w:keepLines/>
        <w:rPr>
          <w:rFonts w:ascii="Arial Narrow" w:hAnsi="Arial Narrow" w:cs="Arial"/>
          <w:bCs/>
          <w:i/>
          <w:iCs/>
          <w:sz w:val="18"/>
          <w:szCs w:val="18"/>
        </w:rPr>
      </w:pPr>
      <w:r>
        <w:rPr>
          <w:rFonts w:ascii="Arial Narrow" w:hAnsi="Arial Narrow" w:cs="Arial"/>
          <w:bCs/>
          <w:i/>
          <w:iCs/>
          <w:sz w:val="18"/>
          <w:szCs w:val="18"/>
        </w:rPr>
        <w:t xml:space="preserve">3 </w:t>
      </w:r>
      <w:r w:rsidRPr="003A1E56">
        <w:rPr>
          <w:rFonts w:ascii="Arial Narrow" w:hAnsi="Arial Narrow" w:cs="Arial"/>
          <w:bCs/>
          <w:i/>
          <w:iCs/>
          <w:sz w:val="18"/>
          <w:szCs w:val="18"/>
        </w:rPr>
        <w:t>$0 to &lt; $10 million</w:t>
      </w:r>
    </w:p>
    <w:p w14:paraId="22B7918C" w14:textId="4DF867D2" w:rsidR="00FB2484" w:rsidRPr="0025005E" w:rsidRDefault="00FB2484" w:rsidP="0025005E">
      <w:pPr>
        <w:keepLines/>
        <w:spacing w:after="120"/>
        <w:rPr>
          <w:rFonts w:ascii="Arial Narrow" w:hAnsi="Arial Narrow" w:cs="Arial"/>
          <w:bCs/>
          <w:i/>
          <w:iCs/>
          <w:sz w:val="18"/>
          <w:szCs w:val="18"/>
        </w:rPr>
      </w:pPr>
      <w:r w:rsidRPr="00F44455">
        <w:rPr>
          <w:rFonts w:ascii="Arial Narrow" w:hAnsi="Arial Narrow" w:cs="Arial"/>
          <w:bCs/>
          <w:i/>
          <w:iCs/>
          <w:sz w:val="18"/>
          <w:szCs w:val="18"/>
        </w:rPr>
        <w:t>4 $</w:t>
      </w:r>
      <w:r w:rsidR="001E219A">
        <w:rPr>
          <w:rFonts w:ascii="Arial Narrow" w:hAnsi="Arial Narrow" w:cs="Arial"/>
          <w:bCs/>
          <w:i/>
          <w:iCs/>
          <w:sz w:val="18"/>
          <w:szCs w:val="18"/>
        </w:rPr>
        <w:t>1</w:t>
      </w:r>
      <w:r w:rsidRPr="00F44455">
        <w:rPr>
          <w:rFonts w:ascii="Arial Narrow" w:hAnsi="Arial Narrow" w:cs="Arial"/>
          <w:bCs/>
          <w:i/>
          <w:iCs/>
          <w:sz w:val="18"/>
          <w:szCs w:val="18"/>
        </w:rPr>
        <w:t>0 million to &lt; $</w:t>
      </w:r>
      <w:r w:rsidR="00B64EE2">
        <w:rPr>
          <w:rFonts w:ascii="Arial Narrow" w:hAnsi="Arial Narrow" w:cs="Arial"/>
          <w:bCs/>
          <w:i/>
          <w:iCs/>
          <w:sz w:val="18"/>
          <w:szCs w:val="18"/>
        </w:rPr>
        <w:t>2</w:t>
      </w:r>
      <w:r w:rsidRPr="00F44455">
        <w:rPr>
          <w:rFonts w:ascii="Arial Narrow" w:hAnsi="Arial Narrow" w:cs="Arial"/>
          <w:bCs/>
          <w:i/>
          <w:iCs/>
          <w:sz w:val="18"/>
          <w:szCs w:val="18"/>
        </w:rPr>
        <w:t>0 million</w:t>
      </w:r>
      <w:bookmarkEnd w:id="51"/>
    </w:p>
    <w:p w14:paraId="43420617" w14:textId="4298BF36" w:rsidR="000D0E67" w:rsidRPr="0091146A" w:rsidRDefault="000D0E67" w:rsidP="00D05088">
      <w:pPr>
        <w:pStyle w:val="3Bodytext"/>
        <w:spacing w:before="120"/>
        <w:jc w:val="both"/>
        <w:rPr>
          <w:lang w:eastAsia="en-US"/>
        </w:rPr>
      </w:pPr>
      <w:r w:rsidRPr="000D0E67">
        <w:rPr>
          <w:lang w:eastAsia="en-US"/>
        </w:rPr>
        <w:t>As a Category 3 submission the financial estimates have not been independently evaluated.</w:t>
      </w:r>
    </w:p>
    <w:p w14:paraId="6236E418" w14:textId="69509A90" w:rsidR="00853A0C" w:rsidRPr="00A564E9" w:rsidRDefault="00A564E9" w:rsidP="00B06755">
      <w:pPr>
        <w:pStyle w:val="4-SubsectionHeading"/>
        <w:rPr>
          <w:lang w:eastAsia="en-US"/>
        </w:rPr>
      </w:pPr>
      <w:r w:rsidRPr="00A564E9">
        <w:rPr>
          <w:lang w:eastAsia="en-US"/>
        </w:rPr>
        <w:t>Financial Management – Risk Sharing Arrangements</w:t>
      </w:r>
    </w:p>
    <w:p w14:paraId="16F97AE1" w14:textId="66022953" w:rsidR="00F172D6" w:rsidRPr="00061FF2" w:rsidRDefault="00DB1FE9" w:rsidP="00F172D6">
      <w:pPr>
        <w:pStyle w:val="3Bodytext"/>
        <w:jc w:val="both"/>
        <w:rPr>
          <w:szCs w:val="24"/>
        </w:rPr>
      </w:pPr>
      <w:r w:rsidRPr="00DB1FE9">
        <w:rPr>
          <w:szCs w:val="24"/>
        </w:rPr>
        <w:t xml:space="preserve">The submission stated that </w:t>
      </w:r>
      <w:r w:rsidR="00FF5B3D">
        <w:rPr>
          <w:szCs w:val="24"/>
        </w:rPr>
        <w:t>i</w:t>
      </w:r>
      <w:r w:rsidR="00FF5B3D" w:rsidRPr="00F172D6">
        <w:rPr>
          <w:szCs w:val="24"/>
        </w:rPr>
        <w:t xml:space="preserve">t </w:t>
      </w:r>
      <w:r w:rsidR="00F172D6" w:rsidRPr="00F172D6">
        <w:rPr>
          <w:szCs w:val="24"/>
        </w:rPr>
        <w:t xml:space="preserve">is often challenging to quantify the epidemiology of rare diseases, such as </w:t>
      </w:r>
      <w:r w:rsidR="00F172D6">
        <w:rPr>
          <w:szCs w:val="24"/>
        </w:rPr>
        <w:t xml:space="preserve">WM, </w:t>
      </w:r>
      <w:r w:rsidR="00F172D6" w:rsidRPr="00F172D6">
        <w:rPr>
          <w:szCs w:val="24"/>
        </w:rPr>
        <w:t xml:space="preserve">accurately due to a lack of comprehensive data. Given the limited data available, the sponsor relied on the best publicly accessible information to </w:t>
      </w:r>
      <w:r w:rsidRPr="00DB1FE9">
        <w:rPr>
          <w:szCs w:val="24"/>
        </w:rPr>
        <w:t>estimate the utili</w:t>
      </w:r>
      <w:r w:rsidR="00F172D6">
        <w:rPr>
          <w:szCs w:val="24"/>
        </w:rPr>
        <w:t>s</w:t>
      </w:r>
      <w:r w:rsidRPr="00DB1FE9">
        <w:rPr>
          <w:szCs w:val="24"/>
        </w:rPr>
        <w:t xml:space="preserve">ation and financial implications </w:t>
      </w:r>
      <w:r w:rsidR="00F172D6">
        <w:rPr>
          <w:szCs w:val="24"/>
        </w:rPr>
        <w:t>for PBAC consideration in March</w:t>
      </w:r>
      <w:r w:rsidR="005550A5">
        <w:rPr>
          <w:szCs w:val="24"/>
        </w:rPr>
        <w:t> </w:t>
      </w:r>
      <w:r w:rsidR="00F172D6">
        <w:rPr>
          <w:szCs w:val="24"/>
        </w:rPr>
        <w:t>2022</w:t>
      </w:r>
      <w:r w:rsidRPr="00DB1FE9">
        <w:rPr>
          <w:szCs w:val="24"/>
        </w:rPr>
        <w:t xml:space="preserve">. </w:t>
      </w:r>
      <w:r w:rsidR="00F172D6" w:rsidRPr="00DB1FE9">
        <w:rPr>
          <w:szCs w:val="24"/>
        </w:rPr>
        <w:t xml:space="preserve">However, </w:t>
      </w:r>
      <w:r w:rsidR="00F172D6">
        <w:rPr>
          <w:szCs w:val="24"/>
        </w:rPr>
        <w:t xml:space="preserve">recent </w:t>
      </w:r>
      <w:r w:rsidR="00F172D6" w:rsidRPr="00DB1FE9">
        <w:rPr>
          <w:szCs w:val="24"/>
        </w:rPr>
        <w:t xml:space="preserve">data published by </w:t>
      </w:r>
      <w:r w:rsidR="00F172D6">
        <w:rPr>
          <w:szCs w:val="24"/>
        </w:rPr>
        <w:t xml:space="preserve">the </w:t>
      </w:r>
      <w:r w:rsidR="00F172D6" w:rsidRPr="00F172D6">
        <w:rPr>
          <w:szCs w:val="24"/>
        </w:rPr>
        <w:t>AIHW</w:t>
      </w:r>
      <w:r w:rsidR="00F172D6">
        <w:rPr>
          <w:szCs w:val="24"/>
        </w:rPr>
        <w:t xml:space="preserve"> demonstrated</w:t>
      </w:r>
      <w:r w:rsidR="00F172D6" w:rsidRPr="00DB1FE9">
        <w:rPr>
          <w:szCs w:val="24"/>
        </w:rPr>
        <w:t xml:space="preserve"> that the actual incidence and prevalence of </w:t>
      </w:r>
      <w:r w:rsidR="00F172D6">
        <w:rPr>
          <w:szCs w:val="24"/>
        </w:rPr>
        <w:t xml:space="preserve">WM </w:t>
      </w:r>
      <w:r w:rsidR="00F172D6" w:rsidRPr="00DB1FE9">
        <w:rPr>
          <w:szCs w:val="24"/>
        </w:rPr>
        <w:t xml:space="preserve">was higher than </w:t>
      </w:r>
      <w:r w:rsidR="00F172D6">
        <w:rPr>
          <w:szCs w:val="24"/>
        </w:rPr>
        <w:t xml:space="preserve">previously </w:t>
      </w:r>
      <w:r w:rsidR="00F172D6" w:rsidRPr="00DB1FE9">
        <w:rPr>
          <w:szCs w:val="24"/>
        </w:rPr>
        <w:t xml:space="preserve">estimated. This discrepancy was reflected in the </w:t>
      </w:r>
      <w:r w:rsidR="00F172D6">
        <w:rPr>
          <w:szCs w:val="24"/>
        </w:rPr>
        <w:t xml:space="preserve">actual </w:t>
      </w:r>
      <w:r w:rsidR="00F172D6" w:rsidRPr="00DB1FE9">
        <w:rPr>
          <w:szCs w:val="24"/>
        </w:rPr>
        <w:t>utili</w:t>
      </w:r>
      <w:r w:rsidR="00F172D6">
        <w:rPr>
          <w:szCs w:val="24"/>
        </w:rPr>
        <w:t>s</w:t>
      </w:r>
      <w:r w:rsidR="00F172D6" w:rsidRPr="00DB1FE9">
        <w:rPr>
          <w:szCs w:val="24"/>
        </w:rPr>
        <w:t>ation</w:t>
      </w:r>
      <w:r w:rsidR="00F172D6">
        <w:rPr>
          <w:szCs w:val="24"/>
        </w:rPr>
        <w:t xml:space="preserve"> of zanubrutinib</w:t>
      </w:r>
      <w:r w:rsidR="00165A9A">
        <w:rPr>
          <w:szCs w:val="24"/>
        </w:rPr>
        <w:t xml:space="preserve"> in the first two years of listing</w:t>
      </w:r>
      <w:r w:rsidR="00F172D6" w:rsidRPr="00DB1FE9">
        <w:rPr>
          <w:szCs w:val="24"/>
        </w:rPr>
        <w:t xml:space="preserve">, which exceeded the </w:t>
      </w:r>
      <w:r w:rsidR="00F172D6">
        <w:rPr>
          <w:szCs w:val="24"/>
        </w:rPr>
        <w:t xml:space="preserve">estimated </w:t>
      </w:r>
      <w:r w:rsidR="00F172D6" w:rsidRPr="00DB1FE9">
        <w:rPr>
          <w:szCs w:val="24"/>
        </w:rPr>
        <w:t>levels</w:t>
      </w:r>
      <w:r w:rsidR="00B017E7">
        <w:rPr>
          <w:szCs w:val="24"/>
        </w:rPr>
        <w:t xml:space="preserve"> (see </w:t>
      </w:r>
      <w:r w:rsidR="00B017E7" w:rsidRPr="0067709F">
        <w:rPr>
          <w:rFonts w:cstheme="minorHAnsi"/>
          <w:szCs w:val="24"/>
        </w:rPr>
        <w:fldChar w:fldCharType="begin" w:fldLock="1"/>
      </w:r>
      <w:r w:rsidR="00B017E7" w:rsidRPr="0067709F">
        <w:rPr>
          <w:rFonts w:cstheme="minorHAnsi"/>
          <w:szCs w:val="24"/>
        </w:rPr>
        <w:instrText xml:space="preserve"> REF _Ref159850636 \h  \* MERGEFORMAT </w:instrText>
      </w:r>
      <w:r w:rsidR="00B017E7" w:rsidRPr="0067709F">
        <w:rPr>
          <w:rFonts w:cstheme="minorHAnsi"/>
          <w:szCs w:val="24"/>
        </w:rPr>
      </w:r>
      <w:r w:rsidR="00B017E7" w:rsidRPr="0067709F">
        <w:rPr>
          <w:rFonts w:cstheme="minorHAnsi"/>
          <w:szCs w:val="24"/>
        </w:rPr>
        <w:fldChar w:fldCharType="separate"/>
      </w:r>
      <w:r w:rsidR="00B31544" w:rsidRPr="00B31544">
        <w:rPr>
          <w:rFonts w:cstheme="minorHAnsi"/>
          <w:szCs w:val="24"/>
        </w:rPr>
        <w:t xml:space="preserve">Table </w:t>
      </w:r>
      <w:r w:rsidR="00B31544" w:rsidRPr="00B31544">
        <w:rPr>
          <w:rFonts w:cstheme="minorHAnsi"/>
          <w:noProof/>
          <w:szCs w:val="24"/>
        </w:rPr>
        <w:t>13</w:t>
      </w:r>
      <w:r w:rsidR="00B017E7" w:rsidRPr="0067709F">
        <w:rPr>
          <w:rFonts w:cstheme="minorHAnsi"/>
          <w:szCs w:val="24"/>
        </w:rPr>
        <w:fldChar w:fldCharType="end"/>
      </w:r>
      <w:r w:rsidR="00B017E7" w:rsidRPr="0067709F">
        <w:rPr>
          <w:rFonts w:cstheme="minorHAnsi"/>
          <w:szCs w:val="24"/>
        </w:rPr>
        <w:t>).</w:t>
      </w:r>
      <w:r w:rsidR="00A3660A">
        <w:rPr>
          <w:rFonts w:cstheme="minorHAnsi"/>
          <w:szCs w:val="24"/>
        </w:rPr>
        <w:t xml:space="preserve"> </w:t>
      </w:r>
      <w:r w:rsidR="00A3660A" w:rsidRPr="0091146A">
        <w:rPr>
          <w:rFonts w:cstheme="minorHAnsi"/>
          <w:szCs w:val="24"/>
        </w:rPr>
        <w:t xml:space="preserve">However, the evaluation considered that the submission did not sufficiently justify that the </w:t>
      </w:r>
      <w:r w:rsidR="00A3660A" w:rsidRPr="0091146A">
        <w:rPr>
          <w:rFonts w:cstheme="minorHAnsi"/>
          <w:szCs w:val="24"/>
        </w:rPr>
        <w:lastRenderedPageBreak/>
        <w:t xml:space="preserve">proposed cap increases were solely attributable to </w:t>
      </w:r>
      <w:r w:rsidR="003E704C" w:rsidRPr="0091146A">
        <w:rPr>
          <w:rFonts w:cstheme="minorHAnsi"/>
          <w:szCs w:val="24"/>
        </w:rPr>
        <w:t xml:space="preserve">a </w:t>
      </w:r>
      <w:r w:rsidR="00A3660A" w:rsidRPr="0091146A">
        <w:rPr>
          <w:rFonts w:cstheme="minorHAnsi"/>
          <w:szCs w:val="24"/>
        </w:rPr>
        <w:t xml:space="preserve">higher incidence and prevalence of WM than estimated, </w:t>
      </w:r>
      <w:r w:rsidR="003E704C" w:rsidRPr="0091146A">
        <w:rPr>
          <w:rFonts w:cstheme="minorHAnsi"/>
          <w:szCs w:val="24"/>
        </w:rPr>
        <w:t xml:space="preserve">as </w:t>
      </w:r>
      <w:r w:rsidR="00A3660A" w:rsidRPr="0091146A">
        <w:rPr>
          <w:rFonts w:cstheme="minorHAnsi"/>
          <w:szCs w:val="24"/>
        </w:rPr>
        <w:t>other factors might also contribute to exceeding the subsidisation caps.</w:t>
      </w:r>
      <w:r w:rsidR="003D1776">
        <w:rPr>
          <w:rFonts w:cstheme="minorHAnsi"/>
          <w:i/>
          <w:iCs/>
          <w:szCs w:val="24"/>
        </w:rPr>
        <w:t xml:space="preserve"> </w:t>
      </w:r>
      <w:r w:rsidR="0091146A" w:rsidRPr="00061FF2">
        <w:rPr>
          <w:rFonts w:cstheme="minorHAnsi"/>
          <w:szCs w:val="24"/>
        </w:rPr>
        <w:t>The pre-PBAC</w:t>
      </w:r>
      <w:r w:rsidR="00061FF2" w:rsidRPr="00061FF2">
        <w:rPr>
          <w:rFonts w:cstheme="minorHAnsi"/>
          <w:szCs w:val="24"/>
        </w:rPr>
        <w:t xml:space="preserve"> response</w:t>
      </w:r>
      <w:r w:rsidR="0091146A" w:rsidRPr="00061FF2">
        <w:rPr>
          <w:rFonts w:cstheme="minorHAnsi"/>
          <w:szCs w:val="24"/>
        </w:rPr>
        <w:t xml:space="preserve"> </w:t>
      </w:r>
      <w:r w:rsidR="00061FF2" w:rsidRPr="00061FF2">
        <w:rPr>
          <w:rFonts w:cstheme="minorHAnsi"/>
          <w:szCs w:val="24"/>
        </w:rPr>
        <w:t xml:space="preserve">maintained that </w:t>
      </w:r>
      <w:r w:rsidR="00237453">
        <w:rPr>
          <w:rFonts w:cstheme="minorHAnsi"/>
          <w:szCs w:val="24"/>
        </w:rPr>
        <w:t xml:space="preserve">the </w:t>
      </w:r>
      <w:r w:rsidR="00061FF2" w:rsidRPr="00061FF2">
        <w:rPr>
          <w:rFonts w:cstheme="minorHAnsi"/>
          <w:szCs w:val="24"/>
        </w:rPr>
        <w:t>higher</w:t>
      </w:r>
      <w:r w:rsidR="00061FF2">
        <w:rPr>
          <w:rFonts w:cstheme="minorHAnsi"/>
          <w:szCs w:val="24"/>
        </w:rPr>
        <w:t>-</w:t>
      </w:r>
      <w:r w:rsidR="00061FF2" w:rsidRPr="00061FF2">
        <w:rPr>
          <w:rFonts w:cstheme="minorHAnsi"/>
          <w:szCs w:val="24"/>
        </w:rPr>
        <w:t>than</w:t>
      </w:r>
      <w:r w:rsidR="00061FF2">
        <w:rPr>
          <w:rFonts w:cstheme="minorHAnsi"/>
          <w:szCs w:val="24"/>
        </w:rPr>
        <w:t>-</w:t>
      </w:r>
      <w:r w:rsidR="00061FF2" w:rsidRPr="00061FF2">
        <w:rPr>
          <w:rFonts w:cstheme="minorHAnsi"/>
          <w:szCs w:val="24"/>
        </w:rPr>
        <w:t xml:space="preserve">estimated </w:t>
      </w:r>
      <w:r w:rsidR="003D1776" w:rsidRPr="00061FF2">
        <w:rPr>
          <w:rFonts w:cstheme="minorHAnsi"/>
          <w:szCs w:val="24"/>
        </w:rPr>
        <w:t xml:space="preserve">incidence and prevalence </w:t>
      </w:r>
      <w:r w:rsidR="00061FF2">
        <w:rPr>
          <w:rFonts w:cstheme="minorHAnsi"/>
          <w:szCs w:val="24"/>
        </w:rPr>
        <w:t xml:space="preserve">are </w:t>
      </w:r>
      <w:r w:rsidR="003D1776" w:rsidRPr="00061FF2">
        <w:rPr>
          <w:rFonts w:cstheme="minorHAnsi"/>
          <w:szCs w:val="24"/>
        </w:rPr>
        <w:t xml:space="preserve">likely </w:t>
      </w:r>
      <w:r w:rsidR="00061FF2">
        <w:rPr>
          <w:rFonts w:cstheme="minorHAnsi"/>
          <w:szCs w:val="24"/>
        </w:rPr>
        <w:t xml:space="preserve">the key drivers of </w:t>
      </w:r>
      <w:r w:rsidR="00061FF2" w:rsidRPr="00061FF2">
        <w:rPr>
          <w:rFonts w:cstheme="minorHAnsi"/>
          <w:szCs w:val="24"/>
        </w:rPr>
        <w:t xml:space="preserve">the </w:t>
      </w:r>
      <w:r w:rsidR="00FC255F">
        <w:rPr>
          <w:rFonts w:cstheme="minorHAnsi"/>
          <w:szCs w:val="24"/>
        </w:rPr>
        <w:t>higher</w:t>
      </w:r>
      <w:r w:rsidR="008B3257">
        <w:rPr>
          <w:rFonts w:cstheme="minorHAnsi"/>
          <w:szCs w:val="24"/>
        </w:rPr>
        <w:t xml:space="preserve"> </w:t>
      </w:r>
      <w:r w:rsidR="00061FF2" w:rsidRPr="00061FF2">
        <w:rPr>
          <w:rFonts w:cstheme="minorHAnsi"/>
          <w:szCs w:val="24"/>
        </w:rPr>
        <w:t xml:space="preserve">utilisation of zanubrutinib observed since its listing. </w:t>
      </w:r>
    </w:p>
    <w:p w14:paraId="65FDD66C" w14:textId="6B72116A" w:rsidR="00422CDA" w:rsidRPr="00422CDA" w:rsidRDefault="009528BB" w:rsidP="00E70D8D">
      <w:pPr>
        <w:pStyle w:val="3Bodytext"/>
        <w:jc w:val="both"/>
        <w:rPr>
          <w:szCs w:val="24"/>
        </w:rPr>
      </w:pPr>
      <w:r w:rsidRPr="00422CDA">
        <w:rPr>
          <w:szCs w:val="24"/>
        </w:rPr>
        <w:t xml:space="preserve">The submission </w:t>
      </w:r>
      <w:r w:rsidR="0067709F" w:rsidRPr="00422CDA">
        <w:rPr>
          <w:szCs w:val="24"/>
        </w:rPr>
        <w:t xml:space="preserve">stated that </w:t>
      </w:r>
      <w:r w:rsidRPr="00422CDA">
        <w:rPr>
          <w:szCs w:val="24"/>
        </w:rPr>
        <w:t>the revised utilisation of $</w:t>
      </w:r>
      <w:r w:rsidR="00EF0871" w:rsidRPr="00EF0871">
        <w:rPr>
          <w:szCs w:val="24"/>
        </w:rPr>
        <w:t>10 million to &lt; $20 million</w:t>
      </w:r>
      <w:r w:rsidR="00EF0871" w:rsidRPr="00EF0871" w:rsidDel="00EF0871">
        <w:rPr>
          <w:szCs w:val="24"/>
        </w:rPr>
        <w:t xml:space="preserve"> </w:t>
      </w:r>
      <w:r w:rsidRPr="00422CDA">
        <w:rPr>
          <w:szCs w:val="24"/>
        </w:rPr>
        <w:t>in Year 2 is within 0.5% of the actual estimated utilisation of $</w:t>
      </w:r>
      <w:proofErr w:type="gramStart"/>
      <w:r w:rsidR="00E926B5" w:rsidRPr="00E42CD7">
        <w:rPr>
          <w:color w:val="000000"/>
          <w:w w:val="15"/>
          <w:szCs w:val="24"/>
          <w:shd w:val="solid" w:color="000000" w:fill="000000"/>
          <w:fitText w:val="-20" w:id="-893114100"/>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100"/>
          <w14:textFill>
            <w14:solidFill>
              <w14:srgbClr w14:val="000000">
                <w14:alpha w14:val="100000"/>
              </w14:srgbClr>
            </w14:solidFill>
          </w14:textFill>
        </w:rPr>
        <w:t>|</w:t>
      </w:r>
      <w:proofErr w:type="gramEnd"/>
      <w:r w:rsidR="00371031" w:rsidRPr="00371031">
        <w:rPr>
          <w:szCs w:val="24"/>
        </w:rPr>
        <w:t xml:space="preserve"> </w:t>
      </w:r>
      <w:r w:rsidR="00E926B5" w:rsidRPr="00E42CD7">
        <w:rPr>
          <w:color w:val="000000"/>
          <w:w w:val="15"/>
          <w:szCs w:val="24"/>
          <w:shd w:val="solid" w:color="000000" w:fill="000000"/>
          <w:fitText w:val="-20" w:id="-893114099"/>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099"/>
          <w14:textFill>
            <w14:solidFill>
              <w14:srgbClr w14:val="000000">
                <w14:alpha w14:val="100000"/>
              </w14:srgbClr>
            </w14:solidFill>
          </w14:textFill>
        </w:rPr>
        <w:t>|</w:t>
      </w:r>
      <w:r w:rsidRPr="00422CDA">
        <w:rPr>
          <w:szCs w:val="24"/>
        </w:rPr>
        <w:t xml:space="preserve"> (</w:t>
      </w:r>
      <w:r w:rsidR="0067709F" w:rsidRPr="00422CDA">
        <w:fldChar w:fldCharType="begin" w:fldLock="1"/>
      </w:r>
      <w:r w:rsidR="0067709F" w:rsidRPr="00422CDA">
        <w:rPr>
          <w:szCs w:val="24"/>
        </w:rPr>
        <w:instrText xml:space="preserve"> REF _Ref159850636 \h  \* MERGEFORMAT </w:instrText>
      </w:r>
      <w:r w:rsidR="0067709F" w:rsidRPr="00422CDA">
        <w:fldChar w:fldCharType="separate"/>
      </w:r>
      <w:r w:rsidR="00B31544" w:rsidRPr="00B31544">
        <w:rPr>
          <w:szCs w:val="24"/>
        </w:rPr>
        <w:t xml:space="preserve">Table </w:t>
      </w:r>
      <w:r w:rsidR="00B31544" w:rsidRPr="00B31544">
        <w:t>13</w:t>
      </w:r>
      <w:r w:rsidR="0067709F" w:rsidRPr="00422CDA">
        <w:fldChar w:fldCharType="end"/>
      </w:r>
      <w:r w:rsidRPr="00422CDA">
        <w:rPr>
          <w:szCs w:val="24"/>
        </w:rPr>
        <w:t>)</w:t>
      </w:r>
      <w:r w:rsidR="0067709F" w:rsidRPr="00422CDA">
        <w:rPr>
          <w:szCs w:val="24"/>
        </w:rPr>
        <w:t>.</w:t>
      </w:r>
      <w:r w:rsidR="00AB61D1" w:rsidRPr="00422CDA">
        <w:rPr>
          <w:szCs w:val="24"/>
        </w:rPr>
        <w:t xml:space="preserve"> </w:t>
      </w:r>
      <w:r w:rsidR="0067709F" w:rsidRPr="00422CDA">
        <w:rPr>
          <w:szCs w:val="24"/>
        </w:rPr>
        <w:t>However,</w:t>
      </w:r>
      <w:r w:rsidR="00AB61D1" w:rsidRPr="00422CDA">
        <w:rPr>
          <w:szCs w:val="24"/>
        </w:rPr>
        <w:t xml:space="preserve"> the estimated utilisation of $</w:t>
      </w:r>
      <w:r w:rsidR="00EF0871" w:rsidRPr="00EF0871">
        <w:rPr>
          <w:szCs w:val="24"/>
        </w:rPr>
        <w:t>10 million to &lt; $20 million</w:t>
      </w:r>
      <w:r w:rsidR="00EF0871" w:rsidRPr="00EF0871" w:rsidDel="00EF0871">
        <w:rPr>
          <w:szCs w:val="24"/>
        </w:rPr>
        <w:t xml:space="preserve"> </w:t>
      </w:r>
      <w:r w:rsidR="00AB61D1" w:rsidRPr="00422CDA">
        <w:rPr>
          <w:szCs w:val="24"/>
        </w:rPr>
        <w:t xml:space="preserve">was higher than the actual Commonwealth payment of </w:t>
      </w:r>
      <w:r w:rsidR="001A767F" w:rsidRPr="00422CDA">
        <w:rPr>
          <w:szCs w:val="24"/>
        </w:rPr>
        <w:t>$</w:t>
      </w:r>
      <w:r w:rsidR="00E926B5" w:rsidRPr="00E42CD7">
        <w:rPr>
          <w:color w:val="000000"/>
          <w:w w:val="15"/>
          <w:szCs w:val="24"/>
          <w:shd w:val="solid" w:color="000000" w:fill="000000"/>
          <w:fitText w:val="-20" w:id="-893114098"/>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098"/>
          <w14:textFill>
            <w14:solidFill>
              <w14:srgbClr w14:val="000000">
                <w14:alpha w14:val="100000"/>
              </w14:srgbClr>
            </w14:solidFill>
          </w14:textFill>
        </w:rPr>
        <w:t>|</w:t>
      </w:r>
      <w:r w:rsidR="00371031" w:rsidRPr="00371031">
        <w:rPr>
          <w:szCs w:val="24"/>
        </w:rPr>
        <w:t xml:space="preserve"> </w:t>
      </w:r>
      <w:r w:rsidR="00E926B5" w:rsidRPr="00E42CD7">
        <w:rPr>
          <w:color w:val="000000"/>
          <w:w w:val="15"/>
          <w:szCs w:val="24"/>
          <w:shd w:val="solid" w:color="000000" w:fill="000000"/>
          <w:fitText w:val="-20" w:id="-893114097"/>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097"/>
          <w14:textFill>
            <w14:solidFill>
              <w14:srgbClr w14:val="000000">
                <w14:alpha w14:val="100000"/>
              </w14:srgbClr>
            </w14:solidFill>
          </w14:textFill>
        </w:rPr>
        <w:t>|</w:t>
      </w:r>
      <w:r w:rsidR="001A767F" w:rsidRPr="00422CDA">
        <w:rPr>
          <w:szCs w:val="24"/>
        </w:rPr>
        <w:t xml:space="preserve"> </w:t>
      </w:r>
      <w:r w:rsidR="004629DB" w:rsidRPr="00422CDA">
        <w:rPr>
          <w:szCs w:val="24"/>
        </w:rPr>
        <w:t>in Year 1</w:t>
      </w:r>
      <w:r w:rsidR="0067709F" w:rsidRPr="00422CDA">
        <w:rPr>
          <w:szCs w:val="24"/>
        </w:rPr>
        <w:t xml:space="preserve">. The submission claimed that this discrepancy was attributed to the model’s assumption that all </w:t>
      </w:r>
      <w:r w:rsidR="00AB61D1" w:rsidRPr="00422CDA">
        <w:rPr>
          <w:szCs w:val="24"/>
        </w:rPr>
        <w:t xml:space="preserve">prevalent patients would commence treatment </w:t>
      </w:r>
      <w:r w:rsidR="0067709F" w:rsidRPr="00422CDA">
        <w:rPr>
          <w:szCs w:val="24"/>
        </w:rPr>
        <w:t xml:space="preserve">with zanubrutinib </w:t>
      </w:r>
      <w:r w:rsidR="00AB61D1" w:rsidRPr="00422CDA">
        <w:rPr>
          <w:szCs w:val="24"/>
        </w:rPr>
        <w:t xml:space="preserve">on day 1 of Year 1. </w:t>
      </w:r>
    </w:p>
    <w:p w14:paraId="56082E98" w14:textId="3D799555" w:rsidR="00AB61D1" w:rsidRPr="00237453" w:rsidRDefault="00E82BCF" w:rsidP="00237453">
      <w:pPr>
        <w:pStyle w:val="Caption"/>
        <w:keepNext/>
        <w:keepLines/>
        <w:spacing w:after="0"/>
        <w:rPr>
          <w:rFonts w:ascii="Arial Narrow" w:hAnsi="Arial Narrow"/>
          <w:b/>
          <w:bCs/>
          <w:i w:val="0"/>
          <w:iCs w:val="0"/>
          <w:sz w:val="20"/>
          <w:szCs w:val="20"/>
        </w:rPr>
      </w:pPr>
      <w:bookmarkStart w:id="52" w:name="_Ref159850636"/>
      <w:bookmarkStart w:id="53" w:name="_Toc160780486"/>
      <w:r w:rsidRPr="00237453">
        <w:rPr>
          <w:rFonts w:ascii="Arial Narrow" w:hAnsi="Arial Narrow"/>
          <w:b/>
          <w:bCs/>
          <w:i w:val="0"/>
          <w:iCs w:val="0"/>
          <w:sz w:val="20"/>
          <w:szCs w:val="20"/>
        </w:rPr>
        <w:t xml:space="preserve">Table </w:t>
      </w:r>
      <w:r w:rsidRPr="00237453">
        <w:rPr>
          <w:rFonts w:ascii="Arial Narrow" w:hAnsi="Arial Narrow"/>
          <w:b/>
          <w:bCs/>
          <w:i w:val="0"/>
          <w:iCs w:val="0"/>
          <w:sz w:val="20"/>
          <w:szCs w:val="20"/>
        </w:rPr>
        <w:fldChar w:fldCharType="begin" w:fldLock="1"/>
      </w:r>
      <w:r w:rsidRPr="00237453">
        <w:rPr>
          <w:rFonts w:ascii="Arial Narrow" w:hAnsi="Arial Narrow"/>
          <w:b/>
          <w:bCs/>
          <w:i w:val="0"/>
          <w:iCs w:val="0"/>
          <w:sz w:val="20"/>
          <w:szCs w:val="20"/>
        </w:rPr>
        <w:instrText xml:space="preserve"> SEQ Table \* ARABIC </w:instrText>
      </w:r>
      <w:r w:rsidRPr="00237453">
        <w:rPr>
          <w:rFonts w:ascii="Arial Narrow" w:hAnsi="Arial Narrow"/>
          <w:b/>
          <w:bCs/>
          <w:i w:val="0"/>
          <w:iCs w:val="0"/>
          <w:sz w:val="20"/>
          <w:szCs w:val="20"/>
        </w:rPr>
        <w:fldChar w:fldCharType="separate"/>
      </w:r>
      <w:r w:rsidR="00D05088" w:rsidRPr="00237453">
        <w:rPr>
          <w:rFonts w:ascii="Arial Narrow" w:hAnsi="Arial Narrow"/>
          <w:b/>
          <w:bCs/>
          <w:i w:val="0"/>
          <w:iCs w:val="0"/>
          <w:noProof/>
          <w:sz w:val="20"/>
          <w:szCs w:val="20"/>
        </w:rPr>
        <w:t>13</w:t>
      </w:r>
      <w:r w:rsidRPr="00237453">
        <w:rPr>
          <w:rFonts w:ascii="Arial Narrow" w:hAnsi="Arial Narrow"/>
          <w:b/>
          <w:bCs/>
          <w:i w:val="0"/>
          <w:iCs w:val="0"/>
          <w:sz w:val="20"/>
          <w:szCs w:val="20"/>
        </w:rPr>
        <w:fldChar w:fldCharType="end"/>
      </w:r>
      <w:bookmarkEnd w:id="52"/>
      <w:r w:rsidR="00AB61D1" w:rsidRPr="00237453">
        <w:rPr>
          <w:rFonts w:ascii="Arial Narrow" w:hAnsi="Arial Narrow"/>
          <w:b/>
          <w:bCs/>
          <w:i w:val="0"/>
          <w:iCs w:val="0"/>
          <w:sz w:val="20"/>
          <w:szCs w:val="20"/>
        </w:rPr>
        <w:t xml:space="preserve">: </w:t>
      </w:r>
      <w:r w:rsidR="00070522" w:rsidRPr="00237453">
        <w:rPr>
          <w:rFonts w:ascii="Arial Narrow" w:hAnsi="Arial Narrow"/>
          <w:b/>
          <w:bCs/>
          <w:i w:val="0"/>
          <w:iCs w:val="0"/>
          <w:sz w:val="20"/>
          <w:szCs w:val="20"/>
        </w:rPr>
        <w:t xml:space="preserve">Summary </w:t>
      </w:r>
      <w:r w:rsidR="00AB61D1" w:rsidRPr="00237453">
        <w:rPr>
          <w:rFonts w:ascii="Arial Narrow" w:hAnsi="Arial Narrow"/>
          <w:b/>
          <w:bCs/>
          <w:i w:val="0"/>
          <w:iCs w:val="0"/>
          <w:sz w:val="20"/>
          <w:szCs w:val="20"/>
        </w:rPr>
        <w:t xml:space="preserve">of zanubrutinib RSA caps, </w:t>
      </w:r>
      <w:r w:rsidR="00650ABF">
        <w:rPr>
          <w:rFonts w:ascii="Arial Narrow" w:hAnsi="Arial Narrow"/>
          <w:b/>
          <w:bCs/>
          <w:i w:val="0"/>
          <w:iCs w:val="0"/>
          <w:sz w:val="20"/>
          <w:szCs w:val="20"/>
        </w:rPr>
        <w:t>C</w:t>
      </w:r>
      <w:r w:rsidR="00AB61D1" w:rsidRPr="00237453">
        <w:rPr>
          <w:rFonts w:ascii="Arial Narrow" w:hAnsi="Arial Narrow"/>
          <w:b/>
          <w:bCs/>
          <w:i w:val="0"/>
          <w:iCs w:val="0"/>
          <w:sz w:val="20"/>
          <w:szCs w:val="20"/>
        </w:rPr>
        <w:t xml:space="preserve">ommonwealth </w:t>
      </w:r>
      <w:r w:rsidR="00070522" w:rsidRPr="00237453">
        <w:rPr>
          <w:rFonts w:ascii="Arial Narrow" w:hAnsi="Arial Narrow"/>
          <w:b/>
          <w:bCs/>
          <w:i w:val="0"/>
          <w:iCs w:val="0"/>
          <w:sz w:val="20"/>
          <w:szCs w:val="20"/>
        </w:rPr>
        <w:t>p</w:t>
      </w:r>
      <w:r w:rsidR="00AB61D1" w:rsidRPr="00237453">
        <w:rPr>
          <w:rFonts w:ascii="Arial Narrow" w:hAnsi="Arial Narrow"/>
          <w:b/>
          <w:bCs/>
          <w:i w:val="0"/>
          <w:iCs w:val="0"/>
          <w:sz w:val="20"/>
          <w:szCs w:val="20"/>
        </w:rPr>
        <w:t>ayment</w:t>
      </w:r>
      <w:r w:rsidR="00070522" w:rsidRPr="00237453">
        <w:rPr>
          <w:rFonts w:ascii="Arial Narrow" w:hAnsi="Arial Narrow"/>
          <w:b/>
          <w:bCs/>
          <w:i w:val="0"/>
          <w:iCs w:val="0"/>
          <w:sz w:val="20"/>
          <w:szCs w:val="20"/>
        </w:rPr>
        <w:t xml:space="preserve"> vs</w:t>
      </w:r>
      <w:r w:rsidR="00AB61D1" w:rsidRPr="00237453">
        <w:rPr>
          <w:rFonts w:ascii="Arial Narrow" w:hAnsi="Arial Narrow"/>
          <w:b/>
          <w:bCs/>
          <w:i w:val="0"/>
          <w:iCs w:val="0"/>
          <w:sz w:val="20"/>
          <w:szCs w:val="20"/>
        </w:rPr>
        <w:t xml:space="preserve"> updated </w:t>
      </w:r>
      <w:bookmarkEnd w:id="53"/>
      <w:r w:rsidR="00070522" w:rsidRPr="00237453">
        <w:rPr>
          <w:rFonts w:ascii="Arial Narrow" w:hAnsi="Arial Narrow"/>
          <w:b/>
          <w:bCs/>
          <w:i w:val="0"/>
          <w:iCs w:val="0"/>
          <w:sz w:val="20"/>
          <w:szCs w:val="20"/>
        </w:rPr>
        <w:t>financial impact</w:t>
      </w:r>
    </w:p>
    <w:tbl>
      <w:tblPr>
        <w:tblStyle w:val="Submissionstandard1"/>
        <w:tblW w:w="5000" w:type="pct"/>
        <w:tblInd w:w="0" w:type="dxa"/>
        <w:tblLook w:val="04A0" w:firstRow="1" w:lastRow="0" w:firstColumn="1" w:lastColumn="0" w:noHBand="0" w:noVBand="1"/>
        <w:tblCaption w:val="Table 13: Summary of zanubrutinib RSA caps, Commonwealth payment vs updated financial impact"/>
        <w:tblDescription w:val="Table 13: Summary of zanubrutinib RSA caps, Commonwealth payment vs updated financial impact"/>
      </w:tblPr>
      <w:tblGrid>
        <w:gridCol w:w="664"/>
        <w:gridCol w:w="2088"/>
        <w:gridCol w:w="2088"/>
        <w:gridCol w:w="2088"/>
        <w:gridCol w:w="2088"/>
      </w:tblGrid>
      <w:tr w:rsidR="002552AC" w:rsidRPr="002552AC" w14:paraId="2A1FB763" w14:textId="77777777" w:rsidTr="005550A5">
        <w:trPr>
          <w:cnfStyle w:val="100000000000" w:firstRow="1" w:lastRow="0" w:firstColumn="0" w:lastColumn="0" w:oddVBand="0" w:evenVBand="0" w:oddHBand="0" w:evenHBand="0" w:firstRowFirstColumn="0" w:firstRowLastColumn="0" w:lastRowFirstColumn="0" w:lastRowLastColumn="0"/>
          <w:trHeight w:val="283"/>
        </w:trPr>
        <w:tc>
          <w:tcPr>
            <w:tcW w:w="368" w:type="pct"/>
            <w:shd w:val="clear" w:color="auto" w:fill="auto"/>
            <w:noWrap/>
            <w:vAlign w:val="center"/>
            <w:hideMark/>
          </w:tcPr>
          <w:p w14:paraId="12F06047" w14:textId="77777777" w:rsidR="002552AC" w:rsidRPr="002552AC" w:rsidRDefault="002552AC"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eastAsia="Times New Roman" w:hAnsi="Arial Narrow" w:cstheme="minorHAnsi"/>
                <w:bCs/>
                <w:color w:val="000000"/>
                <w:sz w:val="20"/>
                <w:szCs w:val="20"/>
                <w:lang w:val="en-AU" w:bidi="ar-SA"/>
              </w:rPr>
              <w:t>Year</w:t>
            </w:r>
          </w:p>
        </w:tc>
        <w:tc>
          <w:tcPr>
            <w:tcW w:w="1158" w:type="pct"/>
            <w:shd w:val="clear" w:color="auto" w:fill="auto"/>
            <w:vAlign w:val="center"/>
          </w:tcPr>
          <w:p w14:paraId="2AAA3C37" w14:textId="0EB1D27D" w:rsidR="002552AC" w:rsidRPr="002552AC" w:rsidRDefault="002552AC"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hAnsi="Arial Narrow"/>
                <w:sz w:val="20"/>
                <w:szCs w:val="20"/>
              </w:rPr>
              <w:t>Date range</w:t>
            </w:r>
          </w:p>
        </w:tc>
        <w:tc>
          <w:tcPr>
            <w:tcW w:w="1158" w:type="pct"/>
            <w:shd w:val="clear" w:color="auto" w:fill="auto"/>
            <w:vAlign w:val="center"/>
          </w:tcPr>
          <w:p w14:paraId="5FD4DB33" w14:textId="44D9CE62" w:rsidR="002552AC" w:rsidRPr="002552AC" w:rsidRDefault="002552AC"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Pr>
                <w:rFonts w:ascii="Arial Narrow" w:hAnsi="Arial Narrow"/>
                <w:sz w:val="20"/>
                <w:szCs w:val="20"/>
              </w:rPr>
              <w:t xml:space="preserve">Current </w:t>
            </w:r>
            <w:r w:rsidR="00070522">
              <w:rPr>
                <w:rFonts w:ascii="Arial Narrow" w:hAnsi="Arial Narrow"/>
                <w:sz w:val="20"/>
                <w:szCs w:val="20"/>
              </w:rPr>
              <w:t>RSA s</w:t>
            </w:r>
            <w:r w:rsidR="00070522" w:rsidRPr="002552AC">
              <w:rPr>
                <w:rFonts w:ascii="Arial Narrow" w:hAnsi="Arial Narrow"/>
                <w:sz w:val="20"/>
                <w:szCs w:val="20"/>
              </w:rPr>
              <w:t>ubsidi</w:t>
            </w:r>
            <w:r w:rsidR="00070522">
              <w:rPr>
                <w:rFonts w:ascii="Arial Narrow" w:hAnsi="Arial Narrow"/>
                <w:sz w:val="20"/>
                <w:szCs w:val="20"/>
              </w:rPr>
              <w:t>s</w:t>
            </w:r>
            <w:r w:rsidR="00070522" w:rsidRPr="002552AC">
              <w:rPr>
                <w:rFonts w:ascii="Arial Narrow" w:hAnsi="Arial Narrow"/>
                <w:sz w:val="20"/>
                <w:szCs w:val="20"/>
              </w:rPr>
              <w:t>ation</w:t>
            </w:r>
            <w:r w:rsidRPr="002552AC">
              <w:rPr>
                <w:rFonts w:ascii="Arial Narrow" w:hAnsi="Arial Narrow"/>
                <w:sz w:val="20"/>
                <w:szCs w:val="20"/>
              </w:rPr>
              <w:t xml:space="preserve"> Cap</w:t>
            </w:r>
          </w:p>
        </w:tc>
        <w:tc>
          <w:tcPr>
            <w:tcW w:w="1158" w:type="pct"/>
            <w:shd w:val="clear" w:color="auto" w:fill="auto"/>
            <w:vAlign w:val="center"/>
          </w:tcPr>
          <w:p w14:paraId="03EA2FD6" w14:textId="67E87341" w:rsidR="002552AC" w:rsidRPr="002552AC" w:rsidRDefault="002552AC"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hAnsi="Arial Narrow"/>
                <w:sz w:val="20"/>
                <w:szCs w:val="20"/>
              </w:rPr>
              <w:t xml:space="preserve">Commonwealth </w:t>
            </w:r>
            <w:r w:rsidR="00070522">
              <w:rPr>
                <w:rFonts w:ascii="Arial Narrow" w:hAnsi="Arial Narrow"/>
                <w:sz w:val="20"/>
                <w:szCs w:val="20"/>
              </w:rPr>
              <w:t>p</w:t>
            </w:r>
            <w:r w:rsidRPr="002552AC">
              <w:rPr>
                <w:rFonts w:ascii="Arial Narrow" w:hAnsi="Arial Narrow"/>
                <w:sz w:val="20"/>
                <w:szCs w:val="20"/>
              </w:rPr>
              <w:t>ayment</w:t>
            </w:r>
            <w:r w:rsidR="00070522" w:rsidRPr="00070522">
              <w:rPr>
                <w:rFonts w:ascii="Arial Narrow" w:hAnsi="Arial Narrow"/>
                <w:b w:val="0"/>
                <w:bCs/>
                <w:sz w:val="20"/>
                <w:szCs w:val="20"/>
                <w:vertAlign w:val="superscript"/>
              </w:rPr>
              <w:t>a</w:t>
            </w:r>
          </w:p>
        </w:tc>
        <w:tc>
          <w:tcPr>
            <w:tcW w:w="1158" w:type="pct"/>
            <w:shd w:val="clear" w:color="auto" w:fill="auto"/>
            <w:vAlign w:val="center"/>
          </w:tcPr>
          <w:p w14:paraId="4A39E555" w14:textId="7BF848EA" w:rsidR="002552AC" w:rsidRPr="002552AC" w:rsidRDefault="002552AC"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eastAsia="Times New Roman" w:hAnsi="Arial Narrow" w:cstheme="minorHAnsi"/>
                <w:bCs/>
                <w:color w:val="000000"/>
                <w:sz w:val="20"/>
                <w:szCs w:val="20"/>
                <w:lang w:val="en-AU" w:bidi="ar-SA"/>
              </w:rPr>
              <w:t xml:space="preserve">Estimated </w:t>
            </w:r>
            <w:r w:rsidR="004629DB">
              <w:rPr>
                <w:rFonts w:ascii="Arial Narrow" w:eastAsia="Times New Roman" w:hAnsi="Arial Narrow" w:cstheme="minorHAnsi"/>
                <w:bCs/>
                <w:color w:val="000000"/>
                <w:sz w:val="20"/>
                <w:szCs w:val="20"/>
                <w:lang w:val="en-AU" w:bidi="ar-SA"/>
              </w:rPr>
              <w:t>utilisation</w:t>
            </w:r>
            <w:r w:rsidR="00070522" w:rsidRPr="00070522">
              <w:rPr>
                <w:rFonts w:ascii="Arial Narrow" w:eastAsia="Times New Roman" w:hAnsi="Arial Narrow" w:cstheme="minorHAnsi"/>
                <w:b w:val="0"/>
                <w:color w:val="000000"/>
                <w:sz w:val="20"/>
                <w:szCs w:val="20"/>
                <w:vertAlign w:val="superscript"/>
                <w:lang w:val="en-AU" w:bidi="ar-SA"/>
              </w:rPr>
              <w:t>b</w:t>
            </w:r>
          </w:p>
        </w:tc>
      </w:tr>
      <w:tr w:rsidR="002552AC" w:rsidRPr="002552AC" w14:paraId="2E1F678B" w14:textId="77777777" w:rsidTr="005550A5">
        <w:trPr>
          <w:trHeight w:val="283"/>
        </w:trPr>
        <w:tc>
          <w:tcPr>
            <w:tcW w:w="368" w:type="pct"/>
            <w:shd w:val="clear" w:color="auto" w:fill="auto"/>
            <w:noWrap/>
            <w:vAlign w:val="center"/>
            <w:hideMark/>
          </w:tcPr>
          <w:p w14:paraId="1DCB0BB6" w14:textId="77777777" w:rsidR="00AB61D1" w:rsidRPr="002552AC" w:rsidRDefault="00AB61D1"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eastAsia="Times New Roman" w:hAnsi="Arial Narrow" w:cstheme="minorHAnsi"/>
                <w:bCs/>
                <w:color w:val="000000"/>
                <w:sz w:val="20"/>
                <w:szCs w:val="20"/>
                <w:lang w:val="en-AU" w:bidi="ar-SA"/>
              </w:rPr>
              <w:t>1</w:t>
            </w:r>
          </w:p>
        </w:tc>
        <w:tc>
          <w:tcPr>
            <w:tcW w:w="1158" w:type="pct"/>
            <w:shd w:val="clear" w:color="auto" w:fill="auto"/>
            <w:vAlign w:val="center"/>
          </w:tcPr>
          <w:p w14:paraId="118D082E" w14:textId="77777777" w:rsidR="00AB61D1" w:rsidRPr="002552AC" w:rsidRDefault="00AB61D1"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eastAsia="Times New Roman" w:hAnsi="Arial Narrow" w:cstheme="minorHAnsi"/>
                <w:bCs/>
                <w:color w:val="000000"/>
                <w:sz w:val="20"/>
                <w:szCs w:val="20"/>
                <w:lang w:val="en-AU" w:bidi="ar-SA"/>
              </w:rPr>
              <w:t>July 2022 to June 2023</w:t>
            </w:r>
          </w:p>
        </w:tc>
        <w:tc>
          <w:tcPr>
            <w:tcW w:w="1158" w:type="pct"/>
            <w:shd w:val="clear" w:color="auto" w:fill="auto"/>
            <w:vAlign w:val="center"/>
          </w:tcPr>
          <w:p w14:paraId="6A7F95FD" w14:textId="007FFA2C" w:rsidR="00AB61D1" w:rsidRPr="0013688B" w:rsidRDefault="00AB61D1" w:rsidP="005550A5">
            <w:pPr>
              <w:keepNext/>
              <w:keepLines/>
              <w:suppressLineNumbers/>
              <w:suppressAutoHyphens/>
              <w:jc w:val="center"/>
              <w:rPr>
                <w:rFonts w:ascii="Arial Narrow" w:eastAsia="Times New Roman" w:hAnsi="Arial Narrow" w:cstheme="minorHAnsi"/>
                <w:bCs/>
                <w:color w:val="000000"/>
                <w:sz w:val="20"/>
                <w:szCs w:val="20"/>
                <w:highlight w:val="lightGray"/>
                <w:lang w:val="en-AU" w:bidi="ar-SA"/>
              </w:rPr>
            </w:pPr>
            <w:r w:rsidRPr="001A767F">
              <w:rPr>
                <w:rFonts w:ascii="Arial Narrow" w:hAnsi="Arial Narrow" w:cstheme="minorHAnsi"/>
                <w:bCs/>
                <w:color w:val="000000"/>
                <w:sz w:val="20"/>
                <w:szCs w:val="20"/>
              </w:rPr>
              <w:t>$</w:t>
            </w:r>
            <w:r w:rsidR="00E926B5" w:rsidRPr="00E926B5">
              <w:rPr>
                <w:rFonts w:ascii="Arial Narrow" w:hAnsi="Arial Narrow" w:cstheme="minorHAnsi"/>
                <w:bCs/>
                <w:color w:val="000000"/>
                <w:sz w:val="20"/>
                <w:szCs w:val="20"/>
                <w:shd w:val="solid" w:color="000000" w:fill="000000"/>
                <w14:textFill>
                  <w14:solidFill>
                    <w14:srgbClr w14:val="000000">
                      <w14:alpha w14:val="100000"/>
                    </w14:srgbClr>
                  </w14:solidFill>
                </w14:textFill>
              </w:rPr>
              <w:t>|</w:t>
            </w:r>
          </w:p>
        </w:tc>
        <w:tc>
          <w:tcPr>
            <w:tcW w:w="1158" w:type="pct"/>
            <w:shd w:val="clear" w:color="auto" w:fill="auto"/>
            <w:vAlign w:val="center"/>
          </w:tcPr>
          <w:p w14:paraId="3BA9FD7A" w14:textId="35F6662B" w:rsidR="00AB61D1" w:rsidRPr="0013688B" w:rsidRDefault="00AB61D1" w:rsidP="005550A5">
            <w:pPr>
              <w:keepNext/>
              <w:keepLines/>
              <w:suppressLineNumbers/>
              <w:suppressAutoHyphens/>
              <w:jc w:val="center"/>
              <w:rPr>
                <w:rFonts w:ascii="Arial Narrow" w:eastAsia="Times New Roman" w:hAnsi="Arial Narrow" w:cstheme="minorHAnsi"/>
                <w:bCs/>
                <w:color w:val="000000"/>
                <w:sz w:val="20"/>
                <w:szCs w:val="20"/>
                <w:highlight w:val="lightGray"/>
                <w:lang w:val="en-AU" w:bidi="ar-SA"/>
              </w:rPr>
            </w:pPr>
            <w:r w:rsidRPr="001A767F">
              <w:rPr>
                <w:rFonts w:ascii="Arial Narrow" w:hAnsi="Arial Narrow" w:cstheme="minorHAnsi"/>
                <w:bCs/>
                <w:color w:val="000000"/>
                <w:sz w:val="20"/>
                <w:szCs w:val="20"/>
              </w:rPr>
              <w:t>$</w:t>
            </w:r>
            <w:r w:rsidR="00E926B5" w:rsidRPr="00E926B5">
              <w:rPr>
                <w:rFonts w:ascii="Arial Narrow" w:hAnsi="Arial Narrow" w:cstheme="minorHAnsi"/>
                <w:bCs/>
                <w:color w:val="000000"/>
                <w:sz w:val="20"/>
                <w:szCs w:val="20"/>
                <w:shd w:val="solid" w:color="000000" w:fill="000000"/>
                <w14:textFill>
                  <w14:solidFill>
                    <w14:srgbClr w14:val="000000">
                      <w14:alpha w14:val="100000"/>
                    </w14:srgbClr>
                  </w14:solidFill>
                </w14:textFill>
              </w:rPr>
              <w:t>|</w:t>
            </w:r>
            <w:r w:rsidR="001A767F" w:rsidRPr="001A767F">
              <w:rPr>
                <w:rFonts w:ascii="Arial Narrow" w:hAnsi="Arial Narrow" w:cstheme="minorHAnsi"/>
                <w:bCs/>
                <w:color w:val="000000"/>
                <w:sz w:val="20"/>
                <w:szCs w:val="20"/>
              </w:rPr>
              <w:t xml:space="preserve"> </w:t>
            </w:r>
            <w:r w:rsidR="00070522" w:rsidRPr="001A767F">
              <w:rPr>
                <w:rFonts w:ascii="Arial Narrow" w:hAnsi="Arial Narrow" w:cstheme="minorHAnsi"/>
                <w:bCs/>
                <w:color w:val="000000"/>
                <w:sz w:val="20"/>
                <w:szCs w:val="20"/>
              </w:rPr>
              <w:t>(</w:t>
            </w:r>
            <w:r w:rsidR="00070522" w:rsidRPr="00D64406">
              <w:rPr>
                <w:rFonts w:ascii="Arial Narrow" w:eastAsia="Times New Roman" w:hAnsi="Arial Narrow" w:cstheme="minorHAnsi"/>
                <w:bCs/>
                <w:color w:val="000000"/>
                <w:sz w:val="20"/>
                <w:szCs w:val="20"/>
                <w:lang w:val="en-AU" w:bidi="ar-SA"/>
              </w:rPr>
              <w:t>actual)</w:t>
            </w:r>
          </w:p>
        </w:tc>
        <w:tc>
          <w:tcPr>
            <w:tcW w:w="1158" w:type="pct"/>
            <w:shd w:val="clear" w:color="auto" w:fill="auto"/>
            <w:vAlign w:val="center"/>
          </w:tcPr>
          <w:p w14:paraId="036E00C0" w14:textId="4EC3CA56" w:rsidR="00AB61D1" w:rsidRPr="0013688B" w:rsidRDefault="00E926B5" w:rsidP="005550A5">
            <w:pPr>
              <w:keepNext/>
              <w:keepLines/>
              <w:suppressLineNumbers/>
              <w:suppressAutoHyphens/>
              <w:jc w:val="center"/>
              <w:rPr>
                <w:rFonts w:ascii="Arial Narrow" w:eastAsia="Times New Roman" w:hAnsi="Arial Narrow" w:cstheme="minorHAnsi"/>
                <w:bCs/>
                <w:color w:val="000000"/>
                <w:sz w:val="20"/>
                <w:szCs w:val="20"/>
                <w:highlight w:val="lightGray"/>
                <w:lang w:val="en-AU" w:bidi="ar-SA"/>
              </w:rPr>
            </w:pPr>
            <w:r w:rsidRPr="00E926B5">
              <w:rPr>
                <w:rFonts w:ascii="Arial Narrow" w:hAnsi="Arial Narrow" w:cstheme="minorHAnsi"/>
                <w:bCs/>
                <w:color w:val="000000"/>
                <w:sz w:val="20"/>
                <w:szCs w:val="20"/>
                <w:shd w:val="solid" w:color="000000" w:fill="000000"/>
                <w14:textFill>
                  <w14:solidFill>
                    <w14:srgbClr w14:val="000000">
                      <w14:alpha w14:val="100000"/>
                    </w14:srgbClr>
                  </w14:solidFill>
                </w14:textFill>
              </w:rPr>
              <w:t>|</w:t>
            </w:r>
            <w:r w:rsidR="001A767F">
              <w:rPr>
                <w:rFonts w:ascii="Arial Narrow" w:eastAsia="Times New Roman" w:hAnsi="Arial Narrow" w:cstheme="minorHAnsi"/>
                <w:bCs/>
                <w:color w:val="000000"/>
                <w:sz w:val="20"/>
                <w:szCs w:val="20"/>
                <w:vertAlign w:val="superscript"/>
                <w:lang w:val="en-AU" w:bidi="ar-SA"/>
              </w:rPr>
              <w:t>1</w:t>
            </w:r>
          </w:p>
        </w:tc>
      </w:tr>
      <w:tr w:rsidR="002552AC" w:rsidRPr="002552AC" w14:paraId="7B68BA53" w14:textId="77777777" w:rsidTr="005550A5">
        <w:trPr>
          <w:trHeight w:val="283"/>
        </w:trPr>
        <w:tc>
          <w:tcPr>
            <w:tcW w:w="368" w:type="pct"/>
            <w:shd w:val="clear" w:color="auto" w:fill="auto"/>
            <w:noWrap/>
            <w:vAlign w:val="center"/>
            <w:hideMark/>
          </w:tcPr>
          <w:p w14:paraId="05D41644" w14:textId="77777777" w:rsidR="00AB61D1" w:rsidRPr="002552AC" w:rsidRDefault="00AB61D1"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eastAsia="Times New Roman" w:hAnsi="Arial Narrow" w:cstheme="minorHAnsi"/>
                <w:bCs/>
                <w:color w:val="000000"/>
                <w:sz w:val="20"/>
                <w:szCs w:val="20"/>
                <w:lang w:val="en-AU" w:bidi="ar-SA"/>
              </w:rPr>
              <w:t>2</w:t>
            </w:r>
          </w:p>
        </w:tc>
        <w:tc>
          <w:tcPr>
            <w:tcW w:w="1158" w:type="pct"/>
            <w:shd w:val="clear" w:color="auto" w:fill="auto"/>
            <w:vAlign w:val="center"/>
          </w:tcPr>
          <w:p w14:paraId="3466EF38" w14:textId="77777777" w:rsidR="00AB61D1" w:rsidRPr="002552AC" w:rsidRDefault="00AB61D1" w:rsidP="005550A5">
            <w:pPr>
              <w:keepNext/>
              <w:keepLines/>
              <w:suppressLineNumbers/>
              <w:suppressAutoHyphens/>
              <w:jc w:val="center"/>
              <w:rPr>
                <w:rFonts w:ascii="Arial Narrow" w:eastAsia="Times New Roman" w:hAnsi="Arial Narrow" w:cstheme="minorHAnsi"/>
                <w:bCs/>
                <w:color w:val="000000"/>
                <w:sz w:val="20"/>
                <w:szCs w:val="20"/>
                <w:lang w:val="en-AU" w:bidi="ar-SA"/>
              </w:rPr>
            </w:pPr>
            <w:r w:rsidRPr="002552AC">
              <w:rPr>
                <w:rFonts w:ascii="Arial Narrow" w:eastAsia="Times New Roman" w:hAnsi="Arial Narrow" w:cstheme="minorHAnsi"/>
                <w:bCs/>
                <w:color w:val="000000"/>
                <w:sz w:val="20"/>
                <w:szCs w:val="20"/>
                <w:lang w:val="en-AU" w:bidi="ar-SA"/>
              </w:rPr>
              <w:t>July 2023 to June 2024</w:t>
            </w:r>
          </w:p>
        </w:tc>
        <w:tc>
          <w:tcPr>
            <w:tcW w:w="1158" w:type="pct"/>
            <w:shd w:val="clear" w:color="auto" w:fill="auto"/>
            <w:vAlign w:val="center"/>
          </w:tcPr>
          <w:p w14:paraId="6BF3F9E1" w14:textId="7CA46F95" w:rsidR="00AB61D1" w:rsidRPr="0013688B" w:rsidRDefault="00AB61D1" w:rsidP="005550A5">
            <w:pPr>
              <w:keepNext/>
              <w:keepLines/>
              <w:suppressLineNumbers/>
              <w:suppressAutoHyphens/>
              <w:jc w:val="center"/>
              <w:rPr>
                <w:rFonts w:ascii="Arial Narrow" w:eastAsia="Times New Roman" w:hAnsi="Arial Narrow" w:cstheme="minorHAnsi"/>
                <w:bCs/>
                <w:color w:val="000000"/>
                <w:sz w:val="20"/>
                <w:szCs w:val="20"/>
                <w:highlight w:val="lightGray"/>
                <w:lang w:val="en-AU" w:bidi="ar-SA"/>
              </w:rPr>
            </w:pPr>
            <w:r w:rsidRPr="001A767F">
              <w:rPr>
                <w:rFonts w:ascii="Arial Narrow" w:hAnsi="Arial Narrow" w:cstheme="minorHAnsi"/>
                <w:bCs/>
                <w:color w:val="000000"/>
                <w:sz w:val="20"/>
                <w:szCs w:val="20"/>
              </w:rPr>
              <w:t>$</w:t>
            </w:r>
            <w:r w:rsidR="00E926B5" w:rsidRPr="00E926B5">
              <w:rPr>
                <w:rFonts w:ascii="Arial Narrow" w:hAnsi="Arial Narrow" w:cstheme="minorHAnsi"/>
                <w:bCs/>
                <w:color w:val="000000"/>
                <w:sz w:val="20"/>
                <w:szCs w:val="20"/>
                <w:shd w:val="solid" w:color="000000" w:fill="000000"/>
                <w14:textFill>
                  <w14:solidFill>
                    <w14:srgbClr w14:val="000000">
                      <w14:alpha w14:val="100000"/>
                    </w14:srgbClr>
                  </w14:solidFill>
                </w14:textFill>
              </w:rPr>
              <w:t>|</w:t>
            </w:r>
          </w:p>
        </w:tc>
        <w:tc>
          <w:tcPr>
            <w:tcW w:w="1158" w:type="pct"/>
            <w:shd w:val="clear" w:color="auto" w:fill="auto"/>
            <w:vAlign w:val="center"/>
          </w:tcPr>
          <w:p w14:paraId="09C611F8" w14:textId="0003F8D8" w:rsidR="00AB61D1" w:rsidRPr="0013688B" w:rsidRDefault="00AB61D1" w:rsidP="005550A5">
            <w:pPr>
              <w:keepNext/>
              <w:keepLines/>
              <w:suppressLineNumbers/>
              <w:suppressAutoHyphens/>
              <w:jc w:val="center"/>
              <w:rPr>
                <w:rFonts w:ascii="Arial Narrow" w:eastAsia="Times New Roman" w:hAnsi="Arial Narrow" w:cstheme="minorHAnsi"/>
                <w:bCs/>
                <w:color w:val="000000"/>
                <w:sz w:val="20"/>
                <w:szCs w:val="20"/>
                <w:highlight w:val="lightGray"/>
                <w:lang w:val="en-AU" w:bidi="ar-SA"/>
              </w:rPr>
            </w:pPr>
            <w:r w:rsidRPr="001A767F">
              <w:rPr>
                <w:rFonts w:ascii="Arial Narrow" w:hAnsi="Arial Narrow" w:cstheme="minorHAnsi"/>
                <w:bCs/>
                <w:color w:val="000000"/>
                <w:sz w:val="20"/>
                <w:szCs w:val="20"/>
              </w:rPr>
              <w:t>$</w:t>
            </w:r>
            <w:r w:rsidR="00E926B5" w:rsidRPr="00F567D8">
              <w:rPr>
                <w:rFonts w:ascii="Arial Narrow" w:hAnsi="Arial Narrow" w:cstheme="minorHAnsi" w:hint="eastAsia"/>
                <w:bCs/>
                <w:color w:val="000000"/>
                <w:w w:val="15"/>
                <w:sz w:val="20"/>
                <w:szCs w:val="20"/>
                <w:shd w:val="solid" w:color="000000" w:fill="000000"/>
                <w:fitText w:val="50" w:id="-893114096"/>
                <w14:textFill>
                  <w14:solidFill>
                    <w14:srgbClr w14:val="000000">
                      <w14:alpha w14:val="100000"/>
                    </w14:srgbClr>
                  </w14:solidFill>
                </w14:textFill>
              </w:rPr>
              <w:t xml:space="preserve">　</w:t>
            </w:r>
            <w:r w:rsidR="00E926B5" w:rsidRPr="00F567D8">
              <w:rPr>
                <w:rFonts w:ascii="Arial Narrow" w:hAnsi="Arial Narrow" w:cstheme="minorHAnsi"/>
                <w:bCs/>
                <w:color w:val="000000"/>
                <w:w w:val="15"/>
                <w:sz w:val="20"/>
                <w:szCs w:val="20"/>
                <w:shd w:val="solid" w:color="000000" w:fill="000000"/>
                <w:fitText w:val="50" w:id="-893114096"/>
                <w14:textFill>
                  <w14:solidFill>
                    <w14:srgbClr w14:val="000000">
                      <w14:alpha w14:val="100000"/>
                    </w14:srgbClr>
                  </w14:solidFill>
                </w14:textFill>
              </w:rPr>
              <w:t>|</w:t>
            </w:r>
            <w:r w:rsidR="00E926B5" w:rsidRPr="00F567D8">
              <w:rPr>
                <w:rFonts w:ascii="Arial Narrow" w:hAnsi="Arial Narrow" w:cstheme="minorHAnsi" w:hint="eastAsia"/>
                <w:bCs/>
                <w:color w:val="000000"/>
                <w:spacing w:val="-15"/>
                <w:w w:val="15"/>
                <w:sz w:val="20"/>
                <w:szCs w:val="20"/>
                <w:shd w:val="solid" w:color="000000" w:fill="000000"/>
                <w:fitText w:val="50" w:id="-893114096"/>
                <w14:textFill>
                  <w14:solidFill>
                    <w14:srgbClr w14:val="000000">
                      <w14:alpha w14:val="100000"/>
                    </w14:srgbClr>
                  </w14:solidFill>
                </w14:textFill>
              </w:rPr>
              <w:t xml:space="preserve">　</w:t>
            </w:r>
            <w:r w:rsidR="001A767F">
              <w:rPr>
                <w:rFonts w:ascii="Arial Narrow" w:hAnsi="Arial Narrow" w:cstheme="minorHAnsi"/>
                <w:bCs/>
                <w:color w:val="000000"/>
                <w:sz w:val="20"/>
                <w:szCs w:val="20"/>
              </w:rPr>
              <w:t xml:space="preserve"> </w:t>
            </w:r>
            <w:r w:rsidR="00070522" w:rsidRPr="00D64406">
              <w:rPr>
                <w:rFonts w:ascii="Arial Narrow" w:eastAsia="Times New Roman" w:hAnsi="Arial Narrow" w:cstheme="minorHAnsi"/>
                <w:bCs/>
                <w:color w:val="000000"/>
                <w:sz w:val="20"/>
                <w:szCs w:val="20"/>
                <w:lang w:val="en-AU" w:bidi="ar-SA"/>
              </w:rPr>
              <w:t>(estimate</w:t>
            </w:r>
            <w:r w:rsidR="00070522" w:rsidRPr="001A767F">
              <w:rPr>
                <w:rFonts w:ascii="Arial Narrow" w:hAnsi="Arial Narrow" w:cstheme="minorHAnsi"/>
                <w:bCs/>
                <w:color w:val="000000"/>
                <w:sz w:val="20"/>
                <w:szCs w:val="20"/>
              </w:rPr>
              <w:t>)</w:t>
            </w:r>
          </w:p>
        </w:tc>
        <w:tc>
          <w:tcPr>
            <w:tcW w:w="1158" w:type="pct"/>
            <w:shd w:val="clear" w:color="auto" w:fill="auto"/>
            <w:vAlign w:val="center"/>
          </w:tcPr>
          <w:p w14:paraId="0EAC19DC" w14:textId="6471D8EC" w:rsidR="00AB61D1" w:rsidRPr="00EB5775" w:rsidRDefault="00E926B5" w:rsidP="005550A5">
            <w:pPr>
              <w:keepNext/>
              <w:keepLines/>
              <w:suppressLineNumbers/>
              <w:suppressAutoHyphens/>
              <w:jc w:val="center"/>
              <w:rPr>
                <w:rFonts w:ascii="Arial Narrow" w:eastAsia="Times New Roman" w:hAnsi="Arial Narrow" w:cstheme="minorHAnsi"/>
                <w:bCs/>
                <w:color w:val="000000"/>
                <w:sz w:val="20"/>
                <w:szCs w:val="20"/>
                <w:highlight w:val="lightGray"/>
                <w:lang w:val="en-AU" w:bidi="ar-SA"/>
              </w:rPr>
            </w:pPr>
            <w:r w:rsidRPr="00E926B5">
              <w:rPr>
                <w:rFonts w:ascii="Arial Narrow" w:hAnsi="Arial Narrow" w:cstheme="minorHAnsi"/>
                <w:bCs/>
                <w:color w:val="000000"/>
                <w:sz w:val="20"/>
                <w:szCs w:val="20"/>
                <w:shd w:val="solid" w:color="000000" w:fill="000000"/>
                <w14:textFill>
                  <w14:solidFill>
                    <w14:srgbClr w14:val="000000">
                      <w14:alpha w14:val="100000"/>
                    </w14:srgbClr>
                  </w14:solidFill>
                </w14:textFill>
              </w:rPr>
              <w:t>|</w:t>
            </w:r>
            <w:r w:rsidR="001A767F">
              <w:rPr>
                <w:rFonts w:ascii="Arial Narrow" w:eastAsia="Times New Roman" w:hAnsi="Arial Narrow" w:cstheme="minorHAnsi"/>
                <w:bCs/>
                <w:color w:val="000000"/>
                <w:sz w:val="20"/>
                <w:szCs w:val="20"/>
                <w:vertAlign w:val="superscript"/>
                <w:lang w:val="en-AU" w:bidi="ar-SA"/>
              </w:rPr>
              <w:t>1</w:t>
            </w:r>
          </w:p>
        </w:tc>
      </w:tr>
    </w:tbl>
    <w:p w14:paraId="7BC10533" w14:textId="49292537" w:rsidR="00AB61D1" w:rsidRPr="00AB61D1" w:rsidRDefault="00AB61D1" w:rsidP="00C954A6">
      <w:pPr>
        <w:pStyle w:val="CaptionFootnote"/>
        <w:keepNext/>
        <w:keepLines/>
        <w:suppressLineNumbers/>
        <w:suppressAutoHyphens/>
        <w:spacing w:after="0"/>
        <w:rPr>
          <w:rFonts w:ascii="Arial Narrow" w:hAnsi="Arial Narrow"/>
          <w:color w:val="000000" w:themeColor="text1"/>
          <w:sz w:val="18"/>
          <w:szCs w:val="18"/>
        </w:rPr>
      </w:pPr>
      <w:r w:rsidRPr="00AB61D1">
        <w:rPr>
          <w:rFonts w:ascii="Arial Narrow" w:hAnsi="Arial Narrow"/>
          <w:color w:val="000000" w:themeColor="text1"/>
          <w:sz w:val="18"/>
          <w:szCs w:val="18"/>
        </w:rPr>
        <w:t xml:space="preserve">Source: </w:t>
      </w:r>
      <w:r>
        <w:rPr>
          <w:rFonts w:ascii="Arial Narrow" w:hAnsi="Arial Narrow"/>
          <w:color w:val="000000" w:themeColor="text1"/>
          <w:sz w:val="18"/>
          <w:szCs w:val="18"/>
        </w:rPr>
        <w:t>Table 3.1</w:t>
      </w:r>
      <w:r w:rsidR="00461B45">
        <w:rPr>
          <w:rFonts w:ascii="Arial Narrow" w:hAnsi="Arial Narrow"/>
          <w:color w:val="000000" w:themeColor="text1"/>
          <w:sz w:val="18"/>
          <w:szCs w:val="18"/>
        </w:rPr>
        <w:t>, p18</w:t>
      </w:r>
      <w:r>
        <w:rPr>
          <w:rFonts w:ascii="Arial Narrow" w:hAnsi="Arial Narrow"/>
          <w:color w:val="000000" w:themeColor="text1"/>
          <w:sz w:val="18"/>
          <w:szCs w:val="18"/>
        </w:rPr>
        <w:t xml:space="preserve"> of the submission </w:t>
      </w:r>
    </w:p>
    <w:p w14:paraId="36F169E4" w14:textId="006D8483" w:rsidR="00AB61D1" w:rsidRPr="00070522" w:rsidRDefault="00070522" w:rsidP="00C954A6">
      <w:pPr>
        <w:pStyle w:val="CaptionFootnote"/>
        <w:keepNext/>
        <w:keepLines/>
        <w:suppressLineNumbers/>
        <w:suppressAutoHyphens/>
        <w:spacing w:after="120"/>
        <w:rPr>
          <w:rFonts w:ascii="Arial Narrow" w:hAnsi="Arial Narrow"/>
          <w:color w:val="000000" w:themeColor="text1"/>
          <w:sz w:val="18"/>
          <w:szCs w:val="18"/>
        </w:rPr>
      </w:pPr>
      <w:r w:rsidRPr="00070522">
        <w:rPr>
          <w:rFonts w:ascii="Arial Narrow" w:hAnsi="Arial Narrow"/>
          <w:color w:val="000000" w:themeColor="text1"/>
          <w:sz w:val="18"/>
          <w:szCs w:val="18"/>
          <w:vertAlign w:val="superscript"/>
        </w:rPr>
        <w:t>a</w:t>
      </w:r>
      <w:r w:rsidR="00AB61D1" w:rsidRPr="00AB61D1">
        <w:rPr>
          <w:rFonts w:ascii="Arial Narrow" w:hAnsi="Arial Narrow"/>
          <w:color w:val="000000" w:themeColor="text1"/>
          <w:sz w:val="18"/>
          <w:szCs w:val="18"/>
        </w:rPr>
        <w:t>.</w:t>
      </w:r>
      <w:r>
        <w:rPr>
          <w:rFonts w:ascii="Arial Narrow" w:hAnsi="Arial Narrow"/>
          <w:color w:val="000000" w:themeColor="text1"/>
          <w:sz w:val="18"/>
          <w:szCs w:val="18"/>
        </w:rPr>
        <w:t xml:space="preserve"> </w:t>
      </w:r>
      <w:proofErr w:type="gramStart"/>
      <w:r w:rsidRPr="00070522">
        <w:rPr>
          <w:rFonts w:ascii="Arial Narrow" w:hAnsi="Arial Narrow"/>
          <w:color w:val="000000" w:themeColor="text1"/>
          <w:sz w:val="18"/>
          <w:szCs w:val="18"/>
        </w:rPr>
        <w:t>see</w:t>
      </w:r>
      <w:proofErr w:type="gramEnd"/>
      <w:r w:rsidR="00AB61D1" w:rsidRPr="00070522">
        <w:rPr>
          <w:rFonts w:ascii="Arial Narrow" w:hAnsi="Arial Narrow"/>
          <w:color w:val="000000" w:themeColor="text1"/>
          <w:sz w:val="18"/>
          <w:szCs w:val="18"/>
        </w:rPr>
        <w:t xml:space="preserve"> </w:t>
      </w:r>
      <w:r w:rsidRPr="00070522">
        <w:rPr>
          <w:rFonts w:ascii="Arial Narrow" w:hAnsi="Arial Narrow"/>
          <w:color w:val="000000" w:themeColor="text1"/>
          <w:sz w:val="18"/>
          <w:szCs w:val="18"/>
        </w:rPr>
        <w:fldChar w:fldCharType="begin" w:fldLock="1"/>
      </w:r>
      <w:r w:rsidRPr="00070522">
        <w:rPr>
          <w:rFonts w:ascii="Arial Narrow" w:hAnsi="Arial Narrow"/>
          <w:color w:val="000000" w:themeColor="text1"/>
          <w:sz w:val="18"/>
          <w:szCs w:val="18"/>
        </w:rPr>
        <w:instrText xml:space="preserve"> REF _Ref158278855 \h  \* MERGEFORMAT </w:instrText>
      </w:r>
      <w:r w:rsidRPr="00070522">
        <w:rPr>
          <w:rFonts w:ascii="Arial Narrow" w:hAnsi="Arial Narrow"/>
          <w:color w:val="000000" w:themeColor="text1"/>
          <w:sz w:val="18"/>
          <w:szCs w:val="18"/>
        </w:rPr>
      </w:r>
      <w:r w:rsidRPr="00070522">
        <w:rPr>
          <w:rFonts w:ascii="Arial Narrow" w:hAnsi="Arial Narrow"/>
          <w:color w:val="000000" w:themeColor="text1"/>
          <w:sz w:val="18"/>
          <w:szCs w:val="18"/>
        </w:rPr>
        <w:fldChar w:fldCharType="separate"/>
      </w:r>
      <w:r w:rsidRPr="00070522">
        <w:rPr>
          <w:rFonts w:ascii="Arial Narrow" w:hAnsi="Arial Narrow"/>
          <w:sz w:val="18"/>
          <w:szCs w:val="18"/>
        </w:rPr>
        <w:t xml:space="preserve">Table </w:t>
      </w:r>
      <w:r w:rsidRPr="00070522">
        <w:rPr>
          <w:rFonts w:ascii="Arial Narrow" w:hAnsi="Arial Narrow"/>
          <w:i/>
          <w:iCs/>
          <w:noProof/>
          <w:sz w:val="18"/>
          <w:szCs w:val="18"/>
        </w:rPr>
        <w:t>3</w:t>
      </w:r>
      <w:r w:rsidRPr="00070522">
        <w:rPr>
          <w:rFonts w:ascii="Arial Narrow" w:hAnsi="Arial Narrow"/>
          <w:color w:val="000000" w:themeColor="text1"/>
          <w:sz w:val="18"/>
          <w:szCs w:val="18"/>
        </w:rPr>
        <w:fldChar w:fldCharType="end"/>
      </w:r>
      <w:r w:rsidRPr="00070522">
        <w:rPr>
          <w:rFonts w:ascii="Arial Narrow" w:hAnsi="Arial Narrow"/>
          <w:color w:val="000000" w:themeColor="text1"/>
          <w:sz w:val="18"/>
          <w:szCs w:val="18"/>
        </w:rPr>
        <w:t xml:space="preserve"> for more details </w:t>
      </w:r>
    </w:p>
    <w:p w14:paraId="75D4EB58" w14:textId="45E2573D" w:rsidR="00070522" w:rsidRDefault="00070522" w:rsidP="00C954A6">
      <w:pPr>
        <w:pStyle w:val="CaptionFootnote"/>
        <w:keepNext/>
        <w:keepLines/>
        <w:suppressLineNumbers/>
        <w:suppressAutoHyphens/>
        <w:spacing w:after="120"/>
        <w:rPr>
          <w:rFonts w:ascii="Arial Narrow" w:hAnsi="Arial Narrow"/>
          <w:color w:val="000000" w:themeColor="text1"/>
          <w:sz w:val="18"/>
          <w:szCs w:val="18"/>
        </w:rPr>
      </w:pPr>
      <w:r w:rsidRPr="00070522">
        <w:rPr>
          <w:rFonts w:ascii="Arial Narrow" w:hAnsi="Arial Narrow"/>
          <w:color w:val="000000" w:themeColor="text1"/>
          <w:sz w:val="18"/>
          <w:szCs w:val="18"/>
          <w:vertAlign w:val="superscript"/>
        </w:rPr>
        <w:t>b</w:t>
      </w:r>
      <w:r w:rsidR="00AB61D1" w:rsidRPr="00AB61D1">
        <w:rPr>
          <w:rFonts w:ascii="Arial Narrow" w:hAnsi="Arial Narrow"/>
          <w:color w:val="000000" w:themeColor="text1"/>
          <w:sz w:val="18"/>
          <w:szCs w:val="18"/>
        </w:rPr>
        <w:t xml:space="preserve">. </w:t>
      </w:r>
      <w:r w:rsidRPr="00070522">
        <w:rPr>
          <w:rFonts w:ascii="Arial Narrow" w:hAnsi="Arial Narrow"/>
          <w:color w:val="000000" w:themeColor="text1"/>
          <w:sz w:val="18"/>
          <w:szCs w:val="18"/>
        </w:rPr>
        <w:t xml:space="preserve">estimated financial implications of zanubrutinib = cost to PBS/RPBS less co-payment in </w:t>
      </w:r>
      <w:r w:rsidRPr="00070522">
        <w:rPr>
          <w:rFonts w:ascii="Arial Narrow" w:hAnsi="Arial Narrow"/>
          <w:color w:val="000000" w:themeColor="text1"/>
          <w:sz w:val="18"/>
          <w:szCs w:val="18"/>
        </w:rPr>
        <w:fldChar w:fldCharType="begin" w:fldLock="1"/>
      </w:r>
      <w:r w:rsidRPr="00070522">
        <w:rPr>
          <w:rFonts w:ascii="Arial Narrow" w:hAnsi="Arial Narrow"/>
          <w:color w:val="000000" w:themeColor="text1"/>
          <w:sz w:val="18"/>
          <w:szCs w:val="18"/>
        </w:rPr>
        <w:instrText xml:space="preserve"> REF _Ref167973960 \h  \* MERGEFORMAT </w:instrText>
      </w:r>
      <w:r w:rsidRPr="00070522">
        <w:rPr>
          <w:rFonts w:ascii="Arial Narrow" w:hAnsi="Arial Narrow"/>
          <w:color w:val="000000" w:themeColor="text1"/>
          <w:sz w:val="18"/>
          <w:szCs w:val="18"/>
        </w:rPr>
      </w:r>
      <w:r w:rsidRPr="00070522">
        <w:rPr>
          <w:rFonts w:ascii="Arial Narrow" w:hAnsi="Arial Narrow"/>
          <w:color w:val="000000" w:themeColor="text1"/>
          <w:sz w:val="18"/>
          <w:szCs w:val="18"/>
        </w:rPr>
        <w:fldChar w:fldCharType="separate"/>
      </w:r>
      <w:r w:rsidR="00FF6352" w:rsidRPr="00FF6352">
        <w:rPr>
          <w:rFonts w:ascii="Arial Narrow" w:hAnsi="Arial Narrow"/>
          <w:sz w:val="18"/>
          <w:szCs w:val="18"/>
        </w:rPr>
        <w:t xml:space="preserve">Table </w:t>
      </w:r>
      <w:r w:rsidR="00FF6352" w:rsidRPr="00FF6352">
        <w:rPr>
          <w:rFonts w:ascii="Arial Narrow" w:hAnsi="Arial Narrow"/>
          <w:noProof/>
          <w:sz w:val="18"/>
          <w:szCs w:val="18"/>
        </w:rPr>
        <w:t>11</w:t>
      </w:r>
      <w:r w:rsidRPr="00070522">
        <w:rPr>
          <w:rFonts w:ascii="Arial Narrow" w:hAnsi="Arial Narrow"/>
          <w:color w:val="000000" w:themeColor="text1"/>
          <w:sz w:val="18"/>
          <w:szCs w:val="18"/>
        </w:rPr>
        <w:fldChar w:fldCharType="end"/>
      </w:r>
      <w:r w:rsidR="00051A44">
        <w:rPr>
          <w:rFonts w:ascii="Arial Narrow" w:hAnsi="Arial Narrow"/>
          <w:color w:val="000000" w:themeColor="text1"/>
          <w:sz w:val="18"/>
          <w:szCs w:val="18"/>
        </w:rPr>
        <w:t>.</w:t>
      </w:r>
    </w:p>
    <w:p w14:paraId="4F391EE9" w14:textId="77777777" w:rsidR="00D64406" w:rsidRPr="00D64406" w:rsidRDefault="00D64406" w:rsidP="00D64406">
      <w:pPr>
        <w:pStyle w:val="CaptionFootnote"/>
        <w:suppressLineNumbers/>
        <w:suppressAutoHyphens/>
        <w:spacing w:after="120"/>
        <w:rPr>
          <w:rFonts w:ascii="Arial Narrow" w:hAnsi="Arial Narrow"/>
          <w:bCs/>
          <w:i/>
          <w:iCs/>
          <w:color w:val="000000" w:themeColor="text1"/>
          <w:sz w:val="18"/>
          <w:szCs w:val="18"/>
        </w:rPr>
      </w:pPr>
      <w:r w:rsidRPr="00D64406">
        <w:rPr>
          <w:rFonts w:ascii="Arial Narrow" w:hAnsi="Arial Narrow"/>
          <w:bCs/>
          <w:i/>
          <w:iCs/>
          <w:color w:val="000000" w:themeColor="text1"/>
          <w:sz w:val="18"/>
          <w:szCs w:val="18"/>
        </w:rPr>
        <w:t>The redacted values correspond to the following ranges:</w:t>
      </w:r>
    </w:p>
    <w:p w14:paraId="36895FE1" w14:textId="28B75A35" w:rsidR="00D64406" w:rsidRPr="005550A5" w:rsidRDefault="00D64406" w:rsidP="005550A5">
      <w:pPr>
        <w:pStyle w:val="CaptionFootnote"/>
        <w:suppressLineNumbers/>
        <w:suppressAutoHyphens/>
        <w:spacing w:after="120"/>
        <w:rPr>
          <w:rFonts w:ascii="Arial Narrow" w:hAnsi="Arial Narrow"/>
          <w:bCs/>
          <w:i/>
          <w:iCs/>
          <w:color w:val="000000" w:themeColor="text1"/>
          <w:sz w:val="18"/>
          <w:szCs w:val="18"/>
        </w:rPr>
      </w:pPr>
      <w:r w:rsidRPr="001A767F">
        <w:rPr>
          <w:rFonts w:ascii="Arial Narrow" w:hAnsi="Arial Narrow"/>
          <w:bCs/>
          <w:i/>
          <w:iCs/>
          <w:color w:val="000000" w:themeColor="text1"/>
          <w:sz w:val="18"/>
          <w:szCs w:val="18"/>
          <w:vertAlign w:val="superscript"/>
        </w:rPr>
        <w:t>1</w:t>
      </w:r>
      <w:r w:rsidR="001A767F">
        <w:rPr>
          <w:rFonts w:ascii="Arial Narrow" w:hAnsi="Arial Narrow"/>
          <w:bCs/>
          <w:i/>
          <w:iCs/>
          <w:color w:val="000000" w:themeColor="text1"/>
          <w:sz w:val="18"/>
          <w:szCs w:val="18"/>
        </w:rPr>
        <w:t xml:space="preserve"> </w:t>
      </w:r>
      <w:r w:rsidRPr="00D64406">
        <w:rPr>
          <w:rFonts w:ascii="Arial Narrow" w:hAnsi="Arial Narrow"/>
          <w:bCs/>
          <w:i/>
          <w:iCs/>
          <w:color w:val="000000" w:themeColor="text1"/>
          <w:sz w:val="18"/>
          <w:szCs w:val="18"/>
        </w:rPr>
        <w:t>$10 million to &lt; $</w:t>
      </w:r>
      <w:r w:rsidR="00DC79E6">
        <w:rPr>
          <w:rFonts w:ascii="Arial Narrow" w:hAnsi="Arial Narrow"/>
          <w:bCs/>
          <w:i/>
          <w:iCs/>
          <w:color w:val="000000" w:themeColor="text1"/>
          <w:sz w:val="18"/>
          <w:szCs w:val="18"/>
        </w:rPr>
        <w:t>2</w:t>
      </w:r>
      <w:r w:rsidRPr="00D64406">
        <w:rPr>
          <w:rFonts w:ascii="Arial Narrow" w:hAnsi="Arial Narrow"/>
          <w:bCs/>
          <w:i/>
          <w:iCs/>
          <w:color w:val="000000" w:themeColor="text1"/>
          <w:sz w:val="18"/>
          <w:szCs w:val="18"/>
        </w:rPr>
        <w:t>0 million</w:t>
      </w:r>
    </w:p>
    <w:p w14:paraId="7EE509A8" w14:textId="2F8D2662" w:rsidR="00B017E7" w:rsidRPr="006274BC" w:rsidRDefault="00B017E7" w:rsidP="00B017E7">
      <w:pPr>
        <w:pStyle w:val="3Bodytext"/>
        <w:jc w:val="both"/>
        <w:rPr>
          <w:szCs w:val="24"/>
        </w:rPr>
      </w:pPr>
      <w:r w:rsidRPr="006274BC">
        <w:rPr>
          <w:szCs w:val="24"/>
        </w:rPr>
        <w:t xml:space="preserve">The submission requested </w:t>
      </w:r>
      <w:r w:rsidR="00C46C1F" w:rsidRPr="00C46C1F">
        <w:rPr>
          <w:szCs w:val="24"/>
        </w:rPr>
        <w:t xml:space="preserve">the subsidisation caps be amended from Year 3 of the </w:t>
      </w:r>
      <w:r w:rsidR="00C46C1F">
        <w:rPr>
          <w:szCs w:val="24"/>
        </w:rPr>
        <w:t xml:space="preserve">current </w:t>
      </w:r>
      <w:r w:rsidR="00C46C1F" w:rsidRPr="00C46C1F">
        <w:rPr>
          <w:szCs w:val="24"/>
        </w:rPr>
        <w:t>deed to a</w:t>
      </w:r>
      <w:r w:rsidR="00422CDA">
        <w:rPr>
          <w:szCs w:val="24"/>
        </w:rPr>
        <w:t>lign</w:t>
      </w:r>
      <w:r w:rsidR="00C46C1F" w:rsidRPr="00C46C1F">
        <w:rPr>
          <w:szCs w:val="24"/>
        </w:rPr>
        <w:t xml:space="preserve"> with the revised financial estimates</w:t>
      </w:r>
      <w:r w:rsidR="00C46C1F">
        <w:rPr>
          <w:szCs w:val="24"/>
        </w:rPr>
        <w:t>.</w:t>
      </w:r>
      <w:r w:rsidRPr="006274BC">
        <w:rPr>
          <w:szCs w:val="24"/>
        </w:rPr>
        <w:t xml:space="preserve"> </w:t>
      </w:r>
    </w:p>
    <w:p w14:paraId="4B1CCAEA" w14:textId="6FBE358F" w:rsidR="00910634" w:rsidRPr="00FF7459" w:rsidRDefault="00CA7DEF" w:rsidP="00FF7459">
      <w:pPr>
        <w:pStyle w:val="3Bodytext"/>
        <w:jc w:val="both"/>
        <w:rPr>
          <w:szCs w:val="24"/>
        </w:rPr>
      </w:pPr>
      <w:r w:rsidRPr="00FF7459">
        <w:rPr>
          <w:szCs w:val="24"/>
        </w:rPr>
        <w:t xml:space="preserve">As outlined in paragraph </w:t>
      </w:r>
      <w:r w:rsidR="00B017E7" w:rsidRPr="00FF7459">
        <w:rPr>
          <w:szCs w:val="24"/>
        </w:rPr>
        <w:fldChar w:fldCharType="begin" w:fldLock="1"/>
      </w:r>
      <w:r w:rsidR="00B017E7" w:rsidRPr="00FF7459">
        <w:rPr>
          <w:szCs w:val="24"/>
        </w:rPr>
        <w:instrText xml:space="preserve"> REF _Ref167996602 \r \h </w:instrText>
      </w:r>
      <w:r w:rsidRPr="00FF7459">
        <w:rPr>
          <w:szCs w:val="24"/>
        </w:rPr>
        <w:instrText xml:space="preserve"> \* MERGEFORMAT </w:instrText>
      </w:r>
      <w:r w:rsidR="00B017E7" w:rsidRPr="00FF7459">
        <w:rPr>
          <w:szCs w:val="24"/>
        </w:rPr>
      </w:r>
      <w:r w:rsidR="00B017E7" w:rsidRPr="00FF7459">
        <w:rPr>
          <w:szCs w:val="24"/>
        </w:rPr>
        <w:fldChar w:fldCharType="separate"/>
      </w:r>
      <w:r w:rsidR="00B31544" w:rsidRPr="00FF7459">
        <w:rPr>
          <w:szCs w:val="24"/>
        </w:rPr>
        <w:t>2.8</w:t>
      </w:r>
      <w:r w:rsidR="00B017E7" w:rsidRPr="00FF7459">
        <w:rPr>
          <w:szCs w:val="24"/>
        </w:rPr>
        <w:fldChar w:fldCharType="end"/>
      </w:r>
      <w:r w:rsidRPr="00FF7459">
        <w:rPr>
          <w:szCs w:val="24"/>
        </w:rPr>
        <w:t xml:space="preserve">, the PBAC recognised the challenges of using an RSA to achieve cost-effectiveness as the estimated number of patients treated must be reached </w:t>
      </w:r>
      <w:proofErr w:type="gramStart"/>
      <w:r w:rsidRPr="00FF7459">
        <w:rPr>
          <w:szCs w:val="24"/>
        </w:rPr>
        <w:t>in order for</w:t>
      </w:r>
      <w:proofErr w:type="gramEnd"/>
      <w:r w:rsidRPr="00FF7459">
        <w:rPr>
          <w:szCs w:val="24"/>
        </w:rPr>
        <w:t xml:space="preserve"> the RSA to constrain the cost per patient. However, the PBAC considered, provided the expenditure caps were based on the average (not maximum) treatment durations from the economic models and the rebate for use above the expenditure caps was </w:t>
      </w:r>
      <w:r w:rsidR="00E926B5" w:rsidRPr="00E42CD7">
        <w:rPr>
          <w:color w:val="000000"/>
          <w:w w:val="15"/>
          <w:szCs w:val="24"/>
          <w:shd w:val="solid" w:color="000000" w:fill="000000"/>
          <w:fitText w:val="-20" w:id="-893114112"/>
          <w14:textFill>
            <w14:solidFill>
              <w14:srgbClr w14:val="000000">
                <w14:alpha w14:val="100000"/>
              </w14:srgbClr>
            </w14:solidFill>
          </w14:textFill>
        </w:rPr>
        <w:t xml:space="preserve">|  </w:t>
      </w:r>
      <w:r w:rsidR="00E926B5" w:rsidRPr="00E42CD7">
        <w:rPr>
          <w:color w:val="000000"/>
          <w:spacing w:val="-69"/>
          <w:w w:val="15"/>
          <w:szCs w:val="24"/>
          <w:shd w:val="solid" w:color="000000" w:fill="000000"/>
          <w:fitText w:val="-20" w:id="-893114112"/>
          <w14:textFill>
            <w14:solidFill>
              <w14:srgbClr w14:val="000000">
                <w14:alpha w14:val="100000"/>
              </w14:srgbClr>
            </w14:solidFill>
          </w14:textFill>
        </w:rPr>
        <w:t>|</w:t>
      </w:r>
      <w:r w:rsidRPr="00FF7459">
        <w:rPr>
          <w:szCs w:val="24"/>
        </w:rPr>
        <w:t xml:space="preserve">%, that a cost-effective price would likely be achieved using an RSA (paragraph 7.6, zanubrutinib, PSD, March 2022). </w:t>
      </w:r>
      <w:r w:rsidR="0014386A" w:rsidRPr="00FF7459">
        <w:rPr>
          <w:szCs w:val="24"/>
        </w:rPr>
        <w:t>The</w:t>
      </w:r>
      <w:r w:rsidR="003F14CE" w:rsidRPr="00FF7459">
        <w:rPr>
          <w:szCs w:val="24"/>
        </w:rPr>
        <w:t xml:space="preserve"> PBAC previously considered that the listing of zanubrutinib would be cost-effective with an incremental cost-effectiveness ratio (ICER) of less than $</w:t>
      </w:r>
      <w:r w:rsidR="00B84301" w:rsidRPr="00B84301">
        <w:rPr>
          <w:szCs w:val="24"/>
        </w:rPr>
        <w:t>45,000 to &lt; $55,000</w:t>
      </w:r>
      <w:r w:rsidR="00773531">
        <w:rPr>
          <w:szCs w:val="24"/>
        </w:rPr>
        <w:t xml:space="preserve"> </w:t>
      </w:r>
      <w:r w:rsidR="003F14CE" w:rsidRPr="00FF7459">
        <w:rPr>
          <w:szCs w:val="24"/>
        </w:rPr>
        <w:t>per quality-adjusted life year (QALY) gained for the R/R population and approximately $</w:t>
      </w:r>
      <w:r w:rsidR="002C133D" w:rsidRPr="002C133D">
        <w:rPr>
          <w:szCs w:val="24"/>
        </w:rPr>
        <w:t>55,000 to &lt; $75,000</w:t>
      </w:r>
      <w:r w:rsidR="00375777">
        <w:rPr>
          <w:szCs w:val="24"/>
        </w:rPr>
        <w:t xml:space="preserve"> per </w:t>
      </w:r>
      <w:r w:rsidR="003F14CE" w:rsidRPr="00FF7459">
        <w:rPr>
          <w:szCs w:val="24"/>
        </w:rPr>
        <w:t xml:space="preserve">QALY for the TN population (paragraph 7.2, zanubrutinib, PSD, March 2022). </w:t>
      </w:r>
    </w:p>
    <w:p w14:paraId="39BCAEF6" w14:textId="7EB267D2" w:rsidR="00FB131E" w:rsidRPr="00910634" w:rsidRDefault="00910634" w:rsidP="00FC7073">
      <w:pPr>
        <w:pStyle w:val="3Bodytext"/>
        <w:jc w:val="both"/>
      </w:pPr>
      <w:r>
        <w:t>The p</w:t>
      </w:r>
      <w:r w:rsidR="0003394C" w:rsidRPr="00910634">
        <w:t>re-PBAC</w:t>
      </w:r>
      <w:r>
        <w:t xml:space="preserve"> </w:t>
      </w:r>
      <w:r w:rsidR="002C3ECD">
        <w:t xml:space="preserve">response </w:t>
      </w:r>
      <w:r w:rsidR="0003394C" w:rsidRPr="00910634">
        <w:t xml:space="preserve">argued that the actual number of patients </w:t>
      </w:r>
      <w:r>
        <w:t xml:space="preserve">to be treated </w:t>
      </w:r>
      <w:r w:rsidR="0003394C" w:rsidRPr="00910634">
        <w:t xml:space="preserve">with zanubrutinib </w:t>
      </w:r>
      <w:r>
        <w:t xml:space="preserve">will exceed </w:t>
      </w:r>
      <w:r w:rsidRPr="00910634">
        <w:t>the estimates in the later years of the deed, even after considering the requested increases to the utili</w:t>
      </w:r>
      <w:r>
        <w:t>s</w:t>
      </w:r>
      <w:r w:rsidRPr="00910634">
        <w:t>ation estimates.</w:t>
      </w:r>
      <w:r>
        <w:t xml:space="preserve"> </w:t>
      </w:r>
      <w:r w:rsidR="00E15550">
        <w:t>T</w:t>
      </w:r>
      <w:r>
        <w:t xml:space="preserve">he </w:t>
      </w:r>
      <w:r w:rsidRPr="00910634">
        <w:t xml:space="preserve">extrapolation of the ASPEN </w:t>
      </w:r>
      <w:r>
        <w:t xml:space="preserve">study, </w:t>
      </w:r>
      <w:r w:rsidRPr="00910634">
        <w:t>as reported in the March 202</w:t>
      </w:r>
      <w:r w:rsidR="00E15550">
        <w:t>2</w:t>
      </w:r>
      <w:r w:rsidRPr="00910634">
        <w:t xml:space="preserve"> submission</w:t>
      </w:r>
      <w:r w:rsidR="0036517B" w:rsidRPr="00910634">
        <w:t xml:space="preserve">, </w:t>
      </w:r>
      <w:r w:rsidR="00E15550">
        <w:t xml:space="preserve">suggested a </w:t>
      </w:r>
      <w:r w:rsidR="0036517B" w:rsidRPr="00910634">
        <w:t xml:space="preserve">treatment duration </w:t>
      </w:r>
      <w:r w:rsidR="00E15550">
        <w:t xml:space="preserve">of </w:t>
      </w:r>
      <w:r w:rsidR="0036517B" w:rsidRPr="00910634">
        <w:t xml:space="preserve">over 7 years (i.e., 86.04 months), </w:t>
      </w:r>
      <w:r w:rsidR="00E15550">
        <w:t xml:space="preserve">while </w:t>
      </w:r>
      <w:r w:rsidR="0036517B" w:rsidRPr="00910634">
        <w:t xml:space="preserve">the </w:t>
      </w:r>
      <w:r w:rsidR="00E15550">
        <w:t xml:space="preserve">existing </w:t>
      </w:r>
      <w:r w:rsidR="0036517B" w:rsidRPr="00910634">
        <w:t xml:space="preserve">subsidisation caps were </w:t>
      </w:r>
      <w:bookmarkStart w:id="54" w:name="_Hlk172498174"/>
      <w:r w:rsidR="00E15550">
        <w:t xml:space="preserve">based on the </w:t>
      </w:r>
      <w:r w:rsidR="005F1522">
        <w:t xml:space="preserve">average </w:t>
      </w:r>
      <w:r w:rsidR="0036517B" w:rsidRPr="00910634">
        <w:t xml:space="preserve">treatment duration at </w:t>
      </w:r>
      <w:r w:rsidR="00E15550" w:rsidRPr="00B25D4C">
        <w:t>37.21 months</w:t>
      </w:r>
      <w:bookmarkEnd w:id="54"/>
      <w:r w:rsidR="0036517B" w:rsidRPr="00910634">
        <w:t xml:space="preserve">. </w:t>
      </w:r>
      <w:r w:rsidR="000F71FE" w:rsidRPr="000F71FE">
        <w:t>Consequently, estimated utili</w:t>
      </w:r>
      <w:r w:rsidR="000F71FE">
        <w:t>s</w:t>
      </w:r>
      <w:r w:rsidR="000F71FE" w:rsidRPr="000F71FE">
        <w:t>ation is expected to diverge from actual utili</w:t>
      </w:r>
      <w:r w:rsidR="000F71FE">
        <w:t>s</w:t>
      </w:r>
      <w:r w:rsidR="000F71FE" w:rsidRPr="000F71FE">
        <w:t xml:space="preserve">ation starting in </w:t>
      </w:r>
      <w:r w:rsidR="000F71FE">
        <w:t xml:space="preserve">Year 3, as </w:t>
      </w:r>
      <w:r w:rsidR="000F71FE" w:rsidRPr="000F71FE">
        <w:t xml:space="preserve">patients are likely to continue treatment for over </w:t>
      </w:r>
      <w:r w:rsidR="000F71FE" w:rsidRPr="00B25D4C">
        <w:t>37.21 months</w:t>
      </w:r>
      <w:r w:rsidR="000F71FE">
        <w:t xml:space="preserve">. </w:t>
      </w:r>
      <w:r w:rsidR="000F71FE" w:rsidRPr="000F71FE">
        <w:t>This discrepancy will result in actual utili</w:t>
      </w:r>
      <w:r w:rsidR="000F71FE">
        <w:t>s</w:t>
      </w:r>
      <w:r w:rsidR="000F71FE" w:rsidRPr="000F71FE">
        <w:t xml:space="preserve">ation increasing over time, while </w:t>
      </w:r>
      <w:r w:rsidR="00422CDA" w:rsidRPr="00422CDA">
        <w:t xml:space="preserve">the estimated utilisation that </w:t>
      </w:r>
      <w:r w:rsidR="002C3ECD">
        <w:t xml:space="preserve">is the basis </w:t>
      </w:r>
      <w:r w:rsidR="002C3ECD">
        <w:lastRenderedPageBreak/>
        <w:t xml:space="preserve">for </w:t>
      </w:r>
      <w:r w:rsidR="00422CDA" w:rsidRPr="00422CDA">
        <w:t xml:space="preserve">the proposed </w:t>
      </w:r>
      <w:r w:rsidR="00422CDA">
        <w:t>c</w:t>
      </w:r>
      <w:r w:rsidR="00422CDA" w:rsidRPr="00422CDA">
        <w:t xml:space="preserve">aps </w:t>
      </w:r>
      <w:r w:rsidR="00422CDA">
        <w:t xml:space="preserve">will decline </w:t>
      </w:r>
      <w:r w:rsidR="00422CDA" w:rsidRPr="00422CDA">
        <w:t xml:space="preserve">in Years 4 and 5 </w:t>
      </w:r>
      <w:r w:rsidR="000F71FE" w:rsidRPr="000F71FE">
        <w:t xml:space="preserve">before </w:t>
      </w:r>
      <w:r w:rsidR="000F71FE">
        <w:t>i</w:t>
      </w:r>
      <w:r w:rsidR="000F71FE" w:rsidRPr="000F71FE">
        <w:t xml:space="preserve">ncreasing again with population growth. </w:t>
      </w:r>
    </w:p>
    <w:p w14:paraId="291FF7F6" w14:textId="77777777" w:rsidR="00905187" w:rsidRDefault="00905187" w:rsidP="00417008">
      <w:pPr>
        <w:pStyle w:val="2-SectionHeading"/>
        <w:numPr>
          <w:ilvl w:val="0"/>
          <w:numId w:val="1"/>
        </w:numPr>
        <w:spacing w:before="120"/>
      </w:pPr>
      <w:r w:rsidRPr="0090150D">
        <w:t>PBAC Outcome</w:t>
      </w:r>
    </w:p>
    <w:p w14:paraId="001CA006" w14:textId="77777777" w:rsidR="00986769" w:rsidRPr="00986769" w:rsidRDefault="000A408E" w:rsidP="000E219B">
      <w:pPr>
        <w:pStyle w:val="3Bodytext"/>
        <w:jc w:val="both"/>
        <w:rPr>
          <w:snapToGrid w:val="0"/>
          <w:lang w:val="en-GB"/>
        </w:rPr>
      </w:pPr>
      <w:r w:rsidRPr="006733A6">
        <w:rPr>
          <w:snapToGrid w:val="0"/>
          <w:lang w:val="en-GB"/>
        </w:rPr>
        <w:t xml:space="preserve">The PBAC </w:t>
      </w:r>
      <w:r w:rsidR="000E29F3">
        <w:rPr>
          <w:snapToGrid w:val="0"/>
          <w:lang w:val="en-GB"/>
        </w:rPr>
        <w:t>provided advice regarding</w:t>
      </w:r>
      <w:r w:rsidR="00E611B2" w:rsidRPr="006733A6">
        <w:rPr>
          <w:snapToGrid w:val="0"/>
          <w:lang w:val="en-GB"/>
        </w:rPr>
        <w:t xml:space="preserve"> </w:t>
      </w:r>
      <w:r w:rsidR="00786B79" w:rsidRPr="006733A6">
        <w:rPr>
          <w:snapToGrid w:val="0"/>
          <w:lang w:val="en-GB"/>
        </w:rPr>
        <w:t xml:space="preserve">the </w:t>
      </w:r>
      <w:r w:rsidR="009353BC" w:rsidRPr="006733A6">
        <w:rPr>
          <w:snapToGrid w:val="0"/>
          <w:lang w:val="en-GB"/>
        </w:rPr>
        <w:t xml:space="preserve">subsidisation caps </w:t>
      </w:r>
      <w:r w:rsidR="000E29F3">
        <w:rPr>
          <w:snapToGrid w:val="0"/>
          <w:lang w:val="en-GB"/>
        </w:rPr>
        <w:t>under</w:t>
      </w:r>
      <w:r w:rsidR="000E29F3" w:rsidRPr="006733A6">
        <w:rPr>
          <w:snapToGrid w:val="0"/>
          <w:lang w:val="en-GB"/>
        </w:rPr>
        <w:t xml:space="preserve"> </w:t>
      </w:r>
      <w:r w:rsidR="009353BC" w:rsidRPr="006733A6">
        <w:rPr>
          <w:snapToGrid w:val="0"/>
          <w:lang w:val="en-GB"/>
        </w:rPr>
        <w:t xml:space="preserve">the </w:t>
      </w:r>
      <w:r w:rsidRPr="006733A6">
        <w:rPr>
          <w:snapToGrid w:val="0"/>
          <w:lang w:val="en-GB"/>
        </w:rPr>
        <w:t xml:space="preserve">current risk sharing arrangement (RSA) for zanubrutinib </w:t>
      </w:r>
      <w:r w:rsidRPr="006733A6">
        <w:rPr>
          <w:rFonts w:eastAsia="Times New Roman" w:cs="Arial"/>
          <w:snapToGrid w:val="0"/>
          <w:szCs w:val="24"/>
          <w:lang w:val="en-GB"/>
        </w:rPr>
        <w:t>(Brukinsa®)</w:t>
      </w:r>
      <w:r w:rsidRPr="006733A6">
        <w:rPr>
          <w:snapToGrid w:val="0"/>
          <w:lang w:val="en-GB"/>
        </w:rPr>
        <w:t xml:space="preserve"> for the treatment of Waldenström macroglobulinemia (WM)</w:t>
      </w:r>
      <w:r w:rsidR="000E29F3">
        <w:rPr>
          <w:snapToGrid w:val="0"/>
          <w:lang w:val="en-GB"/>
        </w:rPr>
        <w:t xml:space="preserve">. The PBAC considered it was reasonable to make </w:t>
      </w:r>
      <w:r w:rsidR="00FC7073">
        <w:rPr>
          <w:snapToGrid w:val="0"/>
          <w:lang w:val="en-GB"/>
        </w:rPr>
        <w:t xml:space="preserve">amendments </w:t>
      </w:r>
      <w:r w:rsidR="000E29F3">
        <w:rPr>
          <w:snapToGrid w:val="0"/>
          <w:lang w:val="en-GB"/>
        </w:rPr>
        <w:t>to the financial estimates underpinning the RSA</w:t>
      </w:r>
      <w:r w:rsidR="0028178D" w:rsidRPr="006733A6">
        <w:rPr>
          <w:snapToGrid w:val="0"/>
          <w:lang w:val="en-GB"/>
        </w:rPr>
        <w:t xml:space="preserve"> </w:t>
      </w:r>
      <w:r w:rsidR="009353BC" w:rsidRPr="006733A6">
        <w:rPr>
          <w:snapToGrid w:val="0"/>
          <w:lang w:val="en-GB"/>
        </w:rPr>
        <w:t xml:space="preserve">to reflect the proposed changes in incidence and prevalence </w:t>
      </w:r>
      <w:r w:rsidR="001A2CF3" w:rsidRPr="006733A6">
        <w:rPr>
          <w:snapToGrid w:val="0"/>
          <w:lang w:val="en-GB"/>
        </w:rPr>
        <w:t>based on new epidemiological</w:t>
      </w:r>
      <w:r w:rsidR="00A143FB" w:rsidRPr="006733A6">
        <w:rPr>
          <w:snapToGrid w:val="0"/>
          <w:lang w:val="en-GB"/>
        </w:rPr>
        <w:t xml:space="preserve"> data</w:t>
      </w:r>
      <w:r w:rsidR="006733A6" w:rsidRPr="006733A6">
        <w:rPr>
          <w:snapToGrid w:val="0"/>
          <w:lang w:val="en-GB"/>
        </w:rPr>
        <w:t xml:space="preserve"> specific to the WM subset </w:t>
      </w:r>
      <w:r w:rsidR="006733A6">
        <w:t>in Australia that had not been previously available</w:t>
      </w:r>
      <w:r w:rsidR="00A143FB" w:rsidRPr="006733A6">
        <w:rPr>
          <w:snapToGrid w:val="0"/>
          <w:lang w:val="en-GB"/>
        </w:rPr>
        <w:t>.</w:t>
      </w:r>
      <w:r w:rsidR="001A2CF3" w:rsidRPr="000A408E">
        <w:t xml:space="preserve"> </w:t>
      </w:r>
      <w:r w:rsidR="0028178D" w:rsidRPr="006733A6">
        <w:rPr>
          <w:snapToGrid w:val="0"/>
          <w:lang w:val="en-GB"/>
        </w:rPr>
        <w:t xml:space="preserve">The PBAC </w:t>
      </w:r>
      <w:r w:rsidR="00A143FB" w:rsidRPr="006733A6">
        <w:rPr>
          <w:snapToGrid w:val="0"/>
          <w:lang w:val="en-GB"/>
        </w:rPr>
        <w:t xml:space="preserve">was satisfied that the </w:t>
      </w:r>
      <w:r w:rsidR="006733A6" w:rsidRPr="006733A6">
        <w:rPr>
          <w:snapToGrid w:val="0"/>
          <w:lang w:val="en-GB"/>
        </w:rPr>
        <w:t xml:space="preserve">submission </w:t>
      </w:r>
      <w:r w:rsidR="00A143FB" w:rsidRPr="006733A6">
        <w:rPr>
          <w:snapToGrid w:val="0"/>
          <w:lang w:val="en-GB"/>
        </w:rPr>
        <w:t xml:space="preserve">provided sufficient evidence to support the requested changes to the assumptions in terms of the incidence and prevalence </w:t>
      </w:r>
      <w:r w:rsidR="00A143FB">
        <w:t>in the March 2022 financial estimates</w:t>
      </w:r>
      <w:r w:rsidR="001172BA">
        <w:t xml:space="preserve"> </w:t>
      </w:r>
      <w:r w:rsidR="001172BA" w:rsidRPr="001172BA">
        <w:t xml:space="preserve">that </w:t>
      </w:r>
      <w:r w:rsidR="004A05D0">
        <w:t xml:space="preserve">were the basis for </w:t>
      </w:r>
      <w:r w:rsidR="001172BA" w:rsidRPr="001172BA">
        <w:t xml:space="preserve">the current </w:t>
      </w:r>
      <w:r w:rsidR="000E29F3">
        <w:t>RSA</w:t>
      </w:r>
      <w:r w:rsidR="009565DA">
        <w:t>, and that although this represented a significant increase to the original estimates, the sponsor</w:t>
      </w:r>
      <w:r w:rsidR="001E3D25">
        <w:t>’s proposed</w:t>
      </w:r>
      <w:r w:rsidR="005F1890">
        <w:t xml:space="preserve"> price reduction in the pre-PBAC response</w:t>
      </w:r>
      <w:r w:rsidR="001E3D25">
        <w:t xml:space="preserve"> mitigated the financial impact in part</w:t>
      </w:r>
      <w:r w:rsidR="001172BA">
        <w:t xml:space="preserve">. </w:t>
      </w:r>
    </w:p>
    <w:p w14:paraId="0CB8D533" w14:textId="713B0430" w:rsidR="0028178D" w:rsidRPr="000E219B" w:rsidRDefault="001172BA" w:rsidP="000E219B">
      <w:pPr>
        <w:pStyle w:val="3Bodytext"/>
        <w:jc w:val="both"/>
        <w:rPr>
          <w:snapToGrid w:val="0"/>
          <w:lang w:val="en-GB"/>
        </w:rPr>
      </w:pPr>
      <w:r w:rsidRPr="001172BA">
        <w:rPr>
          <w:rFonts w:cstheme="minorHAnsi"/>
        </w:rPr>
        <w:t xml:space="preserve">The PBAC </w:t>
      </w:r>
      <w:r w:rsidR="000E29F3">
        <w:rPr>
          <w:rFonts w:cstheme="minorHAnsi"/>
        </w:rPr>
        <w:t>noted</w:t>
      </w:r>
      <w:r w:rsidR="000E29F3" w:rsidRPr="001172BA">
        <w:rPr>
          <w:rFonts w:cstheme="minorHAnsi"/>
        </w:rPr>
        <w:t xml:space="preserve"> </w:t>
      </w:r>
      <w:r w:rsidRPr="001172BA">
        <w:rPr>
          <w:rFonts w:cstheme="minorHAnsi"/>
        </w:rPr>
        <w:t xml:space="preserve">that the submission did not propose to change the basis for achieving cost-effectiveness through the RSA, which was intended to limit the treatment duration to a weighted average treatment duration of 37.21 months. The PBAC </w:t>
      </w:r>
      <w:r>
        <w:rPr>
          <w:rFonts w:cstheme="minorHAnsi"/>
        </w:rPr>
        <w:t>advised</w:t>
      </w:r>
      <w:r w:rsidRPr="001172BA">
        <w:rPr>
          <w:rFonts w:cstheme="minorHAnsi"/>
        </w:rPr>
        <w:t xml:space="preserve"> that the cost-effectiveness of </w:t>
      </w:r>
      <w:r>
        <w:rPr>
          <w:rFonts w:cstheme="minorHAnsi"/>
        </w:rPr>
        <w:t xml:space="preserve">zanubrutinib </w:t>
      </w:r>
      <w:r w:rsidRPr="001172BA">
        <w:rPr>
          <w:rFonts w:cstheme="minorHAnsi"/>
        </w:rPr>
        <w:t xml:space="preserve">would remain acceptable </w:t>
      </w:r>
      <w:r w:rsidR="006733A6" w:rsidRPr="006733A6">
        <w:rPr>
          <w:rFonts w:cstheme="minorHAnsi"/>
        </w:rPr>
        <w:t xml:space="preserve">if the subsidisation caps continue to be determined </w:t>
      </w:r>
      <w:r>
        <w:rPr>
          <w:rFonts w:cstheme="minorHAnsi"/>
        </w:rPr>
        <w:t xml:space="preserve">on the same basis, </w:t>
      </w:r>
      <w:r w:rsidR="009D6826">
        <w:rPr>
          <w:rFonts w:cstheme="minorHAnsi"/>
        </w:rPr>
        <w:t>g</w:t>
      </w:r>
      <w:r w:rsidR="009D6826" w:rsidRPr="009D6826">
        <w:rPr>
          <w:rFonts w:cstheme="minorHAnsi"/>
        </w:rPr>
        <w:t xml:space="preserve">iven that the </w:t>
      </w:r>
      <w:r w:rsidR="006733A6" w:rsidRPr="006733A6">
        <w:rPr>
          <w:rFonts w:cstheme="minorHAnsi"/>
        </w:rPr>
        <w:t xml:space="preserve">requested changes </w:t>
      </w:r>
      <w:r w:rsidR="009D6826">
        <w:rPr>
          <w:rFonts w:cstheme="minorHAnsi"/>
        </w:rPr>
        <w:t xml:space="preserve">affect </w:t>
      </w:r>
      <w:r w:rsidR="006733A6" w:rsidRPr="006733A6">
        <w:rPr>
          <w:rFonts w:cstheme="minorHAnsi"/>
        </w:rPr>
        <w:t xml:space="preserve">only the number of patients and not the number of units per patient. </w:t>
      </w:r>
    </w:p>
    <w:p w14:paraId="1BA35739" w14:textId="36A77795" w:rsidR="008E2318" w:rsidRPr="00141947" w:rsidRDefault="00ED3F0B" w:rsidP="00141947">
      <w:pPr>
        <w:pStyle w:val="3Bodytext"/>
        <w:jc w:val="both"/>
        <w:rPr>
          <w:snapToGrid w:val="0"/>
          <w:lang w:val="en-GB"/>
        </w:rPr>
      </w:pPr>
      <w:r w:rsidRPr="005556D2">
        <w:t xml:space="preserve">The PBAC noted that the utilisation of zanubrutinib </w:t>
      </w:r>
      <w:r w:rsidR="005556D2" w:rsidRPr="005556D2">
        <w:t xml:space="preserve">for WM </w:t>
      </w:r>
      <w:r w:rsidR="001B5327" w:rsidRPr="005556D2">
        <w:t xml:space="preserve">in </w:t>
      </w:r>
      <w:r w:rsidR="002D5E1D" w:rsidRPr="005556D2">
        <w:t xml:space="preserve">the first </w:t>
      </w:r>
      <w:r w:rsidR="0028178D">
        <w:t>two</w:t>
      </w:r>
      <w:r w:rsidR="002D5E1D" w:rsidRPr="005556D2">
        <w:t xml:space="preserve"> years </w:t>
      </w:r>
      <w:r w:rsidR="005556D2" w:rsidRPr="005556D2">
        <w:t xml:space="preserve">of listing </w:t>
      </w:r>
      <w:r w:rsidR="0028178D">
        <w:t xml:space="preserve">has been </w:t>
      </w:r>
      <w:r w:rsidR="000E219B">
        <w:t xml:space="preserve">substantially </w:t>
      </w:r>
      <w:r w:rsidR="00EF5380" w:rsidRPr="005556D2">
        <w:t xml:space="preserve">higher than </w:t>
      </w:r>
      <w:r w:rsidR="00992DFE" w:rsidRPr="005556D2">
        <w:t xml:space="preserve">the </w:t>
      </w:r>
      <w:r w:rsidR="000E219B">
        <w:t xml:space="preserve">March 2022 </w:t>
      </w:r>
      <w:r w:rsidR="00E2292A">
        <w:t>estimates</w:t>
      </w:r>
      <w:r w:rsidR="000E219B">
        <w:t xml:space="preserve"> </w:t>
      </w:r>
      <w:r w:rsidR="00992DFE" w:rsidRPr="005556D2">
        <w:t>(</w:t>
      </w:r>
      <w:r w:rsidR="00992DFE" w:rsidRPr="00141947">
        <w:rPr>
          <w:rFonts w:cstheme="minorHAnsi"/>
          <w:szCs w:val="24"/>
        </w:rPr>
        <w:t>see</w:t>
      </w:r>
      <w:r w:rsidR="005556D2" w:rsidRPr="00141947">
        <w:rPr>
          <w:rFonts w:cstheme="minorHAnsi"/>
          <w:szCs w:val="24"/>
        </w:rPr>
        <w:t xml:space="preserve"> </w:t>
      </w:r>
      <w:r w:rsidR="005556D2" w:rsidRPr="00141947">
        <w:rPr>
          <w:rFonts w:cstheme="minorHAnsi"/>
          <w:szCs w:val="24"/>
        </w:rPr>
        <w:fldChar w:fldCharType="begin" w:fldLock="1"/>
      </w:r>
      <w:r w:rsidR="005556D2" w:rsidRPr="00141947">
        <w:rPr>
          <w:rFonts w:cstheme="minorHAnsi"/>
          <w:szCs w:val="24"/>
        </w:rPr>
        <w:instrText xml:space="preserve"> REF _Ref158278855 \h  \* MERGEFORMAT </w:instrText>
      </w:r>
      <w:r w:rsidR="005556D2" w:rsidRPr="00141947">
        <w:rPr>
          <w:rFonts w:cstheme="minorHAnsi"/>
          <w:szCs w:val="24"/>
        </w:rPr>
      </w:r>
      <w:r w:rsidR="005556D2" w:rsidRPr="00141947">
        <w:rPr>
          <w:rFonts w:cstheme="minorHAnsi"/>
          <w:szCs w:val="24"/>
        </w:rPr>
        <w:fldChar w:fldCharType="separate"/>
      </w:r>
      <w:r w:rsidR="00896C99" w:rsidRPr="00896C99">
        <w:rPr>
          <w:rFonts w:cstheme="minorHAnsi"/>
          <w:szCs w:val="24"/>
        </w:rPr>
        <w:t xml:space="preserve">Table </w:t>
      </w:r>
      <w:r w:rsidR="00896C99" w:rsidRPr="00896C99">
        <w:rPr>
          <w:rFonts w:cstheme="minorHAnsi"/>
          <w:noProof/>
          <w:szCs w:val="24"/>
        </w:rPr>
        <w:t>3</w:t>
      </w:r>
      <w:r w:rsidR="005556D2" w:rsidRPr="00141947">
        <w:rPr>
          <w:rFonts w:cstheme="minorHAnsi"/>
          <w:szCs w:val="24"/>
        </w:rPr>
        <w:fldChar w:fldCharType="end"/>
      </w:r>
      <w:r w:rsidR="00992DFE" w:rsidRPr="00141947">
        <w:rPr>
          <w:rFonts w:cstheme="minorHAnsi"/>
          <w:szCs w:val="24"/>
        </w:rPr>
        <w:t>)</w:t>
      </w:r>
      <w:r w:rsidR="00601D12" w:rsidRPr="00141947">
        <w:rPr>
          <w:rFonts w:cstheme="minorHAnsi"/>
          <w:snapToGrid w:val="0"/>
          <w:szCs w:val="24"/>
          <w:lang w:val="en-GB"/>
        </w:rPr>
        <w:t>.</w:t>
      </w:r>
      <w:r w:rsidR="00601D12" w:rsidRPr="00141947">
        <w:rPr>
          <w:snapToGrid w:val="0"/>
          <w:lang w:val="en-GB"/>
        </w:rPr>
        <w:t xml:space="preserve"> </w:t>
      </w:r>
      <w:r w:rsidR="002514B8" w:rsidRPr="00141947">
        <w:rPr>
          <w:snapToGrid w:val="0"/>
          <w:lang w:val="en-GB"/>
        </w:rPr>
        <w:t xml:space="preserve">The PBAC </w:t>
      </w:r>
      <w:r w:rsidR="00E44005" w:rsidRPr="00141947">
        <w:rPr>
          <w:snapToGrid w:val="0"/>
          <w:lang w:val="en-GB"/>
        </w:rPr>
        <w:t xml:space="preserve">considered </w:t>
      </w:r>
      <w:r w:rsidR="00E7330A" w:rsidRPr="00141947">
        <w:rPr>
          <w:snapToGrid w:val="0"/>
          <w:lang w:val="en-GB"/>
        </w:rPr>
        <w:t>an increase in the financial estimates, commensurate with the changes in incidence and prevalence, to be</w:t>
      </w:r>
      <w:r w:rsidR="00120286" w:rsidRPr="00141947">
        <w:rPr>
          <w:snapToGrid w:val="0"/>
          <w:lang w:val="en-GB"/>
        </w:rPr>
        <w:t xml:space="preserve"> reasonable</w:t>
      </w:r>
      <w:r w:rsidR="00E7330A" w:rsidRPr="00141947">
        <w:rPr>
          <w:snapToGrid w:val="0"/>
          <w:lang w:val="en-GB"/>
        </w:rPr>
        <w:t xml:space="preserve">. </w:t>
      </w:r>
      <w:r w:rsidR="00754851" w:rsidRPr="00141947">
        <w:rPr>
          <w:snapToGrid w:val="0"/>
          <w:lang w:val="en-GB"/>
        </w:rPr>
        <w:t>In providing this advice, t</w:t>
      </w:r>
      <w:r w:rsidR="008E2318" w:rsidRPr="00141947">
        <w:rPr>
          <w:snapToGrid w:val="0"/>
          <w:lang w:val="en-GB"/>
        </w:rPr>
        <w:t xml:space="preserve">he PBAC </w:t>
      </w:r>
      <w:r w:rsidR="00E7330A" w:rsidRPr="00141947">
        <w:rPr>
          <w:snapToGrid w:val="0"/>
          <w:lang w:val="en-GB"/>
        </w:rPr>
        <w:t xml:space="preserve">indicated </w:t>
      </w:r>
      <w:r w:rsidR="008E2318" w:rsidRPr="00141947">
        <w:rPr>
          <w:snapToGrid w:val="0"/>
          <w:lang w:val="en-GB"/>
        </w:rPr>
        <w:t>that</w:t>
      </w:r>
      <w:r w:rsidR="00484AA9" w:rsidRPr="00141947">
        <w:rPr>
          <w:snapToGrid w:val="0"/>
          <w:lang w:val="en-GB"/>
        </w:rPr>
        <w:t xml:space="preserve"> the revised financial estimates are </w:t>
      </w:r>
      <w:r w:rsidR="00E7330A" w:rsidRPr="00141947">
        <w:rPr>
          <w:snapToGrid w:val="0"/>
          <w:lang w:val="en-GB"/>
        </w:rPr>
        <w:t xml:space="preserve">clearly </w:t>
      </w:r>
      <w:r w:rsidR="00484AA9" w:rsidRPr="00141947">
        <w:rPr>
          <w:snapToGrid w:val="0"/>
          <w:lang w:val="en-GB"/>
        </w:rPr>
        <w:t>higher</w:t>
      </w:r>
      <w:r w:rsidR="00754851" w:rsidRPr="00141947">
        <w:rPr>
          <w:snapToGrid w:val="0"/>
          <w:lang w:val="en-GB"/>
        </w:rPr>
        <w:t xml:space="preserve">, but </w:t>
      </w:r>
      <w:r w:rsidR="00E7330A" w:rsidRPr="00141947">
        <w:rPr>
          <w:snapToGrid w:val="0"/>
          <w:lang w:val="en-GB"/>
        </w:rPr>
        <w:t xml:space="preserve">the use of zanubrutinib </w:t>
      </w:r>
      <w:r w:rsidR="00754851" w:rsidRPr="00141947">
        <w:rPr>
          <w:snapToGrid w:val="0"/>
          <w:lang w:val="en-GB"/>
        </w:rPr>
        <w:t xml:space="preserve">would remain within the eligible population previously deemed </w:t>
      </w:r>
      <w:r w:rsidR="00FE21C0">
        <w:rPr>
          <w:snapToGrid w:val="0"/>
          <w:lang w:val="en-GB"/>
        </w:rPr>
        <w:t>cost-effective</w:t>
      </w:r>
      <w:r w:rsidR="00754851" w:rsidRPr="00141947">
        <w:rPr>
          <w:snapToGrid w:val="0"/>
          <w:lang w:val="en-GB"/>
        </w:rPr>
        <w:t xml:space="preserve">. </w:t>
      </w:r>
    </w:p>
    <w:p w14:paraId="66956CAA" w14:textId="09A70FE7" w:rsidR="004B35DD" w:rsidRDefault="002A239C" w:rsidP="009E5D6F">
      <w:pPr>
        <w:pStyle w:val="3Bodytext"/>
        <w:jc w:val="both"/>
      </w:pPr>
      <w:r w:rsidRPr="002A239C">
        <w:t xml:space="preserve">The PBAC acknowledged the clinical need for a targeted therapy for </w:t>
      </w:r>
      <w:r>
        <w:t xml:space="preserve">WM </w:t>
      </w:r>
      <w:r w:rsidRPr="002A239C">
        <w:t>at the time of its recommendation in March 2022.</w:t>
      </w:r>
      <w:r>
        <w:t xml:space="preserve"> </w:t>
      </w:r>
      <w:r w:rsidR="00B70CDC" w:rsidRPr="00720B9F">
        <w:t xml:space="preserve">The PBAC recalled </w:t>
      </w:r>
      <w:r>
        <w:t xml:space="preserve">that </w:t>
      </w:r>
      <w:r w:rsidR="00F877F2" w:rsidRPr="00720B9F">
        <w:t xml:space="preserve">determining the appropriate </w:t>
      </w:r>
      <w:r w:rsidR="00720B9F" w:rsidRPr="00720B9F">
        <w:t xml:space="preserve">incremental </w:t>
      </w:r>
      <w:r w:rsidR="00F877F2" w:rsidRPr="00720B9F">
        <w:t xml:space="preserve">cost-effectiveness ratio (ICER) </w:t>
      </w:r>
      <w:r w:rsidRPr="002A239C">
        <w:t>was difficult due to the indolent nature of the disease, making achieving cost-effectiveness challenging.</w:t>
      </w:r>
      <w:r>
        <w:t xml:space="preserve"> </w:t>
      </w:r>
      <w:r w:rsidR="008A54A0">
        <w:t>T</w:t>
      </w:r>
      <w:r w:rsidR="008C388D">
        <w:t xml:space="preserve">he financial estimates </w:t>
      </w:r>
      <w:r w:rsidR="008A54A0">
        <w:t xml:space="preserve">were based on </w:t>
      </w:r>
      <w:r w:rsidR="009565DA">
        <w:t>a</w:t>
      </w:r>
      <w:r w:rsidR="008A54A0">
        <w:t xml:space="preserve"> treatment duration from the economic model</w:t>
      </w:r>
      <w:r w:rsidR="009565DA">
        <w:t xml:space="preserve"> that applied a financial stopping rule</w:t>
      </w:r>
      <w:r w:rsidR="008A54A0">
        <w:t xml:space="preserve">, </w:t>
      </w:r>
      <w:r w:rsidR="009565DA">
        <w:t>and</w:t>
      </w:r>
      <w:r w:rsidR="008A54A0">
        <w:t xml:space="preserve"> the</w:t>
      </w:r>
      <w:r w:rsidR="009565DA">
        <w:t xml:space="preserve"> RSA used to manage the total cost</w:t>
      </w:r>
      <w:r w:rsidR="00896C99">
        <w:t xml:space="preserve"> per </w:t>
      </w:r>
      <w:r w:rsidR="009565DA">
        <w:t>patient</w:t>
      </w:r>
      <w:r w:rsidR="004B35DD">
        <w:t xml:space="preserve">. </w:t>
      </w:r>
      <w:r w:rsidR="004B35DD" w:rsidRPr="004B35DD">
        <w:t>The PBAC noted that the previously recommended ICER</w:t>
      </w:r>
      <w:r w:rsidR="004B35DD">
        <w:t>s</w:t>
      </w:r>
      <w:r w:rsidR="004B35DD" w:rsidRPr="004B35DD">
        <w:t xml:space="preserve"> for the relapsed/refractory </w:t>
      </w:r>
      <w:r w:rsidR="004B35DD">
        <w:t xml:space="preserve">(R/R) </w:t>
      </w:r>
      <w:r w:rsidR="004B35DD" w:rsidRPr="004B35DD">
        <w:t>and treatment-</w:t>
      </w:r>
      <w:r w:rsidR="004B35DD">
        <w:t>naïve (TN)</w:t>
      </w:r>
      <w:r w:rsidR="004B35DD" w:rsidRPr="004B35DD">
        <w:t xml:space="preserve"> populations </w:t>
      </w:r>
      <w:r w:rsidR="004B35DD">
        <w:t xml:space="preserve">were </w:t>
      </w:r>
      <w:r w:rsidR="004B35DD" w:rsidRPr="004B35DD">
        <w:t xml:space="preserve">based on </w:t>
      </w:r>
      <w:r w:rsidR="004B35DD">
        <w:t>a w</w:t>
      </w:r>
      <w:r w:rsidR="004B35DD" w:rsidRPr="004B35DD">
        <w:t>eighted average treatment duration of 37.21 months</w:t>
      </w:r>
      <w:r w:rsidR="004B35DD">
        <w:t>,</w:t>
      </w:r>
      <w:r w:rsidR="004B35DD" w:rsidRPr="004B35DD">
        <w:t xml:space="preserve"> therefore, </w:t>
      </w:r>
      <w:r w:rsidR="00AC4FC1" w:rsidRPr="00AC4FC1">
        <w:t xml:space="preserve">the effects of the </w:t>
      </w:r>
      <w:r w:rsidR="00AC4FC1">
        <w:t xml:space="preserve">RSA </w:t>
      </w:r>
      <w:r w:rsidR="00AC4FC1" w:rsidRPr="00AC4FC1">
        <w:t xml:space="preserve">caps would not </w:t>
      </w:r>
      <w:r w:rsidR="006F049E" w:rsidRPr="006F049E">
        <w:t xml:space="preserve">be seen </w:t>
      </w:r>
      <w:r w:rsidR="00AC4FC1" w:rsidRPr="00AC4FC1">
        <w:t>until Year 3 or 4</w:t>
      </w:r>
      <w:r w:rsidR="00AC4FC1">
        <w:t xml:space="preserve"> of the deed</w:t>
      </w:r>
      <w:r w:rsidR="00AC4FC1" w:rsidRPr="00AC4FC1">
        <w:t>.</w:t>
      </w:r>
      <w:r w:rsidR="004B35DD" w:rsidRPr="004B35DD">
        <w:t xml:space="preserve"> However, </w:t>
      </w:r>
      <w:r w:rsidR="00186149" w:rsidRPr="00186149">
        <w:t>the actual utili</w:t>
      </w:r>
      <w:r w:rsidR="00186149">
        <w:t>s</w:t>
      </w:r>
      <w:r w:rsidR="00186149" w:rsidRPr="00186149">
        <w:t xml:space="preserve">ation of </w:t>
      </w:r>
      <w:r w:rsidR="00186149">
        <w:t xml:space="preserve">zanubrutinib over </w:t>
      </w:r>
      <w:r w:rsidR="00186149" w:rsidRPr="00186149">
        <w:t>the first two years of its listing has significantly exceeded the</w:t>
      </w:r>
      <w:r w:rsidR="00186149">
        <w:t xml:space="preserve"> previous</w:t>
      </w:r>
      <w:r w:rsidR="00186149" w:rsidRPr="00186149">
        <w:t xml:space="preserve"> estimates</w:t>
      </w:r>
      <w:r w:rsidR="00186149">
        <w:t xml:space="preserve">. </w:t>
      </w:r>
      <w:r w:rsidR="00C044A9" w:rsidRPr="00C044A9">
        <w:t xml:space="preserve">The PBAC was of the view that, for this reason, the </w:t>
      </w:r>
      <w:r w:rsidR="00C044A9" w:rsidRPr="00C044A9">
        <w:lastRenderedPageBreak/>
        <w:t xml:space="preserve">previously recommended ICERs </w:t>
      </w:r>
      <w:r w:rsidR="00C044A9">
        <w:t xml:space="preserve">would </w:t>
      </w:r>
      <w:r w:rsidR="00C044A9" w:rsidRPr="00C044A9">
        <w:t>remain acceptable with the increased subsidi</w:t>
      </w:r>
      <w:r w:rsidR="00C044A9">
        <w:t>s</w:t>
      </w:r>
      <w:r w:rsidR="00C044A9" w:rsidRPr="00C044A9">
        <w:t>ation caps to achieve the cost-effectiveness of</w:t>
      </w:r>
      <w:r w:rsidR="00C044A9">
        <w:t xml:space="preserve"> zanubrutinib. </w:t>
      </w:r>
    </w:p>
    <w:p w14:paraId="0760AAE9" w14:textId="3551601E" w:rsidR="008C388D" w:rsidRDefault="00B117F3" w:rsidP="00685447">
      <w:pPr>
        <w:pStyle w:val="3Bodytext"/>
        <w:jc w:val="both"/>
        <w:rPr>
          <w:rFonts w:eastAsia="Times New Roman" w:cs="Arial"/>
          <w:snapToGrid w:val="0"/>
          <w:szCs w:val="24"/>
          <w:lang w:val="en-GB"/>
        </w:rPr>
      </w:pPr>
      <w:r>
        <w:rPr>
          <w:snapToGrid w:val="0"/>
          <w:lang w:val="en-GB"/>
        </w:rPr>
        <w:t>The PBAC noted that the submission estimated 37% of asymptomatic patients would require treatment between 4 and 10 years after diagnosis</w:t>
      </w:r>
      <w:r w:rsidR="0062673A" w:rsidRPr="0062673A">
        <w:t xml:space="preserve"> </w:t>
      </w:r>
      <w:r w:rsidR="0062673A">
        <w:t>(</w:t>
      </w:r>
      <w:r w:rsidR="0062673A" w:rsidRPr="00A057C3">
        <w:t>Maqbool 2020</w:t>
      </w:r>
      <w:r w:rsidR="0062673A">
        <w:t xml:space="preserve">), </w:t>
      </w:r>
      <w:r w:rsidR="0062673A">
        <w:rPr>
          <w:snapToGrid w:val="0"/>
          <w:lang w:val="en-GB"/>
        </w:rPr>
        <w:t xml:space="preserve">impacting </w:t>
      </w:r>
      <w:r w:rsidRPr="0062673A">
        <w:rPr>
          <w:snapToGrid w:val="0"/>
          <w:lang w:val="en-GB"/>
        </w:rPr>
        <w:t xml:space="preserve">both </w:t>
      </w:r>
      <w:r w:rsidR="0062673A">
        <w:rPr>
          <w:snapToGrid w:val="0"/>
          <w:lang w:val="en-GB"/>
        </w:rPr>
        <w:t xml:space="preserve">the </w:t>
      </w:r>
      <w:r w:rsidRPr="0062673A">
        <w:rPr>
          <w:snapToGrid w:val="0"/>
          <w:lang w:val="en-GB"/>
        </w:rPr>
        <w:t xml:space="preserve">TN and R/R prevalence. As such, </w:t>
      </w:r>
      <w:r w:rsidR="0062673A">
        <w:rPr>
          <w:snapToGrid w:val="0"/>
          <w:lang w:val="en-GB"/>
        </w:rPr>
        <w:t xml:space="preserve">the </w:t>
      </w:r>
      <w:r w:rsidRPr="0062673A">
        <w:rPr>
          <w:snapToGrid w:val="0"/>
          <w:lang w:val="en-GB"/>
        </w:rPr>
        <w:t>previously used 5-year prevalence</w:t>
      </w:r>
      <w:r w:rsidR="00937F71">
        <w:rPr>
          <w:snapToGrid w:val="0"/>
          <w:lang w:val="en-GB"/>
        </w:rPr>
        <w:t>,</w:t>
      </w:r>
      <w:r w:rsidR="0062673A">
        <w:rPr>
          <w:snapToGrid w:val="0"/>
          <w:lang w:val="en-GB"/>
        </w:rPr>
        <w:t xml:space="preserve"> </w:t>
      </w:r>
      <w:r w:rsidR="00937F71" w:rsidRPr="00937F71">
        <w:rPr>
          <w:snapToGrid w:val="0"/>
          <w:lang w:val="en-GB"/>
        </w:rPr>
        <w:t>which excluded patients diagnosed 5</w:t>
      </w:r>
      <w:r w:rsidR="00937F71">
        <w:rPr>
          <w:snapToGrid w:val="0"/>
          <w:lang w:val="en-GB"/>
        </w:rPr>
        <w:t> </w:t>
      </w:r>
      <w:r w:rsidR="00937F71" w:rsidRPr="00937F71">
        <w:rPr>
          <w:snapToGrid w:val="0"/>
          <w:lang w:val="en-GB"/>
        </w:rPr>
        <w:t xml:space="preserve">years ago, </w:t>
      </w:r>
      <w:r w:rsidR="00937F71">
        <w:rPr>
          <w:snapToGrid w:val="0"/>
          <w:lang w:val="en-GB"/>
        </w:rPr>
        <w:t xml:space="preserve">was considered to be </w:t>
      </w:r>
      <w:r w:rsidR="0062673A">
        <w:rPr>
          <w:snapToGrid w:val="0"/>
          <w:lang w:val="en-GB"/>
        </w:rPr>
        <w:t>a</w:t>
      </w:r>
      <w:r w:rsidR="00467F1C">
        <w:rPr>
          <w:snapToGrid w:val="0"/>
          <w:lang w:val="en-GB"/>
        </w:rPr>
        <w:t xml:space="preserve">n inappropriate </w:t>
      </w:r>
      <w:r w:rsidR="0062673A">
        <w:rPr>
          <w:snapToGrid w:val="0"/>
          <w:lang w:val="en-GB"/>
        </w:rPr>
        <w:t>approach</w:t>
      </w:r>
      <w:r w:rsidRPr="0062673A">
        <w:rPr>
          <w:snapToGrid w:val="0"/>
          <w:lang w:val="en-GB"/>
        </w:rPr>
        <w:t xml:space="preserve">. </w:t>
      </w:r>
      <w:r w:rsidR="00937F71" w:rsidRPr="00937F71">
        <w:rPr>
          <w:rFonts w:eastAsia="Times New Roman" w:cs="Arial"/>
          <w:snapToGrid w:val="0"/>
          <w:szCs w:val="24"/>
          <w:lang w:val="en-GB"/>
        </w:rPr>
        <w:t xml:space="preserve">With the representativeness of the US SEER </w:t>
      </w:r>
      <w:r w:rsidR="00937F71">
        <w:rPr>
          <w:rFonts w:eastAsia="Times New Roman" w:cs="Arial"/>
          <w:snapToGrid w:val="0"/>
          <w:szCs w:val="24"/>
          <w:lang w:val="en-GB"/>
        </w:rPr>
        <w:t xml:space="preserve">data </w:t>
      </w:r>
      <w:r w:rsidR="00937F71" w:rsidRPr="00937F71">
        <w:rPr>
          <w:rFonts w:eastAsia="Times New Roman" w:cs="Arial"/>
          <w:snapToGrid w:val="0"/>
          <w:szCs w:val="24"/>
          <w:lang w:val="en-GB"/>
        </w:rPr>
        <w:t>in the absence of Australian survival data beyond 5</w:t>
      </w:r>
      <w:r w:rsidR="00937F71">
        <w:rPr>
          <w:rFonts w:eastAsia="Times New Roman" w:cs="Arial"/>
          <w:snapToGrid w:val="0"/>
          <w:szCs w:val="24"/>
          <w:lang w:val="en-GB"/>
        </w:rPr>
        <w:t> </w:t>
      </w:r>
      <w:r w:rsidR="00937F71" w:rsidRPr="00937F71">
        <w:rPr>
          <w:rFonts w:eastAsia="Times New Roman" w:cs="Arial"/>
          <w:snapToGrid w:val="0"/>
          <w:szCs w:val="24"/>
          <w:lang w:val="en-GB"/>
        </w:rPr>
        <w:t xml:space="preserve">years, the PBAC </w:t>
      </w:r>
      <w:r w:rsidR="004C1EAD">
        <w:rPr>
          <w:rFonts w:eastAsia="Times New Roman" w:cs="Arial"/>
          <w:snapToGrid w:val="0"/>
          <w:szCs w:val="24"/>
          <w:lang w:val="en-GB"/>
        </w:rPr>
        <w:t xml:space="preserve">considered that </w:t>
      </w:r>
      <w:r w:rsidR="00937F71" w:rsidRPr="00937F71">
        <w:rPr>
          <w:rFonts w:eastAsia="Times New Roman" w:cs="Arial"/>
          <w:snapToGrid w:val="0"/>
          <w:szCs w:val="24"/>
          <w:lang w:val="en-GB"/>
        </w:rPr>
        <w:t xml:space="preserve">the use of </w:t>
      </w:r>
      <w:r w:rsidR="00AF252A" w:rsidRPr="00AF252A">
        <w:rPr>
          <w:rFonts w:eastAsia="Times New Roman" w:cs="Arial"/>
          <w:snapToGrid w:val="0"/>
          <w:szCs w:val="24"/>
          <w:lang w:val="en-GB"/>
        </w:rPr>
        <w:t>Castillo</w:t>
      </w:r>
      <w:r w:rsidR="002C6D9A">
        <w:rPr>
          <w:rFonts w:eastAsia="Times New Roman" w:cs="Arial"/>
          <w:snapToGrid w:val="0"/>
          <w:szCs w:val="24"/>
          <w:lang w:val="en-GB"/>
        </w:rPr>
        <w:t> </w:t>
      </w:r>
      <w:r w:rsidR="00AF252A" w:rsidRPr="00AF252A">
        <w:rPr>
          <w:rFonts w:eastAsia="Times New Roman" w:cs="Arial"/>
          <w:snapToGrid w:val="0"/>
          <w:szCs w:val="24"/>
          <w:lang w:val="en-GB"/>
        </w:rPr>
        <w:t xml:space="preserve">2015 and Yin 2020 </w:t>
      </w:r>
      <w:r w:rsidR="00937F71" w:rsidRPr="00937F71">
        <w:rPr>
          <w:rFonts w:eastAsia="Times New Roman" w:cs="Arial"/>
          <w:snapToGrid w:val="0"/>
          <w:szCs w:val="24"/>
          <w:lang w:val="en-GB"/>
        </w:rPr>
        <w:t xml:space="preserve">data to estimate </w:t>
      </w:r>
      <w:r w:rsidR="004C1EAD">
        <w:rPr>
          <w:rFonts w:eastAsia="Times New Roman" w:cs="Arial"/>
          <w:snapToGrid w:val="0"/>
          <w:szCs w:val="24"/>
          <w:lang w:val="en-GB"/>
        </w:rPr>
        <w:t>the</w:t>
      </w:r>
      <w:r w:rsidR="00937F71">
        <w:rPr>
          <w:rFonts w:eastAsia="Times New Roman" w:cs="Arial"/>
          <w:snapToGrid w:val="0"/>
          <w:szCs w:val="24"/>
          <w:lang w:val="en-GB"/>
        </w:rPr>
        <w:t xml:space="preserve"> </w:t>
      </w:r>
      <w:r w:rsidR="00937F71" w:rsidRPr="00937F71">
        <w:rPr>
          <w:rFonts w:eastAsia="Times New Roman" w:cs="Arial"/>
          <w:snapToGrid w:val="0"/>
          <w:szCs w:val="24"/>
          <w:lang w:val="en-GB"/>
        </w:rPr>
        <w:t>ten-year prevalence</w:t>
      </w:r>
      <w:r w:rsidR="00AF252A">
        <w:rPr>
          <w:rFonts w:eastAsia="Times New Roman" w:cs="Arial"/>
          <w:snapToGrid w:val="0"/>
          <w:szCs w:val="24"/>
          <w:lang w:val="en-GB"/>
        </w:rPr>
        <w:t xml:space="preserve"> of WM</w:t>
      </w:r>
      <w:r w:rsidR="00937F71" w:rsidRPr="00937F71">
        <w:rPr>
          <w:rFonts w:eastAsia="Times New Roman" w:cs="Arial"/>
          <w:snapToGrid w:val="0"/>
          <w:szCs w:val="24"/>
          <w:lang w:val="en-GB"/>
        </w:rPr>
        <w:t xml:space="preserve"> in Australia</w:t>
      </w:r>
      <w:r w:rsidR="004C1EAD">
        <w:rPr>
          <w:rFonts w:eastAsia="Times New Roman" w:cs="Arial"/>
          <w:snapToGrid w:val="0"/>
          <w:szCs w:val="24"/>
          <w:lang w:val="en-GB"/>
        </w:rPr>
        <w:t xml:space="preserve"> was appropriate</w:t>
      </w:r>
      <w:r w:rsidR="00937F71" w:rsidRPr="00937F71">
        <w:rPr>
          <w:rFonts w:eastAsia="Times New Roman" w:cs="Arial"/>
          <w:snapToGrid w:val="0"/>
          <w:szCs w:val="24"/>
          <w:lang w:val="en-GB"/>
        </w:rPr>
        <w:t xml:space="preserve">, noting that </w:t>
      </w:r>
      <w:r w:rsidR="00AF252A" w:rsidRPr="00AF252A">
        <w:rPr>
          <w:rFonts w:eastAsia="Times New Roman" w:cs="Arial"/>
          <w:snapToGrid w:val="0"/>
          <w:szCs w:val="24"/>
          <w:lang w:val="en-GB"/>
        </w:rPr>
        <w:t>the survival rates from Australian and US data were</w:t>
      </w:r>
      <w:r w:rsidR="00AF252A">
        <w:rPr>
          <w:rFonts w:eastAsia="Times New Roman" w:cs="Arial"/>
          <w:snapToGrid w:val="0"/>
          <w:szCs w:val="24"/>
          <w:lang w:val="en-GB"/>
        </w:rPr>
        <w:t xml:space="preserve"> comparable</w:t>
      </w:r>
      <w:r w:rsidR="00AF252A" w:rsidRPr="00AF252A">
        <w:rPr>
          <w:rFonts w:eastAsia="Times New Roman" w:cs="Arial"/>
          <w:snapToGrid w:val="0"/>
          <w:szCs w:val="24"/>
          <w:lang w:val="en-GB"/>
        </w:rPr>
        <w:t xml:space="preserve">, as </w:t>
      </w:r>
      <w:r w:rsidR="00AF252A">
        <w:rPr>
          <w:rFonts w:eastAsia="Times New Roman" w:cs="Arial"/>
          <w:snapToGrid w:val="0"/>
          <w:szCs w:val="24"/>
          <w:lang w:val="en-GB"/>
        </w:rPr>
        <w:t xml:space="preserve">informed </w:t>
      </w:r>
      <w:r w:rsidR="00AF252A" w:rsidRPr="00AF252A">
        <w:rPr>
          <w:rFonts w:eastAsia="Times New Roman" w:cs="Arial"/>
          <w:snapToGrid w:val="0"/>
          <w:szCs w:val="24"/>
          <w:lang w:val="en-GB"/>
        </w:rPr>
        <w:t xml:space="preserve">by </w:t>
      </w:r>
      <w:r w:rsidR="00AF252A">
        <w:rPr>
          <w:rFonts w:eastAsia="Times New Roman" w:cs="Arial"/>
          <w:snapToGrid w:val="0"/>
          <w:szCs w:val="24"/>
          <w:lang w:val="en-GB"/>
        </w:rPr>
        <w:t xml:space="preserve">the </w:t>
      </w:r>
      <w:r w:rsidR="00AF252A" w:rsidRPr="00AF252A">
        <w:rPr>
          <w:rFonts w:eastAsia="Times New Roman" w:cs="Arial"/>
          <w:snapToGrid w:val="0"/>
          <w:szCs w:val="24"/>
          <w:lang w:val="en-GB"/>
        </w:rPr>
        <w:t xml:space="preserve">comparison across various </w:t>
      </w:r>
      <w:r w:rsidR="00AF252A">
        <w:rPr>
          <w:rFonts w:eastAsia="Times New Roman" w:cs="Arial"/>
          <w:snapToGrid w:val="0"/>
          <w:szCs w:val="24"/>
          <w:lang w:val="en-GB"/>
        </w:rPr>
        <w:t>studies in the pre</w:t>
      </w:r>
      <w:r w:rsidR="002C6D9A">
        <w:rPr>
          <w:rFonts w:eastAsia="Times New Roman" w:cs="Arial"/>
          <w:snapToGrid w:val="0"/>
          <w:szCs w:val="24"/>
          <w:lang w:val="en-GB"/>
        </w:rPr>
        <w:noBreakHyphen/>
      </w:r>
      <w:r w:rsidR="00AF252A">
        <w:rPr>
          <w:rFonts w:eastAsia="Times New Roman" w:cs="Arial"/>
          <w:snapToGrid w:val="0"/>
          <w:szCs w:val="24"/>
          <w:lang w:val="en-GB"/>
        </w:rPr>
        <w:t xml:space="preserve">PBAC response. </w:t>
      </w:r>
    </w:p>
    <w:p w14:paraId="7AF9B4D7" w14:textId="2126BBAC" w:rsidR="00237E60" w:rsidRDefault="00237E60" w:rsidP="00233355">
      <w:pPr>
        <w:pStyle w:val="3Bodytext"/>
        <w:jc w:val="both"/>
        <w:rPr>
          <w:rFonts w:eastAsia="Times New Roman" w:cs="Arial"/>
          <w:snapToGrid w:val="0"/>
          <w:szCs w:val="24"/>
          <w:lang w:val="en-GB"/>
        </w:rPr>
      </w:pPr>
      <w:r w:rsidRPr="009B7848">
        <w:rPr>
          <w:rFonts w:eastAsia="Times New Roman" w:cs="Arial"/>
          <w:snapToGrid w:val="0"/>
          <w:szCs w:val="24"/>
          <w:lang w:val="en-GB"/>
        </w:rPr>
        <w:t xml:space="preserve">The PBAC noted that it would have been beneficial </w:t>
      </w:r>
      <w:r w:rsidR="00857421">
        <w:rPr>
          <w:rFonts w:eastAsia="Times New Roman" w:cs="Arial"/>
          <w:snapToGrid w:val="0"/>
          <w:szCs w:val="24"/>
          <w:lang w:val="en-GB"/>
        </w:rPr>
        <w:t xml:space="preserve">for the sponsor </w:t>
      </w:r>
      <w:r w:rsidRPr="009B7848">
        <w:rPr>
          <w:rFonts w:eastAsia="Times New Roman" w:cs="Arial"/>
          <w:snapToGrid w:val="0"/>
          <w:szCs w:val="24"/>
          <w:lang w:val="en-GB"/>
        </w:rPr>
        <w:t xml:space="preserve">to </w:t>
      </w:r>
      <w:r w:rsidR="00502A4F" w:rsidRPr="009B7848">
        <w:rPr>
          <w:rFonts w:eastAsia="Times New Roman" w:cs="Arial"/>
          <w:snapToGrid w:val="0"/>
          <w:szCs w:val="24"/>
          <w:lang w:val="en-GB"/>
        </w:rPr>
        <w:t>demonstrate how these epidemiological changes</w:t>
      </w:r>
      <w:r w:rsidR="002600ED">
        <w:rPr>
          <w:rFonts w:eastAsia="Times New Roman" w:cs="Arial"/>
          <w:snapToGrid w:val="0"/>
          <w:szCs w:val="24"/>
          <w:lang w:val="en-GB"/>
        </w:rPr>
        <w:t>, especially incidence and prevalence,</w:t>
      </w:r>
      <w:r w:rsidR="00502A4F" w:rsidRPr="009B7848">
        <w:rPr>
          <w:rFonts w:eastAsia="Times New Roman" w:cs="Arial"/>
          <w:snapToGrid w:val="0"/>
          <w:szCs w:val="24"/>
          <w:lang w:val="en-GB"/>
        </w:rPr>
        <w:t xml:space="preserve"> </w:t>
      </w:r>
      <w:r w:rsidR="00F2428E">
        <w:rPr>
          <w:rFonts w:eastAsia="Times New Roman" w:cs="Arial"/>
          <w:snapToGrid w:val="0"/>
          <w:szCs w:val="24"/>
          <w:lang w:val="en-GB"/>
        </w:rPr>
        <w:t xml:space="preserve">influence </w:t>
      </w:r>
      <w:r w:rsidR="002600ED">
        <w:rPr>
          <w:rFonts w:eastAsia="Times New Roman" w:cs="Arial"/>
          <w:snapToGrid w:val="0"/>
          <w:szCs w:val="24"/>
          <w:lang w:val="en-GB"/>
        </w:rPr>
        <w:t xml:space="preserve">financial estimates independently of the impact of limiting the treatment duration. The PBAC indicated that </w:t>
      </w:r>
      <w:r w:rsidR="009B7848" w:rsidRPr="009B7848">
        <w:rPr>
          <w:rFonts w:eastAsia="Times New Roman" w:cs="Arial"/>
          <w:snapToGrid w:val="0"/>
          <w:szCs w:val="24"/>
          <w:lang w:val="en-GB"/>
        </w:rPr>
        <w:t>similar pattern</w:t>
      </w:r>
      <w:r w:rsidR="00F2428E">
        <w:rPr>
          <w:rFonts w:eastAsia="Times New Roman" w:cs="Arial"/>
          <w:snapToGrid w:val="0"/>
          <w:szCs w:val="24"/>
          <w:lang w:val="en-GB"/>
        </w:rPr>
        <w:t>s</w:t>
      </w:r>
      <w:r w:rsidR="009B7848" w:rsidRPr="009B7848">
        <w:rPr>
          <w:rFonts w:eastAsia="Times New Roman" w:cs="Arial"/>
          <w:snapToGrid w:val="0"/>
          <w:szCs w:val="24"/>
          <w:lang w:val="en-GB"/>
        </w:rPr>
        <w:t xml:space="preserve"> </w:t>
      </w:r>
      <w:r w:rsidR="002600ED">
        <w:rPr>
          <w:rFonts w:eastAsia="Times New Roman" w:cs="Arial"/>
          <w:snapToGrid w:val="0"/>
          <w:szCs w:val="24"/>
          <w:lang w:val="en-GB"/>
        </w:rPr>
        <w:t xml:space="preserve">are expected </w:t>
      </w:r>
      <w:r w:rsidR="00F2428E">
        <w:rPr>
          <w:rFonts w:eastAsia="Times New Roman" w:cs="Arial"/>
          <w:snapToGrid w:val="0"/>
          <w:szCs w:val="24"/>
          <w:lang w:val="en-GB"/>
        </w:rPr>
        <w:t xml:space="preserve">for the </w:t>
      </w:r>
      <w:r w:rsidR="009B7848" w:rsidRPr="009B7848">
        <w:rPr>
          <w:rFonts w:eastAsia="Times New Roman" w:cs="Arial"/>
          <w:snapToGrid w:val="0"/>
          <w:szCs w:val="24"/>
          <w:lang w:val="en-GB"/>
        </w:rPr>
        <w:t>increase in patient numbers</w:t>
      </w:r>
      <w:r w:rsidR="003F3C0C">
        <w:rPr>
          <w:rFonts w:eastAsia="Times New Roman" w:cs="Arial"/>
          <w:snapToGrid w:val="0"/>
          <w:szCs w:val="24"/>
          <w:lang w:val="en-GB"/>
        </w:rPr>
        <w:t>,</w:t>
      </w:r>
      <w:r w:rsidR="009B7848" w:rsidRPr="009B7848">
        <w:rPr>
          <w:rFonts w:eastAsia="Times New Roman" w:cs="Arial"/>
          <w:snapToGrid w:val="0"/>
          <w:szCs w:val="24"/>
          <w:lang w:val="en-GB"/>
        </w:rPr>
        <w:t xml:space="preserve"> </w:t>
      </w:r>
      <w:r w:rsidR="003F3C0C" w:rsidRPr="003F3C0C">
        <w:rPr>
          <w:rFonts w:eastAsia="Times New Roman" w:cs="Arial"/>
          <w:snapToGrid w:val="0"/>
          <w:szCs w:val="24"/>
          <w:lang w:val="en-GB"/>
        </w:rPr>
        <w:t xml:space="preserve">irrespective of lines of therapy, </w:t>
      </w:r>
      <w:r w:rsidR="002600ED">
        <w:rPr>
          <w:rFonts w:eastAsia="Times New Roman" w:cs="Arial"/>
          <w:snapToGrid w:val="0"/>
          <w:szCs w:val="24"/>
          <w:lang w:val="en-GB"/>
        </w:rPr>
        <w:t>before and after applying the duration impact</w:t>
      </w:r>
      <w:r w:rsidR="007C17DC">
        <w:rPr>
          <w:rFonts w:eastAsia="Times New Roman" w:cs="Arial"/>
          <w:snapToGrid w:val="0"/>
          <w:szCs w:val="24"/>
          <w:lang w:val="en-GB"/>
        </w:rPr>
        <w:t>, however,</w:t>
      </w:r>
      <w:r w:rsidR="002600ED">
        <w:rPr>
          <w:rFonts w:eastAsia="Times New Roman" w:cs="Arial"/>
          <w:snapToGrid w:val="0"/>
          <w:szCs w:val="24"/>
          <w:lang w:val="en-GB"/>
        </w:rPr>
        <w:t xml:space="preserve"> </w:t>
      </w:r>
      <w:r w:rsidR="007C17DC">
        <w:rPr>
          <w:rFonts w:eastAsia="Times New Roman" w:cs="Arial"/>
          <w:snapToGrid w:val="0"/>
          <w:szCs w:val="24"/>
          <w:lang w:val="en-GB"/>
        </w:rPr>
        <w:t xml:space="preserve">the PBAC considered it had become more challenging to verify </w:t>
      </w:r>
      <w:r w:rsidR="009B7848" w:rsidRPr="009B7848">
        <w:rPr>
          <w:rFonts w:eastAsia="Times New Roman" w:cs="Arial"/>
          <w:snapToGrid w:val="0"/>
          <w:szCs w:val="24"/>
          <w:lang w:val="en-GB"/>
        </w:rPr>
        <w:t xml:space="preserve">due to </w:t>
      </w:r>
      <w:r w:rsidR="007C17DC">
        <w:rPr>
          <w:rFonts w:eastAsia="Times New Roman" w:cs="Arial"/>
          <w:snapToGrid w:val="0"/>
          <w:szCs w:val="24"/>
          <w:lang w:val="en-GB"/>
        </w:rPr>
        <w:t xml:space="preserve">the modifications </w:t>
      </w:r>
      <w:r w:rsidR="009B7848" w:rsidRPr="009B7848">
        <w:rPr>
          <w:rFonts w:eastAsia="Times New Roman" w:cs="Arial"/>
          <w:snapToGrid w:val="0"/>
          <w:szCs w:val="24"/>
          <w:lang w:val="en-GB"/>
        </w:rPr>
        <w:t>made in the pre-PBAC response</w:t>
      </w:r>
      <w:r w:rsidR="00C73FAB">
        <w:rPr>
          <w:rFonts w:eastAsia="Times New Roman" w:cs="Arial"/>
          <w:snapToGrid w:val="0"/>
          <w:szCs w:val="24"/>
          <w:lang w:val="en-GB"/>
        </w:rPr>
        <w:t>.</w:t>
      </w:r>
    </w:p>
    <w:p w14:paraId="2B30D7E5" w14:textId="6E5A7670" w:rsidR="002C0390" w:rsidRDefault="00AE1B86" w:rsidP="00AE1B86">
      <w:pPr>
        <w:pStyle w:val="3Bodytext"/>
        <w:jc w:val="both"/>
        <w:rPr>
          <w:rFonts w:eastAsia="Times New Roman" w:cs="Arial"/>
          <w:snapToGrid w:val="0"/>
          <w:szCs w:val="24"/>
          <w:lang w:val="en-GB"/>
        </w:rPr>
      </w:pPr>
      <w:bookmarkStart w:id="55" w:name="_Hlk172715316"/>
      <w:r w:rsidRPr="00AE1B86">
        <w:rPr>
          <w:rFonts w:eastAsia="Times New Roman" w:cs="Arial"/>
          <w:snapToGrid w:val="0"/>
          <w:szCs w:val="24"/>
          <w:lang w:val="en-GB"/>
        </w:rPr>
        <w:t>The PBAC advised that</w:t>
      </w:r>
      <w:r w:rsidR="00807408">
        <w:rPr>
          <w:rFonts w:eastAsia="Times New Roman" w:cs="Arial"/>
          <w:snapToGrid w:val="0"/>
          <w:szCs w:val="24"/>
          <w:lang w:val="en-GB"/>
        </w:rPr>
        <w:t xml:space="preserve">, </w:t>
      </w:r>
      <w:r w:rsidR="00986769" w:rsidRPr="00986769">
        <w:rPr>
          <w:rFonts w:eastAsia="Times New Roman" w:cs="Arial"/>
          <w:snapToGrid w:val="0"/>
          <w:szCs w:val="24"/>
          <w:lang w:val="en-GB"/>
        </w:rPr>
        <w:t>in addition to the epidemiological changes,</w:t>
      </w:r>
      <w:r w:rsidRPr="00AE1B86">
        <w:rPr>
          <w:rFonts w:eastAsia="Times New Roman" w:cs="Arial"/>
          <w:snapToGrid w:val="0"/>
          <w:szCs w:val="24"/>
          <w:lang w:val="en-GB"/>
        </w:rPr>
        <w:t xml:space="preserve"> </w:t>
      </w:r>
      <w:r w:rsidR="002C0390" w:rsidRPr="002C0390">
        <w:rPr>
          <w:rFonts w:eastAsia="Times New Roman" w:cs="Arial"/>
          <w:snapToGrid w:val="0"/>
          <w:szCs w:val="24"/>
          <w:lang w:val="en-GB"/>
        </w:rPr>
        <w:t>the revised utili</w:t>
      </w:r>
      <w:r w:rsidR="002C0390">
        <w:rPr>
          <w:rFonts w:eastAsia="Times New Roman" w:cs="Arial"/>
          <w:snapToGrid w:val="0"/>
          <w:szCs w:val="24"/>
          <w:lang w:val="en-GB"/>
        </w:rPr>
        <w:t>s</w:t>
      </w:r>
      <w:r w:rsidR="002C0390" w:rsidRPr="002C0390">
        <w:rPr>
          <w:rFonts w:eastAsia="Times New Roman" w:cs="Arial"/>
          <w:snapToGrid w:val="0"/>
          <w:szCs w:val="24"/>
          <w:lang w:val="en-GB"/>
        </w:rPr>
        <w:t>ation and financial estimates that underpin the increased subsidi</w:t>
      </w:r>
      <w:r w:rsidR="002C0390">
        <w:rPr>
          <w:rFonts w:eastAsia="Times New Roman" w:cs="Arial"/>
          <w:snapToGrid w:val="0"/>
          <w:szCs w:val="24"/>
          <w:lang w:val="en-GB"/>
        </w:rPr>
        <w:t>s</w:t>
      </w:r>
      <w:r w:rsidR="002C0390" w:rsidRPr="002C0390">
        <w:rPr>
          <w:rFonts w:eastAsia="Times New Roman" w:cs="Arial"/>
          <w:snapToGrid w:val="0"/>
          <w:szCs w:val="24"/>
          <w:lang w:val="en-GB"/>
        </w:rPr>
        <w:t>ation caps should be based on the appropriate inputs:</w:t>
      </w:r>
    </w:p>
    <w:p w14:paraId="1DED03AC" w14:textId="2A5FFA95" w:rsidR="002C0390" w:rsidRPr="002C0390" w:rsidRDefault="00696991" w:rsidP="001A767F">
      <w:pPr>
        <w:pStyle w:val="3Bodytext"/>
        <w:numPr>
          <w:ilvl w:val="0"/>
          <w:numId w:val="19"/>
        </w:numPr>
        <w:ind w:left="1134"/>
        <w:rPr>
          <w:rFonts w:eastAsia="Times New Roman" w:cs="Arial"/>
          <w:snapToGrid w:val="0"/>
          <w:szCs w:val="24"/>
          <w:lang w:val="en-GB"/>
        </w:rPr>
      </w:pPr>
      <w:r>
        <w:rPr>
          <w:rFonts w:eastAsia="Times New Roman" w:cs="Arial"/>
          <w:snapToGrid w:val="0"/>
          <w:szCs w:val="24"/>
          <w:lang w:val="en-GB"/>
        </w:rPr>
        <w:t>r</w:t>
      </w:r>
      <w:r w:rsidR="002C0390" w:rsidRPr="002C0390">
        <w:rPr>
          <w:rFonts w:eastAsia="Times New Roman" w:cs="Arial"/>
          <w:snapToGrid w:val="0"/>
          <w:szCs w:val="24"/>
          <w:lang w:val="en-GB"/>
        </w:rPr>
        <w:t>educed effectiv</w:t>
      </w:r>
      <w:r>
        <w:rPr>
          <w:rFonts w:eastAsia="Times New Roman" w:cs="Arial"/>
          <w:snapToGrid w:val="0"/>
          <w:szCs w:val="24"/>
          <w:lang w:val="en-GB"/>
        </w:rPr>
        <w:t xml:space="preserve">e price for zanubrutinib; and </w:t>
      </w:r>
    </w:p>
    <w:p w14:paraId="352C1EB6" w14:textId="66162A69" w:rsidR="00696991" w:rsidRDefault="00696991" w:rsidP="001A767F">
      <w:pPr>
        <w:pStyle w:val="3Bodytext"/>
        <w:numPr>
          <w:ilvl w:val="0"/>
          <w:numId w:val="19"/>
        </w:numPr>
        <w:ind w:left="1134"/>
        <w:jc w:val="both"/>
        <w:rPr>
          <w:rFonts w:eastAsia="Times New Roman" w:cs="Arial"/>
          <w:snapToGrid w:val="0"/>
          <w:szCs w:val="24"/>
          <w:lang w:val="en-GB"/>
        </w:rPr>
      </w:pPr>
      <w:r>
        <w:rPr>
          <w:rFonts w:eastAsia="Times New Roman" w:cs="Arial"/>
          <w:snapToGrid w:val="0"/>
          <w:szCs w:val="24"/>
          <w:lang w:val="en-GB"/>
        </w:rPr>
        <w:t>c</w:t>
      </w:r>
      <w:r w:rsidR="002C0390" w:rsidRPr="002C0390">
        <w:rPr>
          <w:rFonts w:eastAsia="Times New Roman" w:cs="Arial"/>
          <w:snapToGrid w:val="0"/>
          <w:szCs w:val="24"/>
          <w:lang w:val="en-GB"/>
        </w:rPr>
        <w:t>urrent parameter values</w:t>
      </w:r>
      <w:r w:rsidR="006A641B">
        <w:rPr>
          <w:rFonts w:eastAsia="Times New Roman" w:cs="Arial"/>
          <w:snapToGrid w:val="0"/>
          <w:szCs w:val="24"/>
          <w:lang w:val="en-GB"/>
        </w:rPr>
        <w:t xml:space="preserve">, especially </w:t>
      </w:r>
      <w:r w:rsidR="002C0390" w:rsidRPr="002C0390">
        <w:rPr>
          <w:rFonts w:eastAsia="Times New Roman" w:cs="Arial"/>
          <w:snapToGrid w:val="0"/>
          <w:szCs w:val="24"/>
          <w:lang w:val="en-GB"/>
        </w:rPr>
        <w:t>patient co-payments</w:t>
      </w:r>
      <w:r w:rsidR="00E4365F">
        <w:rPr>
          <w:rFonts w:eastAsia="Times New Roman" w:cs="Arial"/>
          <w:snapToGrid w:val="0"/>
          <w:szCs w:val="24"/>
          <w:lang w:val="en-GB"/>
        </w:rPr>
        <w:t xml:space="preserve"> to be derived from </w:t>
      </w:r>
      <w:r w:rsidR="00986769" w:rsidRPr="00986769">
        <w:rPr>
          <w:rFonts w:eastAsia="Times New Roman" w:cs="Arial"/>
          <w:snapToGrid w:val="0"/>
          <w:szCs w:val="24"/>
          <w:lang w:val="en-GB"/>
        </w:rPr>
        <w:t xml:space="preserve">the prescription split between patient categories using actual </w:t>
      </w:r>
      <w:r w:rsidR="00E4365F">
        <w:rPr>
          <w:rFonts w:eastAsia="Times New Roman" w:cs="Arial"/>
          <w:snapToGrid w:val="0"/>
          <w:szCs w:val="24"/>
          <w:lang w:val="en-GB"/>
        </w:rPr>
        <w:t xml:space="preserve">zanubrutinib PBS service data (see paragraph </w:t>
      </w:r>
      <w:r w:rsidR="00E4365F">
        <w:rPr>
          <w:rFonts w:eastAsia="Times New Roman" w:cs="Arial"/>
          <w:snapToGrid w:val="0"/>
          <w:szCs w:val="24"/>
          <w:lang w:val="en-GB"/>
        </w:rPr>
        <w:fldChar w:fldCharType="begin" w:fldLock="1"/>
      </w:r>
      <w:r w:rsidR="00E4365F">
        <w:rPr>
          <w:rFonts w:eastAsia="Times New Roman" w:cs="Arial"/>
          <w:snapToGrid w:val="0"/>
          <w:szCs w:val="24"/>
          <w:lang w:val="en-GB"/>
        </w:rPr>
        <w:instrText xml:space="preserve"> REF _Ref173164894 \r \h  \* MERGEFORMAT </w:instrText>
      </w:r>
      <w:r w:rsidR="00E4365F">
        <w:rPr>
          <w:rFonts w:eastAsia="Times New Roman" w:cs="Arial"/>
          <w:snapToGrid w:val="0"/>
          <w:szCs w:val="24"/>
          <w:lang w:val="en-GB"/>
        </w:rPr>
      </w:r>
      <w:r w:rsidR="00E4365F">
        <w:rPr>
          <w:rFonts w:eastAsia="Times New Roman" w:cs="Arial"/>
          <w:snapToGrid w:val="0"/>
          <w:szCs w:val="24"/>
          <w:lang w:val="en-GB"/>
        </w:rPr>
        <w:fldChar w:fldCharType="separate"/>
      </w:r>
      <w:r w:rsidR="00986769">
        <w:rPr>
          <w:rFonts w:eastAsia="Times New Roman" w:cs="Arial"/>
          <w:snapToGrid w:val="0"/>
          <w:szCs w:val="24"/>
          <w:lang w:val="en-GB"/>
        </w:rPr>
        <w:t>4.27</w:t>
      </w:r>
      <w:r w:rsidR="00E4365F">
        <w:rPr>
          <w:rFonts w:eastAsia="Times New Roman" w:cs="Arial"/>
          <w:snapToGrid w:val="0"/>
          <w:szCs w:val="24"/>
          <w:lang w:val="en-GB"/>
        </w:rPr>
        <w:fldChar w:fldCharType="end"/>
      </w:r>
      <w:r w:rsidR="002C0390" w:rsidRPr="002C0390">
        <w:rPr>
          <w:rFonts w:eastAsia="Times New Roman" w:cs="Arial"/>
          <w:snapToGrid w:val="0"/>
          <w:szCs w:val="24"/>
          <w:lang w:val="en-GB"/>
        </w:rPr>
        <w:t>)</w:t>
      </w:r>
      <w:r>
        <w:rPr>
          <w:rFonts w:eastAsia="Times New Roman" w:cs="Arial"/>
          <w:snapToGrid w:val="0"/>
          <w:szCs w:val="24"/>
          <w:lang w:val="en-GB"/>
        </w:rPr>
        <w:t>.</w:t>
      </w:r>
    </w:p>
    <w:p w14:paraId="59875688" w14:textId="48DC1F12" w:rsidR="002C0390" w:rsidRPr="00696991" w:rsidRDefault="002C0390" w:rsidP="001A767F">
      <w:pPr>
        <w:pStyle w:val="3Bodytext"/>
        <w:ind w:left="709"/>
        <w:jc w:val="both"/>
        <w:rPr>
          <w:rFonts w:eastAsia="Times New Roman" w:cs="Arial"/>
          <w:snapToGrid w:val="0"/>
          <w:szCs w:val="24"/>
          <w:lang w:val="en-GB"/>
        </w:rPr>
      </w:pPr>
      <w:r w:rsidRPr="00696991">
        <w:rPr>
          <w:rFonts w:eastAsia="Times New Roman" w:cs="Arial"/>
          <w:snapToGrid w:val="0"/>
          <w:szCs w:val="24"/>
          <w:lang w:val="en-GB"/>
        </w:rPr>
        <w:t>The PBAC considered that, while the difficulty in determining the percentage increase in the RSA caps has been compounded by the modifications made in the pre-PBAC response, these estimates are likely to be lower than the proposed subsidi</w:t>
      </w:r>
      <w:r w:rsidR="00696991">
        <w:rPr>
          <w:rFonts w:eastAsia="Times New Roman" w:cs="Arial"/>
          <w:snapToGrid w:val="0"/>
          <w:szCs w:val="24"/>
          <w:lang w:val="en-GB"/>
        </w:rPr>
        <w:t>s</w:t>
      </w:r>
      <w:r w:rsidRPr="00696991">
        <w:rPr>
          <w:rFonts w:eastAsia="Times New Roman" w:cs="Arial"/>
          <w:snapToGrid w:val="0"/>
          <w:szCs w:val="24"/>
          <w:lang w:val="en-GB"/>
        </w:rPr>
        <w:t xml:space="preserve">ation caps outlined in the submission. The PBAC further advised that the RSA caps continue to reflect the average treatment duration of </w:t>
      </w:r>
      <w:r w:rsidR="00696991" w:rsidRPr="00AE1B86">
        <w:rPr>
          <w:rFonts w:eastAsia="Times New Roman" w:cs="Arial"/>
          <w:snapToGrid w:val="0"/>
          <w:szCs w:val="24"/>
          <w:lang w:val="en-GB"/>
        </w:rPr>
        <w:t>37.</w:t>
      </w:r>
      <w:r w:rsidR="00696991" w:rsidRPr="003B358B">
        <w:rPr>
          <w:rFonts w:eastAsia="Times New Roman" w:cs="Arial"/>
          <w:snapToGrid w:val="0"/>
          <w:szCs w:val="24"/>
          <w:lang w:val="en-GB"/>
        </w:rPr>
        <w:t>21</w:t>
      </w:r>
      <w:r w:rsidR="003E3641" w:rsidRPr="003B358B">
        <w:rPr>
          <w:rFonts w:eastAsia="Times New Roman" w:cs="Arial"/>
          <w:snapToGrid w:val="0"/>
          <w:szCs w:val="24"/>
          <w:lang w:val="en-GB"/>
        </w:rPr>
        <w:t xml:space="preserve"> </w:t>
      </w:r>
      <w:r w:rsidRPr="00696991">
        <w:rPr>
          <w:rFonts w:eastAsia="Times New Roman" w:cs="Arial"/>
          <w:snapToGrid w:val="0"/>
          <w:szCs w:val="24"/>
          <w:lang w:val="en-GB"/>
        </w:rPr>
        <w:t>months, aligning with the PBAC's initial intention of achieving cost-effectiveness, although this is not expected to be reali</w:t>
      </w:r>
      <w:r w:rsidR="00696991">
        <w:rPr>
          <w:rFonts w:eastAsia="Times New Roman" w:cs="Arial"/>
          <w:snapToGrid w:val="0"/>
          <w:szCs w:val="24"/>
          <w:lang w:val="en-GB"/>
        </w:rPr>
        <w:t>s</w:t>
      </w:r>
      <w:r w:rsidRPr="00696991">
        <w:rPr>
          <w:rFonts w:eastAsia="Times New Roman" w:cs="Arial"/>
          <w:snapToGrid w:val="0"/>
          <w:szCs w:val="24"/>
          <w:lang w:val="en-GB"/>
        </w:rPr>
        <w:t xml:space="preserve">ed until Year </w:t>
      </w:r>
      <w:r w:rsidR="00696991">
        <w:rPr>
          <w:rFonts w:eastAsia="Times New Roman" w:cs="Arial"/>
          <w:snapToGrid w:val="0"/>
          <w:szCs w:val="24"/>
          <w:lang w:val="en-GB"/>
        </w:rPr>
        <w:t>3</w:t>
      </w:r>
      <w:r w:rsidRPr="00696991">
        <w:rPr>
          <w:rFonts w:eastAsia="Times New Roman" w:cs="Arial"/>
          <w:snapToGrid w:val="0"/>
          <w:szCs w:val="24"/>
          <w:lang w:val="en-GB"/>
        </w:rPr>
        <w:t xml:space="preserve"> or </w:t>
      </w:r>
      <w:r w:rsidR="00696991">
        <w:rPr>
          <w:rFonts w:eastAsia="Times New Roman" w:cs="Arial"/>
          <w:snapToGrid w:val="0"/>
          <w:szCs w:val="24"/>
          <w:lang w:val="en-GB"/>
        </w:rPr>
        <w:t>4</w:t>
      </w:r>
      <w:r w:rsidRPr="00696991">
        <w:rPr>
          <w:rFonts w:eastAsia="Times New Roman" w:cs="Arial"/>
          <w:snapToGrid w:val="0"/>
          <w:szCs w:val="24"/>
          <w:lang w:val="en-GB"/>
        </w:rPr>
        <w:t xml:space="preserve"> of the deed.</w:t>
      </w:r>
    </w:p>
    <w:bookmarkEnd w:id="55"/>
    <w:p w14:paraId="5FA6AE39" w14:textId="75B90273" w:rsidR="0023621A" w:rsidRPr="00417008" w:rsidRDefault="0023621A" w:rsidP="004F4C33">
      <w:pPr>
        <w:pStyle w:val="3Bodytext"/>
        <w:jc w:val="both"/>
        <w:rPr>
          <w:b/>
          <w:bCs/>
          <w:lang w:val="en-GB"/>
        </w:rPr>
      </w:pPr>
      <w:r w:rsidRPr="0023621A">
        <w:rPr>
          <w:rFonts w:eastAsia="Times New Roman" w:cs="Arial"/>
          <w:snapToGrid w:val="0"/>
          <w:szCs w:val="24"/>
          <w:lang w:val="en-GB"/>
        </w:rPr>
        <w:t>The PBAC noted that this submission is not eligible for an Independent Review</w:t>
      </w:r>
      <w:r w:rsidR="004F4C33">
        <w:rPr>
          <w:rFonts w:eastAsia="Times New Roman" w:cs="Arial"/>
          <w:snapToGrid w:val="0"/>
          <w:szCs w:val="24"/>
          <w:lang w:val="en-GB"/>
        </w:rPr>
        <w:t xml:space="preserve"> </w:t>
      </w:r>
      <w:r w:rsidR="004F4C33" w:rsidRPr="0039599E">
        <w:rPr>
          <w:bCs/>
          <w:lang w:val="en-GB"/>
        </w:rPr>
        <w:t xml:space="preserve">because it received a positive recommendation. </w:t>
      </w:r>
    </w:p>
    <w:p w14:paraId="4FC6DB86" w14:textId="77777777" w:rsidR="0023621A" w:rsidRPr="00525B39" w:rsidRDefault="0023621A" w:rsidP="0023621A">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D8CA870" w14:textId="1D45E212" w:rsidR="00616E32" w:rsidRPr="00773531" w:rsidRDefault="0023621A" w:rsidP="00616E32">
      <w:pPr>
        <w:rPr>
          <w:rFonts w:asciiTheme="minorHAnsi" w:hAnsiTheme="minorHAnsi" w:cs="Arial"/>
          <w:bCs/>
          <w:snapToGrid w:val="0"/>
          <w:lang w:val="en-GB"/>
        </w:rPr>
      </w:pPr>
      <w:r w:rsidRPr="00525B39">
        <w:rPr>
          <w:rFonts w:asciiTheme="minorHAnsi" w:hAnsiTheme="minorHAnsi" w:cs="Arial"/>
          <w:bCs/>
          <w:snapToGrid w:val="0"/>
          <w:lang w:val="en-GB"/>
        </w:rPr>
        <w:t>Recommended</w:t>
      </w:r>
      <w:bookmarkStart w:id="56" w:name="_Hlk175730821"/>
    </w:p>
    <w:p w14:paraId="5826ACD9" w14:textId="77777777" w:rsidR="00616E32" w:rsidRPr="00616E32" w:rsidRDefault="00616E32" w:rsidP="001A767F">
      <w:pPr>
        <w:pStyle w:val="2-SectionHeading"/>
        <w:rPr>
          <w:lang w:val="en-GB"/>
        </w:rPr>
      </w:pPr>
      <w:r w:rsidRPr="00616E32">
        <w:lastRenderedPageBreak/>
        <w:t>Context for Decision</w:t>
      </w:r>
    </w:p>
    <w:p w14:paraId="5EC1EAB4" w14:textId="77777777" w:rsidR="00616E32" w:rsidRPr="00616E32" w:rsidRDefault="00616E32" w:rsidP="00616E32">
      <w:pPr>
        <w:spacing w:after="120"/>
        <w:ind w:left="720"/>
        <w:rPr>
          <w:rFonts w:asciiTheme="minorHAnsi" w:hAnsiTheme="minorHAnsi" w:cs="Arial"/>
          <w:bCs/>
          <w:lang w:val="en-GB"/>
        </w:rPr>
      </w:pPr>
      <w:r w:rsidRPr="00616E3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055EE7B" w14:textId="77777777" w:rsidR="00616E32" w:rsidRPr="00616E32" w:rsidRDefault="00616E32" w:rsidP="001A767F">
      <w:pPr>
        <w:pStyle w:val="2-SectionHeading"/>
      </w:pPr>
      <w:r w:rsidRPr="00616E32">
        <w:t>Sponsor’s Comment</w:t>
      </w:r>
    </w:p>
    <w:p w14:paraId="32A658B2" w14:textId="2EB1AD93" w:rsidR="0023621A" w:rsidRPr="001A767F" w:rsidRDefault="00256AD7" w:rsidP="001A767F">
      <w:pPr>
        <w:spacing w:after="120"/>
        <w:ind w:left="720"/>
        <w:rPr>
          <w:rFonts w:asciiTheme="minorHAnsi" w:hAnsiTheme="minorHAnsi" w:cs="Arial"/>
          <w:bCs/>
          <w:lang w:val="en-GB"/>
        </w:rPr>
      </w:pPr>
      <w:r w:rsidRPr="001A767F">
        <w:rPr>
          <w:rFonts w:asciiTheme="minorHAnsi" w:hAnsiTheme="minorHAnsi" w:cs="Arial"/>
          <w:bCs/>
          <w:lang w:val="en-GB"/>
        </w:rPr>
        <w:t>The Sponsor welcomes the PBAC’s recommendation to amend the existing Risk Sharing Arrange</w:t>
      </w:r>
      <w:r w:rsidR="00C16CDA" w:rsidRPr="001A767F">
        <w:rPr>
          <w:rFonts w:asciiTheme="minorHAnsi" w:hAnsiTheme="minorHAnsi" w:cs="Arial"/>
          <w:bCs/>
          <w:lang w:val="en-GB"/>
        </w:rPr>
        <w:t xml:space="preserve">ment subsidisation caps of </w:t>
      </w:r>
      <w:r w:rsidR="008D4024" w:rsidRPr="001A767F">
        <w:rPr>
          <w:rFonts w:asciiTheme="minorHAnsi" w:hAnsiTheme="minorHAnsi" w:cs="Arial"/>
          <w:bCs/>
          <w:lang w:val="en-GB"/>
        </w:rPr>
        <w:t>zanubrutinib</w:t>
      </w:r>
      <w:r w:rsidR="00C16CDA" w:rsidRPr="001A767F">
        <w:rPr>
          <w:rFonts w:asciiTheme="minorHAnsi" w:hAnsiTheme="minorHAnsi" w:cs="Arial"/>
          <w:bCs/>
          <w:lang w:val="en-GB"/>
        </w:rPr>
        <w:t xml:space="preserve"> for the treatment of Waldenströ</w:t>
      </w:r>
      <w:r w:rsidR="00E776E2" w:rsidRPr="001A767F">
        <w:rPr>
          <w:rFonts w:asciiTheme="minorHAnsi" w:hAnsiTheme="minorHAnsi" w:cs="Arial"/>
          <w:bCs/>
          <w:lang w:val="en-GB"/>
        </w:rPr>
        <w:t>m macroglobulinaemia, including the incorporation of new epidemiological data to future utilisation estimates.</w:t>
      </w:r>
      <w:bookmarkEnd w:id="56"/>
    </w:p>
    <w:sectPr w:rsidR="0023621A" w:rsidRPr="001A767F" w:rsidSect="00FB7A62">
      <w:headerReference w:type="default" r:id="rId9"/>
      <w:footerReference w:type="even" r:id="rId10"/>
      <w:footerReference w:type="default" r:id="rId11"/>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41423" w14:textId="77777777" w:rsidR="0090747E" w:rsidRDefault="0090747E">
      <w:r>
        <w:separator/>
      </w:r>
    </w:p>
    <w:p w14:paraId="74556312" w14:textId="77777777" w:rsidR="0090747E" w:rsidRDefault="0090747E"/>
  </w:endnote>
  <w:endnote w:type="continuationSeparator" w:id="0">
    <w:p w14:paraId="000F0AEF" w14:textId="77777777" w:rsidR="0090747E" w:rsidRDefault="0090747E">
      <w:r>
        <w:continuationSeparator/>
      </w:r>
    </w:p>
    <w:p w14:paraId="5C231BE2" w14:textId="77777777" w:rsidR="0090747E" w:rsidRDefault="0090747E"/>
  </w:endnote>
  <w:endnote w:type="continuationNotice" w:id="1">
    <w:p w14:paraId="54EC072A" w14:textId="77777777" w:rsidR="0090747E" w:rsidRDefault="00907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2E415" w14:textId="77777777" w:rsidR="0090747E" w:rsidRDefault="0090747E">
      <w:r>
        <w:separator/>
      </w:r>
    </w:p>
    <w:p w14:paraId="77F4D377" w14:textId="77777777" w:rsidR="0090747E" w:rsidRDefault="0090747E"/>
  </w:footnote>
  <w:footnote w:type="continuationSeparator" w:id="0">
    <w:p w14:paraId="63B62E3E" w14:textId="77777777" w:rsidR="0090747E" w:rsidRDefault="0090747E">
      <w:r>
        <w:continuationSeparator/>
      </w:r>
    </w:p>
    <w:p w14:paraId="5F18DCAF" w14:textId="77777777" w:rsidR="0090747E" w:rsidRDefault="0090747E"/>
  </w:footnote>
  <w:footnote w:type="continuationNotice" w:id="1">
    <w:p w14:paraId="70787B80" w14:textId="77777777" w:rsidR="0090747E" w:rsidRDefault="0090747E"/>
  </w:footnote>
  <w:footnote w:id="2">
    <w:p w14:paraId="450E0171" w14:textId="5F5DAA0D" w:rsidR="001D1EEB" w:rsidRPr="000D2D23" w:rsidRDefault="001D1EEB" w:rsidP="001D1EEB">
      <w:pPr>
        <w:pStyle w:val="FootnoteText"/>
        <w:rPr>
          <w:rFonts w:asciiTheme="minorHAnsi" w:hAnsiTheme="minorHAnsi" w:cstheme="minorHAnsi"/>
          <w:sz w:val="20"/>
        </w:rPr>
      </w:pPr>
      <w:r w:rsidRPr="000D2D23">
        <w:rPr>
          <w:rStyle w:val="FootnoteReference"/>
          <w:rFonts w:asciiTheme="minorHAnsi" w:hAnsiTheme="minorHAnsi" w:cstheme="minorHAnsi"/>
          <w:sz w:val="20"/>
        </w:rPr>
        <w:footnoteRef/>
      </w:r>
      <w:r w:rsidRPr="000D2D23">
        <w:rPr>
          <w:rFonts w:asciiTheme="minorHAnsi" w:hAnsiTheme="minorHAnsi" w:cstheme="minorHAnsi"/>
          <w:sz w:val="20"/>
        </w:rPr>
        <w:t xml:space="preserve"> Commonwealth </w:t>
      </w:r>
      <w:r w:rsidR="007B445C" w:rsidRPr="000D2D23">
        <w:rPr>
          <w:rFonts w:asciiTheme="minorHAnsi" w:hAnsiTheme="minorHAnsi" w:cstheme="minorHAnsi"/>
          <w:sz w:val="20"/>
        </w:rPr>
        <w:t>p</w:t>
      </w:r>
      <w:r w:rsidRPr="000D2D23">
        <w:rPr>
          <w:rFonts w:asciiTheme="minorHAnsi" w:hAnsiTheme="minorHAnsi" w:cstheme="minorHAnsi"/>
          <w:sz w:val="20"/>
        </w:rPr>
        <w:t xml:space="preserve">ayment </w:t>
      </w:r>
      <w:r w:rsidR="007B445C" w:rsidRPr="000D2D23">
        <w:rPr>
          <w:rFonts w:asciiTheme="minorHAnsi" w:hAnsiTheme="minorHAnsi" w:cstheme="minorHAnsi"/>
          <w:sz w:val="20"/>
        </w:rPr>
        <w:t>= t</w:t>
      </w:r>
      <w:r w:rsidRPr="000D2D23">
        <w:rPr>
          <w:rFonts w:asciiTheme="minorHAnsi" w:hAnsiTheme="minorHAnsi" w:cstheme="minorHAnsi"/>
          <w:sz w:val="20"/>
        </w:rPr>
        <w:t xml:space="preserve">he total </w:t>
      </w:r>
      <w:r w:rsidR="007B445C" w:rsidRPr="000D2D23">
        <w:rPr>
          <w:rFonts w:asciiTheme="minorHAnsi" w:hAnsiTheme="minorHAnsi" w:cstheme="minorHAnsi"/>
          <w:sz w:val="20"/>
        </w:rPr>
        <w:t>s</w:t>
      </w:r>
      <w:r w:rsidRPr="000D2D23">
        <w:rPr>
          <w:rFonts w:asciiTheme="minorHAnsi" w:hAnsiTheme="minorHAnsi" w:cstheme="minorHAnsi"/>
          <w:sz w:val="20"/>
        </w:rPr>
        <w:t xml:space="preserve">ubsidy paid by the Commonwealth (Commonwealth Expenditure) </w:t>
      </w:r>
      <w:r w:rsidR="007B445C" w:rsidRPr="000D2D23">
        <w:rPr>
          <w:rFonts w:asciiTheme="minorHAnsi" w:hAnsiTheme="minorHAnsi" w:cstheme="minorHAnsi"/>
          <w:sz w:val="20"/>
        </w:rPr>
        <w:t>-</w:t>
      </w:r>
      <w:r w:rsidRPr="000D2D23">
        <w:rPr>
          <w:rFonts w:asciiTheme="minorHAnsi" w:hAnsiTheme="minorHAnsi" w:cstheme="minorHAnsi"/>
          <w:sz w:val="20"/>
        </w:rPr>
        <w:t xml:space="preserve"> any amount paid or payable to the Commonwealth under a special pricing arrangement in relation to the supply during that Year (calculated by reference to the number of </w:t>
      </w:r>
      <w:r w:rsidR="007B445C" w:rsidRPr="000D2D23">
        <w:rPr>
          <w:rFonts w:asciiTheme="minorHAnsi" w:hAnsiTheme="minorHAnsi" w:cstheme="minorHAnsi"/>
          <w:sz w:val="20"/>
        </w:rPr>
        <w:t>p</w:t>
      </w:r>
      <w:r w:rsidRPr="000D2D23">
        <w:rPr>
          <w:rFonts w:asciiTheme="minorHAnsi" w:hAnsiTheme="minorHAnsi" w:cstheme="minorHAnsi"/>
          <w:sz w:val="20"/>
        </w:rPr>
        <w:t xml:space="preserve">rocessed </w:t>
      </w:r>
      <w:r w:rsidR="007B445C" w:rsidRPr="000D2D23">
        <w:rPr>
          <w:rFonts w:asciiTheme="minorHAnsi" w:hAnsiTheme="minorHAnsi" w:cstheme="minorHAnsi"/>
          <w:sz w:val="20"/>
        </w:rPr>
        <w:t>p</w:t>
      </w:r>
      <w:r w:rsidRPr="000D2D23">
        <w:rPr>
          <w:rFonts w:asciiTheme="minorHAnsi" w:hAnsiTheme="minorHAnsi" w:cstheme="minorHAnsi"/>
          <w:sz w:val="20"/>
        </w:rPr>
        <w:t xml:space="preserve">rescriptions) of the </w:t>
      </w:r>
      <w:r w:rsidR="007B445C" w:rsidRPr="000D2D23">
        <w:rPr>
          <w:rFonts w:asciiTheme="minorHAnsi" w:hAnsiTheme="minorHAnsi" w:cstheme="minorHAnsi"/>
          <w:sz w:val="20"/>
        </w:rPr>
        <w:t>d</w:t>
      </w:r>
      <w:r w:rsidRPr="000D2D23">
        <w:rPr>
          <w:rFonts w:asciiTheme="minorHAnsi" w:hAnsiTheme="minorHAnsi" w:cstheme="minorHAnsi"/>
          <w:sz w:val="20"/>
        </w:rPr>
        <w:t>rug.</w:t>
      </w:r>
    </w:p>
  </w:footnote>
  <w:footnote w:id="3">
    <w:p w14:paraId="47245992" w14:textId="77777777" w:rsidR="00E934C5" w:rsidRPr="000D2D23" w:rsidRDefault="00E934C5" w:rsidP="00E934C5">
      <w:pPr>
        <w:pStyle w:val="Default"/>
        <w:rPr>
          <w:rFonts w:asciiTheme="minorHAnsi" w:hAnsiTheme="minorHAnsi" w:cstheme="minorHAnsi"/>
          <w:sz w:val="20"/>
          <w:szCs w:val="20"/>
        </w:rPr>
      </w:pPr>
      <w:r w:rsidRPr="000D2D23">
        <w:rPr>
          <w:rStyle w:val="FootnoteReference"/>
          <w:rFonts w:asciiTheme="minorHAnsi" w:hAnsiTheme="minorHAnsi" w:cstheme="minorHAnsi"/>
          <w:sz w:val="20"/>
          <w:szCs w:val="20"/>
        </w:rPr>
        <w:footnoteRef/>
      </w:r>
      <w:r w:rsidRPr="000D2D23">
        <w:rPr>
          <w:rFonts w:asciiTheme="minorHAnsi" w:hAnsiTheme="minorHAnsi" w:cstheme="minorHAnsi"/>
          <w:sz w:val="20"/>
          <w:szCs w:val="20"/>
        </w:rPr>
        <w:t xml:space="preserve"> Dipti Talaulikar, Lan Gao, Dieu Nguyen et al. (2023) Incidence, prevalence, and mortality of Waldenström macroglobulinemia (WM) in Australia. Accessed on 14 June 2024 at: </w:t>
      </w:r>
      <w:hyperlink r:id="rId1" w:history="1">
        <w:r w:rsidRPr="000D2D23">
          <w:rPr>
            <w:rStyle w:val="Hyperlink"/>
            <w:rFonts w:asciiTheme="minorHAnsi" w:hAnsiTheme="minorHAnsi" w:cstheme="minorHAnsi"/>
            <w:sz w:val="20"/>
            <w:szCs w:val="20"/>
          </w:rPr>
          <w:t>https://www.beigenemedical.com/CongressDocuments/Talaulikar_RWE_WM_BLOOD_Abstract_2023.pdf</w:t>
        </w:r>
      </w:hyperlink>
    </w:p>
  </w:footnote>
  <w:footnote w:id="4">
    <w:p w14:paraId="636F2043" w14:textId="28928D8C" w:rsidR="00651BBF" w:rsidRPr="000D2D23" w:rsidRDefault="00651BBF" w:rsidP="00D35645">
      <w:pPr>
        <w:pStyle w:val="FootnoteText"/>
        <w:keepLines w:val="0"/>
        <w:jc w:val="left"/>
        <w:rPr>
          <w:rFonts w:asciiTheme="minorHAnsi" w:hAnsiTheme="minorHAnsi" w:cstheme="minorHAnsi"/>
          <w:sz w:val="20"/>
        </w:rPr>
      </w:pPr>
      <w:r w:rsidRPr="000D2D23">
        <w:rPr>
          <w:rStyle w:val="FootnoteReference"/>
          <w:rFonts w:asciiTheme="minorHAnsi" w:hAnsiTheme="minorHAnsi" w:cstheme="minorHAnsi"/>
          <w:sz w:val="20"/>
        </w:rPr>
        <w:footnoteRef/>
      </w:r>
      <w:r w:rsidRPr="000D2D23">
        <w:rPr>
          <w:rFonts w:asciiTheme="minorHAnsi" w:hAnsiTheme="minorHAnsi" w:cstheme="minorHAnsi"/>
          <w:sz w:val="20"/>
        </w:rPr>
        <w:t xml:space="preserve"> </w:t>
      </w:r>
      <w:r w:rsidR="001E7FB6" w:rsidRPr="000D2D23">
        <w:rPr>
          <w:rFonts w:asciiTheme="minorHAnsi" w:hAnsiTheme="minorHAnsi" w:cstheme="minorHAnsi"/>
          <w:sz w:val="20"/>
        </w:rPr>
        <w:t xml:space="preserve">Lymphoma Australia. (2023). "Waldenstrom’s Macroglobulinemia”. Accessed on </w:t>
      </w:r>
      <w:r w:rsidR="00CC38C1" w:rsidRPr="000D2D23">
        <w:rPr>
          <w:rFonts w:asciiTheme="minorHAnsi" w:hAnsiTheme="minorHAnsi" w:cstheme="minorHAnsi"/>
          <w:sz w:val="20"/>
        </w:rPr>
        <w:t xml:space="preserve">8 </w:t>
      </w:r>
      <w:r w:rsidR="001E7FB6" w:rsidRPr="000D2D23">
        <w:rPr>
          <w:rFonts w:asciiTheme="minorHAnsi" w:hAnsiTheme="minorHAnsi" w:cstheme="minorHAnsi"/>
          <w:sz w:val="20"/>
        </w:rPr>
        <w:t xml:space="preserve">March 2024 at: </w:t>
      </w:r>
      <w:hyperlink r:id="rId2" w:history="1">
        <w:r w:rsidRPr="000D2D23">
          <w:rPr>
            <w:rStyle w:val="Hyperlink"/>
            <w:rFonts w:asciiTheme="minorHAnsi" w:hAnsiTheme="minorHAnsi" w:cstheme="minorHAnsi"/>
            <w:sz w:val="20"/>
          </w:rPr>
          <w:t>https://www.lymphoma.org.au/types-of-lymphoma/non-hodgkin-lymphoma/indolent-slow-growing-b-cell-nhl/waldenstroms-macroglobulinemia-wm/</w:t>
        </w:r>
      </w:hyperlink>
    </w:p>
  </w:footnote>
  <w:footnote w:id="5">
    <w:p w14:paraId="71A05B54" w14:textId="265C0389" w:rsidR="00A91C1B" w:rsidRPr="00F65399" w:rsidRDefault="00A91C1B" w:rsidP="00D35645">
      <w:pPr>
        <w:pStyle w:val="FootnoteText"/>
        <w:keepLines w:val="0"/>
        <w:rPr>
          <w:rFonts w:asciiTheme="minorHAnsi" w:hAnsiTheme="minorHAnsi" w:cstheme="minorHAnsi"/>
          <w:sz w:val="20"/>
        </w:rPr>
      </w:pPr>
      <w:r w:rsidRPr="00F65399">
        <w:rPr>
          <w:rStyle w:val="FootnoteReference"/>
          <w:rFonts w:asciiTheme="minorHAnsi" w:hAnsiTheme="minorHAnsi" w:cstheme="minorHAnsi"/>
          <w:sz w:val="20"/>
        </w:rPr>
        <w:footnoteRef/>
      </w:r>
      <w:r w:rsidRPr="00F65399">
        <w:rPr>
          <w:rFonts w:asciiTheme="minorHAnsi" w:hAnsiTheme="minorHAnsi" w:cstheme="minorHAnsi"/>
          <w:sz w:val="20"/>
        </w:rPr>
        <w:t xml:space="preserve"> Maqbool G, Tam C, et al. A practical guide to laboratory investigations at diagnosis and follow up in Waldenström macroglobulinaemia: recommendations from the Medical and Scientific Advisory Group, Myeloma Australia, the Pathology Sub-committee of the Lymphoma and Related Diseases Registry and the Australasian Association of Clinical Biochemists Monoclonal Gammopathy Working Group, </w:t>
      </w:r>
      <w:r w:rsidRPr="00F65399">
        <w:rPr>
          <w:rFonts w:asciiTheme="minorHAnsi" w:hAnsiTheme="minorHAnsi" w:cstheme="minorHAnsi"/>
          <w:i/>
          <w:iCs/>
          <w:sz w:val="20"/>
        </w:rPr>
        <w:t>Pathology</w:t>
      </w:r>
      <w:r w:rsidRPr="00F65399">
        <w:rPr>
          <w:rFonts w:asciiTheme="minorHAnsi" w:hAnsiTheme="minorHAnsi" w:cstheme="minorHAnsi"/>
          <w:sz w:val="20"/>
        </w:rPr>
        <w:t xml:space="preserve"> </w:t>
      </w:r>
      <w:r w:rsidR="00D35645" w:rsidRPr="00F65399">
        <w:rPr>
          <w:rFonts w:asciiTheme="minorHAnsi" w:hAnsiTheme="minorHAnsi" w:cstheme="minorHAnsi"/>
          <w:sz w:val="20"/>
        </w:rPr>
        <w:t xml:space="preserve">2020; </w:t>
      </w:r>
      <w:r w:rsidRPr="00F65399">
        <w:rPr>
          <w:rFonts w:asciiTheme="minorHAnsi" w:hAnsiTheme="minorHAnsi" w:cstheme="minorHAnsi"/>
          <w:sz w:val="20"/>
        </w:rPr>
        <w:t>52(2)</w:t>
      </w:r>
      <w:r w:rsidR="00D35645" w:rsidRPr="00F65399">
        <w:rPr>
          <w:rFonts w:asciiTheme="minorHAnsi" w:hAnsiTheme="minorHAnsi" w:cstheme="minorHAnsi"/>
          <w:sz w:val="20"/>
        </w:rPr>
        <w:t xml:space="preserve">: </w:t>
      </w:r>
      <w:r w:rsidRPr="00F65399">
        <w:rPr>
          <w:rFonts w:asciiTheme="minorHAnsi" w:hAnsiTheme="minorHAnsi" w:cstheme="minorHAnsi"/>
          <w:sz w:val="20"/>
        </w:rPr>
        <w:t>167–178</w:t>
      </w:r>
      <w:r w:rsidR="00D35645" w:rsidRPr="00F65399">
        <w:rPr>
          <w:rFonts w:asciiTheme="minorHAnsi" w:hAnsiTheme="minorHAnsi" w:cstheme="minorHAnsi"/>
          <w:sz w:val="20"/>
        </w:rPr>
        <w:t>.</w:t>
      </w:r>
    </w:p>
  </w:footnote>
  <w:footnote w:id="6">
    <w:p w14:paraId="165BB9AF" w14:textId="33006FFE" w:rsidR="000B25F4" w:rsidRPr="003802C9" w:rsidRDefault="000B25F4" w:rsidP="000B25F4">
      <w:pPr>
        <w:pStyle w:val="FootnoteText"/>
        <w:rPr>
          <w:rFonts w:asciiTheme="minorHAnsi" w:hAnsiTheme="minorHAnsi" w:cstheme="minorHAnsi"/>
          <w:sz w:val="20"/>
        </w:rPr>
      </w:pPr>
      <w:r w:rsidRPr="003802C9">
        <w:rPr>
          <w:rStyle w:val="FootnoteReference"/>
          <w:rFonts w:asciiTheme="minorHAnsi" w:hAnsiTheme="minorHAnsi" w:cstheme="minorHAnsi"/>
          <w:sz w:val="20"/>
        </w:rPr>
        <w:footnoteRef/>
      </w:r>
      <w:r w:rsidRPr="003802C9">
        <w:rPr>
          <w:rFonts w:asciiTheme="minorHAnsi" w:hAnsiTheme="minorHAnsi" w:cstheme="minorHAnsi"/>
          <w:sz w:val="20"/>
        </w:rPr>
        <w:t xml:space="preserve"> Castillo J, Olszewski A, et al. Overall survival and competing risks of death in patients with </w:t>
      </w:r>
      <w:r w:rsidR="009C56CD" w:rsidRPr="003802C9">
        <w:rPr>
          <w:rFonts w:asciiTheme="minorHAnsi" w:hAnsiTheme="minorHAnsi" w:cstheme="minorHAnsi"/>
          <w:sz w:val="20"/>
        </w:rPr>
        <w:t>Waldenström</w:t>
      </w:r>
      <w:r w:rsidRPr="003802C9">
        <w:rPr>
          <w:rFonts w:asciiTheme="minorHAnsi" w:hAnsiTheme="minorHAnsi" w:cstheme="minorHAnsi"/>
          <w:sz w:val="20"/>
        </w:rPr>
        <w:t xml:space="preserve"> </w:t>
      </w:r>
      <w:r w:rsidR="009C56CD" w:rsidRPr="003802C9">
        <w:rPr>
          <w:rFonts w:asciiTheme="minorHAnsi" w:hAnsiTheme="minorHAnsi" w:cstheme="minorHAnsi"/>
          <w:sz w:val="20"/>
        </w:rPr>
        <w:t>macroglobulinemia</w:t>
      </w:r>
      <w:r w:rsidRPr="003802C9">
        <w:rPr>
          <w:rFonts w:asciiTheme="minorHAnsi" w:hAnsiTheme="minorHAnsi" w:cstheme="minorHAnsi"/>
          <w:sz w:val="20"/>
        </w:rPr>
        <w:t xml:space="preserve">: an analysis of the Surveillance, Epidemiology and End Results database; </w:t>
      </w:r>
      <w:r w:rsidRPr="003802C9">
        <w:rPr>
          <w:rFonts w:asciiTheme="minorHAnsi" w:hAnsiTheme="minorHAnsi" w:cstheme="minorHAnsi"/>
          <w:i/>
          <w:iCs/>
          <w:sz w:val="20"/>
        </w:rPr>
        <w:t>Br J Haematol</w:t>
      </w:r>
      <w:r w:rsidRPr="003802C9">
        <w:rPr>
          <w:rFonts w:asciiTheme="minorHAnsi" w:hAnsiTheme="minorHAnsi" w:cstheme="minorHAnsi"/>
          <w:sz w:val="20"/>
        </w:rPr>
        <w:t xml:space="preserve"> 2015;169(1): 81-9.</w:t>
      </w:r>
    </w:p>
  </w:footnote>
  <w:footnote w:id="7">
    <w:p w14:paraId="5CE1AD8A" w14:textId="7FED3C28" w:rsidR="00C55323" w:rsidRPr="003802C9" w:rsidRDefault="00C55323">
      <w:pPr>
        <w:pStyle w:val="FootnoteText"/>
        <w:rPr>
          <w:rFonts w:asciiTheme="minorHAnsi" w:hAnsiTheme="minorHAnsi" w:cstheme="minorHAnsi"/>
          <w:sz w:val="20"/>
        </w:rPr>
      </w:pPr>
      <w:r w:rsidRPr="003802C9">
        <w:rPr>
          <w:rStyle w:val="FootnoteReference"/>
          <w:rFonts w:asciiTheme="minorHAnsi" w:hAnsiTheme="minorHAnsi" w:cstheme="minorHAnsi"/>
          <w:sz w:val="20"/>
        </w:rPr>
        <w:footnoteRef/>
      </w:r>
      <w:r w:rsidRPr="003802C9">
        <w:rPr>
          <w:rFonts w:asciiTheme="minorHAnsi" w:hAnsiTheme="minorHAnsi" w:cstheme="minorHAnsi"/>
          <w:sz w:val="20"/>
        </w:rPr>
        <w:t xml:space="preserve"> Yin X, Chen L, et al. Trends in incidence and mortality of Waldenström macroglobulinemia: A population-based study. Front. Oncol. 10:1712.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4B42" w14:textId="72201955" w:rsidR="00C56D78" w:rsidRPr="00C56D78" w:rsidRDefault="00E420AB" w:rsidP="00C56D78">
    <w:pPr>
      <w:keepNext/>
      <w:tabs>
        <w:tab w:val="center" w:pos="4513"/>
        <w:tab w:val="right" w:pos="9026"/>
      </w:tabs>
      <w:jc w:val="center"/>
      <w:rPr>
        <w:rFonts w:asciiTheme="minorHAnsi" w:eastAsiaTheme="minorEastAsia" w:hAnsiTheme="minorHAnsi" w:cstheme="minorHAnsi"/>
        <w:i/>
        <w:color w:val="808080"/>
      </w:rPr>
    </w:pPr>
    <w:bookmarkStart w:id="57" w:name="_Hlk175733429"/>
    <w:r w:rsidRPr="00333632">
      <w:rPr>
        <w:rFonts w:asciiTheme="minorHAnsi" w:hAnsiTheme="minorHAnsi" w:cs="Arial"/>
        <w:i/>
      </w:rPr>
      <w:t>Public Summary Document</w:t>
    </w:r>
    <w:bookmarkEnd w:id="57"/>
    <w:r w:rsidRPr="00333632">
      <w:rPr>
        <w:rFonts w:asciiTheme="minorHAnsi" w:hAnsiTheme="minorHAnsi" w:cs="Arial"/>
        <w:i/>
      </w:rPr>
      <w:t xml:space="preserve"> </w:t>
    </w:r>
    <w:r w:rsidR="00CC2224" w:rsidRPr="00333632">
      <w:rPr>
        <w:rFonts w:asciiTheme="minorHAnsi" w:eastAsiaTheme="minorEastAsia" w:hAnsiTheme="minorHAnsi" w:cstheme="minorHAnsi"/>
        <w:i/>
      </w:rPr>
      <w:t xml:space="preserve">– </w:t>
    </w:r>
    <w:r w:rsidR="007D1C8F" w:rsidRPr="00333632">
      <w:rPr>
        <w:rFonts w:asciiTheme="minorHAnsi" w:eastAsiaTheme="minorEastAsia" w:hAnsiTheme="minorHAnsi" w:cstheme="minorHAnsi"/>
        <w:i/>
      </w:rPr>
      <w:t>July</w:t>
    </w:r>
    <w:r w:rsidR="00C56D78" w:rsidRPr="00333632">
      <w:rPr>
        <w:rFonts w:asciiTheme="minorHAnsi" w:eastAsiaTheme="minorEastAsia" w:hAnsiTheme="minorHAnsi" w:cstheme="minorHAnsi"/>
        <w:i/>
      </w:rPr>
      <w:t xml:space="preserve"> 202</w:t>
    </w:r>
    <w:r w:rsidR="007D1C8F" w:rsidRPr="00333632">
      <w:rPr>
        <w:rFonts w:asciiTheme="minorHAnsi" w:eastAsiaTheme="minorEastAsia" w:hAnsiTheme="minorHAnsi" w:cstheme="minorHAnsi"/>
        <w:i/>
      </w:rPr>
      <w:t>4</w:t>
    </w:r>
    <w:r w:rsidR="00C56D78" w:rsidRPr="00333632">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03C1285B"/>
    <w:multiLevelType w:val="hybridMultilevel"/>
    <w:tmpl w:val="BA3C05A4"/>
    <w:lvl w:ilvl="0" w:tplc="BB6A5AA6">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0E3B61"/>
    <w:multiLevelType w:val="hybridMultilevel"/>
    <w:tmpl w:val="635418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79299C"/>
    <w:multiLevelType w:val="hybridMultilevel"/>
    <w:tmpl w:val="877044AA"/>
    <w:lvl w:ilvl="0" w:tplc="0C090001">
      <w:start w:val="1"/>
      <w:numFmt w:val="bullet"/>
      <w:lvlText w:val=""/>
      <w:lvlJc w:val="left"/>
      <w:pPr>
        <w:ind w:left="1440" w:hanging="360"/>
      </w:pPr>
      <w:rPr>
        <w:rFonts w:ascii="Symbol" w:hAnsi="Symbol" w:hint="default"/>
        <w:b w:val="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2D64B3"/>
    <w:multiLevelType w:val="hybridMultilevel"/>
    <w:tmpl w:val="D4741A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B0C1CDB"/>
    <w:multiLevelType w:val="hybridMultilevel"/>
    <w:tmpl w:val="699ABDB4"/>
    <w:lvl w:ilvl="0" w:tplc="355469F2">
      <w:start w:val="1"/>
      <w:numFmt w:val="bullet"/>
      <w:lvlText w:val=""/>
      <w:lvlJc w:val="left"/>
      <w:pPr>
        <w:ind w:left="720" w:hanging="360"/>
      </w:pPr>
      <w:rPr>
        <w:rFonts w:ascii="Symbol" w:hAnsi="Symbol"/>
      </w:rPr>
    </w:lvl>
    <w:lvl w:ilvl="1" w:tplc="F7E24630">
      <w:start w:val="1"/>
      <w:numFmt w:val="bullet"/>
      <w:lvlText w:val=""/>
      <w:lvlJc w:val="left"/>
      <w:pPr>
        <w:ind w:left="720" w:hanging="360"/>
      </w:pPr>
      <w:rPr>
        <w:rFonts w:ascii="Symbol" w:hAnsi="Symbol"/>
      </w:rPr>
    </w:lvl>
    <w:lvl w:ilvl="2" w:tplc="2B0A6A4C">
      <w:start w:val="1"/>
      <w:numFmt w:val="bullet"/>
      <w:lvlText w:val=""/>
      <w:lvlJc w:val="left"/>
      <w:pPr>
        <w:ind w:left="720" w:hanging="360"/>
      </w:pPr>
      <w:rPr>
        <w:rFonts w:ascii="Symbol" w:hAnsi="Symbol"/>
      </w:rPr>
    </w:lvl>
    <w:lvl w:ilvl="3" w:tplc="5BC4F4D6">
      <w:start w:val="1"/>
      <w:numFmt w:val="bullet"/>
      <w:lvlText w:val=""/>
      <w:lvlJc w:val="left"/>
      <w:pPr>
        <w:ind w:left="720" w:hanging="360"/>
      </w:pPr>
      <w:rPr>
        <w:rFonts w:ascii="Symbol" w:hAnsi="Symbol"/>
      </w:rPr>
    </w:lvl>
    <w:lvl w:ilvl="4" w:tplc="416E75A2">
      <w:start w:val="1"/>
      <w:numFmt w:val="bullet"/>
      <w:lvlText w:val=""/>
      <w:lvlJc w:val="left"/>
      <w:pPr>
        <w:ind w:left="720" w:hanging="360"/>
      </w:pPr>
      <w:rPr>
        <w:rFonts w:ascii="Symbol" w:hAnsi="Symbol"/>
      </w:rPr>
    </w:lvl>
    <w:lvl w:ilvl="5" w:tplc="481E1322">
      <w:start w:val="1"/>
      <w:numFmt w:val="bullet"/>
      <w:lvlText w:val=""/>
      <w:lvlJc w:val="left"/>
      <w:pPr>
        <w:ind w:left="720" w:hanging="360"/>
      </w:pPr>
      <w:rPr>
        <w:rFonts w:ascii="Symbol" w:hAnsi="Symbol"/>
      </w:rPr>
    </w:lvl>
    <w:lvl w:ilvl="6" w:tplc="40B25792">
      <w:start w:val="1"/>
      <w:numFmt w:val="bullet"/>
      <w:lvlText w:val=""/>
      <w:lvlJc w:val="left"/>
      <w:pPr>
        <w:ind w:left="720" w:hanging="360"/>
      </w:pPr>
      <w:rPr>
        <w:rFonts w:ascii="Symbol" w:hAnsi="Symbol"/>
      </w:rPr>
    </w:lvl>
    <w:lvl w:ilvl="7" w:tplc="05F84270">
      <w:start w:val="1"/>
      <w:numFmt w:val="bullet"/>
      <w:lvlText w:val=""/>
      <w:lvlJc w:val="left"/>
      <w:pPr>
        <w:ind w:left="720" w:hanging="360"/>
      </w:pPr>
      <w:rPr>
        <w:rFonts w:ascii="Symbol" w:hAnsi="Symbol"/>
      </w:rPr>
    </w:lvl>
    <w:lvl w:ilvl="8" w:tplc="190673B8">
      <w:start w:val="1"/>
      <w:numFmt w:val="bullet"/>
      <w:lvlText w:val=""/>
      <w:lvlJc w:val="left"/>
      <w:pPr>
        <w:ind w:left="720" w:hanging="360"/>
      </w:pPr>
      <w:rPr>
        <w:rFonts w:ascii="Symbol" w:hAnsi="Symbol"/>
      </w:rPr>
    </w:lvl>
  </w:abstractNum>
  <w:abstractNum w:abstractNumId="6" w15:restartNumberingAfterBreak="0">
    <w:nsid w:val="342B21A8"/>
    <w:multiLevelType w:val="hybridMultilevel"/>
    <w:tmpl w:val="4992BC0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67C619F"/>
    <w:multiLevelType w:val="hybridMultilevel"/>
    <w:tmpl w:val="94CAAFA8"/>
    <w:lvl w:ilvl="0" w:tplc="BB6A5AA6">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F73AEB"/>
    <w:multiLevelType w:val="hybridMultilevel"/>
    <w:tmpl w:val="B4163F92"/>
    <w:lvl w:ilvl="0" w:tplc="B268D584">
      <w:start w:val="1"/>
      <w:numFmt w:val="lowerRoman"/>
      <w:pStyle w:val="TableBullets"/>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28242C9"/>
    <w:multiLevelType w:val="hybridMultilevel"/>
    <w:tmpl w:val="9482E8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6D642A4"/>
    <w:multiLevelType w:val="hybridMultilevel"/>
    <w:tmpl w:val="846C861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5C8C2D94"/>
    <w:multiLevelType w:val="hybridMultilevel"/>
    <w:tmpl w:val="8C2C09E6"/>
    <w:lvl w:ilvl="0" w:tplc="BB6A5AA6">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FCE27FB"/>
    <w:multiLevelType w:val="hybridMultilevel"/>
    <w:tmpl w:val="29BEA0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09F4E6F"/>
    <w:multiLevelType w:val="hybridMultilevel"/>
    <w:tmpl w:val="578ABB2C"/>
    <w:lvl w:ilvl="0" w:tplc="2A4E70EA">
      <w:start w:val="1"/>
      <w:numFmt w:val="bullet"/>
      <w:lvlText w:val=""/>
      <w:lvlJc w:val="left"/>
      <w:pPr>
        <w:ind w:left="720" w:hanging="360"/>
      </w:pPr>
      <w:rPr>
        <w:rFonts w:ascii="Symbol" w:hAnsi="Symbol"/>
      </w:rPr>
    </w:lvl>
    <w:lvl w:ilvl="1" w:tplc="5C36EBF4">
      <w:start w:val="1"/>
      <w:numFmt w:val="bullet"/>
      <w:lvlText w:val=""/>
      <w:lvlJc w:val="left"/>
      <w:pPr>
        <w:ind w:left="720" w:hanging="360"/>
      </w:pPr>
      <w:rPr>
        <w:rFonts w:ascii="Symbol" w:hAnsi="Symbol"/>
      </w:rPr>
    </w:lvl>
    <w:lvl w:ilvl="2" w:tplc="B5C27102">
      <w:start w:val="1"/>
      <w:numFmt w:val="bullet"/>
      <w:lvlText w:val=""/>
      <w:lvlJc w:val="left"/>
      <w:pPr>
        <w:ind w:left="720" w:hanging="360"/>
      </w:pPr>
      <w:rPr>
        <w:rFonts w:ascii="Symbol" w:hAnsi="Symbol"/>
      </w:rPr>
    </w:lvl>
    <w:lvl w:ilvl="3" w:tplc="B928B4E6">
      <w:start w:val="1"/>
      <w:numFmt w:val="bullet"/>
      <w:lvlText w:val=""/>
      <w:lvlJc w:val="left"/>
      <w:pPr>
        <w:ind w:left="720" w:hanging="360"/>
      </w:pPr>
      <w:rPr>
        <w:rFonts w:ascii="Symbol" w:hAnsi="Symbol"/>
      </w:rPr>
    </w:lvl>
    <w:lvl w:ilvl="4" w:tplc="4D74B9CE">
      <w:start w:val="1"/>
      <w:numFmt w:val="bullet"/>
      <w:lvlText w:val=""/>
      <w:lvlJc w:val="left"/>
      <w:pPr>
        <w:ind w:left="720" w:hanging="360"/>
      </w:pPr>
      <w:rPr>
        <w:rFonts w:ascii="Symbol" w:hAnsi="Symbol"/>
      </w:rPr>
    </w:lvl>
    <w:lvl w:ilvl="5" w:tplc="9B0A3830">
      <w:start w:val="1"/>
      <w:numFmt w:val="bullet"/>
      <w:lvlText w:val=""/>
      <w:lvlJc w:val="left"/>
      <w:pPr>
        <w:ind w:left="720" w:hanging="360"/>
      </w:pPr>
      <w:rPr>
        <w:rFonts w:ascii="Symbol" w:hAnsi="Symbol"/>
      </w:rPr>
    </w:lvl>
    <w:lvl w:ilvl="6" w:tplc="FAD45CE0">
      <w:start w:val="1"/>
      <w:numFmt w:val="bullet"/>
      <w:lvlText w:val=""/>
      <w:lvlJc w:val="left"/>
      <w:pPr>
        <w:ind w:left="720" w:hanging="360"/>
      </w:pPr>
      <w:rPr>
        <w:rFonts w:ascii="Symbol" w:hAnsi="Symbol"/>
      </w:rPr>
    </w:lvl>
    <w:lvl w:ilvl="7" w:tplc="541E6630">
      <w:start w:val="1"/>
      <w:numFmt w:val="bullet"/>
      <w:lvlText w:val=""/>
      <w:lvlJc w:val="left"/>
      <w:pPr>
        <w:ind w:left="720" w:hanging="360"/>
      </w:pPr>
      <w:rPr>
        <w:rFonts w:ascii="Symbol" w:hAnsi="Symbol"/>
      </w:rPr>
    </w:lvl>
    <w:lvl w:ilvl="8" w:tplc="A678DE10">
      <w:start w:val="1"/>
      <w:numFmt w:val="bullet"/>
      <w:lvlText w:val=""/>
      <w:lvlJc w:val="left"/>
      <w:pPr>
        <w:ind w:left="720" w:hanging="360"/>
      </w:pPr>
      <w:rPr>
        <w:rFonts w:ascii="Symbol" w:hAnsi="Symbol"/>
      </w:rPr>
    </w:lvl>
  </w:abstractNum>
  <w:abstractNum w:abstractNumId="16" w15:restartNumberingAfterBreak="0">
    <w:nsid w:val="784D033C"/>
    <w:multiLevelType w:val="multilevel"/>
    <w:tmpl w:val="CD72153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1003"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7FC61F90"/>
    <w:multiLevelType w:val="hybridMultilevel"/>
    <w:tmpl w:val="10FE53BE"/>
    <w:lvl w:ilvl="0" w:tplc="BB6A5AA6">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57570559">
    <w:abstractNumId w:val="16"/>
  </w:num>
  <w:num w:numId="2" w16cid:durableId="536628895">
    <w:abstractNumId w:val="0"/>
  </w:num>
  <w:num w:numId="3" w16cid:durableId="1159004663">
    <w:abstractNumId w:val="13"/>
  </w:num>
  <w:num w:numId="4" w16cid:durableId="495537779">
    <w:abstractNumId w:val="9"/>
  </w:num>
  <w:num w:numId="5" w16cid:durableId="132985464">
    <w:abstractNumId w:val="16"/>
  </w:num>
  <w:num w:numId="6" w16cid:durableId="206139951">
    <w:abstractNumId w:val="10"/>
  </w:num>
  <w:num w:numId="7" w16cid:durableId="1979188025">
    <w:abstractNumId w:val="14"/>
  </w:num>
  <w:num w:numId="8" w16cid:durableId="1085876180">
    <w:abstractNumId w:val="6"/>
  </w:num>
  <w:num w:numId="9" w16cid:durableId="1085298420">
    <w:abstractNumId w:val="3"/>
  </w:num>
  <w:num w:numId="10" w16cid:durableId="1347639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570878">
    <w:abstractNumId w:val="11"/>
  </w:num>
  <w:num w:numId="12" w16cid:durableId="27608395">
    <w:abstractNumId w:val="4"/>
  </w:num>
  <w:num w:numId="13" w16cid:durableId="839008285">
    <w:abstractNumId w:val="12"/>
  </w:num>
  <w:num w:numId="14" w16cid:durableId="1312707610">
    <w:abstractNumId w:val="7"/>
  </w:num>
  <w:num w:numId="15" w16cid:durableId="224877914">
    <w:abstractNumId w:val="17"/>
  </w:num>
  <w:num w:numId="16" w16cid:durableId="1837452946">
    <w:abstractNumId w:val="1"/>
  </w:num>
  <w:num w:numId="17" w16cid:durableId="1610624162">
    <w:abstractNumId w:val="5"/>
  </w:num>
  <w:num w:numId="18" w16cid:durableId="1570534193">
    <w:abstractNumId w:val="15"/>
  </w:num>
  <w:num w:numId="19" w16cid:durableId="127674086">
    <w:abstractNumId w:val="2"/>
  </w:num>
  <w:num w:numId="20" w16cid:durableId="170225303">
    <w:abstractNumId w:val="16"/>
  </w:num>
  <w:num w:numId="21" w16cid:durableId="111856874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7A1"/>
    <w:rsid w:val="00003EC5"/>
    <w:rsid w:val="00004138"/>
    <w:rsid w:val="000043C8"/>
    <w:rsid w:val="000047A4"/>
    <w:rsid w:val="00006782"/>
    <w:rsid w:val="00006A5A"/>
    <w:rsid w:val="000075C1"/>
    <w:rsid w:val="00007D5A"/>
    <w:rsid w:val="000103E5"/>
    <w:rsid w:val="0001179A"/>
    <w:rsid w:val="00011881"/>
    <w:rsid w:val="00011A59"/>
    <w:rsid w:val="000124E7"/>
    <w:rsid w:val="000137F4"/>
    <w:rsid w:val="00014D69"/>
    <w:rsid w:val="0001579A"/>
    <w:rsid w:val="00015ED4"/>
    <w:rsid w:val="00016A41"/>
    <w:rsid w:val="000214D1"/>
    <w:rsid w:val="0002171F"/>
    <w:rsid w:val="00021F20"/>
    <w:rsid w:val="000224B4"/>
    <w:rsid w:val="0002464A"/>
    <w:rsid w:val="00025A04"/>
    <w:rsid w:val="0002693D"/>
    <w:rsid w:val="0003050E"/>
    <w:rsid w:val="0003106B"/>
    <w:rsid w:val="00031421"/>
    <w:rsid w:val="000335B9"/>
    <w:rsid w:val="0003394C"/>
    <w:rsid w:val="00034905"/>
    <w:rsid w:val="00034CD4"/>
    <w:rsid w:val="0003548C"/>
    <w:rsid w:val="000356B2"/>
    <w:rsid w:val="00036B35"/>
    <w:rsid w:val="00037906"/>
    <w:rsid w:val="00037AD7"/>
    <w:rsid w:val="00037F3E"/>
    <w:rsid w:val="00040A30"/>
    <w:rsid w:val="00040F2C"/>
    <w:rsid w:val="00040FE8"/>
    <w:rsid w:val="000421A1"/>
    <w:rsid w:val="000423F0"/>
    <w:rsid w:val="0004240E"/>
    <w:rsid w:val="000425A2"/>
    <w:rsid w:val="0004380F"/>
    <w:rsid w:val="00043BB8"/>
    <w:rsid w:val="00044E52"/>
    <w:rsid w:val="00044EC4"/>
    <w:rsid w:val="000454BA"/>
    <w:rsid w:val="00045E26"/>
    <w:rsid w:val="00046903"/>
    <w:rsid w:val="00047247"/>
    <w:rsid w:val="0004755F"/>
    <w:rsid w:val="0005005B"/>
    <w:rsid w:val="000514B5"/>
    <w:rsid w:val="00051A44"/>
    <w:rsid w:val="000521ED"/>
    <w:rsid w:val="0005322E"/>
    <w:rsid w:val="00053604"/>
    <w:rsid w:val="000546CF"/>
    <w:rsid w:val="00054C25"/>
    <w:rsid w:val="00054E2B"/>
    <w:rsid w:val="000556D1"/>
    <w:rsid w:val="00055A8E"/>
    <w:rsid w:val="00060E64"/>
    <w:rsid w:val="00061FF2"/>
    <w:rsid w:val="000621AB"/>
    <w:rsid w:val="00062C03"/>
    <w:rsid w:val="00062E88"/>
    <w:rsid w:val="00066193"/>
    <w:rsid w:val="00066755"/>
    <w:rsid w:val="00070522"/>
    <w:rsid w:val="0007078F"/>
    <w:rsid w:val="00071064"/>
    <w:rsid w:val="00071566"/>
    <w:rsid w:val="00071A5B"/>
    <w:rsid w:val="000721FB"/>
    <w:rsid w:val="00072730"/>
    <w:rsid w:val="00072758"/>
    <w:rsid w:val="000732EA"/>
    <w:rsid w:val="0007337F"/>
    <w:rsid w:val="00074320"/>
    <w:rsid w:val="00074A43"/>
    <w:rsid w:val="00074C7E"/>
    <w:rsid w:val="000763D5"/>
    <w:rsid w:val="000763E5"/>
    <w:rsid w:val="00076C38"/>
    <w:rsid w:val="00077143"/>
    <w:rsid w:val="00077DF7"/>
    <w:rsid w:val="0008050C"/>
    <w:rsid w:val="0008051B"/>
    <w:rsid w:val="00082169"/>
    <w:rsid w:val="000834BE"/>
    <w:rsid w:val="000839FD"/>
    <w:rsid w:val="00083C92"/>
    <w:rsid w:val="00083F01"/>
    <w:rsid w:val="00084E73"/>
    <w:rsid w:val="00087C4C"/>
    <w:rsid w:val="000910CA"/>
    <w:rsid w:val="000918CB"/>
    <w:rsid w:val="00091B06"/>
    <w:rsid w:val="000951C4"/>
    <w:rsid w:val="00095ADA"/>
    <w:rsid w:val="00095F3A"/>
    <w:rsid w:val="000969AD"/>
    <w:rsid w:val="000975D9"/>
    <w:rsid w:val="000975FB"/>
    <w:rsid w:val="00097FDE"/>
    <w:rsid w:val="000A02F8"/>
    <w:rsid w:val="000A3AA2"/>
    <w:rsid w:val="000A408E"/>
    <w:rsid w:val="000A42EF"/>
    <w:rsid w:val="000A44B2"/>
    <w:rsid w:val="000A52F6"/>
    <w:rsid w:val="000A58B8"/>
    <w:rsid w:val="000A6E53"/>
    <w:rsid w:val="000A73EC"/>
    <w:rsid w:val="000A79EB"/>
    <w:rsid w:val="000B25F4"/>
    <w:rsid w:val="000B2ABC"/>
    <w:rsid w:val="000B44C3"/>
    <w:rsid w:val="000B558D"/>
    <w:rsid w:val="000B5A89"/>
    <w:rsid w:val="000B65F6"/>
    <w:rsid w:val="000B6B20"/>
    <w:rsid w:val="000B7767"/>
    <w:rsid w:val="000C0E56"/>
    <w:rsid w:val="000C131E"/>
    <w:rsid w:val="000C1AFF"/>
    <w:rsid w:val="000C2AD3"/>
    <w:rsid w:val="000C363B"/>
    <w:rsid w:val="000C5740"/>
    <w:rsid w:val="000C5F95"/>
    <w:rsid w:val="000C6996"/>
    <w:rsid w:val="000C7217"/>
    <w:rsid w:val="000C7C46"/>
    <w:rsid w:val="000D019A"/>
    <w:rsid w:val="000D09E9"/>
    <w:rsid w:val="000D0E67"/>
    <w:rsid w:val="000D0ED7"/>
    <w:rsid w:val="000D113F"/>
    <w:rsid w:val="000D1BE1"/>
    <w:rsid w:val="000D23BA"/>
    <w:rsid w:val="000D2D23"/>
    <w:rsid w:val="000D2E21"/>
    <w:rsid w:val="000D4F18"/>
    <w:rsid w:val="000D5E37"/>
    <w:rsid w:val="000D616D"/>
    <w:rsid w:val="000D6E0E"/>
    <w:rsid w:val="000E19B7"/>
    <w:rsid w:val="000E1E23"/>
    <w:rsid w:val="000E20FC"/>
    <w:rsid w:val="000E219B"/>
    <w:rsid w:val="000E29F3"/>
    <w:rsid w:val="000E3168"/>
    <w:rsid w:val="000E35E3"/>
    <w:rsid w:val="000E3C1D"/>
    <w:rsid w:val="000E3DFB"/>
    <w:rsid w:val="000E5BCE"/>
    <w:rsid w:val="000E5EA1"/>
    <w:rsid w:val="000E681E"/>
    <w:rsid w:val="000E696B"/>
    <w:rsid w:val="000E7E52"/>
    <w:rsid w:val="000E7E90"/>
    <w:rsid w:val="000EE1C7"/>
    <w:rsid w:val="000F0003"/>
    <w:rsid w:val="000F3384"/>
    <w:rsid w:val="000F3CD5"/>
    <w:rsid w:val="000F4E6A"/>
    <w:rsid w:val="000F675B"/>
    <w:rsid w:val="000F6ABB"/>
    <w:rsid w:val="000F71FE"/>
    <w:rsid w:val="000F7354"/>
    <w:rsid w:val="000F7C27"/>
    <w:rsid w:val="0010078F"/>
    <w:rsid w:val="00101ABE"/>
    <w:rsid w:val="00102202"/>
    <w:rsid w:val="00102700"/>
    <w:rsid w:val="00102A78"/>
    <w:rsid w:val="00103118"/>
    <w:rsid w:val="00103272"/>
    <w:rsid w:val="00103F1B"/>
    <w:rsid w:val="00104227"/>
    <w:rsid w:val="0010440C"/>
    <w:rsid w:val="00104CB2"/>
    <w:rsid w:val="001053D5"/>
    <w:rsid w:val="00107409"/>
    <w:rsid w:val="001107BF"/>
    <w:rsid w:val="001118D0"/>
    <w:rsid w:val="0011246A"/>
    <w:rsid w:val="00113649"/>
    <w:rsid w:val="00113D5C"/>
    <w:rsid w:val="00114591"/>
    <w:rsid w:val="00114B31"/>
    <w:rsid w:val="00116B03"/>
    <w:rsid w:val="001172BA"/>
    <w:rsid w:val="0011791F"/>
    <w:rsid w:val="00117A97"/>
    <w:rsid w:val="00117F0F"/>
    <w:rsid w:val="00120286"/>
    <w:rsid w:val="00120AA6"/>
    <w:rsid w:val="00120DD5"/>
    <w:rsid w:val="00122876"/>
    <w:rsid w:val="001239DB"/>
    <w:rsid w:val="0012417C"/>
    <w:rsid w:val="00124BF2"/>
    <w:rsid w:val="00125837"/>
    <w:rsid w:val="0012597F"/>
    <w:rsid w:val="00126B19"/>
    <w:rsid w:val="00126D3A"/>
    <w:rsid w:val="00126DD6"/>
    <w:rsid w:val="0012749D"/>
    <w:rsid w:val="00127A23"/>
    <w:rsid w:val="001306A5"/>
    <w:rsid w:val="00130918"/>
    <w:rsid w:val="001311AE"/>
    <w:rsid w:val="00131244"/>
    <w:rsid w:val="00134994"/>
    <w:rsid w:val="00135692"/>
    <w:rsid w:val="00135828"/>
    <w:rsid w:val="001366C2"/>
    <w:rsid w:val="0013688B"/>
    <w:rsid w:val="00136C17"/>
    <w:rsid w:val="00137562"/>
    <w:rsid w:val="00140983"/>
    <w:rsid w:val="00140B74"/>
    <w:rsid w:val="00140CFC"/>
    <w:rsid w:val="00140D94"/>
    <w:rsid w:val="00141558"/>
    <w:rsid w:val="00141947"/>
    <w:rsid w:val="00141C9B"/>
    <w:rsid w:val="00142395"/>
    <w:rsid w:val="0014250D"/>
    <w:rsid w:val="00142714"/>
    <w:rsid w:val="00143052"/>
    <w:rsid w:val="0014322A"/>
    <w:rsid w:val="0014386A"/>
    <w:rsid w:val="00144D09"/>
    <w:rsid w:val="00144E06"/>
    <w:rsid w:val="00144F08"/>
    <w:rsid w:val="001452ED"/>
    <w:rsid w:val="00147D84"/>
    <w:rsid w:val="001514B6"/>
    <w:rsid w:val="0015157B"/>
    <w:rsid w:val="00151699"/>
    <w:rsid w:val="00151CBD"/>
    <w:rsid w:val="001522E7"/>
    <w:rsid w:val="001531CE"/>
    <w:rsid w:val="0015338C"/>
    <w:rsid w:val="001533C3"/>
    <w:rsid w:val="00153500"/>
    <w:rsid w:val="001549C1"/>
    <w:rsid w:val="00156C8D"/>
    <w:rsid w:val="00160555"/>
    <w:rsid w:val="00160640"/>
    <w:rsid w:val="00160F4D"/>
    <w:rsid w:val="00161793"/>
    <w:rsid w:val="00161CB1"/>
    <w:rsid w:val="00162785"/>
    <w:rsid w:val="00162B95"/>
    <w:rsid w:val="00162BDD"/>
    <w:rsid w:val="00162D4E"/>
    <w:rsid w:val="00163329"/>
    <w:rsid w:val="00164623"/>
    <w:rsid w:val="001652DE"/>
    <w:rsid w:val="001653EC"/>
    <w:rsid w:val="00165A9A"/>
    <w:rsid w:val="00165B64"/>
    <w:rsid w:val="00167C39"/>
    <w:rsid w:val="00170C4D"/>
    <w:rsid w:val="0017238E"/>
    <w:rsid w:val="001729B3"/>
    <w:rsid w:val="00174EB8"/>
    <w:rsid w:val="001756CB"/>
    <w:rsid w:val="00176B9D"/>
    <w:rsid w:val="00180713"/>
    <w:rsid w:val="00180720"/>
    <w:rsid w:val="0018148A"/>
    <w:rsid w:val="001822B3"/>
    <w:rsid w:val="001830CE"/>
    <w:rsid w:val="001836E3"/>
    <w:rsid w:val="00183EEB"/>
    <w:rsid w:val="00184659"/>
    <w:rsid w:val="00184FE8"/>
    <w:rsid w:val="001860E5"/>
    <w:rsid w:val="00186149"/>
    <w:rsid w:val="0018643B"/>
    <w:rsid w:val="00187B96"/>
    <w:rsid w:val="0019122C"/>
    <w:rsid w:val="00193E3B"/>
    <w:rsid w:val="00196307"/>
    <w:rsid w:val="00197C70"/>
    <w:rsid w:val="00197F03"/>
    <w:rsid w:val="001A0D10"/>
    <w:rsid w:val="001A0DE7"/>
    <w:rsid w:val="001A180B"/>
    <w:rsid w:val="001A2CF3"/>
    <w:rsid w:val="001A33EA"/>
    <w:rsid w:val="001A3615"/>
    <w:rsid w:val="001A42DC"/>
    <w:rsid w:val="001A4413"/>
    <w:rsid w:val="001A44D2"/>
    <w:rsid w:val="001A4C4F"/>
    <w:rsid w:val="001A5A2B"/>
    <w:rsid w:val="001A6A06"/>
    <w:rsid w:val="001A767F"/>
    <w:rsid w:val="001A76FB"/>
    <w:rsid w:val="001B017F"/>
    <w:rsid w:val="001B0B79"/>
    <w:rsid w:val="001B1087"/>
    <w:rsid w:val="001B19EA"/>
    <w:rsid w:val="001B1F9C"/>
    <w:rsid w:val="001B2BBC"/>
    <w:rsid w:val="001B2BCD"/>
    <w:rsid w:val="001B3A40"/>
    <w:rsid w:val="001B3FFE"/>
    <w:rsid w:val="001B5129"/>
    <w:rsid w:val="001B5327"/>
    <w:rsid w:val="001B5D18"/>
    <w:rsid w:val="001B7DAF"/>
    <w:rsid w:val="001B7E9B"/>
    <w:rsid w:val="001B7F25"/>
    <w:rsid w:val="001C0B4C"/>
    <w:rsid w:val="001C0EC4"/>
    <w:rsid w:val="001C1195"/>
    <w:rsid w:val="001C12AE"/>
    <w:rsid w:val="001C1504"/>
    <w:rsid w:val="001C1E84"/>
    <w:rsid w:val="001C20E1"/>
    <w:rsid w:val="001C2A0F"/>
    <w:rsid w:val="001C2E42"/>
    <w:rsid w:val="001C6D69"/>
    <w:rsid w:val="001C7509"/>
    <w:rsid w:val="001D1EEB"/>
    <w:rsid w:val="001D1F5F"/>
    <w:rsid w:val="001D48F7"/>
    <w:rsid w:val="001D53DE"/>
    <w:rsid w:val="001D595B"/>
    <w:rsid w:val="001D6864"/>
    <w:rsid w:val="001D6A41"/>
    <w:rsid w:val="001E06D2"/>
    <w:rsid w:val="001E17C4"/>
    <w:rsid w:val="001E1860"/>
    <w:rsid w:val="001E219A"/>
    <w:rsid w:val="001E2A47"/>
    <w:rsid w:val="001E2D65"/>
    <w:rsid w:val="001E3D25"/>
    <w:rsid w:val="001E519C"/>
    <w:rsid w:val="001E6F66"/>
    <w:rsid w:val="001E76B4"/>
    <w:rsid w:val="001E7FB6"/>
    <w:rsid w:val="001F005B"/>
    <w:rsid w:val="001F0266"/>
    <w:rsid w:val="001F096A"/>
    <w:rsid w:val="001F1850"/>
    <w:rsid w:val="001F1FBF"/>
    <w:rsid w:val="001F2311"/>
    <w:rsid w:val="001F2B80"/>
    <w:rsid w:val="001F2F1C"/>
    <w:rsid w:val="001F3189"/>
    <w:rsid w:val="001F492C"/>
    <w:rsid w:val="001F67B9"/>
    <w:rsid w:val="001F6B2B"/>
    <w:rsid w:val="00200740"/>
    <w:rsid w:val="00200BEA"/>
    <w:rsid w:val="00201947"/>
    <w:rsid w:val="00201FB8"/>
    <w:rsid w:val="0020391E"/>
    <w:rsid w:val="00203FAC"/>
    <w:rsid w:val="00204A8F"/>
    <w:rsid w:val="00211824"/>
    <w:rsid w:val="00211955"/>
    <w:rsid w:val="00211FBC"/>
    <w:rsid w:val="002122C9"/>
    <w:rsid w:val="002128A2"/>
    <w:rsid w:val="002133FB"/>
    <w:rsid w:val="00213CFB"/>
    <w:rsid w:val="0021553C"/>
    <w:rsid w:val="0021557B"/>
    <w:rsid w:val="00216803"/>
    <w:rsid w:val="00216B87"/>
    <w:rsid w:val="002174FD"/>
    <w:rsid w:val="00217BE1"/>
    <w:rsid w:val="002206D5"/>
    <w:rsid w:val="00221125"/>
    <w:rsid w:val="00221361"/>
    <w:rsid w:val="002214B9"/>
    <w:rsid w:val="00221887"/>
    <w:rsid w:val="00222213"/>
    <w:rsid w:val="00222680"/>
    <w:rsid w:val="00222DEF"/>
    <w:rsid w:val="00223370"/>
    <w:rsid w:val="00224D1E"/>
    <w:rsid w:val="00226611"/>
    <w:rsid w:val="00227BC5"/>
    <w:rsid w:val="00230F63"/>
    <w:rsid w:val="00231506"/>
    <w:rsid w:val="0023361D"/>
    <w:rsid w:val="00234252"/>
    <w:rsid w:val="0023466E"/>
    <w:rsid w:val="00234821"/>
    <w:rsid w:val="00234891"/>
    <w:rsid w:val="0023621A"/>
    <w:rsid w:val="00237453"/>
    <w:rsid w:val="00237AC6"/>
    <w:rsid w:val="00237E60"/>
    <w:rsid w:val="00241D5A"/>
    <w:rsid w:val="00242B64"/>
    <w:rsid w:val="00242BFD"/>
    <w:rsid w:val="00244139"/>
    <w:rsid w:val="00244490"/>
    <w:rsid w:val="00244BEC"/>
    <w:rsid w:val="00245444"/>
    <w:rsid w:val="00245B9C"/>
    <w:rsid w:val="00245D62"/>
    <w:rsid w:val="0024762F"/>
    <w:rsid w:val="00247AFC"/>
    <w:rsid w:val="00247D06"/>
    <w:rsid w:val="0025005E"/>
    <w:rsid w:val="0025038F"/>
    <w:rsid w:val="00250947"/>
    <w:rsid w:val="002514B8"/>
    <w:rsid w:val="00252587"/>
    <w:rsid w:val="00253499"/>
    <w:rsid w:val="002534A9"/>
    <w:rsid w:val="0025421E"/>
    <w:rsid w:val="002551A4"/>
    <w:rsid w:val="002552AC"/>
    <w:rsid w:val="00255488"/>
    <w:rsid w:val="00256AD7"/>
    <w:rsid w:val="00257664"/>
    <w:rsid w:val="00257F6C"/>
    <w:rsid w:val="002600ED"/>
    <w:rsid w:val="00260165"/>
    <w:rsid w:val="00264220"/>
    <w:rsid w:val="002647B0"/>
    <w:rsid w:val="00265151"/>
    <w:rsid w:val="00265C2C"/>
    <w:rsid w:val="00266509"/>
    <w:rsid w:val="0026674F"/>
    <w:rsid w:val="00267098"/>
    <w:rsid w:val="00270421"/>
    <w:rsid w:val="00271BA1"/>
    <w:rsid w:val="00272BEA"/>
    <w:rsid w:val="00273AC5"/>
    <w:rsid w:val="00275249"/>
    <w:rsid w:val="002755A3"/>
    <w:rsid w:val="00276103"/>
    <w:rsid w:val="002762FA"/>
    <w:rsid w:val="00276BE3"/>
    <w:rsid w:val="00277505"/>
    <w:rsid w:val="00277873"/>
    <w:rsid w:val="002812F5"/>
    <w:rsid w:val="0028158C"/>
    <w:rsid w:val="0028178D"/>
    <w:rsid w:val="00281B3B"/>
    <w:rsid w:val="00282250"/>
    <w:rsid w:val="002823B6"/>
    <w:rsid w:val="00283EA9"/>
    <w:rsid w:val="00284CC0"/>
    <w:rsid w:val="00285559"/>
    <w:rsid w:val="00290C03"/>
    <w:rsid w:val="00290D15"/>
    <w:rsid w:val="00292392"/>
    <w:rsid w:val="00292E3B"/>
    <w:rsid w:val="002933A8"/>
    <w:rsid w:val="0029375B"/>
    <w:rsid w:val="00294274"/>
    <w:rsid w:val="0029458F"/>
    <w:rsid w:val="00294C1C"/>
    <w:rsid w:val="00295D04"/>
    <w:rsid w:val="002960F3"/>
    <w:rsid w:val="00297A63"/>
    <w:rsid w:val="002A018F"/>
    <w:rsid w:val="002A0E04"/>
    <w:rsid w:val="002A104C"/>
    <w:rsid w:val="002A1687"/>
    <w:rsid w:val="002A1EF7"/>
    <w:rsid w:val="002A239C"/>
    <w:rsid w:val="002A2B7B"/>
    <w:rsid w:val="002A44A5"/>
    <w:rsid w:val="002A45C7"/>
    <w:rsid w:val="002A494D"/>
    <w:rsid w:val="002A4960"/>
    <w:rsid w:val="002A57B3"/>
    <w:rsid w:val="002A5826"/>
    <w:rsid w:val="002A636A"/>
    <w:rsid w:val="002A755F"/>
    <w:rsid w:val="002A7D5F"/>
    <w:rsid w:val="002B07B3"/>
    <w:rsid w:val="002B0AE0"/>
    <w:rsid w:val="002B1AE6"/>
    <w:rsid w:val="002B1D51"/>
    <w:rsid w:val="002B2750"/>
    <w:rsid w:val="002B2DE8"/>
    <w:rsid w:val="002B30F8"/>
    <w:rsid w:val="002B388A"/>
    <w:rsid w:val="002B3BFE"/>
    <w:rsid w:val="002B3C1A"/>
    <w:rsid w:val="002B4C2A"/>
    <w:rsid w:val="002B5596"/>
    <w:rsid w:val="002B77D7"/>
    <w:rsid w:val="002B78E0"/>
    <w:rsid w:val="002C0390"/>
    <w:rsid w:val="002C046D"/>
    <w:rsid w:val="002C0763"/>
    <w:rsid w:val="002C133D"/>
    <w:rsid w:val="002C1453"/>
    <w:rsid w:val="002C212F"/>
    <w:rsid w:val="002C2911"/>
    <w:rsid w:val="002C2F35"/>
    <w:rsid w:val="002C3ECD"/>
    <w:rsid w:val="002C5850"/>
    <w:rsid w:val="002C6AA9"/>
    <w:rsid w:val="002C6D9A"/>
    <w:rsid w:val="002C7485"/>
    <w:rsid w:val="002D12E0"/>
    <w:rsid w:val="002D24A1"/>
    <w:rsid w:val="002D2641"/>
    <w:rsid w:val="002D283A"/>
    <w:rsid w:val="002D3236"/>
    <w:rsid w:val="002D4543"/>
    <w:rsid w:val="002D4599"/>
    <w:rsid w:val="002D4D9E"/>
    <w:rsid w:val="002D50AB"/>
    <w:rsid w:val="002D5E1D"/>
    <w:rsid w:val="002D6ADD"/>
    <w:rsid w:val="002D715F"/>
    <w:rsid w:val="002D7202"/>
    <w:rsid w:val="002D7276"/>
    <w:rsid w:val="002D73D3"/>
    <w:rsid w:val="002D7E6D"/>
    <w:rsid w:val="002E022A"/>
    <w:rsid w:val="002E0505"/>
    <w:rsid w:val="002E3153"/>
    <w:rsid w:val="002E3DC8"/>
    <w:rsid w:val="002E3FD4"/>
    <w:rsid w:val="002E4A02"/>
    <w:rsid w:val="002E5292"/>
    <w:rsid w:val="002E6B19"/>
    <w:rsid w:val="002E72CA"/>
    <w:rsid w:val="002E75DD"/>
    <w:rsid w:val="002F1D07"/>
    <w:rsid w:val="002F3E73"/>
    <w:rsid w:val="002F582F"/>
    <w:rsid w:val="002F5C5B"/>
    <w:rsid w:val="002F600D"/>
    <w:rsid w:val="002F63C8"/>
    <w:rsid w:val="002F6753"/>
    <w:rsid w:val="002F6F0F"/>
    <w:rsid w:val="002F7E47"/>
    <w:rsid w:val="0030002E"/>
    <w:rsid w:val="00300AD6"/>
    <w:rsid w:val="00300B1B"/>
    <w:rsid w:val="003019D0"/>
    <w:rsid w:val="003019DE"/>
    <w:rsid w:val="0030311E"/>
    <w:rsid w:val="003031B4"/>
    <w:rsid w:val="003033F6"/>
    <w:rsid w:val="00303ACC"/>
    <w:rsid w:val="00303CFE"/>
    <w:rsid w:val="003044A4"/>
    <w:rsid w:val="0030451C"/>
    <w:rsid w:val="003064AF"/>
    <w:rsid w:val="00307DC6"/>
    <w:rsid w:val="00310A8B"/>
    <w:rsid w:val="00310B68"/>
    <w:rsid w:val="00314386"/>
    <w:rsid w:val="00315FF4"/>
    <w:rsid w:val="003160D2"/>
    <w:rsid w:val="00316A08"/>
    <w:rsid w:val="003173FC"/>
    <w:rsid w:val="00317C6C"/>
    <w:rsid w:val="00320B80"/>
    <w:rsid w:val="00320CD3"/>
    <w:rsid w:val="003215FF"/>
    <w:rsid w:val="00322667"/>
    <w:rsid w:val="00324EDF"/>
    <w:rsid w:val="0032607C"/>
    <w:rsid w:val="00326E79"/>
    <w:rsid w:val="0032748A"/>
    <w:rsid w:val="003278B6"/>
    <w:rsid w:val="00327BA8"/>
    <w:rsid w:val="00327E88"/>
    <w:rsid w:val="003301B1"/>
    <w:rsid w:val="003307D2"/>
    <w:rsid w:val="00331189"/>
    <w:rsid w:val="0033263D"/>
    <w:rsid w:val="00332BE6"/>
    <w:rsid w:val="00333632"/>
    <w:rsid w:val="00334E69"/>
    <w:rsid w:val="0033518A"/>
    <w:rsid w:val="00335535"/>
    <w:rsid w:val="0033565F"/>
    <w:rsid w:val="003367EF"/>
    <w:rsid w:val="003372F3"/>
    <w:rsid w:val="00340C62"/>
    <w:rsid w:val="00341AE4"/>
    <w:rsid w:val="003425CA"/>
    <w:rsid w:val="003426E3"/>
    <w:rsid w:val="00343F20"/>
    <w:rsid w:val="00343FB7"/>
    <w:rsid w:val="00346643"/>
    <w:rsid w:val="003476EE"/>
    <w:rsid w:val="00350109"/>
    <w:rsid w:val="00351877"/>
    <w:rsid w:val="00351DC9"/>
    <w:rsid w:val="00352F94"/>
    <w:rsid w:val="003541DD"/>
    <w:rsid w:val="00356E5B"/>
    <w:rsid w:val="00357214"/>
    <w:rsid w:val="00360887"/>
    <w:rsid w:val="0036249F"/>
    <w:rsid w:val="0036335F"/>
    <w:rsid w:val="00363D7B"/>
    <w:rsid w:val="00364289"/>
    <w:rsid w:val="0036517B"/>
    <w:rsid w:val="00365D46"/>
    <w:rsid w:val="003702A3"/>
    <w:rsid w:val="00371031"/>
    <w:rsid w:val="00371246"/>
    <w:rsid w:val="003719BA"/>
    <w:rsid w:val="003736C9"/>
    <w:rsid w:val="00375777"/>
    <w:rsid w:val="00375F40"/>
    <w:rsid w:val="00376F0C"/>
    <w:rsid w:val="003776BE"/>
    <w:rsid w:val="003801E0"/>
    <w:rsid w:val="003802C9"/>
    <w:rsid w:val="003805B9"/>
    <w:rsid w:val="00382821"/>
    <w:rsid w:val="00382D05"/>
    <w:rsid w:val="00383B77"/>
    <w:rsid w:val="00384988"/>
    <w:rsid w:val="00384F41"/>
    <w:rsid w:val="003872CF"/>
    <w:rsid w:val="003874CB"/>
    <w:rsid w:val="00391875"/>
    <w:rsid w:val="00393826"/>
    <w:rsid w:val="00395C55"/>
    <w:rsid w:val="00396E08"/>
    <w:rsid w:val="003970DD"/>
    <w:rsid w:val="0039782C"/>
    <w:rsid w:val="00397F98"/>
    <w:rsid w:val="003A051F"/>
    <w:rsid w:val="003A13A6"/>
    <w:rsid w:val="003A1E56"/>
    <w:rsid w:val="003A2165"/>
    <w:rsid w:val="003A2C1A"/>
    <w:rsid w:val="003A3594"/>
    <w:rsid w:val="003A3AF3"/>
    <w:rsid w:val="003A3FD4"/>
    <w:rsid w:val="003A586A"/>
    <w:rsid w:val="003A5B4A"/>
    <w:rsid w:val="003A5D95"/>
    <w:rsid w:val="003A634E"/>
    <w:rsid w:val="003A6510"/>
    <w:rsid w:val="003A74E2"/>
    <w:rsid w:val="003B021D"/>
    <w:rsid w:val="003B0D3A"/>
    <w:rsid w:val="003B2302"/>
    <w:rsid w:val="003B23C5"/>
    <w:rsid w:val="003B2A75"/>
    <w:rsid w:val="003B3438"/>
    <w:rsid w:val="003B358B"/>
    <w:rsid w:val="003B3DEB"/>
    <w:rsid w:val="003B3E3C"/>
    <w:rsid w:val="003B49B2"/>
    <w:rsid w:val="003B5FFB"/>
    <w:rsid w:val="003B6124"/>
    <w:rsid w:val="003B660A"/>
    <w:rsid w:val="003B7960"/>
    <w:rsid w:val="003C065E"/>
    <w:rsid w:val="003C08ED"/>
    <w:rsid w:val="003C0908"/>
    <w:rsid w:val="003C093A"/>
    <w:rsid w:val="003C1ECF"/>
    <w:rsid w:val="003C2FB5"/>
    <w:rsid w:val="003C3E6B"/>
    <w:rsid w:val="003C5268"/>
    <w:rsid w:val="003C6F31"/>
    <w:rsid w:val="003D1776"/>
    <w:rsid w:val="003D24C5"/>
    <w:rsid w:val="003D3211"/>
    <w:rsid w:val="003D4594"/>
    <w:rsid w:val="003D4AC4"/>
    <w:rsid w:val="003D542E"/>
    <w:rsid w:val="003D5433"/>
    <w:rsid w:val="003D63B7"/>
    <w:rsid w:val="003D74C5"/>
    <w:rsid w:val="003E2AE8"/>
    <w:rsid w:val="003E3641"/>
    <w:rsid w:val="003E3D05"/>
    <w:rsid w:val="003E4102"/>
    <w:rsid w:val="003E4374"/>
    <w:rsid w:val="003E468B"/>
    <w:rsid w:val="003E539F"/>
    <w:rsid w:val="003E5C29"/>
    <w:rsid w:val="003E62BD"/>
    <w:rsid w:val="003E658D"/>
    <w:rsid w:val="003E704C"/>
    <w:rsid w:val="003F044F"/>
    <w:rsid w:val="003F0C3A"/>
    <w:rsid w:val="003F14CE"/>
    <w:rsid w:val="003F15F0"/>
    <w:rsid w:val="003F29E8"/>
    <w:rsid w:val="003F2AD9"/>
    <w:rsid w:val="003F2AE1"/>
    <w:rsid w:val="003F3228"/>
    <w:rsid w:val="003F3C0C"/>
    <w:rsid w:val="003F408B"/>
    <w:rsid w:val="003F4596"/>
    <w:rsid w:val="003F5C8C"/>
    <w:rsid w:val="003F63CE"/>
    <w:rsid w:val="003F775A"/>
    <w:rsid w:val="003F79DB"/>
    <w:rsid w:val="00400042"/>
    <w:rsid w:val="00400E55"/>
    <w:rsid w:val="0040128E"/>
    <w:rsid w:val="00401640"/>
    <w:rsid w:val="004017E7"/>
    <w:rsid w:val="0040216B"/>
    <w:rsid w:val="00402C00"/>
    <w:rsid w:val="004035B9"/>
    <w:rsid w:val="00403EC7"/>
    <w:rsid w:val="00404852"/>
    <w:rsid w:val="00405299"/>
    <w:rsid w:val="0040558B"/>
    <w:rsid w:val="0040590E"/>
    <w:rsid w:val="004065E3"/>
    <w:rsid w:val="004077E6"/>
    <w:rsid w:val="00407CC8"/>
    <w:rsid w:val="00411880"/>
    <w:rsid w:val="00411D3A"/>
    <w:rsid w:val="00414F0C"/>
    <w:rsid w:val="00416439"/>
    <w:rsid w:val="00417008"/>
    <w:rsid w:val="004175AA"/>
    <w:rsid w:val="00417703"/>
    <w:rsid w:val="00420400"/>
    <w:rsid w:val="004211E4"/>
    <w:rsid w:val="00421E32"/>
    <w:rsid w:val="00422CDA"/>
    <w:rsid w:val="00423E78"/>
    <w:rsid w:val="004240FE"/>
    <w:rsid w:val="0042484C"/>
    <w:rsid w:val="004252EC"/>
    <w:rsid w:val="00425319"/>
    <w:rsid w:val="00426EF6"/>
    <w:rsid w:val="00430D39"/>
    <w:rsid w:val="00431EC6"/>
    <w:rsid w:val="00442905"/>
    <w:rsid w:val="00442B96"/>
    <w:rsid w:val="00442C91"/>
    <w:rsid w:val="00443622"/>
    <w:rsid w:val="00443CFA"/>
    <w:rsid w:val="00444E9D"/>
    <w:rsid w:val="004465BD"/>
    <w:rsid w:val="00446938"/>
    <w:rsid w:val="004513A1"/>
    <w:rsid w:val="0045275E"/>
    <w:rsid w:val="004528FA"/>
    <w:rsid w:val="00452A6C"/>
    <w:rsid w:val="00453FAA"/>
    <w:rsid w:val="0045551B"/>
    <w:rsid w:val="00457EF4"/>
    <w:rsid w:val="00461A44"/>
    <w:rsid w:val="00461B45"/>
    <w:rsid w:val="00462583"/>
    <w:rsid w:val="004629DB"/>
    <w:rsid w:val="00462D26"/>
    <w:rsid w:val="004634CF"/>
    <w:rsid w:val="0046368B"/>
    <w:rsid w:val="0046385A"/>
    <w:rsid w:val="00464039"/>
    <w:rsid w:val="004641C9"/>
    <w:rsid w:val="00465D8D"/>
    <w:rsid w:val="0046691A"/>
    <w:rsid w:val="00466ADA"/>
    <w:rsid w:val="0046782C"/>
    <w:rsid w:val="00467F1C"/>
    <w:rsid w:val="004702BB"/>
    <w:rsid w:val="00471149"/>
    <w:rsid w:val="0047211D"/>
    <w:rsid w:val="00473C3A"/>
    <w:rsid w:val="0047494B"/>
    <w:rsid w:val="00476245"/>
    <w:rsid w:val="004767BC"/>
    <w:rsid w:val="004773C4"/>
    <w:rsid w:val="00477A9B"/>
    <w:rsid w:val="00482AE4"/>
    <w:rsid w:val="00483035"/>
    <w:rsid w:val="00484AA9"/>
    <w:rsid w:val="00485940"/>
    <w:rsid w:val="004867AA"/>
    <w:rsid w:val="00486C95"/>
    <w:rsid w:val="004877C2"/>
    <w:rsid w:val="00487E58"/>
    <w:rsid w:val="004904B9"/>
    <w:rsid w:val="00491EDC"/>
    <w:rsid w:val="004928E1"/>
    <w:rsid w:val="00492D22"/>
    <w:rsid w:val="00492D8D"/>
    <w:rsid w:val="00492E09"/>
    <w:rsid w:val="00493A3F"/>
    <w:rsid w:val="004958B0"/>
    <w:rsid w:val="00496662"/>
    <w:rsid w:val="004A05D0"/>
    <w:rsid w:val="004A1431"/>
    <w:rsid w:val="004A18E6"/>
    <w:rsid w:val="004A2484"/>
    <w:rsid w:val="004A378E"/>
    <w:rsid w:val="004A46B4"/>
    <w:rsid w:val="004A5A85"/>
    <w:rsid w:val="004A71D1"/>
    <w:rsid w:val="004A7C5B"/>
    <w:rsid w:val="004B1845"/>
    <w:rsid w:val="004B1AF7"/>
    <w:rsid w:val="004B2348"/>
    <w:rsid w:val="004B2404"/>
    <w:rsid w:val="004B2E01"/>
    <w:rsid w:val="004B2E98"/>
    <w:rsid w:val="004B3246"/>
    <w:rsid w:val="004B35DD"/>
    <w:rsid w:val="004B4630"/>
    <w:rsid w:val="004B5640"/>
    <w:rsid w:val="004B6084"/>
    <w:rsid w:val="004B6749"/>
    <w:rsid w:val="004BCF29"/>
    <w:rsid w:val="004C0206"/>
    <w:rsid w:val="004C0344"/>
    <w:rsid w:val="004C03D0"/>
    <w:rsid w:val="004C0622"/>
    <w:rsid w:val="004C1119"/>
    <w:rsid w:val="004C1BD7"/>
    <w:rsid w:val="004C1BF2"/>
    <w:rsid w:val="004C1EAD"/>
    <w:rsid w:val="004C2320"/>
    <w:rsid w:val="004C239C"/>
    <w:rsid w:val="004C31FE"/>
    <w:rsid w:val="004C524C"/>
    <w:rsid w:val="004C5EDD"/>
    <w:rsid w:val="004C5FFA"/>
    <w:rsid w:val="004C6770"/>
    <w:rsid w:val="004C691D"/>
    <w:rsid w:val="004C6C07"/>
    <w:rsid w:val="004C7463"/>
    <w:rsid w:val="004C7E15"/>
    <w:rsid w:val="004C7EC6"/>
    <w:rsid w:val="004D1607"/>
    <w:rsid w:val="004D2CD1"/>
    <w:rsid w:val="004D32CC"/>
    <w:rsid w:val="004D365C"/>
    <w:rsid w:val="004D4FF6"/>
    <w:rsid w:val="004D5ADD"/>
    <w:rsid w:val="004D625F"/>
    <w:rsid w:val="004E0CC3"/>
    <w:rsid w:val="004E1A8F"/>
    <w:rsid w:val="004E1B32"/>
    <w:rsid w:val="004E57EB"/>
    <w:rsid w:val="004E5857"/>
    <w:rsid w:val="004E692D"/>
    <w:rsid w:val="004E7230"/>
    <w:rsid w:val="004E7D87"/>
    <w:rsid w:val="004F035F"/>
    <w:rsid w:val="004F05A1"/>
    <w:rsid w:val="004F0F39"/>
    <w:rsid w:val="004F1975"/>
    <w:rsid w:val="004F2340"/>
    <w:rsid w:val="004F2553"/>
    <w:rsid w:val="004F306A"/>
    <w:rsid w:val="004F33C5"/>
    <w:rsid w:val="004F38F6"/>
    <w:rsid w:val="004F3D20"/>
    <w:rsid w:val="004F4C33"/>
    <w:rsid w:val="004F5A34"/>
    <w:rsid w:val="00501154"/>
    <w:rsid w:val="00501554"/>
    <w:rsid w:val="0050224E"/>
    <w:rsid w:val="00502973"/>
    <w:rsid w:val="00502A4F"/>
    <w:rsid w:val="00502AFE"/>
    <w:rsid w:val="00502E64"/>
    <w:rsid w:val="00503AD7"/>
    <w:rsid w:val="00503E47"/>
    <w:rsid w:val="00503E89"/>
    <w:rsid w:val="00504E0C"/>
    <w:rsid w:val="00504E13"/>
    <w:rsid w:val="00505ACA"/>
    <w:rsid w:val="00506B11"/>
    <w:rsid w:val="005109D4"/>
    <w:rsid w:val="0051229E"/>
    <w:rsid w:val="0051230A"/>
    <w:rsid w:val="005126DD"/>
    <w:rsid w:val="00512F66"/>
    <w:rsid w:val="00513DCF"/>
    <w:rsid w:val="00514511"/>
    <w:rsid w:val="005146C3"/>
    <w:rsid w:val="00514CD7"/>
    <w:rsid w:val="005167EC"/>
    <w:rsid w:val="005170DA"/>
    <w:rsid w:val="00520D6A"/>
    <w:rsid w:val="00521C36"/>
    <w:rsid w:val="00522DB6"/>
    <w:rsid w:val="00524AFF"/>
    <w:rsid w:val="0052604B"/>
    <w:rsid w:val="005264A7"/>
    <w:rsid w:val="0052792D"/>
    <w:rsid w:val="005319B2"/>
    <w:rsid w:val="00532384"/>
    <w:rsid w:val="00532402"/>
    <w:rsid w:val="00532C74"/>
    <w:rsid w:val="0053319E"/>
    <w:rsid w:val="00533239"/>
    <w:rsid w:val="005334DB"/>
    <w:rsid w:val="00534E2E"/>
    <w:rsid w:val="00535133"/>
    <w:rsid w:val="005377DE"/>
    <w:rsid w:val="0054064C"/>
    <w:rsid w:val="00541282"/>
    <w:rsid w:val="0054265F"/>
    <w:rsid w:val="00542DA8"/>
    <w:rsid w:val="00543010"/>
    <w:rsid w:val="00543871"/>
    <w:rsid w:val="00544552"/>
    <w:rsid w:val="00545130"/>
    <w:rsid w:val="00546B36"/>
    <w:rsid w:val="0054756C"/>
    <w:rsid w:val="0055286A"/>
    <w:rsid w:val="00552B6F"/>
    <w:rsid w:val="0055386A"/>
    <w:rsid w:val="005550A5"/>
    <w:rsid w:val="005556D2"/>
    <w:rsid w:val="00555745"/>
    <w:rsid w:val="00555C07"/>
    <w:rsid w:val="00555E51"/>
    <w:rsid w:val="00557D4F"/>
    <w:rsid w:val="00561153"/>
    <w:rsid w:val="0056122E"/>
    <w:rsid w:val="00562DA8"/>
    <w:rsid w:val="00563352"/>
    <w:rsid w:val="0056366D"/>
    <w:rsid w:val="0056484E"/>
    <w:rsid w:val="00565999"/>
    <w:rsid w:val="00566429"/>
    <w:rsid w:val="00566FFE"/>
    <w:rsid w:val="00567D8A"/>
    <w:rsid w:val="00570231"/>
    <w:rsid w:val="005714B7"/>
    <w:rsid w:val="00571802"/>
    <w:rsid w:val="00574846"/>
    <w:rsid w:val="00575287"/>
    <w:rsid w:val="005764CD"/>
    <w:rsid w:val="00576E6D"/>
    <w:rsid w:val="0057703E"/>
    <w:rsid w:val="00577346"/>
    <w:rsid w:val="00577C4D"/>
    <w:rsid w:val="00580532"/>
    <w:rsid w:val="00581932"/>
    <w:rsid w:val="00581E61"/>
    <w:rsid w:val="00583002"/>
    <w:rsid w:val="005835FC"/>
    <w:rsid w:val="00583736"/>
    <w:rsid w:val="005842A0"/>
    <w:rsid w:val="005856E2"/>
    <w:rsid w:val="00587535"/>
    <w:rsid w:val="005903BB"/>
    <w:rsid w:val="00592968"/>
    <w:rsid w:val="00593893"/>
    <w:rsid w:val="0059566E"/>
    <w:rsid w:val="0059599B"/>
    <w:rsid w:val="005962F0"/>
    <w:rsid w:val="005963BB"/>
    <w:rsid w:val="0059645C"/>
    <w:rsid w:val="00596D37"/>
    <w:rsid w:val="005A15D2"/>
    <w:rsid w:val="005A3173"/>
    <w:rsid w:val="005A3223"/>
    <w:rsid w:val="005A3DA3"/>
    <w:rsid w:val="005A52C4"/>
    <w:rsid w:val="005A63A1"/>
    <w:rsid w:val="005A79AB"/>
    <w:rsid w:val="005B0486"/>
    <w:rsid w:val="005B1032"/>
    <w:rsid w:val="005B1473"/>
    <w:rsid w:val="005B21B9"/>
    <w:rsid w:val="005B2ED2"/>
    <w:rsid w:val="005B32B1"/>
    <w:rsid w:val="005B36FA"/>
    <w:rsid w:val="005B3BA4"/>
    <w:rsid w:val="005B4A90"/>
    <w:rsid w:val="005B4A91"/>
    <w:rsid w:val="005B74EB"/>
    <w:rsid w:val="005C1AAB"/>
    <w:rsid w:val="005C3C3D"/>
    <w:rsid w:val="005C3CFC"/>
    <w:rsid w:val="005C4F73"/>
    <w:rsid w:val="005C5038"/>
    <w:rsid w:val="005C63B9"/>
    <w:rsid w:val="005C65DF"/>
    <w:rsid w:val="005D03AB"/>
    <w:rsid w:val="005D2A1D"/>
    <w:rsid w:val="005D401D"/>
    <w:rsid w:val="005D5017"/>
    <w:rsid w:val="005D5708"/>
    <w:rsid w:val="005D63FA"/>
    <w:rsid w:val="005D643D"/>
    <w:rsid w:val="005D6A68"/>
    <w:rsid w:val="005D73C7"/>
    <w:rsid w:val="005E0050"/>
    <w:rsid w:val="005E0C2D"/>
    <w:rsid w:val="005E0D82"/>
    <w:rsid w:val="005E0F59"/>
    <w:rsid w:val="005E1333"/>
    <w:rsid w:val="005E1D0C"/>
    <w:rsid w:val="005E2239"/>
    <w:rsid w:val="005E3136"/>
    <w:rsid w:val="005E3CDA"/>
    <w:rsid w:val="005E4242"/>
    <w:rsid w:val="005E507D"/>
    <w:rsid w:val="005E6CF5"/>
    <w:rsid w:val="005E73FF"/>
    <w:rsid w:val="005F0AD0"/>
    <w:rsid w:val="005F0C3F"/>
    <w:rsid w:val="005F1522"/>
    <w:rsid w:val="005F1890"/>
    <w:rsid w:val="005F2BD0"/>
    <w:rsid w:val="005F3AD3"/>
    <w:rsid w:val="005F4333"/>
    <w:rsid w:val="005F724C"/>
    <w:rsid w:val="00600F15"/>
    <w:rsid w:val="006012F7"/>
    <w:rsid w:val="00601A91"/>
    <w:rsid w:val="00601D12"/>
    <w:rsid w:val="00602063"/>
    <w:rsid w:val="00602BA3"/>
    <w:rsid w:val="00602E01"/>
    <w:rsid w:val="00605B63"/>
    <w:rsid w:val="00605F9A"/>
    <w:rsid w:val="00606442"/>
    <w:rsid w:val="00606D01"/>
    <w:rsid w:val="00606EED"/>
    <w:rsid w:val="006076AC"/>
    <w:rsid w:val="00607DDB"/>
    <w:rsid w:val="00612A95"/>
    <w:rsid w:val="00612E34"/>
    <w:rsid w:val="00613540"/>
    <w:rsid w:val="00614159"/>
    <w:rsid w:val="006158A3"/>
    <w:rsid w:val="00616C5F"/>
    <w:rsid w:val="00616DAC"/>
    <w:rsid w:val="00616E32"/>
    <w:rsid w:val="00617725"/>
    <w:rsid w:val="00617C00"/>
    <w:rsid w:val="0062316F"/>
    <w:rsid w:val="00623615"/>
    <w:rsid w:val="0062413C"/>
    <w:rsid w:val="00624574"/>
    <w:rsid w:val="0062503E"/>
    <w:rsid w:val="006256B9"/>
    <w:rsid w:val="006263BF"/>
    <w:rsid w:val="0062673A"/>
    <w:rsid w:val="00627236"/>
    <w:rsid w:val="0062748A"/>
    <w:rsid w:val="006274BC"/>
    <w:rsid w:val="00630546"/>
    <w:rsid w:val="0063060F"/>
    <w:rsid w:val="00630A2C"/>
    <w:rsid w:val="0063110E"/>
    <w:rsid w:val="00632180"/>
    <w:rsid w:val="00634A75"/>
    <w:rsid w:val="00635CCD"/>
    <w:rsid w:val="0063682E"/>
    <w:rsid w:val="00636D93"/>
    <w:rsid w:val="00640088"/>
    <w:rsid w:val="0064018C"/>
    <w:rsid w:val="00640D16"/>
    <w:rsid w:val="00642672"/>
    <w:rsid w:val="00642BF3"/>
    <w:rsid w:val="00642DA8"/>
    <w:rsid w:val="006436CD"/>
    <w:rsid w:val="00644721"/>
    <w:rsid w:val="00646898"/>
    <w:rsid w:val="006475C9"/>
    <w:rsid w:val="00650976"/>
    <w:rsid w:val="00650ABF"/>
    <w:rsid w:val="00651169"/>
    <w:rsid w:val="00651904"/>
    <w:rsid w:val="00651BBF"/>
    <w:rsid w:val="00653D69"/>
    <w:rsid w:val="00654B1E"/>
    <w:rsid w:val="006552E6"/>
    <w:rsid w:val="00655794"/>
    <w:rsid w:val="00656F2F"/>
    <w:rsid w:val="00657C63"/>
    <w:rsid w:val="00660008"/>
    <w:rsid w:val="00661CBC"/>
    <w:rsid w:val="00662B85"/>
    <w:rsid w:val="00663A7C"/>
    <w:rsid w:val="00663DA1"/>
    <w:rsid w:val="00663FB1"/>
    <w:rsid w:val="00664987"/>
    <w:rsid w:val="00665447"/>
    <w:rsid w:val="006670B3"/>
    <w:rsid w:val="006670BE"/>
    <w:rsid w:val="006708A7"/>
    <w:rsid w:val="00670A76"/>
    <w:rsid w:val="006711AA"/>
    <w:rsid w:val="0067157E"/>
    <w:rsid w:val="006718A6"/>
    <w:rsid w:val="00672B57"/>
    <w:rsid w:val="006733A6"/>
    <w:rsid w:val="00673F1F"/>
    <w:rsid w:val="00675622"/>
    <w:rsid w:val="00675DEB"/>
    <w:rsid w:val="0067709F"/>
    <w:rsid w:val="0067747D"/>
    <w:rsid w:val="00681873"/>
    <w:rsid w:val="006818D5"/>
    <w:rsid w:val="00681CA4"/>
    <w:rsid w:val="006829BB"/>
    <w:rsid w:val="006838E2"/>
    <w:rsid w:val="00685447"/>
    <w:rsid w:val="006860C6"/>
    <w:rsid w:val="00686559"/>
    <w:rsid w:val="0069039D"/>
    <w:rsid w:val="0069062B"/>
    <w:rsid w:val="006906DB"/>
    <w:rsid w:val="00691900"/>
    <w:rsid w:val="00691E6C"/>
    <w:rsid w:val="006925EF"/>
    <w:rsid w:val="006930EA"/>
    <w:rsid w:val="00693425"/>
    <w:rsid w:val="0069342D"/>
    <w:rsid w:val="00693532"/>
    <w:rsid w:val="006937F4"/>
    <w:rsid w:val="00693DFB"/>
    <w:rsid w:val="0069497F"/>
    <w:rsid w:val="00694FD5"/>
    <w:rsid w:val="0069501D"/>
    <w:rsid w:val="00695C11"/>
    <w:rsid w:val="00696129"/>
    <w:rsid w:val="00696991"/>
    <w:rsid w:val="00697CF2"/>
    <w:rsid w:val="006A12A5"/>
    <w:rsid w:val="006A1813"/>
    <w:rsid w:val="006A1974"/>
    <w:rsid w:val="006A22F9"/>
    <w:rsid w:val="006A2515"/>
    <w:rsid w:val="006A40B5"/>
    <w:rsid w:val="006A572D"/>
    <w:rsid w:val="006A5E20"/>
    <w:rsid w:val="006A641B"/>
    <w:rsid w:val="006B0D94"/>
    <w:rsid w:val="006B0E44"/>
    <w:rsid w:val="006B16B6"/>
    <w:rsid w:val="006B1841"/>
    <w:rsid w:val="006B2EFB"/>
    <w:rsid w:val="006B3308"/>
    <w:rsid w:val="006B485D"/>
    <w:rsid w:val="006B49D5"/>
    <w:rsid w:val="006B4B63"/>
    <w:rsid w:val="006B6844"/>
    <w:rsid w:val="006B786F"/>
    <w:rsid w:val="006B7DDA"/>
    <w:rsid w:val="006C0C45"/>
    <w:rsid w:val="006C2806"/>
    <w:rsid w:val="006C334C"/>
    <w:rsid w:val="006C3644"/>
    <w:rsid w:val="006C6C10"/>
    <w:rsid w:val="006C708E"/>
    <w:rsid w:val="006C77AA"/>
    <w:rsid w:val="006D14E7"/>
    <w:rsid w:val="006D1D73"/>
    <w:rsid w:val="006D27B6"/>
    <w:rsid w:val="006D3637"/>
    <w:rsid w:val="006D43D9"/>
    <w:rsid w:val="006D4444"/>
    <w:rsid w:val="006D4B7B"/>
    <w:rsid w:val="006D54C5"/>
    <w:rsid w:val="006D6493"/>
    <w:rsid w:val="006D6EC7"/>
    <w:rsid w:val="006D7B05"/>
    <w:rsid w:val="006D7E45"/>
    <w:rsid w:val="006E1143"/>
    <w:rsid w:val="006E1BCD"/>
    <w:rsid w:val="006E2454"/>
    <w:rsid w:val="006E2732"/>
    <w:rsid w:val="006E29B8"/>
    <w:rsid w:val="006E4DB3"/>
    <w:rsid w:val="006E59CD"/>
    <w:rsid w:val="006E6A05"/>
    <w:rsid w:val="006F00ED"/>
    <w:rsid w:val="006F026F"/>
    <w:rsid w:val="006F049E"/>
    <w:rsid w:val="006F06E9"/>
    <w:rsid w:val="006F0A71"/>
    <w:rsid w:val="006F1C6B"/>
    <w:rsid w:val="006F20D2"/>
    <w:rsid w:val="006F2ECE"/>
    <w:rsid w:val="006F3EEB"/>
    <w:rsid w:val="006F40C2"/>
    <w:rsid w:val="006F5125"/>
    <w:rsid w:val="006F531B"/>
    <w:rsid w:val="006F733D"/>
    <w:rsid w:val="006F75DC"/>
    <w:rsid w:val="006F7600"/>
    <w:rsid w:val="00700535"/>
    <w:rsid w:val="00700765"/>
    <w:rsid w:val="00700E3C"/>
    <w:rsid w:val="00702959"/>
    <w:rsid w:val="00702B6F"/>
    <w:rsid w:val="007030B4"/>
    <w:rsid w:val="00703B86"/>
    <w:rsid w:val="00704069"/>
    <w:rsid w:val="007061DB"/>
    <w:rsid w:val="00706A2F"/>
    <w:rsid w:val="0070718E"/>
    <w:rsid w:val="00707E52"/>
    <w:rsid w:val="00710259"/>
    <w:rsid w:val="0071031F"/>
    <w:rsid w:val="00710737"/>
    <w:rsid w:val="0071340B"/>
    <w:rsid w:val="00713C50"/>
    <w:rsid w:val="00714217"/>
    <w:rsid w:val="0071436D"/>
    <w:rsid w:val="0071508D"/>
    <w:rsid w:val="00715BBB"/>
    <w:rsid w:val="00716D74"/>
    <w:rsid w:val="00716DDB"/>
    <w:rsid w:val="007174BB"/>
    <w:rsid w:val="0072025D"/>
    <w:rsid w:val="00720B9F"/>
    <w:rsid w:val="0072171A"/>
    <w:rsid w:val="00722EED"/>
    <w:rsid w:val="00723328"/>
    <w:rsid w:val="0072335E"/>
    <w:rsid w:val="007237DE"/>
    <w:rsid w:val="0072502E"/>
    <w:rsid w:val="0073137C"/>
    <w:rsid w:val="007325CB"/>
    <w:rsid w:val="007340B9"/>
    <w:rsid w:val="007353D3"/>
    <w:rsid w:val="0073736F"/>
    <w:rsid w:val="0074156B"/>
    <w:rsid w:val="00741619"/>
    <w:rsid w:val="00742369"/>
    <w:rsid w:val="00742885"/>
    <w:rsid w:val="00742DC9"/>
    <w:rsid w:val="00743469"/>
    <w:rsid w:val="00745362"/>
    <w:rsid w:val="00747092"/>
    <w:rsid w:val="0074763B"/>
    <w:rsid w:val="007477FF"/>
    <w:rsid w:val="007505AE"/>
    <w:rsid w:val="007526E6"/>
    <w:rsid w:val="00753742"/>
    <w:rsid w:val="00753C5A"/>
    <w:rsid w:val="00754494"/>
    <w:rsid w:val="00754851"/>
    <w:rsid w:val="00754DF9"/>
    <w:rsid w:val="007552C5"/>
    <w:rsid w:val="007555E8"/>
    <w:rsid w:val="00755CC5"/>
    <w:rsid w:val="007560A8"/>
    <w:rsid w:val="00757C1E"/>
    <w:rsid w:val="00757DE9"/>
    <w:rsid w:val="0076045B"/>
    <w:rsid w:val="00760966"/>
    <w:rsid w:val="00762862"/>
    <w:rsid w:val="0076420C"/>
    <w:rsid w:val="007670B2"/>
    <w:rsid w:val="00770E11"/>
    <w:rsid w:val="00771D07"/>
    <w:rsid w:val="007720F2"/>
    <w:rsid w:val="00772649"/>
    <w:rsid w:val="00772B5F"/>
    <w:rsid w:val="00772B61"/>
    <w:rsid w:val="00772F5D"/>
    <w:rsid w:val="00773531"/>
    <w:rsid w:val="007735A6"/>
    <w:rsid w:val="00773BE3"/>
    <w:rsid w:val="00773FD0"/>
    <w:rsid w:val="007743DD"/>
    <w:rsid w:val="00774E2C"/>
    <w:rsid w:val="0077503C"/>
    <w:rsid w:val="0077518D"/>
    <w:rsid w:val="007753C2"/>
    <w:rsid w:val="00776068"/>
    <w:rsid w:val="007760E4"/>
    <w:rsid w:val="007803A4"/>
    <w:rsid w:val="0078108A"/>
    <w:rsid w:val="007810CA"/>
    <w:rsid w:val="00781D18"/>
    <w:rsid w:val="00781F71"/>
    <w:rsid w:val="007821C4"/>
    <w:rsid w:val="00783623"/>
    <w:rsid w:val="007837C6"/>
    <w:rsid w:val="007838B8"/>
    <w:rsid w:val="007847AC"/>
    <w:rsid w:val="00785779"/>
    <w:rsid w:val="00786B79"/>
    <w:rsid w:val="00787307"/>
    <w:rsid w:val="00787FD8"/>
    <w:rsid w:val="007908C1"/>
    <w:rsid w:val="007915BA"/>
    <w:rsid w:val="00791844"/>
    <w:rsid w:val="0079250E"/>
    <w:rsid w:val="00793CE9"/>
    <w:rsid w:val="007945AD"/>
    <w:rsid w:val="00796667"/>
    <w:rsid w:val="00797068"/>
    <w:rsid w:val="007979BD"/>
    <w:rsid w:val="007A021F"/>
    <w:rsid w:val="007A280C"/>
    <w:rsid w:val="007A3D8E"/>
    <w:rsid w:val="007A4E70"/>
    <w:rsid w:val="007A5C88"/>
    <w:rsid w:val="007A6A2F"/>
    <w:rsid w:val="007A7D8E"/>
    <w:rsid w:val="007B024E"/>
    <w:rsid w:val="007B0440"/>
    <w:rsid w:val="007B2901"/>
    <w:rsid w:val="007B2D87"/>
    <w:rsid w:val="007B2DCC"/>
    <w:rsid w:val="007B3BAF"/>
    <w:rsid w:val="007B3DDC"/>
    <w:rsid w:val="007B445C"/>
    <w:rsid w:val="007B575D"/>
    <w:rsid w:val="007B6EAE"/>
    <w:rsid w:val="007B72A6"/>
    <w:rsid w:val="007C06D2"/>
    <w:rsid w:val="007C08E0"/>
    <w:rsid w:val="007C0DB1"/>
    <w:rsid w:val="007C0F57"/>
    <w:rsid w:val="007C17DC"/>
    <w:rsid w:val="007C2F13"/>
    <w:rsid w:val="007C2F4B"/>
    <w:rsid w:val="007C40B6"/>
    <w:rsid w:val="007C40D6"/>
    <w:rsid w:val="007C5975"/>
    <w:rsid w:val="007C6E1B"/>
    <w:rsid w:val="007C729F"/>
    <w:rsid w:val="007C72AD"/>
    <w:rsid w:val="007D1C8F"/>
    <w:rsid w:val="007D503D"/>
    <w:rsid w:val="007D59E7"/>
    <w:rsid w:val="007D5F2A"/>
    <w:rsid w:val="007D70AA"/>
    <w:rsid w:val="007E07AC"/>
    <w:rsid w:val="007E0B28"/>
    <w:rsid w:val="007E1014"/>
    <w:rsid w:val="007E12F8"/>
    <w:rsid w:val="007E14EB"/>
    <w:rsid w:val="007E1638"/>
    <w:rsid w:val="007E1D28"/>
    <w:rsid w:val="007E3E71"/>
    <w:rsid w:val="007E4564"/>
    <w:rsid w:val="007E490F"/>
    <w:rsid w:val="007E6533"/>
    <w:rsid w:val="007F0021"/>
    <w:rsid w:val="007F094C"/>
    <w:rsid w:val="007F1007"/>
    <w:rsid w:val="007F2641"/>
    <w:rsid w:val="007F2FC1"/>
    <w:rsid w:val="007F48C4"/>
    <w:rsid w:val="007F50C9"/>
    <w:rsid w:val="007F7A2E"/>
    <w:rsid w:val="007F7C36"/>
    <w:rsid w:val="007F7F45"/>
    <w:rsid w:val="0080001F"/>
    <w:rsid w:val="008000F8"/>
    <w:rsid w:val="00800F9C"/>
    <w:rsid w:val="00801958"/>
    <w:rsid w:val="00803327"/>
    <w:rsid w:val="0080390A"/>
    <w:rsid w:val="00804FC4"/>
    <w:rsid w:val="008055AF"/>
    <w:rsid w:val="008057CD"/>
    <w:rsid w:val="0080610E"/>
    <w:rsid w:val="008066B8"/>
    <w:rsid w:val="00806796"/>
    <w:rsid w:val="00806A63"/>
    <w:rsid w:val="00807408"/>
    <w:rsid w:val="00810167"/>
    <w:rsid w:val="008104D0"/>
    <w:rsid w:val="00811CC0"/>
    <w:rsid w:val="00811CC3"/>
    <w:rsid w:val="0081218E"/>
    <w:rsid w:val="00813031"/>
    <w:rsid w:val="00814276"/>
    <w:rsid w:val="008149FA"/>
    <w:rsid w:val="008151D6"/>
    <w:rsid w:val="00816322"/>
    <w:rsid w:val="00816F45"/>
    <w:rsid w:val="0081792D"/>
    <w:rsid w:val="00820803"/>
    <w:rsid w:val="00821527"/>
    <w:rsid w:val="00821563"/>
    <w:rsid w:val="00822122"/>
    <w:rsid w:val="00822162"/>
    <w:rsid w:val="008225CE"/>
    <w:rsid w:val="00822696"/>
    <w:rsid w:val="0082300E"/>
    <w:rsid w:val="00823359"/>
    <w:rsid w:val="0082456E"/>
    <w:rsid w:val="00824F94"/>
    <w:rsid w:val="00825A6C"/>
    <w:rsid w:val="0082617E"/>
    <w:rsid w:val="008268BB"/>
    <w:rsid w:val="00826F32"/>
    <w:rsid w:val="00826F6D"/>
    <w:rsid w:val="00827097"/>
    <w:rsid w:val="00827339"/>
    <w:rsid w:val="00827AE8"/>
    <w:rsid w:val="008306F3"/>
    <w:rsid w:val="00830E40"/>
    <w:rsid w:val="00831604"/>
    <w:rsid w:val="00832D9A"/>
    <w:rsid w:val="00832DA8"/>
    <w:rsid w:val="00834385"/>
    <w:rsid w:val="008350F8"/>
    <w:rsid w:val="00835C62"/>
    <w:rsid w:val="00836167"/>
    <w:rsid w:val="008368A1"/>
    <w:rsid w:val="00837B7F"/>
    <w:rsid w:val="00840EF7"/>
    <w:rsid w:val="00841BA8"/>
    <w:rsid w:val="00844C0A"/>
    <w:rsid w:val="00846056"/>
    <w:rsid w:val="0084681F"/>
    <w:rsid w:val="00847D08"/>
    <w:rsid w:val="00847EC0"/>
    <w:rsid w:val="00850C31"/>
    <w:rsid w:val="00851969"/>
    <w:rsid w:val="0085244C"/>
    <w:rsid w:val="00853A0C"/>
    <w:rsid w:val="0085412C"/>
    <w:rsid w:val="00854357"/>
    <w:rsid w:val="00854506"/>
    <w:rsid w:val="00855FD6"/>
    <w:rsid w:val="00856DDD"/>
    <w:rsid w:val="00857421"/>
    <w:rsid w:val="00860233"/>
    <w:rsid w:val="00860703"/>
    <w:rsid w:val="008619F4"/>
    <w:rsid w:val="00863E68"/>
    <w:rsid w:val="008647B5"/>
    <w:rsid w:val="0086715C"/>
    <w:rsid w:val="00867D64"/>
    <w:rsid w:val="00867D85"/>
    <w:rsid w:val="00872E8F"/>
    <w:rsid w:val="00875DCB"/>
    <w:rsid w:val="00876F4A"/>
    <w:rsid w:val="00876FBF"/>
    <w:rsid w:val="0087755A"/>
    <w:rsid w:val="00880527"/>
    <w:rsid w:val="00881132"/>
    <w:rsid w:val="0088184D"/>
    <w:rsid w:val="00881C80"/>
    <w:rsid w:val="00881C84"/>
    <w:rsid w:val="00882085"/>
    <w:rsid w:val="00883188"/>
    <w:rsid w:val="00883234"/>
    <w:rsid w:val="00883D5D"/>
    <w:rsid w:val="00884A0C"/>
    <w:rsid w:val="00884B20"/>
    <w:rsid w:val="00886ACA"/>
    <w:rsid w:val="00886B01"/>
    <w:rsid w:val="00886B43"/>
    <w:rsid w:val="0089031E"/>
    <w:rsid w:val="0089109A"/>
    <w:rsid w:val="00891A90"/>
    <w:rsid w:val="00891A96"/>
    <w:rsid w:val="00893D5C"/>
    <w:rsid w:val="00893E87"/>
    <w:rsid w:val="0089460B"/>
    <w:rsid w:val="00895C15"/>
    <w:rsid w:val="00896C99"/>
    <w:rsid w:val="00897D58"/>
    <w:rsid w:val="00897F22"/>
    <w:rsid w:val="008A0B39"/>
    <w:rsid w:val="008A0CD9"/>
    <w:rsid w:val="008A17A3"/>
    <w:rsid w:val="008A1956"/>
    <w:rsid w:val="008A1E85"/>
    <w:rsid w:val="008A2419"/>
    <w:rsid w:val="008A3365"/>
    <w:rsid w:val="008A4516"/>
    <w:rsid w:val="008A4937"/>
    <w:rsid w:val="008A50F1"/>
    <w:rsid w:val="008A54A0"/>
    <w:rsid w:val="008A59D9"/>
    <w:rsid w:val="008A643E"/>
    <w:rsid w:val="008A6819"/>
    <w:rsid w:val="008B007A"/>
    <w:rsid w:val="008B159F"/>
    <w:rsid w:val="008B27DA"/>
    <w:rsid w:val="008B2EC0"/>
    <w:rsid w:val="008B3257"/>
    <w:rsid w:val="008B349C"/>
    <w:rsid w:val="008B45F0"/>
    <w:rsid w:val="008B6DCF"/>
    <w:rsid w:val="008C350F"/>
    <w:rsid w:val="008C388D"/>
    <w:rsid w:val="008C49C0"/>
    <w:rsid w:val="008C4D49"/>
    <w:rsid w:val="008D0945"/>
    <w:rsid w:val="008D1409"/>
    <w:rsid w:val="008D15CC"/>
    <w:rsid w:val="008D1729"/>
    <w:rsid w:val="008D1B5C"/>
    <w:rsid w:val="008D1D69"/>
    <w:rsid w:val="008D23BA"/>
    <w:rsid w:val="008D31AC"/>
    <w:rsid w:val="008D3C82"/>
    <w:rsid w:val="008D4024"/>
    <w:rsid w:val="008D4048"/>
    <w:rsid w:val="008D447E"/>
    <w:rsid w:val="008D56CD"/>
    <w:rsid w:val="008D592C"/>
    <w:rsid w:val="008D6824"/>
    <w:rsid w:val="008D6ACF"/>
    <w:rsid w:val="008D7A41"/>
    <w:rsid w:val="008E08F3"/>
    <w:rsid w:val="008E2318"/>
    <w:rsid w:val="008E2C72"/>
    <w:rsid w:val="008E3680"/>
    <w:rsid w:val="008E3D90"/>
    <w:rsid w:val="008E4F87"/>
    <w:rsid w:val="008E5474"/>
    <w:rsid w:val="008E5870"/>
    <w:rsid w:val="008E5D03"/>
    <w:rsid w:val="008E6FA0"/>
    <w:rsid w:val="008E73B1"/>
    <w:rsid w:val="008E77E4"/>
    <w:rsid w:val="008F0213"/>
    <w:rsid w:val="008F07ED"/>
    <w:rsid w:val="008F11F8"/>
    <w:rsid w:val="008F1434"/>
    <w:rsid w:val="008F2BB9"/>
    <w:rsid w:val="008F3D6A"/>
    <w:rsid w:val="008F3E2B"/>
    <w:rsid w:val="008F54C3"/>
    <w:rsid w:val="008F550D"/>
    <w:rsid w:val="008F598E"/>
    <w:rsid w:val="008F6E47"/>
    <w:rsid w:val="008F7355"/>
    <w:rsid w:val="008F7595"/>
    <w:rsid w:val="009006FC"/>
    <w:rsid w:val="009023DC"/>
    <w:rsid w:val="009027C5"/>
    <w:rsid w:val="00902CAD"/>
    <w:rsid w:val="00903383"/>
    <w:rsid w:val="009040BA"/>
    <w:rsid w:val="00904413"/>
    <w:rsid w:val="00904B7B"/>
    <w:rsid w:val="00905187"/>
    <w:rsid w:val="009057B1"/>
    <w:rsid w:val="00905F8B"/>
    <w:rsid w:val="0090602F"/>
    <w:rsid w:val="009067B7"/>
    <w:rsid w:val="00906E7A"/>
    <w:rsid w:val="00906E7F"/>
    <w:rsid w:val="0090747E"/>
    <w:rsid w:val="0090775A"/>
    <w:rsid w:val="00907DFD"/>
    <w:rsid w:val="00910034"/>
    <w:rsid w:val="00910634"/>
    <w:rsid w:val="00910AB2"/>
    <w:rsid w:val="0091146A"/>
    <w:rsid w:val="00913690"/>
    <w:rsid w:val="00913C99"/>
    <w:rsid w:val="00915950"/>
    <w:rsid w:val="009162E4"/>
    <w:rsid w:val="00917D69"/>
    <w:rsid w:val="00920B6D"/>
    <w:rsid w:val="009227A2"/>
    <w:rsid w:val="0092601E"/>
    <w:rsid w:val="00926560"/>
    <w:rsid w:val="00926B15"/>
    <w:rsid w:val="00930291"/>
    <w:rsid w:val="00930937"/>
    <w:rsid w:val="00930A25"/>
    <w:rsid w:val="009314FE"/>
    <w:rsid w:val="009324A6"/>
    <w:rsid w:val="00933B7D"/>
    <w:rsid w:val="00933E6C"/>
    <w:rsid w:val="009353BC"/>
    <w:rsid w:val="00935633"/>
    <w:rsid w:val="00935A6E"/>
    <w:rsid w:val="0093640F"/>
    <w:rsid w:val="00937958"/>
    <w:rsid w:val="00937F71"/>
    <w:rsid w:val="009406E5"/>
    <w:rsid w:val="00941241"/>
    <w:rsid w:val="00941602"/>
    <w:rsid w:val="00941D2A"/>
    <w:rsid w:val="00942160"/>
    <w:rsid w:val="00944849"/>
    <w:rsid w:val="00946921"/>
    <w:rsid w:val="00947343"/>
    <w:rsid w:val="0095033F"/>
    <w:rsid w:val="0095086E"/>
    <w:rsid w:val="009511FC"/>
    <w:rsid w:val="0095146F"/>
    <w:rsid w:val="00951F2D"/>
    <w:rsid w:val="0095250D"/>
    <w:rsid w:val="00952839"/>
    <w:rsid w:val="009528BB"/>
    <w:rsid w:val="00952B98"/>
    <w:rsid w:val="0095344C"/>
    <w:rsid w:val="009534C7"/>
    <w:rsid w:val="00956057"/>
    <w:rsid w:val="009565DA"/>
    <w:rsid w:val="00957944"/>
    <w:rsid w:val="009602C5"/>
    <w:rsid w:val="009604ED"/>
    <w:rsid w:val="0096061A"/>
    <w:rsid w:val="0096103A"/>
    <w:rsid w:val="00962223"/>
    <w:rsid w:val="0096252B"/>
    <w:rsid w:val="009630DC"/>
    <w:rsid w:val="00964325"/>
    <w:rsid w:val="009644D9"/>
    <w:rsid w:val="00964804"/>
    <w:rsid w:val="00964A9F"/>
    <w:rsid w:val="00965130"/>
    <w:rsid w:val="00965C0F"/>
    <w:rsid w:val="00966056"/>
    <w:rsid w:val="009660E5"/>
    <w:rsid w:val="009661E5"/>
    <w:rsid w:val="00966D0D"/>
    <w:rsid w:val="00967732"/>
    <w:rsid w:val="0096783C"/>
    <w:rsid w:val="00970023"/>
    <w:rsid w:val="009702DA"/>
    <w:rsid w:val="0097204F"/>
    <w:rsid w:val="00972295"/>
    <w:rsid w:val="009722B3"/>
    <w:rsid w:val="00973E24"/>
    <w:rsid w:val="00973FDC"/>
    <w:rsid w:val="009742A6"/>
    <w:rsid w:val="00974C21"/>
    <w:rsid w:val="00974D5F"/>
    <w:rsid w:val="00975948"/>
    <w:rsid w:val="009772FD"/>
    <w:rsid w:val="00977BF3"/>
    <w:rsid w:val="009803E4"/>
    <w:rsid w:val="00980B0E"/>
    <w:rsid w:val="00982B39"/>
    <w:rsid w:val="009836A3"/>
    <w:rsid w:val="009845FD"/>
    <w:rsid w:val="00984C58"/>
    <w:rsid w:val="00984F8B"/>
    <w:rsid w:val="009855A8"/>
    <w:rsid w:val="00985CBE"/>
    <w:rsid w:val="00985D1A"/>
    <w:rsid w:val="00986769"/>
    <w:rsid w:val="00990CF8"/>
    <w:rsid w:val="009913F4"/>
    <w:rsid w:val="00991782"/>
    <w:rsid w:val="00992DFE"/>
    <w:rsid w:val="009931CA"/>
    <w:rsid w:val="009937F7"/>
    <w:rsid w:val="00993B24"/>
    <w:rsid w:val="0099443F"/>
    <w:rsid w:val="0099465B"/>
    <w:rsid w:val="009951A1"/>
    <w:rsid w:val="009952C1"/>
    <w:rsid w:val="00997A44"/>
    <w:rsid w:val="00997D70"/>
    <w:rsid w:val="009A0312"/>
    <w:rsid w:val="009A0CDD"/>
    <w:rsid w:val="009A263E"/>
    <w:rsid w:val="009A3168"/>
    <w:rsid w:val="009A3952"/>
    <w:rsid w:val="009A4621"/>
    <w:rsid w:val="009A4BDF"/>
    <w:rsid w:val="009A4E8B"/>
    <w:rsid w:val="009A5D04"/>
    <w:rsid w:val="009A61CA"/>
    <w:rsid w:val="009B0062"/>
    <w:rsid w:val="009B0ADE"/>
    <w:rsid w:val="009B0C64"/>
    <w:rsid w:val="009B0F67"/>
    <w:rsid w:val="009B208A"/>
    <w:rsid w:val="009B241C"/>
    <w:rsid w:val="009B2756"/>
    <w:rsid w:val="009B3D56"/>
    <w:rsid w:val="009B3F8C"/>
    <w:rsid w:val="009B497A"/>
    <w:rsid w:val="009B533B"/>
    <w:rsid w:val="009B546B"/>
    <w:rsid w:val="009B566D"/>
    <w:rsid w:val="009B7848"/>
    <w:rsid w:val="009C0ABF"/>
    <w:rsid w:val="009C119F"/>
    <w:rsid w:val="009C26AA"/>
    <w:rsid w:val="009C36FB"/>
    <w:rsid w:val="009C3EE6"/>
    <w:rsid w:val="009C41AA"/>
    <w:rsid w:val="009C56CD"/>
    <w:rsid w:val="009C605A"/>
    <w:rsid w:val="009C703C"/>
    <w:rsid w:val="009C7761"/>
    <w:rsid w:val="009D0966"/>
    <w:rsid w:val="009D0C29"/>
    <w:rsid w:val="009D1121"/>
    <w:rsid w:val="009D206E"/>
    <w:rsid w:val="009D3CAA"/>
    <w:rsid w:val="009D507A"/>
    <w:rsid w:val="009D61D0"/>
    <w:rsid w:val="009D6532"/>
    <w:rsid w:val="009D6826"/>
    <w:rsid w:val="009D6EC2"/>
    <w:rsid w:val="009D71FD"/>
    <w:rsid w:val="009E06F0"/>
    <w:rsid w:val="009E0755"/>
    <w:rsid w:val="009E10AD"/>
    <w:rsid w:val="009E12E0"/>
    <w:rsid w:val="009E1D79"/>
    <w:rsid w:val="009E2588"/>
    <w:rsid w:val="009E2E8E"/>
    <w:rsid w:val="009E3433"/>
    <w:rsid w:val="009E40E1"/>
    <w:rsid w:val="009E5039"/>
    <w:rsid w:val="009E5C39"/>
    <w:rsid w:val="009F019F"/>
    <w:rsid w:val="009F0EFA"/>
    <w:rsid w:val="009F11A7"/>
    <w:rsid w:val="009F1CDA"/>
    <w:rsid w:val="009F4576"/>
    <w:rsid w:val="009F4E46"/>
    <w:rsid w:val="009F52BA"/>
    <w:rsid w:val="009F5B65"/>
    <w:rsid w:val="009F5F2E"/>
    <w:rsid w:val="009F778C"/>
    <w:rsid w:val="009F7931"/>
    <w:rsid w:val="00A00F8B"/>
    <w:rsid w:val="00A01432"/>
    <w:rsid w:val="00A01980"/>
    <w:rsid w:val="00A030B2"/>
    <w:rsid w:val="00A04027"/>
    <w:rsid w:val="00A057C3"/>
    <w:rsid w:val="00A06225"/>
    <w:rsid w:val="00A066E6"/>
    <w:rsid w:val="00A110D1"/>
    <w:rsid w:val="00A12587"/>
    <w:rsid w:val="00A128E6"/>
    <w:rsid w:val="00A13ABE"/>
    <w:rsid w:val="00A143FB"/>
    <w:rsid w:val="00A144D3"/>
    <w:rsid w:val="00A14B29"/>
    <w:rsid w:val="00A157BC"/>
    <w:rsid w:val="00A16111"/>
    <w:rsid w:val="00A1751C"/>
    <w:rsid w:val="00A17EA7"/>
    <w:rsid w:val="00A20763"/>
    <w:rsid w:val="00A21D7D"/>
    <w:rsid w:val="00A22AC3"/>
    <w:rsid w:val="00A22E19"/>
    <w:rsid w:val="00A2351E"/>
    <w:rsid w:val="00A23F3F"/>
    <w:rsid w:val="00A24067"/>
    <w:rsid w:val="00A24A4B"/>
    <w:rsid w:val="00A268DC"/>
    <w:rsid w:val="00A2744D"/>
    <w:rsid w:val="00A302E5"/>
    <w:rsid w:val="00A306F6"/>
    <w:rsid w:val="00A30D16"/>
    <w:rsid w:val="00A313CD"/>
    <w:rsid w:val="00A33EB7"/>
    <w:rsid w:val="00A34E6C"/>
    <w:rsid w:val="00A34FD0"/>
    <w:rsid w:val="00A36398"/>
    <w:rsid w:val="00A363FB"/>
    <w:rsid w:val="00A3660A"/>
    <w:rsid w:val="00A37C8D"/>
    <w:rsid w:val="00A4020E"/>
    <w:rsid w:val="00A40493"/>
    <w:rsid w:val="00A408E8"/>
    <w:rsid w:val="00A40FB5"/>
    <w:rsid w:val="00A4215F"/>
    <w:rsid w:val="00A424C9"/>
    <w:rsid w:val="00A4258E"/>
    <w:rsid w:val="00A42826"/>
    <w:rsid w:val="00A429B3"/>
    <w:rsid w:val="00A43FB6"/>
    <w:rsid w:val="00A44EC1"/>
    <w:rsid w:val="00A455AE"/>
    <w:rsid w:val="00A46A49"/>
    <w:rsid w:val="00A510E4"/>
    <w:rsid w:val="00A51F8C"/>
    <w:rsid w:val="00A526F7"/>
    <w:rsid w:val="00A5273B"/>
    <w:rsid w:val="00A52D03"/>
    <w:rsid w:val="00A53203"/>
    <w:rsid w:val="00A53A9D"/>
    <w:rsid w:val="00A53E75"/>
    <w:rsid w:val="00A545B5"/>
    <w:rsid w:val="00A5460A"/>
    <w:rsid w:val="00A546A7"/>
    <w:rsid w:val="00A55FEE"/>
    <w:rsid w:val="00A56304"/>
    <w:rsid w:val="00A564E9"/>
    <w:rsid w:val="00A57126"/>
    <w:rsid w:val="00A57422"/>
    <w:rsid w:val="00A574CA"/>
    <w:rsid w:val="00A57BF4"/>
    <w:rsid w:val="00A62C1A"/>
    <w:rsid w:val="00A63CA2"/>
    <w:rsid w:val="00A6426D"/>
    <w:rsid w:val="00A6439B"/>
    <w:rsid w:val="00A665C1"/>
    <w:rsid w:val="00A673A4"/>
    <w:rsid w:val="00A7001A"/>
    <w:rsid w:val="00A70622"/>
    <w:rsid w:val="00A70977"/>
    <w:rsid w:val="00A70D58"/>
    <w:rsid w:val="00A72F1F"/>
    <w:rsid w:val="00A744F9"/>
    <w:rsid w:val="00A74F17"/>
    <w:rsid w:val="00A753A1"/>
    <w:rsid w:val="00A76E6D"/>
    <w:rsid w:val="00A77613"/>
    <w:rsid w:val="00A77B87"/>
    <w:rsid w:val="00A77E01"/>
    <w:rsid w:val="00A801AD"/>
    <w:rsid w:val="00A80DF4"/>
    <w:rsid w:val="00A80EDA"/>
    <w:rsid w:val="00A817D2"/>
    <w:rsid w:val="00A81851"/>
    <w:rsid w:val="00A8390C"/>
    <w:rsid w:val="00A86AE0"/>
    <w:rsid w:val="00A90A0F"/>
    <w:rsid w:val="00A912B0"/>
    <w:rsid w:val="00A91362"/>
    <w:rsid w:val="00A9151C"/>
    <w:rsid w:val="00A919C6"/>
    <w:rsid w:val="00A91C1B"/>
    <w:rsid w:val="00A928BD"/>
    <w:rsid w:val="00A92D61"/>
    <w:rsid w:val="00A95585"/>
    <w:rsid w:val="00A97DE9"/>
    <w:rsid w:val="00AA0EAF"/>
    <w:rsid w:val="00AA12CD"/>
    <w:rsid w:val="00AA272C"/>
    <w:rsid w:val="00AA29C2"/>
    <w:rsid w:val="00AA4D1C"/>
    <w:rsid w:val="00AA52FD"/>
    <w:rsid w:val="00AA5D40"/>
    <w:rsid w:val="00AA7006"/>
    <w:rsid w:val="00AA7404"/>
    <w:rsid w:val="00AB19D4"/>
    <w:rsid w:val="00AB1F30"/>
    <w:rsid w:val="00AB3138"/>
    <w:rsid w:val="00AB4684"/>
    <w:rsid w:val="00AB5856"/>
    <w:rsid w:val="00AB61D1"/>
    <w:rsid w:val="00AB64B0"/>
    <w:rsid w:val="00AB6A80"/>
    <w:rsid w:val="00AC081D"/>
    <w:rsid w:val="00AC0C6F"/>
    <w:rsid w:val="00AC1266"/>
    <w:rsid w:val="00AC193C"/>
    <w:rsid w:val="00AC30C1"/>
    <w:rsid w:val="00AC4DE5"/>
    <w:rsid w:val="00AC4FC1"/>
    <w:rsid w:val="00AC5206"/>
    <w:rsid w:val="00AC5BC0"/>
    <w:rsid w:val="00AC6B36"/>
    <w:rsid w:val="00AD03C8"/>
    <w:rsid w:val="00AD095B"/>
    <w:rsid w:val="00AD0ECE"/>
    <w:rsid w:val="00AD3106"/>
    <w:rsid w:val="00AD4322"/>
    <w:rsid w:val="00AD6719"/>
    <w:rsid w:val="00AD6E26"/>
    <w:rsid w:val="00AE0452"/>
    <w:rsid w:val="00AE11A5"/>
    <w:rsid w:val="00AE13E2"/>
    <w:rsid w:val="00AE1B86"/>
    <w:rsid w:val="00AE1E82"/>
    <w:rsid w:val="00AE1EDA"/>
    <w:rsid w:val="00AE22D3"/>
    <w:rsid w:val="00AE2E49"/>
    <w:rsid w:val="00AE3C64"/>
    <w:rsid w:val="00AE4379"/>
    <w:rsid w:val="00AE5987"/>
    <w:rsid w:val="00AE5A49"/>
    <w:rsid w:val="00AF03E6"/>
    <w:rsid w:val="00AF1167"/>
    <w:rsid w:val="00AF11D8"/>
    <w:rsid w:val="00AF1BD3"/>
    <w:rsid w:val="00AF240D"/>
    <w:rsid w:val="00AF252A"/>
    <w:rsid w:val="00AF5867"/>
    <w:rsid w:val="00AF62DF"/>
    <w:rsid w:val="00AF68CC"/>
    <w:rsid w:val="00AF70D7"/>
    <w:rsid w:val="00B00086"/>
    <w:rsid w:val="00B0048E"/>
    <w:rsid w:val="00B00CD0"/>
    <w:rsid w:val="00B00E7F"/>
    <w:rsid w:val="00B00F78"/>
    <w:rsid w:val="00B017E7"/>
    <w:rsid w:val="00B0197D"/>
    <w:rsid w:val="00B01FF4"/>
    <w:rsid w:val="00B0326D"/>
    <w:rsid w:val="00B04634"/>
    <w:rsid w:val="00B052E7"/>
    <w:rsid w:val="00B05DE4"/>
    <w:rsid w:val="00B06037"/>
    <w:rsid w:val="00B0617E"/>
    <w:rsid w:val="00B06478"/>
    <w:rsid w:val="00B06755"/>
    <w:rsid w:val="00B06A91"/>
    <w:rsid w:val="00B07533"/>
    <w:rsid w:val="00B07CFB"/>
    <w:rsid w:val="00B1059E"/>
    <w:rsid w:val="00B11520"/>
    <w:rsid w:val="00B117F3"/>
    <w:rsid w:val="00B11DEC"/>
    <w:rsid w:val="00B149BA"/>
    <w:rsid w:val="00B14A36"/>
    <w:rsid w:val="00B15430"/>
    <w:rsid w:val="00B16273"/>
    <w:rsid w:val="00B16330"/>
    <w:rsid w:val="00B170A5"/>
    <w:rsid w:val="00B1725F"/>
    <w:rsid w:val="00B17567"/>
    <w:rsid w:val="00B176C8"/>
    <w:rsid w:val="00B17EE5"/>
    <w:rsid w:val="00B205AA"/>
    <w:rsid w:val="00B2100A"/>
    <w:rsid w:val="00B212F6"/>
    <w:rsid w:val="00B21A91"/>
    <w:rsid w:val="00B222F2"/>
    <w:rsid w:val="00B22E84"/>
    <w:rsid w:val="00B233AD"/>
    <w:rsid w:val="00B23E25"/>
    <w:rsid w:val="00B240E3"/>
    <w:rsid w:val="00B25ACE"/>
    <w:rsid w:val="00B25D4C"/>
    <w:rsid w:val="00B25F75"/>
    <w:rsid w:val="00B26B3F"/>
    <w:rsid w:val="00B2778F"/>
    <w:rsid w:val="00B27876"/>
    <w:rsid w:val="00B31415"/>
    <w:rsid w:val="00B31544"/>
    <w:rsid w:val="00B327E2"/>
    <w:rsid w:val="00B329BC"/>
    <w:rsid w:val="00B33635"/>
    <w:rsid w:val="00B34812"/>
    <w:rsid w:val="00B350D3"/>
    <w:rsid w:val="00B360BB"/>
    <w:rsid w:val="00B37A23"/>
    <w:rsid w:val="00B37CF8"/>
    <w:rsid w:val="00B40A62"/>
    <w:rsid w:val="00B41A1E"/>
    <w:rsid w:val="00B429CE"/>
    <w:rsid w:val="00B42AF4"/>
    <w:rsid w:val="00B43E90"/>
    <w:rsid w:val="00B44308"/>
    <w:rsid w:val="00B45722"/>
    <w:rsid w:val="00B460F4"/>
    <w:rsid w:val="00B467DC"/>
    <w:rsid w:val="00B4725B"/>
    <w:rsid w:val="00B47A88"/>
    <w:rsid w:val="00B47C50"/>
    <w:rsid w:val="00B50591"/>
    <w:rsid w:val="00B51905"/>
    <w:rsid w:val="00B51E09"/>
    <w:rsid w:val="00B52303"/>
    <w:rsid w:val="00B52F02"/>
    <w:rsid w:val="00B5343B"/>
    <w:rsid w:val="00B5392A"/>
    <w:rsid w:val="00B539EF"/>
    <w:rsid w:val="00B54AB7"/>
    <w:rsid w:val="00B5560C"/>
    <w:rsid w:val="00B56118"/>
    <w:rsid w:val="00B566E1"/>
    <w:rsid w:val="00B56AFB"/>
    <w:rsid w:val="00B602F6"/>
    <w:rsid w:val="00B62EC1"/>
    <w:rsid w:val="00B64A96"/>
    <w:rsid w:val="00B64EE2"/>
    <w:rsid w:val="00B6533B"/>
    <w:rsid w:val="00B664EF"/>
    <w:rsid w:val="00B66898"/>
    <w:rsid w:val="00B6773F"/>
    <w:rsid w:val="00B67958"/>
    <w:rsid w:val="00B70CDC"/>
    <w:rsid w:val="00B70EB3"/>
    <w:rsid w:val="00B72746"/>
    <w:rsid w:val="00B72906"/>
    <w:rsid w:val="00B72C11"/>
    <w:rsid w:val="00B72FAA"/>
    <w:rsid w:val="00B74A87"/>
    <w:rsid w:val="00B74F48"/>
    <w:rsid w:val="00B7525E"/>
    <w:rsid w:val="00B75433"/>
    <w:rsid w:val="00B75B70"/>
    <w:rsid w:val="00B75F70"/>
    <w:rsid w:val="00B760FB"/>
    <w:rsid w:val="00B76765"/>
    <w:rsid w:val="00B767AB"/>
    <w:rsid w:val="00B77A48"/>
    <w:rsid w:val="00B801BA"/>
    <w:rsid w:val="00B812D6"/>
    <w:rsid w:val="00B821F2"/>
    <w:rsid w:val="00B84301"/>
    <w:rsid w:val="00B8449D"/>
    <w:rsid w:val="00B846E6"/>
    <w:rsid w:val="00B84D5C"/>
    <w:rsid w:val="00B851E7"/>
    <w:rsid w:val="00B85AF6"/>
    <w:rsid w:val="00B91505"/>
    <w:rsid w:val="00B917AC"/>
    <w:rsid w:val="00B929BB"/>
    <w:rsid w:val="00B92E46"/>
    <w:rsid w:val="00B934C6"/>
    <w:rsid w:val="00B941ED"/>
    <w:rsid w:val="00B956ED"/>
    <w:rsid w:val="00B95FCD"/>
    <w:rsid w:val="00B97092"/>
    <w:rsid w:val="00B97470"/>
    <w:rsid w:val="00B97953"/>
    <w:rsid w:val="00BA002D"/>
    <w:rsid w:val="00BA0DC0"/>
    <w:rsid w:val="00BA15C4"/>
    <w:rsid w:val="00BA2436"/>
    <w:rsid w:val="00BA2DA8"/>
    <w:rsid w:val="00BA2E9A"/>
    <w:rsid w:val="00BA347C"/>
    <w:rsid w:val="00BA4C79"/>
    <w:rsid w:val="00BA4D84"/>
    <w:rsid w:val="00BA6220"/>
    <w:rsid w:val="00BB0669"/>
    <w:rsid w:val="00BB298A"/>
    <w:rsid w:val="00BB3469"/>
    <w:rsid w:val="00BB35F4"/>
    <w:rsid w:val="00BB3F70"/>
    <w:rsid w:val="00BB4C8A"/>
    <w:rsid w:val="00BB5C49"/>
    <w:rsid w:val="00BB6240"/>
    <w:rsid w:val="00BB6285"/>
    <w:rsid w:val="00BB62DB"/>
    <w:rsid w:val="00BB6658"/>
    <w:rsid w:val="00BB69F5"/>
    <w:rsid w:val="00BB6E48"/>
    <w:rsid w:val="00BB7EC3"/>
    <w:rsid w:val="00BC04B1"/>
    <w:rsid w:val="00BC0688"/>
    <w:rsid w:val="00BC06D6"/>
    <w:rsid w:val="00BC1E73"/>
    <w:rsid w:val="00BC42D6"/>
    <w:rsid w:val="00BC470E"/>
    <w:rsid w:val="00BC4B9A"/>
    <w:rsid w:val="00BC66FB"/>
    <w:rsid w:val="00BC6959"/>
    <w:rsid w:val="00BC7A11"/>
    <w:rsid w:val="00BD02C3"/>
    <w:rsid w:val="00BD1B57"/>
    <w:rsid w:val="00BD1C27"/>
    <w:rsid w:val="00BD1CE8"/>
    <w:rsid w:val="00BD3119"/>
    <w:rsid w:val="00BD7483"/>
    <w:rsid w:val="00BD784C"/>
    <w:rsid w:val="00BD7ADD"/>
    <w:rsid w:val="00BD7FFC"/>
    <w:rsid w:val="00BE020A"/>
    <w:rsid w:val="00BE0620"/>
    <w:rsid w:val="00BE13DF"/>
    <w:rsid w:val="00BE1E2A"/>
    <w:rsid w:val="00BE1EF0"/>
    <w:rsid w:val="00BE23F5"/>
    <w:rsid w:val="00BE25B0"/>
    <w:rsid w:val="00BE25D7"/>
    <w:rsid w:val="00BE46B6"/>
    <w:rsid w:val="00BE60A5"/>
    <w:rsid w:val="00BE6298"/>
    <w:rsid w:val="00BE671E"/>
    <w:rsid w:val="00BF092C"/>
    <w:rsid w:val="00BF21D1"/>
    <w:rsid w:val="00BF27A0"/>
    <w:rsid w:val="00BF35A1"/>
    <w:rsid w:val="00BF38AF"/>
    <w:rsid w:val="00BF3CEE"/>
    <w:rsid w:val="00BF3F5F"/>
    <w:rsid w:val="00BF40E6"/>
    <w:rsid w:val="00BF4CB6"/>
    <w:rsid w:val="00BF51E1"/>
    <w:rsid w:val="00BF5D23"/>
    <w:rsid w:val="00BF5EB0"/>
    <w:rsid w:val="00BF6CBD"/>
    <w:rsid w:val="00C00305"/>
    <w:rsid w:val="00C00DA7"/>
    <w:rsid w:val="00C01D3A"/>
    <w:rsid w:val="00C03040"/>
    <w:rsid w:val="00C0344E"/>
    <w:rsid w:val="00C034FB"/>
    <w:rsid w:val="00C03640"/>
    <w:rsid w:val="00C03736"/>
    <w:rsid w:val="00C044A9"/>
    <w:rsid w:val="00C04CDE"/>
    <w:rsid w:val="00C059D5"/>
    <w:rsid w:val="00C059EB"/>
    <w:rsid w:val="00C05DD0"/>
    <w:rsid w:val="00C064E2"/>
    <w:rsid w:val="00C068A6"/>
    <w:rsid w:val="00C07902"/>
    <w:rsid w:val="00C11784"/>
    <w:rsid w:val="00C11DEA"/>
    <w:rsid w:val="00C12768"/>
    <w:rsid w:val="00C12D70"/>
    <w:rsid w:val="00C16724"/>
    <w:rsid w:val="00C16CDA"/>
    <w:rsid w:val="00C21036"/>
    <w:rsid w:val="00C21B09"/>
    <w:rsid w:val="00C241F6"/>
    <w:rsid w:val="00C25EFF"/>
    <w:rsid w:val="00C26246"/>
    <w:rsid w:val="00C2673A"/>
    <w:rsid w:val="00C278CD"/>
    <w:rsid w:val="00C27B58"/>
    <w:rsid w:val="00C27C1C"/>
    <w:rsid w:val="00C3166C"/>
    <w:rsid w:val="00C31A78"/>
    <w:rsid w:val="00C326CC"/>
    <w:rsid w:val="00C33186"/>
    <w:rsid w:val="00C35996"/>
    <w:rsid w:val="00C4087B"/>
    <w:rsid w:val="00C4097C"/>
    <w:rsid w:val="00C41263"/>
    <w:rsid w:val="00C42BCD"/>
    <w:rsid w:val="00C4485F"/>
    <w:rsid w:val="00C44DDE"/>
    <w:rsid w:val="00C44DED"/>
    <w:rsid w:val="00C45702"/>
    <w:rsid w:val="00C46C13"/>
    <w:rsid w:val="00C46C1F"/>
    <w:rsid w:val="00C47246"/>
    <w:rsid w:val="00C4747E"/>
    <w:rsid w:val="00C47AF3"/>
    <w:rsid w:val="00C5151E"/>
    <w:rsid w:val="00C52256"/>
    <w:rsid w:val="00C532A0"/>
    <w:rsid w:val="00C5342C"/>
    <w:rsid w:val="00C53B2B"/>
    <w:rsid w:val="00C54549"/>
    <w:rsid w:val="00C547F5"/>
    <w:rsid w:val="00C55323"/>
    <w:rsid w:val="00C55AD6"/>
    <w:rsid w:val="00C56D78"/>
    <w:rsid w:val="00C57465"/>
    <w:rsid w:val="00C60272"/>
    <w:rsid w:val="00C603D4"/>
    <w:rsid w:val="00C604B0"/>
    <w:rsid w:val="00C60BEF"/>
    <w:rsid w:val="00C60F15"/>
    <w:rsid w:val="00C6256A"/>
    <w:rsid w:val="00C63CB9"/>
    <w:rsid w:val="00C63FDA"/>
    <w:rsid w:val="00C64EBC"/>
    <w:rsid w:val="00C66276"/>
    <w:rsid w:val="00C664D2"/>
    <w:rsid w:val="00C677E1"/>
    <w:rsid w:val="00C70E6E"/>
    <w:rsid w:val="00C710E2"/>
    <w:rsid w:val="00C7124F"/>
    <w:rsid w:val="00C71633"/>
    <w:rsid w:val="00C71C3F"/>
    <w:rsid w:val="00C71D34"/>
    <w:rsid w:val="00C72E90"/>
    <w:rsid w:val="00C73FAB"/>
    <w:rsid w:val="00C7409E"/>
    <w:rsid w:val="00C74242"/>
    <w:rsid w:val="00C74D6D"/>
    <w:rsid w:val="00C76E76"/>
    <w:rsid w:val="00C77179"/>
    <w:rsid w:val="00C77679"/>
    <w:rsid w:val="00C77891"/>
    <w:rsid w:val="00C77B74"/>
    <w:rsid w:val="00C804E0"/>
    <w:rsid w:val="00C82062"/>
    <w:rsid w:val="00C829A9"/>
    <w:rsid w:val="00C82D62"/>
    <w:rsid w:val="00C84CD8"/>
    <w:rsid w:val="00C85EA4"/>
    <w:rsid w:val="00C8645D"/>
    <w:rsid w:val="00C87863"/>
    <w:rsid w:val="00C87B80"/>
    <w:rsid w:val="00C90330"/>
    <w:rsid w:val="00C91449"/>
    <w:rsid w:val="00C91CF9"/>
    <w:rsid w:val="00C92D10"/>
    <w:rsid w:val="00C92F79"/>
    <w:rsid w:val="00C95200"/>
    <w:rsid w:val="00C954A6"/>
    <w:rsid w:val="00C96EC0"/>
    <w:rsid w:val="00C975A8"/>
    <w:rsid w:val="00CA0506"/>
    <w:rsid w:val="00CA06F9"/>
    <w:rsid w:val="00CA14BB"/>
    <w:rsid w:val="00CA20AE"/>
    <w:rsid w:val="00CA230C"/>
    <w:rsid w:val="00CA48D9"/>
    <w:rsid w:val="00CA6063"/>
    <w:rsid w:val="00CA7DEF"/>
    <w:rsid w:val="00CB1193"/>
    <w:rsid w:val="00CB1AD7"/>
    <w:rsid w:val="00CB325C"/>
    <w:rsid w:val="00CB3303"/>
    <w:rsid w:val="00CB358A"/>
    <w:rsid w:val="00CB4241"/>
    <w:rsid w:val="00CB4767"/>
    <w:rsid w:val="00CB493D"/>
    <w:rsid w:val="00CB53F1"/>
    <w:rsid w:val="00CC2224"/>
    <w:rsid w:val="00CC3011"/>
    <w:rsid w:val="00CC38C1"/>
    <w:rsid w:val="00CC3B97"/>
    <w:rsid w:val="00CC7571"/>
    <w:rsid w:val="00CD0B32"/>
    <w:rsid w:val="00CD4A8C"/>
    <w:rsid w:val="00CD6257"/>
    <w:rsid w:val="00CD7C0B"/>
    <w:rsid w:val="00CE10C4"/>
    <w:rsid w:val="00CE2343"/>
    <w:rsid w:val="00CE27B5"/>
    <w:rsid w:val="00CE2BDF"/>
    <w:rsid w:val="00CE2EB9"/>
    <w:rsid w:val="00CE3129"/>
    <w:rsid w:val="00CE6D24"/>
    <w:rsid w:val="00CE6DAF"/>
    <w:rsid w:val="00CF0B72"/>
    <w:rsid w:val="00CF410A"/>
    <w:rsid w:val="00CF47B8"/>
    <w:rsid w:val="00CF7528"/>
    <w:rsid w:val="00CF7FDE"/>
    <w:rsid w:val="00D012AF"/>
    <w:rsid w:val="00D01421"/>
    <w:rsid w:val="00D0321E"/>
    <w:rsid w:val="00D05088"/>
    <w:rsid w:val="00D05457"/>
    <w:rsid w:val="00D069EB"/>
    <w:rsid w:val="00D071C3"/>
    <w:rsid w:val="00D07A8A"/>
    <w:rsid w:val="00D1031C"/>
    <w:rsid w:val="00D10E31"/>
    <w:rsid w:val="00D11199"/>
    <w:rsid w:val="00D133EB"/>
    <w:rsid w:val="00D13618"/>
    <w:rsid w:val="00D1455A"/>
    <w:rsid w:val="00D14573"/>
    <w:rsid w:val="00D14A70"/>
    <w:rsid w:val="00D16A5E"/>
    <w:rsid w:val="00D16BF4"/>
    <w:rsid w:val="00D207EA"/>
    <w:rsid w:val="00D211FB"/>
    <w:rsid w:val="00D22093"/>
    <w:rsid w:val="00D2228E"/>
    <w:rsid w:val="00D226BF"/>
    <w:rsid w:val="00D22F36"/>
    <w:rsid w:val="00D254D6"/>
    <w:rsid w:val="00D30CE6"/>
    <w:rsid w:val="00D30DF3"/>
    <w:rsid w:val="00D30E48"/>
    <w:rsid w:val="00D31150"/>
    <w:rsid w:val="00D3138B"/>
    <w:rsid w:val="00D31625"/>
    <w:rsid w:val="00D31FCE"/>
    <w:rsid w:val="00D3280C"/>
    <w:rsid w:val="00D329DF"/>
    <w:rsid w:val="00D331C1"/>
    <w:rsid w:val="00D3390A"/>
    <w:rsid w:val="00D33C02"/>
    <w:rsid w:val="00D3406A"/>
    <w:rsid w:val="00D342F9"/>
    <w:rsid w:val="00D34D24"/>
    <w:rsid w:val="00D35496"/>
    <w:rsid w:val="00D35645"/>
    <w:rsid w:val="00D40B11"/>
    <w:rsid w:val="00D42864"/>
    <w:rsid w:val="00D429EC"/>
    <w:rsid w:val="00D441F1"/>
    <w:rsid w:val="00D4572C"/>
    <w:rsid w:val="00D461BD"/>
    <w:rsid w:val="00D469B2"/>
    <w:rsid w:val="00D52B24"/>
    <w:rsid w:val="00D52EAA"/>
    <w:rsid w:val="00D52ECF"/>
    <w:rsid w:val="00D5411A"/>
    <w:rsid w:val="00D54B09"/>
    <w:rsid w:val="00D55D5F"/>
    <w:rsid w:val="00D570FA"/>
    <w:rsid w:val="00D579C7"/>
    <w:rsid w:val="00D6243E"/>
    <w:rsid w:val="00D64406"/>
    <w:rsid w:val="00D65658"/>
    <w:rsid w:val="00D67EB2"/>
    <w:rsid w:val="00D70349"/>
    <w:rsid w:val="00D71E83"/>
    <w:rsid w:val="00D71FE8"/>
    <w:rsid w:val="00D72054"/>
    <w:rsid w:val="00D72B6F"/>
    <w:rsid w:val="00D741EB"/>
    <w:rsid w:val="00D747FA"/>
    <w:rsid w:val="00D74CEA"/>
    <w:rsid w:val="00D75117"/>
    <w:rsid w:val="00D7679C"/>
    <w:rsid w:val="00D76EC7"/>
    <w:rsid w:val="00D817A9"/>
    <w:rsid w:val="00D820F3"/>
    <w:rsid w:val="00D83313"/>
    <w:rsid w:val="00D83605"/>
    <w:rsid w:val="00D84934"/>
    <w:rsid w:val="00D865F1"/>
    <w:rsid w:val="00D866EB"/>
    <w:rsid w:val="00D87AD8"/>
    <w:rsid w:val="00D87D1A"/>
    <w:rsid w:val="00D906DA"/>
    <w:rsid w:val="00D91271"/>
    <w:rsid w:val="00D919F5"/>
    <w:rsid w:val="00D91FC0"/>
    <w:rsid w:val="00D945F6"/>
    <w:rsid w:val="00D94F03"/>
    <w:rsid w:val="00D95161"/>
    <w:rsid w:val="00D95C23"/>
    <w:rsid w:val="00D96C7D"/>
    <w:rsid w:val="00DA0A82"/>
    <w:rsid w:val="00DA0D14"/>
    <w:rsid w:val="00DA0D69"/>
    <w:rsid w:val="00DA1FC9"/>
    <w:rsid w:val="00DA2CB5"/>
    <w:rsid w:val="00DA30B1"/>
    <w:rsid w:val="00DA32AE"/>
    <w:rsid w:val="00DA358F"/>
    <w:rsid w:val="00DA383E"/>
    <w:rsid w:val="00DA4BAC"/>
    <w:rsid w:val="00DA722E"/>
    <w:rsid w:val="00DA792A"/>
    <w:rsid w:val="00DB0151"/>
    <w:rsid w:val="00DB0160"/>
    <w:rsid w:val="00DB04D7"/>
    <w:rsid w:val="00DB057B"/>
    <w:rsid w:val="00DB07E0"/>
    <w:rsid w:val="00DB0B89"/>
    <w:rsid w:val="00DB197C"/>
    <w:rsid w:val="00DB1FE9"/>
    <w:rsid w:val="00DB203A"/>
    <w:rsid w:val="00DB50E1"/>
    <w:rsid w:val="00DB6AF0"/>
    <w:rsid w:val="00DB72C7"/>
    <w:rsid w:val="00DB7974"/>
    <w:rsid w:val="00DC0566"/>
    <w:rsid w:val="00DC05E1"/>
    <w:rsid w:val="00DC1499"/>
    <w:rsid w:val="00DC16CF"/>
    <w:rsid w:val="00DC1A52"/>
    <w:rsid w:val="00DC216A"/>
    <w:rsid w:val="00DC2C3E"/>
    <w:rsid w:val="00DC3137"/>
    <w:rsid w:val="00DC3A71"/>
    <w:rsid w:val="00DC4880"/>
    <w:rsid w:val="00DC5AE2"/>
    <w:rsid w:val="00DC5E90"/>
    <w:rsid w:val="00DC6EC3"/>
    <w:rsid w:val="00DC75A8"/>
    <w:rsid w:val="00DC79E6"/>
    <w:rsid w:val="00DD0BE9"/>
    <w:rsid w:val="00DD1FF0"/>
    <w:rsid w:val="00DD242C"/>
    <w:rsid w:val="00DD26F9"/>
    <w:rsid w:val="00DD295F"/>
    <w:rsid w:val="00DD2CA3"/>
    <w:rsid w:val="00DD350E"/>
    <w:rsid w:val="00DD3532"/>
    <w:rsid w:val="00DD42AB"/>
    <w:rsid w:val="00DD480E"/>
    <w:rsid w:val="00DD4E36"/>
    <w:rsid w:val="00DD6714"/>
    <w:rsid w:val="00DD74AD"/>
    <w:rsid w:val="00DE06AF"/>
    <w:rsid w:val="00DE06E7"/>
    <w:rsid w:val="00DE1AD8"/>
    <w:rsid w:val="00DE2008"/>
    <w:rsid w:val="00DE5B15"/>
    <w:rsid w:val="00DE5C1E"/>
    <w:rsid w:val="00DE5FB2"/>
    <w:rsid w:val="00DE6D27"/>
    <w:rsid w:val="00DE76EA"/>
    <w:rsid w:val="00DF01F8"/>
    <w:rsid w:val="00DF021D"/>
    <w:rsid w:val="00DF14EE"/>
    <w:rsid w:val="00DF217D"/>
    <w:rsid w:val="00DF26A7"/>
    <w:rsid w:val="00DF2D2C"/>
    <w:rsid w:val="00DF30F7"/>
    <w:rsid w:val="00DF3277"/>
    <w:rsid w:val="00DF3758"/>
    <w:rsid w:val="00DF4F39"/>
    <w:rsid w:val="00DF643A"/>
    <w:rsid w:val="00DF6A31"/>
    <w:rsid w:val="00DF7407"/>
    <w:rsid w:val="00DF77A1"/>
    <w:rsid w:val="00DF7919"/>
    <w:rsid w:val="00E01220"/>
    <w:rsid w:val="00E012C0"/>
    <w:rsid w:val="00E0207E"/>
    <w:rsid w:val="00E02AE6"/>
    <w:rsid w:val="00E0300E"/>
    <w:rsid w:val="00E03912"/>
    <w:rsid w:val="00E04748"/>
    <w:rsid w:val="00E060AF"/>
    <w:rsid w:val="00E06495"/>
    <w:rsid w:val="00E078D9"/>
    <w:rsid w:val="00E10293"/>
    <w:rsid w:val="00E103A0"/>
    <w:rsid w:val="00E1043F"/>
    <w:rsid w:val="00E11179"/>
    <w:rsid w:val="00E1157E"/>
    <w:rsid w:val="00E11F44"/>
    <w:rsid w:val="00E1259F"/>
    <w:rsid w:val="00E13E60"/>
    <w:rsid w:val="00E14820"/>
    <w:rsid w:val="00E14DD2"/>
    <w:rsid w:val="00E1529A"/>
    <w:rsid w:val="00E15550"/>
    <w:rsid w:val="00E15627"/>
    <w:rsid w:val="00E15D75"/>
    <w:rsid w:val="00E164B3"/>
    <w:rsid w:val="00E16910"/>
    <w:rsid w:val="00E16985"/>
    <w:rsid w:val="00E21164"/>
    <w:rsid w:val="00E2292A"/>
    <w:rsid w:val="00E239E2"/>
    <w:rsid w:val="00E24011"/>
    <w:rsid w:val="00E24E09"/>
    <w:rsid w:val="00E263AC"/>
    <w:rsid w:val="00E27234"/>
    <w:rsid w:val="00E27672"/>
    <w:rsid w:val="00E30B39"/>
    <w:rsid w:val="00E31627"/>
    <w:rsid w:val="00E32FAE"/>
    <w:rsid w:val="00E3495C"/>
    <w:rsid w:val="00E34FB5"/>
    <w:rsid w:val="00E350A7"/>
    <w:rsid w:val="00E37822"/>
    <w:rsid w:val="00E4199E"/>
    <w:rsid w:val="00E420AB"/>
    <w:rsid w:val="00E42BDB"/>
    <w:rsid w:val="00E42C87"/>
    <w:rsid w:val="00E42CD7"/>
    <w:rsid w:val="00E4365F"/>
    <w:rsid w:val="00E44005"/>
    <w:rsid w:val="00E455F3"/>
    <w:rsid w:val="00E468A8"/>
    <w:rsid w:val="00E521C7"/>
    <w:rsid w:val="00E524A9"/>
    <w:rsid w:val="00E53F1A"/>
    <w:rsid w:val="00E5726D"/>
    <w:rsid w:val="00E57EEB"/>
    <w:rsid w:val="00E605A3"/>
    <w:rsid w:val="00E611B2"/>
    <w:rsid w:val="00E61557"/>
    <w:rsid w:val="00E62D94"/>
    <w:rsid w:val="00E62ECC"/>
    <w:rsid w:val="00E63832"/>
    <w:rsid w:val="00E64F37"/>
    <w:rsid w:val="00E65091"/>
    <w:rsid w:val="00E651F4"/>
    <w:rsid w:val="00E65326"/>
    <w:rsid w:val="00E65393"/>
    <w:rsid w:val="00E659E3"/>
    <w:rsid w:val="00E65E54"/>
    <w:rsid w:val="00E661C7"/>
    <w:rsid w:val="00E66679"/>
    <w:rsid w:val="00E70D8D"/>
    <w:rsid w:val="00E717B4"/>
    <w:rsid w:val="00E71B53"/>
    <w:rsid w:val="00E732C4"/>
    <w:rsid w:val="00E7330A"/>
    <w:rsid w:val="00E74E41"/>
    <w:rsid w:val="00E75151"/>
    <w:rsid w:val="00E75B50"/>
    <w:rsid w:val="00E776E2"/>
    <w:rsid w:val="00E77EE6"/>
    <w:rsid w:val="00E80155"/>
    <w:rsid w:val="00E8134B"/>
    <w:rsid w:val="00E81E0D"/>
    <w:rsid w:val="00E81F28"/>
    <w:rsid w:val="00E82BCF"/>
    <w:rsid w:val="00E848C0"/>
    <w:rsid w:val="00E84BB8"/>
    <w:rsid w:val="00E84EDD"/>
    <w:rsid w:val="00E8685A"/>
    <w:rsid w:val="00E86F92"/>
    <w:rsid w:val="00E903E8"/>
    <w:rsid w:val="00E91B96"/>
    <w:rsid w:val="00E91DA4"/>
    <w:rsid w:val="00E926B5"/>
    <w:rsid w:val="00E92F2E"/>
    <w:rsid w:val="00E934C5"/>
    <w:rsid w:val="00E935DA"/>
    <w:rsid w:val="00E93D1E"/>
    <w:rsid w:val="00E941A1"/>
    <w:rsid w:val="00E95CE3"/>
    <w:rsid w:val="00E95F9A"/>
    <w:rsid w:val="00EA00D0"/>
    <w:rsid w:val="00EA0856"/>
    <w:rsid w:val="00EA147E"/>
    <w:rsid w:val="00EA1DC4"/>
    <w:rsid w:val="00EA20CF"/>
    <w:rsid w:val="00EA23B7"/>
    <w:rsid w:val="00EA252F"/>
    <w:rsid w:val="00EA2825"/>
    <w:rsid w:val="00EA5027"/>
    <w:rsid w:val="00EA64C2"/>
    <w:rsid w:val="00EA6518"/>
    <w:rsid w:val="00EA71A2"/>
    <w:rsid w:val="00EA7466"/>
    <w:rsid w:val="00EA7B91"/>
    <w:rsid w:val="00EA7EDE"/>
    <w:rsid w:val="00EB0B63"/>
    <w:rsid w:val="00EB1936"/>
    <w:rsid w:val="00EB33B7"/>
    <w:rsid w:val="00EB34F8"/>
    <w:rsid w:val="00EB3545"/>
    <w:rsid w:val="00EB37BE"/>
    <w:rsid w:val="00EB3B6A"/>
    <w:rsid w:val="00EB4332"/>
    <w:rsid w:val="00EB4BAE"/>
    <w:rsid w:val="00EB5088"/>
    <w:rsid w:val="00EB5775"/>
    <w:rsid w:val="00EB6A85"/>
    <w:rsid w:val="00EB7210"/>
    <w:rsid w:val="00EB795C"/>
    <w:rsid w:val="00EC04A2"/>
    <w:rsid w:val="00EC1F38"/>
    <w:rsid w:val="00EC2726"/>
    <w:rsid w:val="00EC4038"/>
    <w:rsid w:val="00EC4A7A"/>
    <w:rsid w:val="00EC55A9"/>
    <w:rsid w:val="00EC575E"/>
    <w:rsid w:val="00EC681C"/>
    <w:rsid w:val="00EC6BBD"/>
    <w:rsid w:val="00EC6C20"/>
    <w:rsid w:val="00EC7B87"/>
    <w:rsid w:val="00ED1644"/>
    <w:rsid w:val="00ED2593"/>
    <w:rsid w:val="00ED295B"/>
    <w:rsid w:val="00ED31CC"/>
    <w:rsid w:val="00ED3709"/>
    <w:rsid w:val="00ED3F0B"/>
    <w:rsid w:val="00ED68AB"/>
    <w:rsid w:val="00ED73E1"/>
    <w:rsid w:val="00ED778E"/>
    <w:rsid w:val="00ED7BAB"/>
    <w:rsid w:val="00ED7D55"/>
    <w:rsid w:val="00ED7D9C"/>
    <w:rsid w:val="00EE00A7"/>
    <w:rsid w:val="00EE14C5"/>
    <w:rsid w:val="00EE2F77"/>
    <w:rsid w:val="00EE3158"/>
    <w:rsid w:val="00EE31A1"/>
    <w:rsid w:val="00EE31A2"/>
    <w:rsid w:val="00EE4329"/>
    <w:rsid w:val="00EE5F22"/>
    <w:rsid w:val="00EE6203"/>
    <w:rsid w:val="00EE67AE"/>
    <w:rsid w:val="00EF0069"/>
    <w:rsid w:val="00EF0871"/>
    <w:rsid w:val="00EF12F0"/>
    <w:rsid w:val="00EF3C52"/>
    <w:rsid w:val="00EF44A0"/>
    <w:rsid w:val="00EF4580"/>
    <w:rsid w:val="00EF4FED"/>
    <w:rsid w:val="00EF5380"/>
    <w:rsid w:val="00EF5F45"/>
    <w:rsid w:val="00EF6843"/>
    <w:rsid w:val="00EF6941"/>
    <w:rsid w:val="00EF6FB3"/>
    <w:rsid w:val="00F0068B"/>
    <w:rsid w:val="00F007C6"/>
    <w:rsid w:val="00F00E0B"/>
    <w:rsid w:val="00F0172E"/>
    <w:rsid w:val="00F03159"/>
    <w:rsid w:val="00F050BD"/>
    <w:rsid w:val="00F05657"/>
    <w:rsid w:val="00F05AB0"/>
    <w:rsid w:val="00F07354"/>
    <w:rsid w:val="00F12C1E"/>
    <w:rsid w:val="00F12C74"/>
    <w:rsid w:val="00F13214"/>
    <w:rsid w:val="00F1559A"/>
    <w:rsid w:val="00F15773"/>
    <w:rsid w:val="00F172D6"/>
    <w:rsid w:val="00F17C25"/>
    <w:rsid w:val="00F17ED6"/>
    <w:rsid w:val="00F20676"/>
    <w:rsid w:val="00F209E2"/>
    <w:rsid w:val="00F2398F"/>
    <w:rsid w:val="00F2428E"/>
    <w:rsid w:val="00F25578"/>
    <w:rsid w:val="00F258E5"/>
    <w:rsid w:val="00F25B9C"/>
    <w:rsid w:val="00F2675A"/>
    <w:rsid w:val="00F26CC6"/>
    <w:rsid w:val="00F300BC"/>
    <w:rsid w:val="00F305FA"/>
    <w:rsid w:val="00F30997"/>
    <w:rsid w:val="00F3263C"/>
    <w:rsid w:val="00F32DF3"/>
    <w:rsid w:val="00F3334E"/>
    <w:rsid w:val="00F3504A"/>
    <w:rsid w:val="00F3573A"/>
    <w:rsid w:val="00F36CCB"/>
    <w:rsid w:val="00F374E5"/>
    <w:rsid w:val="00F37A7F"/>
    <w:rsid w:val="00F37B93"/>
    <w:rsid w:val="00F37BAD"/>
    <w:rsid w:val="00F37ECA"/>
    <w:rsid w:val="00F37FF9"/>
    <w:rsid w:val="00F40A1C"/>
    <w:rsid w:val="00F432BA"/>
    <w:rsid w:val="00F43AF2"/>
    <w:rsid w:val="00F44455"/>
    <w:rsid w:val="00F44C69"/>
    <w:rsid w:val="00F45216"/>
    <w:rsid w:val="00F47B52"/>
    <w:rsid w:val="00F5007E"/>
    <w:rsid w:val="00F508F6"/>
    <w:rsid w:val="00F50EC4"/>
    <w:rsid w:val="00F51289"/>
    <w:rsid w:val="00F51FCD"/>
    <w:rsid w:val="00F52232"/>
    <w:rsid w:val="00F527B1"/>
    <w:rsid w:val="00F52DC2"/>
    <w:rsid w:val="00F537C0"/>
    <w:rsid w:val="00F54AF9"/>
    <w:rsid w:val="00F550CF"/>
    <w:rsid w:val="00F553D2"/>
    <w:rsid w:val="00F567D8"/>
    <w:rsid w:val="00F56A2D"/>
    <w:rsid w:val="00F57A6D"/>
    <w:rsid w:val="00F6044B"/>
    <w:rsid w:val="00F60A5E"/>
    <w:rsid w:val="00F61909"/>
    <w:rsid w:val="00F62A8E"/>
    <w:rsid w:val="00F62F19"/>
    <w:rsid w:val="00F638CC"/>
    <w:rsid w:val="00F64C9E"/>
    <w:rsid w:val="00F64CC1"/>
    <w:rsid w:val="00F65399"/>
    <w:rsid w:val="00F67742"/>
    <w:rsid w:val="00F708B1"/>
    <w:rsid w:val="00F7227F"/>
    <w:rsid w:val="00F72317"/>
    <w:rsid w:val="00F73BCF"/>
    <w:rsid w:val="00F73DC1"/>
    <w:rsid w:val="00F756B2"/>
    <w:rsid w:val="00F75BB8"/>
    <w:rsid w:val="00F76486"/>
    <w:rsid w:val="00F77714"/>
    <w:rsid w:val="00F80475"/>
    <w:rsid w:val="00F80E6E"/>
    <w:rsid w:val="00F81390"/>
    <w:rsid w:val="00F81F7A"/>
    <w:rsid w:val="00F8247A"/>
    <w:rsid w:val="00F82E5C"/>
    <w:rsid w:val="00F83CFE"/>
    <w:rsid w:val="00F83E86"/>
    <w:rsid w:val="00F83F58"/>
    <w:rsid w:val="00F85206"/>
    <w:rsid w:val="00F877F2"/>
    <w:rsid w:val="00F87C7A"/>
    <w:rsid w:val="00F87CEA"/>
    <w:rsid w:val="00F87D49"/>
    <w:rsid w:val="00F91445"/>
    <w:rsid w:val="00F91831"/>
    <w:rsid w:val="00F9265D"/>
    <w:rsid w:val="00F93F04"/>
    <w:rsid w:val="00F944E2"/>
    <w:rsid w:val="00F95537"/>
    <w:rsid w:val="00F9629A"/>
    <w:rsid w:val="00F97EFC"/>
    <w:rsid w:val="00FA02D5"/>
    <w:rsid w:val="00FA0B04"/>
    <w:rsid w:val="00FA0C7C"/>
    <w:rsid w:val="00FA1BDD"/>
    <w:rsid w:val="00FA305C"/>
    <w:rsid w:val="00FA462E"/>
    <w:rsid w:val="00FA4DD5"/>
    <w:rsid w:val="00FA5883"/>
    <w:rsid w:val="00FA6055"/>
    <w:rsid w:val="00FA6446"/>
    <w:rsid w:val="00FA6ED7"/>
    <w:rsid w:val="00FB0B39"/>
    <w:rsid w:val="00FB131E"/>
    <w:rsid w:val="00FB2484"/>
    <w:rsid w:val="00FB27B6"/>
    <w:rsid w:val="00FB2AAB"/>
    <w:rsid w:val="00FB2CA9"/>
    <w:rsid w:val="00FB322F"/>
    <w:rsid w:val="00FB442F"/>
    <w:rsid w:val="00FB5E81"/>
    <w:rsid w:val="00FB7A62"/>
    <w:rsid w:val="00FB7CDD"/>
    <w:rsid w:val="00FB7F2D"/>
    <w:rsid w:val="00FC118C"/>
    <w:rsid w:val="00FC1929"/>
    <w:rsid w:val="00FC255F"/>
    <w:rsid w:val="00FC2972"/>
    <w:rsid w:val="00FC3CFE"/>
    <w:rsid w:val="00FC5747"/>
    <w:rsid w:val="00FC5B46"/>
    <w:rsid w:val="00FC624F"/>
    <w:rsid w:val="00FC7073"/>
    <w:rsid w:val="00FD17B0"/>
    <w:rsid w:val="00FD1D4F"/>
    <w:rsid w:val="00FD24BF"/>
    <w:rsid w:val="00FD34CC"/>
    <w:rsid w:val="00FD3B6E"/>
    <w:rsid w:val="00FD4140"/>
    <w:rsid w:val="00FD4D9A"/>
    <w:rsid w:val="00FD5695"/>
    <w:rsid w:val="00FD57EB"/>
    <w:rsid w:val="00FD674F"/>
    <w:rsid w:val="00FD67D5"/>
    <w:rsid w:val="00FD6D8E"/>
    <w:rsid w:val="00FE04D6"/>
    <w:rsid w:val="00FE0663"/>
    <w:rsid w:val="00FE0DAE"/>
    <w:rsid w:val="00FE0E94"/>
    <w:rsid w:val="00FE0FA2"/>
    <w:rsid w:val="00FE190A"/>
    <w:rsid w:val="00FE21C0"/>
    <w:rsid w:val="00FE369C"/>
    <w:rsid w:val="00FE3CD9"/>
    <w:rsid w:val="00FE45C6"/>
    <w:rsid w:val="00FE4EBC"/>
    <w:rsid w:val="00FE5B79"/>
    <w:rsid w:val="00FF00BD"/>
    <w:rsid w:val="00FF067C"/>
    <w:rsid w:val="00FF0B13"/>
    <w:rsid w:val="00FF0B52"/>
    <w:rsid w:val="00FF163D"/>
    <w:rsid w:val="00FF1672"/>
    <w:rsid w:val="00FF1ED4"/>
    <w:rsid w:val="00FF2801"/>
    <w:rsid w:val="00FF5B3D"/>
    <w:rsid w:val="00FF6352"/>
    <w:rsid w:val="00FF6715"/>
    <w:rsid w:val="00FF7459"/>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167"/>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5377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Source table_,NICE instructions,RTI AMCP Table,Dossier table,Summary Table,HealthConsult,Head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Table Legend,Bullet1,Bullet 1,Section 5"/>
    <w:next w:val="ListBullet"/>
    <w:link w:val="ListParagraphChar"/>
    <w:uiPriority w:val="34"/>
    <w:qFormat/>
    <w:rsid w:val="00B929BB"/>
    <w:pPr>
      <w:spacing w:after="120"/>
      <w:ind w:left="114" w:hanging="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B929BB"/>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FF7459"/>
    <w:pPr>
      <w:numPr>
        <w:ilvl w:val="1"/>
        <w:numId w:val="1"/>
      </w:numPr>
      <w:ind w:left="72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FF7459"/>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PlaceholderText">
    <w:name w:val="Placeholder Text"/>
    <w:basedOn w:val="DefaultParagraphFont"/>
    <w:uiPriority w:val="99"/>
    <w:unhideWhenUsed/>
    <w:rsid w:val="00B66898"/>
    <w:rPr>
      <w:color w:val="808080"/>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rsid w:val="007B0440"/>
    <w:rPr>
      <w:rFonts w:ascii="Calibri" w:hAnsi="Calibri"/>
      <w:i/>
      <w:iCs/>
      <w:color w:val="000000" w:themeColor="text1"/>
      <w:sz w:val="18"/>
      <w:szCs w:val="18"/>
    </w:rPr>
  </w:style>
  <w:style w:type="character" w:customStyle="1" w:styleId="CaptionFootnoteChar">
    <w:name w:val="Caption Footnote Char"/>
    <w:basedOn w:val="DefaultParagraphFont"/>
    <w:link w:val="CaptionFootnote"/>
    <w:rsid w:val="007B0440"/>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7B0440"/>
    <w:pPr>
      <w:spacing w:after="360"/>
      <w:contextualSpacing/>
      <w:jc w:val="left"/>
    </w:pPr>
    <w:rPr>
      <w:rFonts w:asciiTheme="minorHAnsi" w:hAnsiTheme="minorHAnsi"/>
      <w:kern w:val="28"/>
      <w:sz w:val="16"/>
      <w:lang w:eastAsia="en-GB"/>
    </w:rPr>
  </w:style>
  <w:style w:type="table" w:customStyle="1" w:styleId="Submissionstandard1">
    <w:name w:val="Submission standard1"/>
    <w:basedOn w:val="TableNormal"/>
    <w:uiPriority w:val="99"/>
    <w:qFormat/>
    <w:rsid w:val="007B0440"/>
    <w:rPr>
      <w:rFonts w:ascii="Courier New" w:eastAsiaTheme="majorEastAsia" w:hAnsi="Courier Ne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MDL2 Assets" w:hAnsi="Segoe MDL2 Assets" w:hint="default"/>
        <w:b/>
        <w:sz w:val="20"/>
        <w:szCs w:val="20"/>
      </w:rPr>
      <w:tblPr/>
      <w:tcPr>
        <w:shd w:val="clear" w:color="auto" w:fill="BFBFBF" w:themeFill="background1" w:themeFillShade="BF"/>
      </w:tcPr>
    </w:tblStylePr>
  </w:style>
  <w:style w:type="paragraph" w:customStyle="1" w:styleId="BeiGenecaption">
    <w:name w:val="BeiGene caption"/>
    <w:basedOn w:val="Caption"/>
    <w:link w:val="BeiGenecaptionChar"/>
    <w:qFormat/>
    <w:rsid w:val="00860703"/>
    <w:pPr>
      <w:keepNext/>
      <w:spacing w:before="360" w:after="120"/>
      <w:jc w:val="left"/>
    </w:pPr>
    <w:rPr>
      <w:rFonts w:asciiTheme="minorHAnsi" w:eastAsiaTheme="majorEastAsia" w:hAnsiTheme="minorHAnsi" w:cstheme="minorHAnsi"/>
      <w:b/>
      <w:bCs/>
      <w:i w:val="0"/>
      <w:iCs w:val="0"/>
      <w:color w:val="auto"/>
      <w:sz w:val="20"/>
      <w:szCs w:val="20"/>
      <w:lang w:eastAsia="en-US" w:bidi="en-US"/>
    </w:rPr>
  </w:style>
  <w:style w:type="character" w:customStyle="1" w:styleId="BeiGenecaptionChar">
    <w:name w:val="BeiGene caption Char"/>
    <w:basedOn w:val="DefaultParagraphFont"/>
    <w:link w:val="BeiGenecaption"/>
    <w:rsid w:val="00860703"/>
    <w:rPr>
      <w:rFonts w:asciiTheme="minorHAnsi" w:eastAsiaTheme="majorEastAsia" w:hAnsiTheme="minorHAnsi" w:cstheme="minorHAnsi"/>
      <w:b/>
      <w:bCs/>
      <w:lang w:eastAsia="en-US" w:bidi="en-US"/>
    </w:rPr>
  </w:style>
  <w:style w:type="paragraph" w:customStyle="1" w:styleId="TableLeft">
    <w:name w:val="Table Left"/>
    <w:basedOn w:val="Normal"/>
    <w:link w:val="TableLeftChar"/>
    <w:uiPriority w:val="99"/>
    <w:qFormat/>
    <w:rsid w:val="007E1638"/>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7E1638"/>
    <w:rPr>
      <w:rFonts w:ascii="Calibri" w:eastAsiaTheme="majorEastAsia" w:hAnsi="Calibri" w:cstheme="majorBidi"/>
      <w:sz w:val="18"/>
      <w:szCs w:val="22"/>
      <w:lang w:eastAsia="en-US" w:bidi="en-US"/>
    </w:rPr>
  </w:style>
  <w:style w:type="paragraph" w:customStyle="1" w:styleId="TableCentre">
    <w:name w:val="Table Centre"/>
    <w:basedOn w:val="Normal"/>
    <w:uiPriority w:val="99"/>
    <w:qFormat/>
    <w:rsid w:val="009057B1"/>
    <w:pPr>
      <w:jc w:val="center"/>
    </w:pPr>
    <w:rPr>
      <w:rFonts w:eastAsiaTheme="majorEastAsia" w:cstheme="majorBidi"/>
      <w:sz w:val="18"/>
      <w:szCs w:val="22"/>
      <w:lang w:eastAsia="en-US" w:bidi="en-US"/>
    </w:rPr>
  </w:style>
  <w:style w:type="character" w:customStyle="1" w:styleId="Heading4Char">
    <w:name w:val="Heading 4 Char"/>
    <w:basedOn w:val="DefaultParagraphFont"/>
    <w:link w:val="Heading4"/>
    <w:semiHidden/>
    <w:rsid w:val="005377DE"/>
    <w:rPr>
      <w:rFonts w:asciiTheme="majorHAnsi" w:eastAsiaTheme="majorEastAsia" w:hAnsiTheme="majorHAnsi" w:cstheme="majorBidi"/>
      <w:i/>
      <w:iCs/>
      <w:color w:val="365F91" w:themeColor="accent1" w:themeShade="BF"/>
      <w:sz w:val="24"/>
      <w:szCs w:val="24"/>
    </w:rPr>
  </w:style>
  <w:style w:type="paragraph" w:customStyle="1" w:styleId="TableBullets">
    <w:name w:val="Table Bullets"/>
    <w:basedOn w:val="TableLeft"/>
    <w:uiPriority w:val="5"/>
    <w:qFormat/>
    <w:rsid w:val="008350F8"/>
    <w:pPr>
      <w:numPr>
        <w:numId w:val="10"/>
      </w:numPr>
      <w:tabs>
        <w:tab w:val="num" w:pos="360"/>
      </w:tabs>
      <w:ind w:left="0" w:firstLine="0"/>
      <w:jc w:val="both"/>
    </w:pPr>
  </w:style>
  <w:style w:type="paragraph" w:styleId="FootnoteText">
    <w:name w:val="footnote text"/>
    <w:basedOn w:val="Normal"/>
    <w:link w:val="FootnoteTextChar"/>
    <w:unhideWhenUsed/>
    <w:rsid w:val="00D35645"/>
    <w:pPr>
      <w:keepLines/>
    </w:pPr>
    <w:rPr>
      <w:rFonts w:ascii="Arial Narrow" w:hAnsi="Arial Narrow"/>
      <w:sz w:val="18"/>
      <w:szCs w:val="20"/>
    </w:rPr>
  </w:style>
  <w:style w:type="character" w:customStyle="1" w:styleId="FootnoteTextChar">
    <w:name w:val="Footnote Text Char"/>
    <w:basedOn w:val="DefaultParagraphFont"/>
    <w:link w:val="FootnoteText"/>
    <w:rsid w:val="00D35645"/>
    <w:rPr>
      <w:rFonts w:ascii="Arial Narrow" w:hAnsi="Arial Narrow"/>
      <w:sz w:val="18"/>
    </w:rPr>
  </w:style>
  <w:style w:type="character" w:styleId="FootnoteReference">
    <w:name w:val="footnote reference"/>
    <w:basedOn w:val="DefaultParagraphFont"/>
    <w:semiHidden/>
    <w:unhideWhenUsed/>
    <w:rsid w:val="001D1EEB"/>
    <w:rPr>
      <w:vertAlign w:val="superscript"/>
    </w:rPr>
  </w:style>
  <w:style w:type="table" w:customStyle="1" w:styleId="ASDTable2">
    <w:name w:val="ASD Table2"/>
    <w:basedOn w:val="TableNormal"/>
    <w:next w:val="TableGrid"/>
    <w:uiPriority w:val="39"/>
    <w:rsid w:val="00084E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E57EB"/>
    <w:rPr>
      <w:sz w:val="20"/>
      <w:szCs w:val="20"/>
    </w:rPr>
  </w:style>
  <w:style w:type="character" w:customStyle="1" w:styleId="EndnoteTextChar">
    <w:name w:val="Endnote Text Char"/>
    <w:basedOn w:val="DefaultParagraphFont"/>
    <w:link w:val="EndnoteText"/>
    <w:semiHidden/>
    <w:rsid w:val="004E57EB"/>
    <w:rPr>
      <w:rFonts w:ascii="Calibri" w:hAnsi="Calibri"/>
    </w:rPr>
  </w:style>
  <w:style w:type="character" w:styleId="EndnoteReference">
    <w:name w:val="endnote reference"/>
    <w:basedOn w:val="DefaultParagraphFont"/>
    <w:semiHidden/>
    <w:unhideWhenUsed/>
    <w:rsid w:val="004E57EB"/>
    <w:rPr>
      <w:vertAlign w:val="superscript"/>
    </w:rPr>
  </w:style>
  <w:style w:type="character" w:customStyle="1" w:styleId="eop">
    <w:name w:val="eop"/>
    <w:basedOn w:val="DefaultParagraphFont"/>
    <w:rsid w:val="0086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25646587">
      <w:bodyDiv w:val="1"/>
      <w:marLeft w:val="0"/>
      <w:marRight w:val="0"/>
      <w:marTop w:val="0"/>
      <w:marBottom w:val="0"/>
      <w:divBdr>
        <w:top w:val="none" w:sz="0" w:space="0" w:color="auto"/>
        <w:left w:val="none" w:sz="0" w:space="0" w:color="auto"/>
        <w:bottom w:val="none" w:sz="0" w:space="0" w:color="auto"/>
        <w:right w:val="none" w:sz="0" w:space="0" w:color="auto"/>
      </w:divBdr>
      <w:divsChild>
        <w:div w:id="277686889">
          <w:marLeft w:val="547"/>
          <w:marRight w:val="0"/>
          <w:marTop w:val="200"/>
          <w:marBottom w:val="120"/>
          <w:divBdr>
            <w:top w:val="none" w:sz="0" w:space="0" w:color="auto"/>
            <w:left w:val="none" w:sz="0" w:space="0" w:color="auto"/>
            <w:bottom w:val="none" w:sz="0" w:space="0" w:color="auto"/>
            <w:right w:val="none" w:sz="0" w:space="0" w:color="auto"/>
          </w:divBdr>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8555096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1850503">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5241831">
      <w:bodyDiv w:val="1"/>
      <w:marLeft w:val="0"/>
      <w:marRight w:val="0"/>
      <w:marTop w:val="0"/>
      <w:marBottom w:val="0"/>
      <w:divBdr>
        <w:top w:val="none" w:sz="0" w:space="0" w:color="auto"/>
        <w:left w:val="none" w:sz="0" w:space="0" w:color="auto"/>
        <w:bottom w:val="none" w:sz="0" w:space="0" w:color="auto"/>
        <w:right w:val="none" w:sz="0" w:space="0" w:color="auto"/>
      </w:divBdr>
    </w:div>
    <w:div w:id="828788282">
      <w:bodyDiv w:val="1"/>
      <w:marLeft w:val="0"/>
      <w:marRight w:val="0"/>
      <w:marTop w:val="0"/>
      <w:marBottom w:val="0"/>
      <w:divBdr>
        <w:top w:val="none" w:sz="0" w:space="0" w:color="auto"/>
        <w:left w:val="none" w:sz="0" w:space="0" w:color="auto"/>
        <w:bottom w:val="none" w:sz="0" w:space="0" w:color="auto"/>
        <w:right w:val="none" w:sz="0" w:space="0" w:color="auto"/>
      </w:divBdr>
      <w:divsChild>
        <w:div w:id="188228548">
          <w:marLeft w:val="547"/>
          <w:marRight w:val="0"/>
          <w:marTop w:val="200"/>
          <w:marBottom w:val="12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5748071">
      <w:bodyDiv w:val="1"/>
      <w:marLeft w:val="0"/>
      <w:marRight w:val="0"/>
      <w:marTop w:val="0"/>
      <w:marBottom w:val="0"/>
      <w:divBdr>
        <w:top w:val="none" w:sz="0" w:space="0" w:color="auto"/>
        <w:left w:val="none" w:sz="0" w:space="0" w:color="auto"/>
        <w:bottom w:val="none" w:sz="0" w:space="0" w:color="auto"/>
        <w:right w:val="none" w:sz="0" w:space="0" w:color="auto"/>
      </w:divBdr>
      <w:divsChild>
        <w:div w:id="1317226558">
          <w:marLeft w:val="360"/>
          <w:marRight w:val="0"/>
          <w:marTop w:val="200"/>
          <w:marBottom w:val="0"/>
          <w:divBdr>
            <w:top w:val="none" w:sz="0" w:space="0" w:color="auto"/>
            <w:left w:val="none" w:sz="0" w:space="0" w:color="auto"/>
            <w:bottom w:val="none" w:sz="0" w:space="0" w:color="auto"/>
            <w:right w:val="none" w:sz="0" w:space="0" w:color="auto"/>
          </w:divBdr>
        </w:div>
        <w:div w:id="763771642">
          <w:marLeft w:val="360"/>
          <w:marRight w:val="0"/>
          <w:marTop w:val="200"/>
          <w:marBottom w:val="0"/>
          <w:divBdr>
            <w:top w:val="none" w:sz="0" w:space="0" w:color="auto"/>
            <w:left w:val="none" w:sz="0" w:space="0" w:color="auto"/>
            <w:bottom w:val="none" w:sz="0" w:space="0" w:color="auto"/>
            <w:right w:val="none" w:sz="0" w:space="0" w:color="auto"/>
          </w:divBdr>
        </w:div>
        <w:div w:id="59988838">
          <w:marLeft w:val="360"/>
          <w:marRight w:val="0"/>
          <w:marTop w:val="200"/>
          <w:marBottom w:val="0"/>
          <w:divBdr>
            <w:top w:val="none" w:sz="0" w:space="0" w:color="auto"/>
            <w:left w:val="none" w:sz="0" w:space="0" w:color="auto"/>
            <w:bottom w:val="none" w:sz="0" w:space="0" w:color="auto"/>
            <w:right w:val="none" w:sz="0" w:space="0" w:color="auto"/>
          </w:divBdr>
        </w:div>
        <w:div w:id="1312951679">
          <w:marLeft w:val="360"/>
          <w:marRight w:val="0"/>
          <w:marTop w:val="200"/>
          <w:marBottom w:val="0"/>
          <w:divBdr>
            <w:top w:val="none" w:sz="0" w:space="0" w:color="auto"/>
            <w:left w:val="none" w:sz="0" w:space="0" w:color="auto"/>
            <w:bottom w:val="none" w:sz="0" w:space="0" w:color="auto"/>
            <w:right w:val="none" w:sz="0" w:space="0" w:color="auto"/>
          </w:divBdr>
        </w:div>
      </w:divsChild>
    </w:div>
    <w:div w:id="16446538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2642865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ymphoma.org.au/types-of-lymphoma/non-hodgkin-lymphoma/indolent-slow-growing-b-cell-nhl/waldenstroms-macroglobulinemia-wm/" TargetMode="External"/><Relationship Id="rId1" Type="http://schemas.openxmlformats.org/officeDocument/2006/relationships/hyperlink" Target="https://www.beigenemedical.com/CongressDocuments/Talaulikar_RWE_WM_BLOOD_Abstract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7644</Words>
  <Characters>44559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2024-10-24T05:43:00Z</dcterms:created>
  <dcterms:modified xsi:type="dcterms:W3CDTF">2024-10-25T09:38:00Z</dcterms:modified>
</cp:coreProperties>
</file>